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0FBF5D">
      <w:pPr>
        <w:widowControl/>
        <w:snapToGrid w:val="0"/>
        <w:jc w:val="center"/>
        <w:rPr>
          <w:b/>
          <w:bCs/>
          <w:color w:val="auto"/>
          <w:spacing w:val="-26"/>
          <w:sz w:val="52"/>
          <w:szCs w:val="52"/>
        </w:rPr>
      </w:pPr>
      <w:bookmarkStart w:id="0" w:name="_Toc14313"/>
      <w:bookmarkStart w:id="1" w:name="_Toc9252"/>
    </w:p>
    <w:p w14:paraId="19ED67AD">
      <w:pPr>
        <w:widowControl/>
        <w:snapToGrid w:val="0"/>
        <w:jc w:val="center"/>
        <w:rPr>
          <w:b/>
          <w:bCs/>
          <w:color w:val="auto"/>
          <w:spacing w:val="-26"/>
          <w:sz w:val="52"/>
          <w:szCs w:val="52"/>
        </w:rPr>
      </w:pPr>
    </w:p>
    <w:p w14:paraId="09449355">
      <w:pPr>
        <w:widowControl/>
        <w:snapToGrid w:val="0"/>
        <w:jc w:val="center"/>
        <w:rPr>
          <w:rFonts w:hint="eastAsia"/>
          <w:b/>
          <w:bCs/>
          <w:color w:val="auto"/>
          <w:spacing w:val="-28"/>
          <w:sz w:val="48"/>
          <w:szCs w:val="48"/>
          <w:lang w:val="en-US" w:eastAsia="zh-CN"/>
        </w:rPr>
      </w:pPr>
      <w:bookmarkStart w:id="2" w:name="_Toc3046"/>
      <w:bookmarkStart w:id="3" w:name="_Toc28593"/>
      <w:bookmarkStart w:id="4" w:name="_Toc16561"/>
      <w:bookmarkStart w:id="5" w:name="_Toc8513"/>
      <w:bookmarkStart w:id="6" w:name="_Toc26621"/>
      <w:bookmarkStart w:id="7" w:name="_Toc15055"/>
      <w:bookmarkStart w:id="8" w:name="_Toc3607"/>
      <w:bookmarkStart w:id="9" w:name="_Toc29374"/>
      <w:bookmarkStart w:id="10" w:name="_Toc32290"/>
      <w:bookmarkStart w:id="11" w:name="_Toc9778"/>
      <w:bookmarkStart w:id="12" w:name="_Toc15219"/>
      <w:bookmarkStart w:id="13" w:name="_Toc4750"/>
      <w:bookmarkStart w:id="14" w:name="_Toc123117775"/>
      <w:r>
        <w:rPr>
          <w:rFonts w:hint="eastAsia"/>
          <w:b/>
          <w:bCs/>
          <w:color w:val="auto"/>
          <w:spacing w:val="-28"/>
          <w:sz w:val="48"/>
          <w:szCs w:val="48"/>
          <w:lang w:val="en-US" w:eastAsia="zh-CN"/>
        </w:rPr>
        <w:t>百口泉采油厂单罐井治理工程</w:t>
      </w:r>
    </w:p>
    <w:p w14:paraId="09376E68">
      <w:pPr>
        <w:widowControl/>
        <w:snapToGrid w:val="0"/>
        <w:jc w:val="center"/>
        <w:rPr>
          <w:rFonts w:hint="default"/>
          <w:b/>
          <w:bCs/>
          <w:color w:val="auto"/>
          <w:spacing w:val="-28"/>
          <w:sz w:val="48"/>
          <w:szCs w:val="48"/>
          <w:lang w:val="en-US" w:eastAsia="zh-CN"/>
        </w:rPr>
      </w:pPr>
      <w:r>
        <w:rPr>
          <w:rFonts w:hint="eastAsia"/>
          <w:b/>
          <w:bCs/>
          <w:color w:val="auto"/>
          <w:spacing w:val="-28"/>
          <w:sz w:val="52"/>
          <w:szCs w:val="52"/>
          <w:lang w:val="en-US" w:eastAsia="zh-CN"/>
        </w:rPr>
        <w:t>环境影响报告书</w:t>
      </w:r>
    </w:p>
    <w:bookmarkEnd w:id="2"/>
    <w:bookmarkEnd w:id="3"/>
    <w:bookmarkEnd w:id="4"/>
    <w:bookmarkEnd w:id="5"/>
    <w:bookmarkEnd w:id="6"/>
    <w:bookmarkEnd w:id="7"/>
    <w:bookmarkEnd w:id="8"/>
    <w:bookmarkEnd w:id="9"/>
    <w:bookmarkEnd w:id="10"/>
    <w:bookmarkEnd w:id="11"/>
    <w:bookmarkEnd w:id="12"/>
    <w:bookmarkEnd w:id="13"/>
    <w:bookmarkEnd w:id="14"/>
    <w:p w14:paraId="7C68049B">
      <w:pPr>
        <w:widowControl/>
        <w:jc w:val="center"/>
        <w:rPr>
          <w:rFonts w:hint="eastAsia" w:eastAsia="宋体"/>
          <w:b/>
          <w:color w:val="auto"/>
          <w:sz w:val="52"/>
          <w:szCs w:val="52"/>
          <w:lang w:eastAsia="zh-CN"/>
        </w:rPr>
      </w:pPr>
      <w:r>
        <w:rPr>
          <w:rFonts w:hint="eastAsia"/>
          <w:b/>
          <w:color w:val="auto"/>
          <w:sz w:val="52"/>
          <w:szCs w:val="52"/>
          <w:lang w:eastAsia="zh-CN"/>
        </w:rPr>
        <w:t>（</w:t>
      </w:r>
      <w:r>
        <w:rPr>
          <w:rFonts w:hint="eastAsia"/>
          <w:b/>
          <w:color w:val="auto"/>
          <w:sz w:val="52"/>
          <w:szCs w:val="52"/>
          <w:lang w:val="en-US" w:eastAsia="zh-CN"/>
        </w:rPr>
        <w:t>公示稿</w:t>
      </w:r>
      <w:r>
        <w:rPr>
          <w:rFonts w:hint="eastAsia"/>
          <w:b/>
          <w:color w:val="auto"/>
          <w:sz w:val="52"/>
          <w:szCs w:val="52"/>
          <w:lang w:eastAsia="zh-CN"/>
        </w:rPr>
        <w:t>）</w:t>
      </w:r>
    </w:p>
    <w:p w14:paraId="7870B8F5">
      <w:pPr>
        <w:widowControl/>
        <w:jc w:val="center"/>
        <w:rPr>
          <w:b/>
          <w:color w:val="auto"/>
          <w:sz w:val="52"/>
          <w:szCs w:val="52"/>
        </w:rPr>
      </w:pPr>
    </w:p>
    <w:p w14:paraId="4181C4DE">
      <w:pPr>
        <w:widowControl/>
        <w:jc w:val="center"/>
        <w:rPr>
          <w:b/>
          <w:color w:val="auto"/>
          <w:sz w:val="52"/>
          <w:szCs w:val="52"/>
        </w:rPr>
      </w:pPr>
    </w:p>
    <w:p w14:paraId="5021FE99">
      <w:pPr>
        <w:snapToGrid w:val="0"/>
        <w:jc w:val="center"/>
        <w:rPr>
          <w:bCs/>
          <w:color w:val="auto"/>
          <w:sz w:val="52"/>
          <w:szCs w:val="52"/>
        </w:rPr>
      </w:pPr>
    </w:p>
    <w:p w14:paraId="0708C04A">
      <w:pPr>
        <w:widowControl/>
        <w:jc w:val="center"/>
        <w:rPr>
          <w:rFonts w:ascii="Times New Roman" w:hAnsi="Times New Roman" w:eastAsia="宋体" w:cs="Times New Roman"/>
          <w:b/>
          <w:color w:val="auto"/>
          <w:sz w:val="52"/>
          <w:szCs w:val="52"/>
        </w:rPr>
      </w:pPr>
    </w:p>
    <w:p w14:paraId="7085C1C7">
      <w:pPr>
        <w:widowControl/>
        <w:jc w:val="center"/>
        <w:rPr>
          <w:rFonts w:ascii="Times New Roman" w:hAnsi="Times New Roman" w:eastAsia="宋体" w:cs="Times New Roman"/>
          <w:b/>
          <w:color w:val="auto"/>
          <w:sz w:val="52"/>
          <w:szCs w:val="52"/>
        </w:rPr>
      </w:pPr>
    </w:p>
    <w:p w14:paraId="62C6F087">
      <w:pPr>
        <w:widowControl/>
        <w:jc w:val="center"/>
        <w:rPr>
          <w:rFonts w:ascii="Times New Roman" w:hAnsi="Times New Roman" w:eastAsia="宋体" w:cs="Times New Roman"/>
          <w:b/>
          <w:color w:val="auto"/>
          <w:sz w:val="52"/>
          <w:szCs w:val="52"/>
        </w:rPr>
      </w:pPr>
    </w:p>
    <w:p w14:paraId="21D1E4D4">
      <w:pPr>
        <w:widowControl/>
        <w:jc w:val="center"/>
        <w:rPr>
          <w:rFonts w:ascii="Times New Roman" w:hAnsi="Times New Roman" w:eastAsia="宋体" w:cs="Times New Roman"/>
          <w:b/>
          <w:color w:val="auto"/>
          <w:sz w:val="52"/>
          <w:szCs w:val="52"/>
        </w:rPr>
      </w:pPr>
    </w:p>
    <w:p w14:paraId="4D8B4952">
      <w:pPr>
        <w:snapToGrid w:val="0"/>
        <w:jc w:val="center"/>
        <w:rPr>
          <w:rFonts w:ascii="Times New Roman" w:hAnsi="Times New Roman" w:eastAsia="宋体" w:cs="Times New Roman"/>
          <w:bCs/>
          <w:color w:val="auto"/>
          <w:sz w:val="52"/>
          <w:szCs w:val="52"/>
        </w:rPr>
      </w:pPr>
    </w:p>
    <w:p w14:paraId="45FD3FC4">
      <w:pPr>
        <w:widowControl/>
        <w:jc w:val="center"/>
        <w:rPr>
          <w:rFonts w:ascii="Times New Roman" w:hAnsi="Times New Roman" w:eastAsia="宋体" w:cs="Times New Roman"/>
          <w:b/>
          <w:color w:val="auto"/>
          <w:sz w:val="52"/>
          <w:szCs w:val="52"/>
        </w:rPr>
      </w:pPr>
    </w:p>
    <w:p w14:paraId="354F0584">
      <w:pPr>
        <w:widowControl/>
        <w:jc w:val="center"/>
        <w:rPr>
          <w:rFonts w:ascii="Times New Roman" w:hAnsi="Times New Roman" w:eastAsia="宋体" w:cs="Times New Roman"/>
          <w:b/>
          <w:color w:val="auto"/>
          <w:sz w:val="52"/>
          <w:szCs w:val="52"/>
        </w:rPr>
      </w:pPr>
      <w:bookmarkStart w:id="410" w:name="_GoBack"/>
    </w:p>
    <w:bookmarkEnd w:id="410"/>
    <w:p w14:paraId="2C204BEE">
      <w:pPr>
        <w:widowControl/>
        <w:jc w:val="center"/>
        <w:rPr>
          <w:rFonts w:ascii="Times New Roman" w:hAnsi="Times New Roman" w:eastAsia="宋体" w:cs="Times New Roman"/>
          <w:b/>
          <w:color w:val="auto"/>
          <w:sz w:val="52"/>
          <w:szCs w:val="52"/>
        </w:rPr>
      </w:pPr>
    </w:p>
    <w:p w14:paraId="70C1D922">
      <w:pPr>
        <w:widowControl/>
        <w:jc w:val="center"/>
        <w:rPr>
          <w:rFonts w:ascii="Times New Roman" w:hAnsi="Times New Roman" w:eastAsia="宋体" w:cs="Times New Roman"/>
          <w:b/>
          <w:color w:val="auto"/>
          <w:sz w:val="52"/>
          <w:szCs w:val="52"/>
        </w:rPr>
      </w:pPr>
    </w:p>
    <w:p w14:paraId="6C4C349A">
      <w:pPr>
        <w:pStyle w:val="12"/>
        <w:keepNext w:val="0"/>
        <w:keepLines w:val="0"/>
        <w:pageBreakBefore w:val="0"/>
        <w:widowControl/>
        <w:kinsoku/>
        <w:wordWrap/>
        <w:overflowPunct/>
        <w:topLinePunct w:val="0"/>
        <w:autoSpaceDE/>
        <w:autoSpaceDN/>
        <w:bidi w:val="0"/>
        <w:adjustRightInd/>
        <w:snapToGrid/>
        <w:spacing w:after="0"/>
        <w:ind w:left="0" w:leftChars="0" w:firstLine="0" w:firstLineChars="0"/>
        <w:jc w:val="both"/>
        <w:textAlignment w:val="auto"/>
        <w:rPr>
          <w:rFonts w:hint="default" w:eastAsia="宋体"/>
          <w:b/>
          <w:color w:val="auto"/>
          <w:sz w:val="32"/>
          <w:szCs w:val="32"/>
          <w:lang w:val="en-US" w:eastAsia="zh-CN"/>
        </w:rPr>
      </w:pPr>
      <w:bookmarkStart w:id="15" w:name="_Toc23371"/>
      <w:bookmarkStart w:id="16" w:name="_Toc21618"/>
      <w:bookmarkStart w:id="17" w:name="_Toc12460"/>
      <w:r>
        <w:rPr>
          <w:rFonts w:hint="eastAsia"/>
          <w:b/>
          <w:color w:val="auto"/>
          <w:sz w:val="32"/>
          <w:szCs w:val="32"/>
        </w:rPr>
        <w:t>建设单位：</w:t>
      </w:r>
      <w:bookmarkEnd w:id="15"/>
      <w:bookmarkEnd w:id="16"/>
      <w:bookmarkEnd w:id="17"/>
      <w:r>
        <w:rPr>
          <w:rFonts w:hint="eastAsia"/>
          <w:b/>
          <w:color w:val="auto"/>
          <w:sz w:val="32"/>
          <w:szCs w:val="32"/>
          <w:lang w:val="en-US" w:eastAsia="zh-CN"/>
        </w:rPr>
        <w:t>中国石油新疆油田分公司百口泉采油厂</w:t>
      </w:r>
    </w:p>
    <w:p w14:paraId="11306A08">
      <w:pPr>
        <w:pStyle w:val="12"/>
        <w:keepNext w:val="0"/>
        <w:keepLines w:val="0"/>
        <w:pageBreakBefore w:val="0"/>
        <w:widowControl/>
        <w:kinsoku/>
        <w:wordWrap/>
        <w:overflowPunct/>
        <w:topLinePunct w:val="0"/>
        <w:autoSpaceDE/>
        <w:autoSpaceDN/>
        <w:bidi w:val="0"/>
        <w:adjustRightInd/>
        <w:snapToGrid/>
        <w:spacing w:after="0"/>
        <w:ind w:left="0" w:leftChars="0" w:firstLine="0" w:firstLineChars="0"/>
        <w:jc w:val="both"/>
        <w:textAlignment w:val="auto"/>
        <w:rPr>
          <w:rFonts w:hint="eastAsia"/>
          <w:b/>
          <w:color w:val="auto"/>
          <w:sz w:val="32"/>
          <w:szCs w:val="32"/>
        </w:rPr>
      </w:pPr>
    </w:p>
    <w:p w14:paraId="12A9D348">
      <w:pPr>
        <w:pStyle w:val="12"/>
        <w:keepNext w:val="0"/>
        <w:keepLines w:val="0"/>
        <w:pageBreakBefore w:val="0"/>
        <w:widowControl/>
        <w:kinsoku/>
        <w:wordWrap/>
        <w:overflowPunct/>
        <w:topLinePunct w:val="0"/>
        <w:autoSpaceDE/>
        <w:autoSpaceDN/>
        <w:bidi w:val="0"/>
        <w:adjustRightInd/>
        <w:snapToGrid/>
        <w:spacing w:after="0"/>
        <w:ind w:left="0" w:leftChars="0" w:firstLine="0" w:firstLineChars="0"/>
        <w:jc w:val="both"/>
        <w:textAlignment w:val="auto"/>
        <w:rPr>
          <w:rFonts w:hint="default" w:eastAsia="宋体"/>
          <w:b/>
          <w:color w:val="auto"/>
          <w:sz w:val="32"/>
          <w:szCs w:val="32"/>
          <w:lang w:val="en-US" w:eastAsia="zh-CN"/>
        </w:rPr>
      </w:pPr>
      <w:bookmarkStart w:id="18" w:name="_Toc22218"/>
      <w:bookmarkStart w:id="19" w:name="_Toc17647"/>
      <w:bookmarkStart w:id="20" w:name="_Toc20961"/>
      <w:r>
        <w:rPr>
          <w:rFonts w:hint="eastAsia"/>
          <w:b/>
          <w:color w:val="auto"/>
          <w:sz w:val="32"/>
          <w:szCs w:val="32"/>
        </w:rPr>
        <w:t>编制单位：</w:t>
      </w:r>
      <w:bookmarkEnd w:id="18"/>
      <w:bookmarkEnd w:id="19"/>
      <w:bookmarkEnd w:id="20"/>
      <w:r>
        <w:rPr>
          <w:rFonts w:hint="eastAsia"/>
          <w:b/>
          <w:color w:val="auto"/>
          <w:sz w:val="32"/>
          <w:szCs w:val="32"/>
          <w:lang w:val="en-US" w:eastAsia="zh-CN"/>
        </w:rPr>
        <w:t>核工业二0三研究所</w:t>
      </w:r>
    </w:p>
    <w:p w14:paraId="3CAAA0B4">
      <w:pPr>
        <w:pStyle w:val="12"/>
        <w:ind w:left="480" w:firstLine="643"/>
        <w:jc w:val="left"/>
        <w:rPr>
          <w:b/>
          <w:color w:val="auto"/>
          <w:sz w:val="32"/>
          <w:szCs w:val="32"/>
        </w:rPr>
      </w:pPr>
    </w:p>
    <w:p w14:paraId="6E9FB961">
      <w:pPr>
        <w:autoSpaceDE w:val="0"/>
        <w:autoSpaceDN w:val="0"/>
        <w:adjustRightInd w:val="0"/>
        <w:jc w:val="center"/>
        <w:rPr>
          <w:b/>
          <w:bCs/>
          <w:color w:val="auto"/>
          <w:sz w:val="32"/>
        </w:rPr>
      </w:pPr>
      <w:bookmarkStart w:id="21" w:name="_Toc15024"/>
    </w:p>
    <w:p w14:paraId="4C7B568A">
      <w:pPr>
        <w:autoSpaceDE w:val="0"/>
        <w:autoSpaceDN w:val="0"/>
        <w:adjustRightInd w:val="0"/>
        <w:jc w:val="center"/>
        <w:rPr>
          <w:b/>
          <w:bCs/>
          <w:color w:val="auto"/>
          <w:sz w:val="32"/>
        </w:rPr>
      </w:pPr>
      <w:r>
        <w:rPr>
          <w:b/>
          <w:bCs/>
          <w:color w:val="auto"/>
          <w:sz w:val="32"/>
        </w:rPr>
        <w:t>二〇二</w:t>
      </w:r>
      <w:r>
        <w:rPr>
          <w:rFonts w:hint="eastAsia"/>
          <w:b/>
          <w:bCs/>
          <w:color w:val="auto"/>
          <w:sz w:val="32"/>
          <w:lang w:val="en-US" w:eastAsia="zh-CN"/>
        </w:rPr>
        <w:t>五</w:t>
      </w:r>
      <w:r>
        <w:rPr>
          <w:b/>
          <w:bCs/>
          <w:color w:val="auto"/>
          <w:sz w:val="32"/>
        </w:rPr>
        <w:t>年</w:t>
      </w:r>
      <w:r>
        <w:rPr>
          <w:rFonts w:hint="eastAsia"/>
          <w:b/>
          <w:bCs/>
          <w:color w:val="auto"/>
          <w:sz w:val="32"/>
          <w:lang w:val="en-US" w:eastAsia="zh-CN"/>
        </w:rPr>
        <w:t>十二</w:t>
      </w:r>
      <w:r>
        <w:rPr>
          <w:rFonts w:hint="eastAsia"/>
          <w:b/>
          <w:bCs/>
          <w:color w:val="auto"/>
          <w:sz w:val="32"/>
        </w:rPr>
        <w:t>月</w:t>
      </w:r>
      <w:bookmarkEnd w:id="21"/>
    </w:p>
    <w:p w14:paraId="2C4F6E02">
      <w:pPr>
        <w:tabs>
          <w:tab w:val="left" w:pos="1680"/>
        </w:tabs>
        <w:rPr>
          <w:color w:val="auto"/>
        </w:rPr>
        <w:sectPr>
          <w:headerReference r:id="rId4" w:type="default"/>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0" w:chapStyle="1"/>
          <w:cols w:space="720" w:num="1"/>
          <w:docGrid w:linePitch="312" w:charSpace="0"/>
        </w:sectPr>
      </w:pPr>
    </w:p>
    <w:sdt>
      <w:sdtPr>
        <w:rPr>
          <w:rFonts w:ascii="宋体" w:hAnsi="宋体" w:eastAsia="宋体" w:cs="Times New Roman"/>
          <w:b/>
          <w:bCs/>
          <w:color w:val="auto"/>
          <w:sz w:val="24"/>
          <w:szCs w:val="28"/>
          <w:lang w:val="en-US" w:eastAsia="zh-CN" w:bidi="ar-SA"/>
        </w:rPr>
        <w:id w:val="147451844"/>
        <w15:color w:val="DBDBDB"/>
        <w:docPartObj>
          <w:docPartGallery w:val="Table of Contents"/>
          <w:docPartUnique/>
        </w:docPartObj>
      </w:sdtPr>
      <w:sdtEndPr>
        <w:rPr>
          <w:rFonts w:hint="eastAsia" w:ascii="Times New Roman" w:hAnsi="Times New Roman" w:eastAsia="宋体" w:cs="Times New Roman"/>
          <w:b/>
          <w:bCs/>
          <w:color w:val="auto"/>
          <w:sz w:val="24"/>
          <w:szCs w:val="28"/>
          <w:lang w:val="en-US" w:eastAsia="zh-CN" w:bidi="ar-SA"/>
        </w:rPr>
      </w:sdtEndPr>
      <w:sdtContent>
        <w:p w14:paraId="33210486">
          <w:pPr>
            <w:spacing w:before="0" w:beforeLines="0" w:after="0" w:afterLines="0" w:line="240" w:lineRule="auto"/>
            <w:ind w:left="0" w:leftChars="0" w:right="0" w:rightChars="0" w:firstLine="0" w:firstLineChars="0"/>
            <w:jc w:val="center"/>
            <w:rPr>
              <w:b/>
              <w:bCs/>
              <w:color w:val="auto"/>
              <w:sz w:val="24"/>
              <w:szCs w:val="28"/>
            </w:rPr>
          </w:pPr>
          <w:r>
            <w:rPr>
              <w:rFonts w:ascii="宋体" w:hAnsi="宋体" w:eastAsia="宋体"/>
              <w:b/>
              <w:bCs/>
              <w:color w:val="auto"/>
              <w:sz w:val="24"/>
              <w:szCs w:val="28"/>
            </w:rPr>
            <w:t>目录</w:t>
          </w:r>
        </w:p>
        <w:p w14:paraId="4DD6F13E">
          <w:pPr>
            <w:pStyle w:val="18"/>
            <w:tabs>
              <w:tab w:val="right" w:leader="dot" w:pos="8306"/>
            </w:tabs>
            <w:rPr>
              <w:rFonts w:hint="default" w:ascii="Times New Roman" w:hAnsi="Times New Roman" w:eastAsia="宋体" w:cs="Times New Roman"/>
              <w:i w:val="0"/>
              <w:iCs w:val="0"/>
              <w:color w:val="auto"/>
              <w:sz w:val="24"/>
              <w:szCs w:val="24"/>
            </w:rPr>
          </w:pPr>
          <w:r>
            <w:rPr>
              <w:rFonts w:hint="eastAsia"/>
              <w:color w:val="auto"/>
              <w:lang w:val="en-US" w:eastAsia="zh-CN"/>
            </w:rPr>
            <w:fldChar w:fldCharType="begin"/>
          </w:r>
          <w:r>
            <w:rPr>
              <w:rFonts w:hint="eastAsia"/>
              <w:color w:val="auto"/>
              <w:lang w:val="en-US" w:eastAsia="zh-CN"/>
            </w:rPr>
            <w:instrText xml:space="preserve">TOC \o "1-2" \h \u </w:instrText>
          </w:r>
          <w:r>
            <w:rPr>
              <w:rFonts w:hint="eastAsia"/>
              <w:color w:val="auto"/>
              <w:lang w:val="en-US" w:eastAsia="zh-CN"/>
            </w:rPr>
            <w:fldChar w:fldCharType="separate"/>
          </w:r>
          <w:r>
            <w:rPr>
              <w:rFonts w:hint="default" w:ascii="Times New Roman" w:hAnsi="Times New Roman" w:eastAsia="宋体" w:cs="Times New Roman"/>
              <w:b/>
              <w:bCs/>
              <w:i w:val="0"/>
              <w:iCs w:val="0"/>
              <w:color w:val="auto"/>
              <w:sz w:val="24"/>
              <w:szCs w:val="24"/>
              <w:lang w:val="en-US" w:eastAsia="zh-CN"/>
            </w:rPr>
            <w:fldChar w:fldCharType="begin"/>
          </w:r>
          <w:r>
            <w:rPr>
              <w:rFonts w:hint="default" w:ascii="Times New Roman" w:hAnsi="Times New Roman" w:eastAsia="宋体" w:cs="Times New Roman"/>
              <w:b/>
              <w:bCs/>
              <w:i w:val="0"/>
              <w:iCs w:val="0"/>
              <w:color w:val="auto"/>
              <w:sz w:val="24"/>
              <w:szCs w:val="24"/>
              <w:lang w:val="en-US" w:eastAsia="zh-CN"/>
            </w:rPr>
            <w:instrText xml:space="preserve"> HYPERLINK \l _Toc25709 </w:instrText>
          </w:r>
          <w:r>
            <w:rPr>
              <w:rFonts w:hint="default" w:ascii="Times New Roman" w:hAnsi="Times New Roman" w:eastAsia="宋体" w:cs="Times New Roman"/>
              <w:b/>
              <w:bCs/>
              <w:i w:val="0"/>
              <w:iCs w:val="0"/>
              <w:color w:val="auto"/>
              <w:sz w:val="24"/>
              <w:szCs w:val="24"/>
              <w:lang w:val="en-US" w:eastAsia="zh-CN"/>
            </w:rPr>
            <w:fldChar w:fldCharType="separate"/>
          </w:r>
          <w:r>
            <w:rPr>
              <w:rFonts w:hint="default" w:ascii="Times New Roman" w:hAnsi="Times New Roman" w:eastAsia="宋体" w:cs="Times New Roman"/>
              <w:b/>
              <w:bCs/>
              <w:i w:val="0"/>
              <w:iCs w:val="0"/>
              <w:color w:val="auto"/>
              <w:sz w:val="24"/>
              <w:szCs w:val="24"/>
              <w:lang w:val="en-US" w:eastAsia="zh-CN"/>
            </w:rPr>
            <w:t>1概述</w:t>
          </w:r>
          <w:r>
            <w:rPr>
              <w:rFonts w:hint="default" w:ascii="Times New Roman" w:hAnsi="Times New Roman" w:eastAsia="宋体" w:cs="Times New Roman"/>
              <w:b/>
              <w:bCs/>
              <w:i w:val="0"/>
              <w:iCs w:val="0"/>
              <w:color w:val="auto"/>
              <w:sz w:val="24"/>
              <w:szCs w:val="24"/>
            </w:rPr>
            <w:tab/>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PAGEREF _Toc25709 \h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t>1</w:t>
          </w:r>
          <w:r>
            <w:rPr>
              <w:rFonts w:hint="default" w:ascii="Times New Roman" w:hAnsi="Times New Roman" w:eastAsia="宋体" w:cs="Times New Roman"/>
              <w:b/>
              <w:bCs/>
              <w:i w:val="0"/>
              <w:iCs w:val="0"/>
              <w:color w:val="auto"/>
              <w:sz w:val="24"/>
              <w:szCs w:val="24"/>
            </w:rPr>
            <w:fldChar w:fldCharType="end"/>
          </w:r>
          <w:r>
            <w:rPr>
              <w:rFonts w:hint="default" w:ascii="Times New Roman" w:hAnsi="Times New Roman" w:eastAsia="宋体" w:cs="Times New Roman"/>
              <w:b/>
              <w:bCs/>
              <w:i w:val="0"/>
              <w:iCs w:val="0"/>
              <w:color w:val="auto"/>
              <w:sz w:val="24"/>
              <w:szCs w:val="24"/>
              <w:lang w:val="en-US" w:eastAsia="zh-CN"/>
            </w:rPr>
            <w:fldChar w:fldCharType="end"/>
          </w:r>
        </w:p>
        <w:p w14:paraId="29A64E97">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_Toc8188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1.1建设项目特点</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_Toc8188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B14C8D1">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_Toc20313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bCs/>
              <w:i w:val="0"/>
              <w:iCs w:val="0"/>
              <w:color w:val="auto"/>
              <w:kern w:val="2"/>
              <w:sz w:val="24"/>
              <w:szCs w:val="24"/>
              <w:lang w:val="en-US" w:eastAsia="zh-CN" w:bidi="ar-SA"/>
            </w:rPr>
            <w:t>1.2环境影响</w:t>
          </w:r>
          <w:r>
            <w:rPr>
              <w:rFonts w:hint="default" w:ascii="Times New Roman" w:hAnsi="Times New Roman" w:eastAsia="宋体" w:cs="Times New Roman"/>
              <w:i w:val="0"/>
              <w:iCs w:val="0"/>
              <w:color w:val="auto"/>
              <w:sz w:val="24"/>
              <w:szCs w:val="24"/>
              <w:lang w:val="en-US" w:eastAsia="zh-CN"/>
            </w:rPr>
            <w:t>评价</w:t>
          </w:r>
          <w:r>
            <w:rPr>
              <w:rFonts w:hint="default" w:ascii="Times New Roman" w:hAnsi="Times New Roman" w:eastAsia="宋体" w:cs="Times New Roman"/>
              <w:bCs/>
              <w:i w:val="0"/>
              <w:iCs w:val="0"/>
              <w:color w:val="auto"/>
              <w:kern w:val="2"/>
              <w:sz w:val="24"/>
              <w:szCs w:val="24"/>
              <w:lang w:val="en-US" w:eastAsia="zh-CN" w:bidi="ar-SA"/>
            </w:rPr>
            <w:t>工作过程</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_Toc20313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336FEBF4">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_Toc25878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1.3分析判定相关情况</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_Toc25878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C4AB950">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_Toc6805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1.4关注的主要环境问题及环境影响</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_Toc6805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70739991">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_Toc12130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1.5环境影响评价的主要结论</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_Toc12130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04449FAA">
          <w:pPr>
            <w:pStyle w:val="18"/>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b/>
              <w:bCs/>
              <w:i w:val="0"/>
              <w:iCs w:val="0"/>
              <w:color w:val="auto"/>
              <w:sz w:val="24"/>
              <w:szCs w:val="24"/>
              <w:lang w:val="en-US" w:eastAsia="zh-CN"/>
            </w:rPr>
            <w:fldChar w:fldCharType="begin"/>
          </w:r>
          <w:r>
            <w:rPr>
              <w:rFonts w:hint="default" w:ascii="Times New Roman" w:hAnsi="Times New Roman" w:eastAsia="宋体" w:cs="Times New Roman"/>
              <w:b/>
              <w:bCs/>
              <w:i w:val="0"/>
              <w:iCs w:val="0"/>
              <w:color w:val="auto"/>
              <w:sz w:val="24"/>
              <w:szCs w:val="24"/>
              <w:lang w:val="en-US" w:eastAsia="zh-CN"/>
            </w:rPr>
            <w:instrText xml:space="preserve"> HYPERLINK \l _Toc17614 </w:instrText>
          </w:r>
          <w:r>
            <w:rPr>
              <w:rFonts w:hint="default" w:ascii="Times New Roman" w:hAnsi="Times New Roman" w:eastAsia="宋体" w:cs="Times New Roman"/>
              <w:b/>
              <w:bCs/>
              <w:i w:val="0"/>
              <w:iCs w:val="0"/>
              <w:color w:val="auto"/>
              <w:sz w:val="24"/>
              <w:szCs w:val="24"/>
              <w:lang w:val="en-US" w:eastAsia="zh-CN"/>
            </w:rPr>
            <w:fldChar w:fldCharType="separate"/>
          </w:r>
          <w:r>
            <w:rPr>
              <w:rFonts w:hint="default" w:ascii="Times New Roman" w:hAnsi="Times New Roman" w:eastAsia="宋体" w:cs="Times New Roman"/>
              <w:b/>
              <w:bCs/>
              <w:i w:val="0"/>
              <w:iCs w:val="0"/>
              <w:color w:val="auto"/>
              <w:sz w:val="24"/>
              <w:szCs w:val="24"/>
              <w:lang w:val="en-US" w:eastAsia="zh-CN"/>
            </w:rPr>
            <w:t>2总则</w:t>
          </w:r>
          <w:r>
            <w:rPr>
              <w:rFonts w:hint="default" w:ascii="Times New Roman" w:hAnsi="Times New Roman" w:eastAsia="宋体" w:cs="Times New Roman"/>
              <w:b/>
              <w:bCs/>
              <w:i w:val="0"/>
              <w:iCs w:val="0"/>
              <w:color w:val="auto"/>
              <w:sz w:val="24"/>
              <w:szCs w:val="24"/>
            </w:rPr>
            <w:tab/>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PAGEREF _Toc17614 \h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t>34</w:t>
          </w:r>
          <w:r>
            <w:rPr>
              <w:rFonts w:hint="default" w:ascii="Times New Roman" w:hAnsi="Times New Roman" w:eastAsia="宋体" w:cs="Times New Roman"/>
              <w:b/>
              <w:bCs/>
              <w:i w:val="0"/>
              <w:iCs w:val="0"/>
              <w:color w:val="auto"/>
              <w:sz w:val="24"/>
              <w:szCs w:val="24"/>
            </w:rPr>
            <w:fldChar w:fldCharType="end"/>
          </w:r>
          <w:r>
            <w:rPr>
              <w:rFonts w:hint="default" w:ascii="Times New Roman" w:hAnsi="Times New Roman" w:eastAsia="宋体" w:cs="Times New Roman"/>
              <w:b/>
              <w:bCs/>
              <w:i w:val="0"/>
              <w:iCs w:val="0"/>
              <w:color w:val="auto"/>
              <w:sz w:val="24"/>
              <w:szCs w:val="24"/>
              <w:lang w:val="en-US" w:eastAsia="zh-CN"/>
            </w:rPr>
            <w:fldChar w:fldCharType="end"/>
          </w:r>
        </w:p>
        <w:p w14:paraId="06F4A098">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_Toc28157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2.1编制依据</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_Toc28157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5163FB38">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_Toc18248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2.2评价目的及原则</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_Toc18248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13B68FF2">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_Toc18767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2.3环境影响因素识别和评价因子筛选</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_Toc18767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189D4E52">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_Toc13365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2.4环境功能区划和评价标准</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_Toc13365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EC980CB">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_Toc4226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2.5评价工作等级和评价范围</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_Toc4226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4A4E611F">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_Toc5328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bCs w:val="0"/>
              <w:i w:val="0"/>
              <w:iCs w:val="0"/>
              <w:color w:val="auto"/>
              <w:sz w:val="24"/>
              <w:szCs w:val="24"/>
              <w:lang w:val="en-US" w:eastAsia="zh-CN"/>
            </w:rPr>
            <w:t>2.6评价内容与评价重点、评价时段</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_Toc5328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008AE823">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_Toc11192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2.7主要环境保护目标</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_Toc11192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5623DD0E">
          <w:pPr>
            <w:pStyle w:val="18"/>
            <w:tabs>
              <w:tab w:val="right" w:leader="dot" w:pos="8306"/>
            </w:tabs>
            <w:rPr>
              <w:rFonts w:hint="default" w:ascii="Times New Roman" w:hAnsi="Times New Roman" w:eastAsia="宋体" w:cs="Times New Roman"/>
              <w:b/>
              <w:bCs/>
              <w:i w:val="0"/>
              <w:iCs w:val="0"/>
              <w:color w:val="auto"/>
              <w:sz w:val="24"/>
              <w:szCs w:val="24"/>
            </w:rPr>
          </w:pPr>
          <w:r>
            <w:rPr>
              <w:rFonts w:hint="default" w:ascii="Times New Roman" w:hAnsi="Times New Roman" w:eastAsia="宋体" w:cs="Times New Roman"/>
              <w:b/>
              <w:bCs/>
              <w:i w:val="0"/>
              <w:iCs w:val="0"/>
              <w:color w:val="auto"/>
              <w:sz w:val="24"/>
              <w:szCs w:val="24"/>
              <w:lang w:val="en-US" w:eastAsia="zh-CN"/>
            </w:rPr>
            <w:fldChar w:fldCharType="begin"/>
          </w:r>
          <w:r>
            <w:rPr>
              <w:rFonts w:hint="default" w:ascii="Times New Roman" w:hAnsi="Times New Roman" w:eastAsia="宋体" w:cs="Times New Roman"/>
              <w:b/>
              <w:bCs/>
              <w:i w:val="0"/>
              <w:iCs w:val="0"/>
              <w:color w:val="auto"/>
              <w:sz w:val="24"/>
              <w:szCs w:val="24"/>
              <w:lang w:val="en-US" w:eastAsia="zh-CN"/>
            </w:rPr>
            <w:instrText xml:space="preserve"> HYPERLINK \l _Toc27965 </w:instrText>
          </w:r>
          <w:r>
            <w:rPr>
              <w:rFonts w:hint="default" w:ascii="Times New Roman" w:hAnsi="Times New Roman" w:eastAsia="宋体" w:cs="Times New Roman"/>
              <w:b/>
              <w:bCs/>
              <w:i w:val="0"/>
              <w:iCs w:val="0"/>
              <w:color w:val="auto"/>
              <w:sz w:val="24"/>
              <w:szCs w:val="24"/>
              <w:lang w:val="en-US" w:eastAsia="zh-CN"/>
            </w:rPr>
            <w:fldChar w:fldCharType="separate"/>
          </w:r>
          <w:r>
            <w:rPr>
              <w:rFonts w:hint="default" w:ascii="Times New Roman" w:hAnsi="Times New Roman" w:eastAsia="宋体" w:cs="Times New Roman"/>
              <w:b/>
              <w:bCs/>
              <w:i w:val="0"/>
              <w:iCs w:val="0"/>
              <w:color w:val="auto"/>
              <w:sz w:val="24"/>
              <w:szCs w:val="24"/>
              <w:lang w:val="en-US" w:eastAsia="zh-CN"/>
            </w:rPr>
            <w:t>3建设项目工程分析</w:t>
          </w:r>
          <w:r>
            <w:rPr>
              <w:rFonts w:hint="default" w:ascii="Times New Roman" w:hAnsi="Times New Roman" w:eastAsia="宋体" w:cs="Times New Roman"/>
              <w:b/>
              <w:bCs/>
              <w:i w:val="0"/>
              <w:iCs w:val="0"/>
              <w:color w:val="auto"/>
              <w:sz w:val="24"/>
              <w:szCs w:val="24"/>
            </w:rPr>
            <w:tab/>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PAGEREF _Toc27965 \h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t>66</w:t>
          </w:r>
          <w:r>
            <w:rPr>
              <w:rFonts w:hint="default" w:ascii="Times New Roman" w:hAnsi="Times New Roman" w:eastAsia="宋体" w:cs="Times New Roman"/>
              <w:b/>
              <w:bCs/>
              <w:i w:val="0"/>
              <w:iCs w:val="0"/>
              <w:color w:val="auto"/>
              <w:sz w:val="24"/>
              <w:szCs w:val="24"/>
            </w:rPr>
            <w:fldChar w:fldCharType="end"/>
          </w:r>
          <w:r>
            <w:rPr>
              <w:rFonts w:hint="default" w:ascii="Times New Roman" w:hAnsi="Times New Roman" w:eastAsia="宋体" w:cs="Times New Roman"/>
              <w:b/>
              <w:bCs/>
              <w:i w:val="0"/>
              <w:iCs w:val="0"/>
              <w:color w:val="auto"/>
              <w:sz w:val="24"/>
              <w:szCs w:val="24"/>
              <w:lang w:val="en-US" w:eastAsia="zh-CN"/>
            </w:rPr>
            <w:fldChar w:fldCharType="end"/>
          </w:r>
        </w:p>
        <w:p w14:paraId="67D19449">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_Toc226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3.1现有工程开发现状及环境影响回顾</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_Toc226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5B5C2887">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_Toc15489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3.2工程概况</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_Toc15489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96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7C2D2747">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_Toc26732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3.3开发部署</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_Toc26732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101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B54CE9C">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_Toc16646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3.4主体工程</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_Toc16646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102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1C491BFB">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_Toc30738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3.5辅助及公用工程</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_Toc30738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110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3B0BAA61">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_Toc20113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3.6依托工程</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_Toc20113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111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76AD2DCE">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_Toc23965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3.7工程占地及土石方平衡</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_Toc23965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134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1FF5A8BF">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_Toc10385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3.8项目平衡分析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_Toc10385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135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57B6B051">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_Toc4190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3.9工程分析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_Toc4190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136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4C4DA3B4">
          <w:pPr>
            <w:pStyle w:val="18"/>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b/>
              <w:bCs/>
              <w:i w:val="0"/>
              <w:iCs w:val="0"/>
              <w:color w:val="auto"/>
              <w:sz w:val="24"/>
              <w:szCs w:val="24"/>
              <w:lang w:val="en-US" w:eastAsia="zh-CN"/>
            </w:rPr>
            <w:fldChar w:fldCharType="begin"/>
          </w:r>
          <w:r>
            <w:rPr>
              <w:rFonts w:hint="default" w:ascii="Times New Roman" w:hAnsi="Times New Roman" w:eastAsia="宋体" w:cs="Times New Roman"/>
              <w:b/>
              <w:bCs/>
              <w:i w:val="0"/>
              <w:iCs w:val="0"/>
              <w:color w:val="auto"/>
              <w:sz w:val="24"/>
              <w:szCs w:val="24"/>
              <w:lang w:val="en-US" w:eastAsia="zh-CN"/>
            </w:rPr>
            <w:instrText xml:space="preserve"> HYPERLINK \l _Toc11306 </w:instrText>
          </w:r>
          <w:r>
            <w:rPr>
              <w:rFonts w:hint="default" w:ascii="Times New Roman" w:hAnsi="Times New Roman" w:eastAsia="宋体" w:cs="Times New Roman"/>
              <w:b/>
              <w:bCs/>
              <w:i w:val="0"/>
              <w:iCs w:val="0"/>
              <w:color w:val="auto"/>
              <w:sz w:val="24"/>
              <w:szCs w:val="24"/>
              <w:lang w:val="en-US" w:eastAsia="zh-CN"/>
            </w:rPr>
            <w:fldChar w:fldCharType="separate"/>
          </w:r>
          <w:r>
            <w:rPr>
              <w:rFonts w:hint="default" w:ascii="Times New Roman" w:hAnsi="Times New Roman" w:eastAsia="宋体" w:cs="Times New Roman"/>
              <w:b/>
              <w:bCs/>
              <w:i w:val="0"/>
              <w:iCs w:val="0"/>
              <w:color w:val="auto"/>
              <w:sz w:val="24"/>
              <w:szCs w:val="24"/>
              <w:lang w:val="en-US" w:eastAsia="zh-CN"/>
            </w:rPr>
            <w:t>4区域环境现状调查与评价</w:t>
          </w:r>
          <w:r>
            <w:rPr>
              <w:rFonts w:hint="default" w:ascii="Times New Roman" w:hAnsi="Times New Roman" w:eastAsia="宋体" w:cs="Times New Roman"/>
              <w:b/>
              <w:bCs/>
              <w:i w:val="0"/>
              <w:iCs w:val="0"/>
              <w:color w:val="auto"/>
              <w:sz w:val="24"/>
              <w:szCs w:val="24"/>
            </w:rPr>
            <w:tab/>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PAGEREF _Toc11306 \h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t>160</w:t>
          </w:r>
          <w:r>
            <w:rPr>
              <w:rFonts w:hint="default" w:ascii="Times New Roman" w:hAnsi="Times New Roman" w:eastAsia="宋体" w:cs="Times New Roman"/>
              <w:b/>
              <w:bCs/>
              <w:i w:val="0"/>
              <w:iCs w:val="0"/>
              <w:color w:val="auto"/>
              <w:sz w:val="24"/>
              <w:szCs w:val="24"/>
            </w:rPr>
            <w:fldChar w:fldCharType="end"/>
          </w:r>
          <w:r>
            <w:rPr>
              <w:rFonts w:hint="default" w:ascii="Times New Roman" w:hAnsi="Times New Roman" w:eastAsia="宋体" w:cs="Times New Roman"/>
              <w:b/>
              <w:bCs/>
              <w:i w:val="0"/>
              <w:iCs w:val="0"/>
              <w:color w:val="auto"/>
              <w:sz w:val="24"/>
              <w:szCs w:val="24"/>
              <w:lang w:val="en-US" w:eastAsia="zh-CN"/>
            </w:rPr>
            <w:fldChar w:fldCharType="end"/>
          </w:r>
        </w:p>
        <w:p w14:paraId="66DE4E75">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_Toc6044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4.1自然环境现状调查与评价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_Toc6044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160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F764387">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_Toc12149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4.2环境质量现状调查与评价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_Toc12149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166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727444DE">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_Toc21840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4.3环境保护目标调查</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_Toc21840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211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0A528B4B">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_Toc26558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4.4区域污染源调查</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_Toc26558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212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57984550">
          <w:pPr>
            <w:pStyle w:val="18"/>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b/>
              <w:bCs/>
              <w:i w:val="0"/>
              <w:iCs w:val="0"/>
              <w:color w:val="auto"/>
              <w:sz w:val="24"/>
              <w:szCs w:val="24"/>
              <w:lang w:val="en-US" w:eastAsia="zh-CN"/>
            </w:rPr>
            <w:fldChar w:fldCharType="begin"/>
          </w:r>
          <w:r>
            <w:rPr>
              <w:rFonts w:hint="default" w:ascii="Times New Roman" w:hAnsi="Times New Roman" w:eastAsia="宋体" w:cs="Times New Roman"/>
              <w:b/>
              <w:bCs/>
              <w:i w:val="0"/>
              <w:iCs w:val="0"/>
              <w:color w:val="auto"/>
              <w:sz w:val="24"/>
              <w:szCs w:val="24"/>
              <w:lang w:val="en-US" w:eastAsia="zh-CN"/>
            </w:rPr>
            <w:instrText xml:space="preserve"> HYPERLINK \l _Toc32740 </w:instrText>
          </w:r>
          <w:r>
            <w:rPr>
              <w:rFonts w:hint="default" w:ascii="Times New Roman" w:hAnsi="Times New Roman" w:eastAsia="宋体" w:cs="Times New Roman"/>
              <w:b/>
              <w:bCs/>
              <w:i w:val="0"/>
              <w:iCs w:val="0"/>
              <w:color w:val="auto"/>
              <w:sz w:val="24"/>
              <w:szCs w:val="24"/>
              <w:lang w:val="en-US" w:eastAsia="zh-CN"/>
            </w:rPr>
            <w:fldChar w:fldCharType="separate"/>
          </w:r>
          <w:r>
            <w:rPr>
              <w:rFonts w:hint="default" w:ascii="Times New Roman" w:hAnsi="Times New Roman" w:eastAsia="宋体" w:cs="Times New Roman"/>
              <w:b/>
              <w:bCs/>
              <w:i w:val="0"/>
              <w:iCs w:val="0"/>
              <w:color w:val="auto"/>
              <w:sz w:val="24"/>
              <w:szCs w:val="24"/>
              <w:lang w:val="en-US" w:eastAsia="zh-CN"/>
            </w:rPr>
            <w:t>5环境影响预测与评价</w:t>
          </w:r>
          <w:r>
            <w:rPr>
              <w:rFonts w:hint="default" w:ascii="Times New Roman" w:hAnsi="Times New Roman" w:eastAsia="宋体" w:cs="Times New Roman"/>
              <w:b/>
              <w:bCs/>
              <w:i w:val="0"/>
              <w:iCs w:val="0"/>
              <w:color w:val="auto"/>
              <w:sz w:val="24"/>
              <w:szCs w:val="24"/>
            </w:rPr>
            <w:tab/>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PAGEREF _Toc32740 \h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t>213</w:t>
          </w:r>
          <w:r>
            <w:rPr>
              <w:rFonts w:hint="default" w:ascii="Times New Roman" w:hAnsi="Times New Roman" w:eastAsia="宋体" w:cs="Times New Roman"/>
              <w:b/>
              <w:bCs/>
              <w:i w:val="0"/>
              <w:iCs w:val="0"/>
              <w:color w:val="auto"/>
              <w:sz w:val="24"/>
              <w:szCs w:val="24"/>
            </w:rPr>
            <w:fldChar w:fldCharType="end"/>
          </w:r>
          <w:r>
            <w:rPr>
              <w:rFonts w:hint="default" w:ascii="Times New Roman" w:hAnsi="Times New Roman" w:eastAsia="宋体" w:cs="Times New Roman"/>
              <w:b/>
              <w:bCs/>
              <w:i w:val="0"/>
              <w:iCs w:val="0"/>
              <w:color w:val="auto"/>
              <w:sz w:val="24"/>
              <w:szCs w:val="24"/>
              <w:lang w:val="en-US" w:eastAsia="zh-CN"/>
            </w:rPr>
            <w:fldChar w:fldCharType="end"/>
          </w:r>
        </w:p>
        <w:p w14:paraId="20316965">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_Toc30419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5.1施工期环境影响预测与评价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_Toc30419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213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4EE5EBE9">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_Toc32667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5.2运营期环境影响预测与评价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_Toc32667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224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5E3A696D">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_Toc32090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5.3退役期环境影响分析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_Toc32090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251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66E7CAF">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_Toc25739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5.4环境风险分析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_Toc25739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252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862744C">
          <w:pPr>
            <w:pStyle w:val="18"/>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b/>
              <w:bCs/>
              <w:i w:val="0"/>
              <w:iCs w:val="0"/>
              <w:color w:val="auto"/>
              <w:sz w:val="24"/>
              <w:szCs w:val="24"/>
              <w:lang w:val="en-US" w:eastAsia="zh-CN"/>
            </w:rPr>
            <w:fldChar w:fldCharType="begin"/>
          </w:r>
          <w:r>
            <w:rPr>
              <w:rFonts w:hint="default" w:ascii="Times New Roman" w:hAnsi="Times New Roman" w:eastAsia="宋体" w:cs="Times New Roman"/>
              <w:b/>
              <w:bCs/>
              <w:i w:val="0"/>
              <w:iCs w:val="0"/>
              <w:color w:val="auto"/>
              <w:sz w:val="24"/>
              <w:szCs w:val="24"/>
              <w:lang w:val="en-US" w:eastAsia="zh-CN"/>
            </w:rPr>
            <w:instrText xml:space="preserve"> HYPERLINK \l _Toc28568 </w:instrText>
          </w:r>
          <w:r>
            <w:rPr>
              <w:rFonts w:hint="default" w:ascii="Times New Roman" w:hAnsi="Times New Roman" w:eastAsia="宋体" w:cs="Times New Roman"/>
              <w:b/>
              <w:bCs/>
              <w:i w:val="0"/>
              <w:iCs w:val="0"/>
              <w:color w:val="auto"/>
              <w:sz w:val="24"/>
              <w:szCs w:val="24"/>
              <w:lang w:val="en-US" w:eastAsia="zh-CN"/>
            </w:rPr>
            <w:fldChar w:fldCharType="separate"/>
          </w:r>
          <w:r>
            <w:rPr>
              <w:rFonts w:hint="default" w:ascii="Times New Roman" w:hAnsi="Times New Roman" w:eastAsia="宋体" w:cs="Times New Roman"/>
              <w:b/>
              <w:bCs/>
              <w:i w:val="0"/>
              <w:iCs w:val="0"/>
              <w:color w:val="auto"/>
              <w:sz w:val="24"/>
              <w:szCs w:val="24"/>
              <w:lang w:val="en-US" w:eastAsia="zh-CN"/>
            </w:rPr>
            <w:t>6环境保护措施及其可行性论证分析</w:t>
          </w:r>
          <w:r>
            <w:rPr>
              <w:rFonts w:hint="default" w:ascii="Times New Roman" w:hAnsi="Times New Roman" w:eastAsia="宋体" w:cs="Times New Roman"/>
              <w:b/>
              <w:bCs/>
              <w:i w:val="0"/>
              <w:iCs w:val="0"/>
              <w:color w:val="auto"/>
              <w:sz w:val="24"/>
              <w:szCs w:val="24"/>
            </w:rPr>
            <w:tab/>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PAGEREF _Toc28568 \h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t>262</w:t>
          </w:r>
          <w:r>
            <w:rPr>
              <w:rFonts w:hint="default" w:ascii="Times New Roman" w:hAnsi="Times New Roman" w:eastAsia="宋体" w:cs="Times New Roman"/>
              <w:b/>
              <w:bCs/>
              <w:i w:val="0"/>
              <w:iCs w:val="0"/>
              <w:color w:val="auto"/>
              <w:sz w:val="24"/>
              <w:szCs w:val="24"/>
            </w:rPr>
            <w:fldChar w:fldCharType="end"/>
          </w:r>
          <w:r>
            <w:rPr>
              <w:rFonts w:hint="default" w:ascii="Times New Roman" w:hAnsi="Times New Roman" w:eastAsia="宋体" w:cs="Times New Roman"/>
              <w:b/>
              <w:bCs/>
              <w:i w:val="0"/>
              <w:iCs w:val="0"/>
              <w:color w:val="auto"/>
              <w:sz w:val="24"/>
              <w:szCs w:val="24"/>
              <w:lang w:val="en-US" w:eastAsia="zh-CN"/>
            </w:rPr>
            <w:fldChar w:fldCharType="end"/>
          </w:r>
        </w:p>
        <w:p w14:paraId="1C864D0B">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_Toc9919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6.1施工期环境保护措施可行性分析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_Toc9919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262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3BFF578F">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_Toc27091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6.2运营期环境保护措施及其可行性分析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_Toc27091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269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5AA2983C">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_Toc21168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6.3温室气体管控措施</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_Toc21168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283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36199086">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_Toc32441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6.4环境风险防范措施</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_Toc32441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283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51631821">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_Toc4077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6.5退役期环境保护措施</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_Toc4077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294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B858CF4">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_Toc215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6.6环境保护措施清单</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_Toc215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296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273A98A">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_Toc21306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6.7环保投资估算</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_Toc21306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298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1420AC8B">
          <w:pPr>
            <w:pStyle w:val="18"/>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b/>
              <w:bCs/>
              <w:i w:val="0"/>
              <w:iCs w:val="0"/>
              <w:color w:val="auto"/>
              <w:sz w:val="24"/>
              <w:szCs w:val="24"/>
              <w:lang w:val="en-US" w:eastAsia="zh-CN"/>
            </w:rPr>
            <w:fldChar w:fldCharType="begin"/>
          </w:r>
          <w:r>
            <w:rPr>
              <w:rFonts w:hint="default" w:ascii="Times New Roman" w:hAnsi="Times New Roman" w:eastAsia="宋体" w:cs="Times New Roman"/>
              <w:b/>
              <w:bCs/>
              <w:i w:val="0"/>
              <w:iCs w:val="0"/>
              <w:color w:val="auto"/>
              <w:sz w:val="24"/>
              <w:szCs w:val="24"/>
              <w:lang w:val="en-US" w:eastAsia="zh-CN"/>
            </w:rPr>
            <w:instrText xml:space="preserve"> HYPERLINK \l _Toc29853 </w:instrText>
          </w:r>
          <w:r>
            <w:rPr>
              <w:rFonts w:hint="default" w:ascii="Times New Roman" w:hAnsi="Times New Roman" w:eastAsia="宋体" w:cs="Times New Roman"/>
              <w:b/>
              <w:bCs/>
              <w:i w:val="0"/>
              <w:iCs w:val="0"/>
              <w:color w:val="auto"/>
              <w:sz w:val="24"/>
              <w:szCs w:val="24"/>
              <w:lang w:val="en-US" w:eastAsia="zh-CN"/>
            </w:rPr>
            <w:fldChar w:fldCharType="separate"/>
          </w:r>
          <w:r>
            <w:rPr>
              <w:rFonts w:hint="default" w:ascii="Times New Roman" w:hAnsi="Times New Roman" w:eastAsia="宋体" w:cs="Times New Roman"/>
              <w:b/>
              <w:bCs/>
              <w:i w:val="0"/>
              <w:iCs w:val="0"/>
              <w:color w:val="auto"/>
              <w:sz w:val="24"/>
              <w:szCs w:val="24"/>
              <w:lang w:val="en-US" w:eastAsia="zh-CN"/>
            </w:rPr>
            <w:t>7环境影响经济损益分析</w:t>
          </w:r>
          <w:r>
            <w:rPr>
              <w:rFonts w:hint="default" w:ascii="Times New Roman" w:hAnsi="Times New Roman" w:eastAsia="宋体" w:cs="Times New Roman"/>
              <w:b/>
              <w:bCs/>
              <w:i w:val="0"/>
              <w:iCs w:val="0"/>
              <w:color w:val="auto"/>
              <w:sz w:val="24"/>
              <w:szCs w:val="24"/>
            </w:rPr>
            <w:tab/>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PAGEREF _Toc29853 \h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t>300</w:t>
          </w:r>
          <w:r>
            <w:rPr>
              <w:rFonts w:hint="default" w:ascii="Times New Roman" w:hAnsi="Times New Roman" w:eastAsia="宋体" w:cs="Times New Roman"/>
              <w:b/>
              <w:bCs/>
              <w:i w:val="0"/>
              <w:iCs w:val="0"/>
              <w:color w:val="auto"/>
              <w:sz w:val="24"/>
              <w:szCs w:val="24"/>
            </w:rPr>
            <w:fldChar w:fldCharType="end"/>
          </w:r>
          <w:r>
            <w:rPr>
              <w:rFonts w:hint="default" w:ascii="Times New Roman" w:hAnsi="Times New Roman" w:eastAsia="宋体" w:cs="Times New Roman"/>
              <w:b/>
              <w:bCs/>
              <w:i w:val="0"/>
              <w:iCs w:val="0"/>
              <w:color w:val="auto"/>
              <w:sz w:val="24"/>
              <w:szCs w:val="24"/>
              <w:lang w:val="en-US" w:eastAsia="zh-CN"/>
            </w:rPr>
            <w:fldChar w:fldCharType="end"/>
          </w:r>
        </w:p>
        <w:p w14:paraId="57055CD2">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_Toc28416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7.1经济效益分析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_Toc28416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300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4B0A2AB0">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_Toc11173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7.2社会效益分析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_Toc11173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300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0BC681F3">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_Toc23547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7.3环境经济损益分析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_Toc23547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300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457A9E5D">
          <w:pPr>
            <w:pStyle w:val="18"/>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b/>
              <w:bCs/>
              <w:i w:val="0"/>
              <w:iCs w:val="0"/>
              <w:color w:val="auto"/>
              <w:sz w:val="24"/>
              <w:szCs w:val="24"/>
              <w:lang w:val="en-US" w:eastAsia="zh-CN"/>
            </w:rPr>
            <w:fldChar w:fldCharType="begin"/>
          </w:r>
          <w:r>
            <w:rPr>
              <w:rFonts w:hint="default" w:ascii="Times New Roman" w:hAnsi="Times New Roman" w:eastAsia="宋体" w:cs="Times New Roman"/>
              <w:b/>
              <w:bCs/>
              <w:i w:val="0"/>
              <w:iCs w:val="0"/>
              <w:color w:val="auto"/>
              <w:sz w:val="24"/>
              <w:szCs w:val="24"/>
              <w:lang w:val="en-US" w:eastAsia="zh-CN"/>
            </w:rPr>
            <w:instrText xml:space="preserve"> HYPERLINK \l _Toc6939 </w:instrText>
          </w:r>
          <w:r>
            <w:rPr>
              <w:rFonts w:hint="default" w:ascii="Times New Roman" w:hAnsi="Times New Roman" w:eastAsia="宋体" w:cs="Times New Roman"/>
              <w:b/>
              <w:bCs/>
              <w:i w:val="0"/>
              <w:iCs w:val="0"/>
              <w:color w:val="auto"/>
              <w:sz w:val="24"/>
              <w:szCs w:val="24"/>
              <w:lang w:val="en-US" w:eastAsia="zh-CN"/>
            </w:rPr>
            <w:fldChar w:fldCharType="separate"/>
          </w:r>
          <w:r>
            <w:rPr>
              <w:rFonts w:hint="default" w:ascii="Times New Roman" w:hAnsi="Times New Roman" w:eastAsia="宋体" w:cs="Times New Roman"/>
              <w:b/>
              <w:bCs/>
              <w:i w:val="0"/>
              <w:iCs w:val="0"/>
              <w:color w:val="auto"/>
              <w:sz w:val="24"/>
              <w:szCs w:val="24"/>
              <w:lang w:val="en-US" w:eastAsia="zh-CN"/>
            </w:rPr>
            <w:t>8环境管理与监测计划</w:t>
          </w:r>
          <w:r>
            <w:rPr>
              <w:rFonts w:hint="default" w:ascii="Times New Roman" w:hAnsi="Times New Roman" w:eastAsia="宋体" w:cs="Times New Roman"/>
              <w:b/>
              <w:bCs/>
              <w:i w:val="0"/>
              <w:iCs w:val="0"/>
              <w:color w:val="auto"/>
              <w:sz w:val="24"/>
              <w:szCs w:val="24"/>
            </w:rPr>
            <w:tab/>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PAGEREF _Toc6939 \h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t>303</w:t>
          </w:r>
          <w:r>
            <w:rPr>
              <w:rFonts w:hint="default" w:ascii="Times New Roman" w:hAnsi="Times New Roman" w:eastAsia="宋体" w:cs="Times New Roman"/>
              <w:b/>
              <w:bCs/>
              <w:i w:val="0"/>
              <w:iCs w:val="0"/>
              <w:color w:val="auto"/>
              <w:sz w:val="24"/>
              <w:szCs w:val="24"/>
            </w:rPr>
            <w:fldChar w:fldCharType="end"/>
          </w:r>
          <w:r>
            <w:rPr>
              <w:rFonts w:hint="default" w:ascii="Times New Roman" w:hAnsi="Times New Roman" w:eastAsia="宋体" w:cs="Times New Roman"/>
              <w:b/>
              <w:bCs/>
              <w:i w:val="0"/>
              <w:iCs w:val="0"/>
              <w:color w:val="auto"/>
              <w:sz w:val="24"/>
              <w:szCs w:val="24"/>
              <w:lang w:val="en-US" w:eastAsia="zh-CN"/>
            </w:rPr>
            <w:fldChar w:fldCharType="end"/>
          </w:r>
        </w:p>
        <w:p w14:paraId="00750854">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_Toc9344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8.1环境管理</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_Toc9344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303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73AFFDFC">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_Toc20086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8.2污染物排放管理</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_Toc20086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308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1E18EF6C">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_Toc28373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8.3环境监测计划</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_Toc28373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308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63483CBD">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_Toc8418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8.4竣工环保验收</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_Toc8418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A280DE3">
          <w:pPr>
            <w:pStyle w:val="18"/>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b/>
              <w:bCs/>
              <w:i w:val="0"/>
              <w:iCs w:val="0"/>
              <w:color w:val="auto"/>
              <w:sz w:val="24"/>
              <w:szCs w:val="24"/>
              <w:lang w:val="en-US" w:eastAsia="zh-CN"/>
            </w:rPr>
            <w:fldChar w:fldCharType="begin"/>
          </w:r>
          <w:r>
            <w:rPr>
              <w:rFonts w:hint="default" w:ascii="Times New Roman" w:hAnsi="Times New Roman" w:eastAsia="宋体" w:cs="Times New Roman"/>
              <w:b/>
              <w:bCs/>
              <w:i w:val="0"/>
              <w:iCs w:val="0"/>
              <w:color w:val="auto"/>
              <w:sz w:val="24"/>
              <w:szCs w:val="24"/>
              <w:lang w:val="en-US" w:eastAsia="zh-CN"/>
            </w:rPr>
            <w:instrText xml:space="preserve"> HYPERLINK \l _Toc18291 </w:instrText>
          </w:r>
          <w:r>
            <w:rPr>
              <w:rFonts w:hint="default" w:ascii="Times New Roman" w:hAnsi="Times New Roman" w:eastAsia="宋体" w:cs="Times New Roman"/>
              <w:b/>
              <w:bCs/>
              <w:i w:val="0"/>
              <w:iCs w:val="0"/>
              <w:color w:val="auto"/>
              <w:sz w:val="24"/>
              <w:szCs w:val="24"/>
              <w:lang w:val="en-US" w:eastAsia="zh-CN"/>
            </w:rPr>
            <w:fldChar w:fldCharType="separate"/>
          </w:r>
          <w:r>
            <w:rPr>
              <w:rFonts w:hint="default" w:ascii="Times New Roman" w:hAnsi="Times New Roman" w:eastAsia="宋体" w:cs="Times New Roman"/>
              <w:b/>
              <w:bCs/>
              <w:i w:val="0"/>
              <w:iCs w:val="0"/>
              <w:color w:val="auto"/>
              <w:sz w:val="24"/>
              <w:szCs w:val="24"/>
              <w:lang w:val="en-US" w:eastAsia="zh-CN"/>
            </w:rPr>
            <w:t>9环境影响评价结论</w:t>
          </w:r>
          <w:r>
            <w:rPr>
              <w:rFonts w:hint="default" w:ascii="Times New Roman" w:hAnsi="Times New Roman" w:eastAsia="宋体" w:cs="Times New Roman"/>
              <w:b/>
              <w:bCs/>
              <w:i w:val="0"/>
              <w:iCs w:val="0"/>
              <w:color w:val="auto"/>
              <w:sz w:val="24"/>
              <w:szCs w:val="24"/>
            </w:rPr>
            <w:tab/>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PAGEREF _Toc18291 \h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t>314</w:t>
          </w:r>
          <w:r>
            <w:rPr>
              <w:rFonts w:hint="default" w:ascii="Times New Roman" w:hAnsi="Times New Roman" w:eastAsia="宋体" w:cs="Times New Roman"/>
              <w:b/>
              <w:bCs/>
              <w:i w:val="0"/>
              <w:iCs w:val="0"/>
              <w:color w:val="auto"/>
              <w:sz w:val="24"/>
              <w:szCs w:val="24"/>
            </w:rPr>
            <w:fldChar w:fldCharType="end"/>
          </w:r>
          <w:r>
            <w:rPr>
              <w:rFonts w:hint="default" w:ascii="Times New Roman" w:hAnsi="Times New Roman" w:eastAsia="宋体" w:cs="Times New Roman"/>
              <w:b/>
              <w:bCs/>
              <w:i w:val="0"/>
              <w:iCs w:val="0"/>
              <w:color w:val="auto"/>
              <w:sz w:val="24"/>
              <w:szCs w:val="24"/>
              <w:lang w:val="en-US" w:eastAsia="zh-CN"/>
            </w:rPr>
            <w:fldChar w:fldCharType="end"/>
          </w:r>
        </w:p>
        <w:p w14:paraId="230635B2">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_Toc31494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9.1项目概况</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_Toc31494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E6BF7EB">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_Toc4649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9.2产业政策及规划符合性</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_Toc4649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7117E874">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_Toc24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9.3环境质量现状</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_Toc24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6B103AF7">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_Toc373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9.4污染物排放情况</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_Toc373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CDA4598">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_Toc11345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9.5主要环境影响</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_Toc11345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5DED5473">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_Toc11666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9.6环境经济损益分析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_Toc11666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14918B5">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_Toc14401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9.7环境管理与监测计划</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_Toc14401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7DAF855C">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_Toc28939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9.8公众意见采纳情况</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_Toc28939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2B5F902E">
          <w:pPr>
            <w:pStyle w:val="21"/>
            <w:tabs>
              <w:tab w:val="right" w:leader="dot" w:pos="8306"/>
            </w:tabs>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_Toc28570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9.9评价结论</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_Toc28570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6093B2E3">
          <w:pPr>
            <w:pStyle w:val="21"/>
            <w:tabs>
              <w:tab w:val="right" w:leader="dot" w:pos="8306"/>
            </w:tabs>
            <w:rPr>
              <w:color w:val="auto"/>
            </w:rPr>
          </w:pPr>
          <w:r>
            <w:rPr>
              <w:rFonts w:hint="default" w:ascii="Times New Roman" w:hAnsi="Times New Roman" w:eastAsia="宋体" w:cs="Times New Roman"/>
              <w:i w:val="0"/>
              <w:iCs w:val="0"/>
              <w:color w:val="auto"/>
              <w:sz w:val="24"/>
              <w:szCs w:val="24"/>
              <w:lang w:val="en-US" w:eastAsia="zh-CN"/>
            </w:rPr>
            <w:fldChar w:fldCharType="begin"/>
          </w:r>
          <w:r>
            <w:rPr>
              <w:rFonts w:hint="default" w:ascii="Times New Roman" w:hAnsi="Times New Roman" w:eastAsia="宋体" w:cs="Times New Roman"/>
              <w:i w:val="0"/>
              <w:iCs w:val="0"/>
              <w:color w:val="auto"/>
              <w:sz w:val="24"/>
              <w:szCs w:val="24"/>
              <w:lang w:val="en-US" w:eastAsia="zh-CN"/>
            </w:rPr>
            <w:instrText xml:space="preserve"> HYPERLINK \l _Toc7892 </w:instrText>
          </w:r>
          <w:r>
            <w:rPr>
              <w:rFonts w:hint="default" w:ascii="Times New Roman" w:hAnsi="Times New Roman" w:eastAsia="宋体" w:cs="Times New Roman"/>
              <w:i w:val="0"/>
              <w:iCs w:val="0"/>
              <w:color w:val="auto"/>
              <w:sz w:val="24"/>
              <w:szCs w:val="24"/>
              <w:lang w:val="en-US" w:eastAsia="zh-CN"/>
            </w:rPr>
            <w:fldChar w:fldCharType="separate"/>
          </w:r>
          <w:r>
            <w:rPr>
              <w:rFonts w:hint="default" w:ascii="Times New Roman" w:hAnsi="Times New Roman" w:eastAsia="宋体" w:cs="Times New Roman"/>
              <w:i w:val="0"/>
              <w:iCs w:val="0"/>
              <w:color w:val="auto"/>
              <w:sz w:val="24"/>
              <w:szCs w:val="24"/>
              <w:lang w:val="en-US" w:eastAsia="zh-CN"/>
            </w:rPr>
            <w:t>9.10要求与建议</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_Toc7892 \h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320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lang w:val="en-US" w:eastAsia="zh-CN"/>
            </w:rPr>
            <w:fldChar w:fldCharType="end"/>
          </w:r>
        </w:p>
        <w:p w14:paraId="391F4567">
          <w:pPr>
            <w:pStyle w:val="33"/>
            <w:bidi w:val="0"/>
            <w:ind w:left="0" w:leftChars="0" w:firstLine="0" w:firstLineChars="0"/>
            <w:rPr>
              <w:rFonts w:hint="eastAsia" w:ascii="Times New Roman" w:hAnsi="Times New Roman" w:eastAsia="宋体" w:cs="Times New Roman"/>
              <w:color w:val="auto"/>
              <w:sz w:val="24"/>
              <w:szCs w:val="28"/>
              <w:lang w:val="en-US" w:eastAsia="zh-CN" w:bidi="ar-SA"/>
            </w:rPr>
          </w:pPr>
          <w:r>
            <w:rPr>
              <w:rFonts w:hint="eastAsia"/>
              <w:color w:val="auto"/>
              <w:lang w:val="en-US" w:eastAsia="zh-CN"/>
            </w:rPr>
            <w:fldChar w:fldCharType="end"/>
          </w:r>
        </w:p>
      </w:sdtContent>
    </w:sdt>
    <w:p w14:paraId="3DD2A901">
      <w:pPr>
        <w:pStyle w:val="33"/>
        <w:bidi w:val="0"/>
        <w:ind w:left="0" w:leftChars="0" w:firstLine="0" w:firstLineChars="0"/>
        <w:rPr>
          <w:rFonts w:hint="eastAsia" w:ascii="Times New Roman" w:hAnsi="Times New Roman" w:eastAsia="宋体" w:cs="Times New Roman"/>
          <w:color w:val="auto"/>
          <w:sz w:val="24"/>
          <w:szCs w:val="28"/>
          <w:lang w:val="en-US" w:eastAsia="zh-CN" w:bidi="ar-SA"/>
        </w:rPr>
        <w:sectPr>
          <w:footerReference r:id="rId6" w:type="default"/>
          <w:pgSz w:w="11906" w:h="16838"/>
          <w:pgMar w:top="1440" w:right="1800" w:bottom="1440" w:left="1800" w:header="851" w:footer="1134" w:gutter="0"/>
          <w:pgBorders>
            <w:top w:val="none" w:sz="0" w:space="0"/>
            <w:left w:val="none" w:sz="0" w:space="0"/>
            <w:bottom w:val="none" w:sz="0" w:space="0"/>
            <w:right w:val="none" w:sz="0" w:space="0"/>
          </w:pgBorders>
          <w:pgNumType w:fmt="decimal" w:start="1"/>
          <w:cols w:space="425" w:num="1"/>
          <w:docGrid w:type="lines" w:linePitch="312" w:charSpace="0"/>
        </w:sectPr>
      </w:pPr>
    </w:p>
    <w:p w14:paraId="0BE62FB9">
      <w:pPr>
        <w:pStyle w:val="3"/>
        <w:bidi w:val="0"/>
        <w:rPr>
          <w:rFonts w:hint="eastAsia"/>
          <w:color w:val="auto"/>
          <w:lang w:val="en-US" w:eastAsia="zh-CN"/>
        </w:rPr>
      </w:pPr>
      <w:bookmarkStart w:id="22" w:name="_Toc25709"/>
      <w:r>
        <w:rPr>
          <w:rFonts w:hint="eastAsia"/>
          <w:color w:val="auto"/>
          <w:lang w:val="en-US" w:eastAsia="zh-CN"/>
        </w:rPr>
        <w:t>1概述</w:t>
      </w:r>
      <w:bookmarkEnd w:id="0"/>
      <w:bookmarkEnd w:id="1"/>
      <w:bookmarkEnd w:id="22"/>
    </w:p>
    <w:p w14:paraId="561A8877">
      <w:pPr>
        <w:pStyle w:val="2"/>
        <w:bidi w:val="0"/>
        <w:rPr>
          <w:rFonts w:hint="default"/>
          <w:color w:val="auto"/>
          <w:lang w:val="en-US" w:eastAsia="zh-CN"/>
        </w:rPr>
      </w:pPr>
      <w:bookmarkStart w:id="23" w:name="_Toc29915"/>
      <w:bookmarkStart w:id="24" w:name="_Toc20989"/>
      <w:bookmarkStart w:id="25" w:name="_Toc19699"/>
      <w:bookmarkStart w:id="26" w:name="_Toc26508"/>
      <w:bookmarkStart w:id="27" w:name="_Toc8188"/>
      <w:r>
        <w:rPr>
          <w:rFonts w:hint="eastAsia"/>
          <w:color w:val="auto"/>
          <w:lang w:val="en-US" w:eastAsia="zh-CN"/>
        </w:rPr>
        <w:t>1.1</w:t>
      </w:r>
      <w:bookmarkEnd w:id="23"/>
      <w:bookmarkEnd w:id="24"/>
      <w:bookmarkEnd w:id="25"/>
      <w:bookmarkEnd w:id="26"/>
      <w:r>
        <w:rPr>
          <w:rFonts w:hint="eastAsia"/>
          <w:color w:val="auto"/>
          <w:lang w:val="en-US" w:eastAsia="zh-CN"/>
        </w:rPr>
        <w:t>建设项目特点</w:t>
      </w:r>
      <w:bookmarkEnd w:id="27"/>
    </w:p>
    <w:p w14:paraId="702837A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val="en-US" w:eastAsia="zh-CN"/>
        </w:rPr>
      </w:pPr>
      <w:r>
        <w:rPr>
          <w:rFonts w:hint="eastAsia" w:eastAsia="宋体"/>
          <w:color w:val="auto"/>
          <w:sz w:val="24"/>
          <w:szCs w:val="24"/>
          <w:lang w:val="en-US" w:eastAsia="zh-CN"/>
        </w:rPr>
        <w:t>中国石油新疆油田分公司百口泉采油厂（以下简称</w:t>
      </w:r>
      <w:r>
        <w:rPr>
          <w:rFonts w:hint="eastAsia" w:ascii="宋体" w:hAnsi="宋体" w:eastAsia="宋体" w:cs="宋体"/>
          <w:color w:val="auto"/>
          <w:sz w:val="24"/>
          <w:szCs w:val="24"/>
          <w:lang w:val="en-US" w:eastAsia="zh-CN"/>
        </w:rPr>
        <w:t>“百口泉采油厂”</w:t>
      </w:r>
      <w:r>
        <w:rPr>
          <w:rFonts w:hint="eastAsia" w:eastAsia="宋体"/>
          <w:color w:val="auto"/>
          <w:sz w:val="24"/>
          <w:szCs w:val="24"/>
          <w:lang w:val="en-US" w:eastAsia="zh-CN"/>
        </w:rPr>
        <w:t>）开发区块分布在百口泉油田、玛北油田、艾湖油田。艾湖油田西北部位于克拉玛依市境内，东南部位于和布克赛尔蒙古自治县境内。井区地面已建油气集输、简易通讯、电力设施，三级油田公路一条，地面工程开发条件较好。玛北油田隶属于新疆维吾尔自治区克拉玛依市乌尔禾区，东北及东南部分区域隶属于和布克赛尔蒙古自治县。工区油气集输、供配电、通信等系统较为完善。百口泉油田位于克拉玛依市东约</w:t>
      </w:r>
      <w:r>
        <w:rPr>
          <w:rFonts w:hint="default" w:eastAsia="宋体"/>
          <w:color w:val="auto"/>
          <w:sz w:val="24"/>
          <w:szCs w:val="24"/>
          <w:lang w:val="en-US" w:eastAsia="zh-CN"/>
        </w:rPr>
        <w:t>70km</w:t>
      </w:r>
      <w:r>
        <w:rPr>
          <w:rFonts w:hint="eastAsia" w:eastAsia="宋体"/>
          <w:color w:val="auto"/>
          <w:sz w:val="24"/>
          <w:szCs w:val="24"/>
          <w:lang w:val="en-US" w:eastAsia="zh-CN"/>
        </w:rPr>
        <w:t>。井区地面已建油气集输、电力设施，</w:t>
      </w:r>
      <w:r>
        <w:rPr>
          <w:rFonts w:hint="default" w:eastAsia="宋体"/>
          <w:color w:val="auto"/>
          <w:sz w:val="24"/>
          <w:szCs w:val="24"/>
          <w:lang w:val="en-US" w:eastAsia="zh-CN"/>
        </w:rPr>
        <w:t>217</w:t>
      </w:r>
      <w:r>
        <w:rPr>
          <w:rFonts w:hint="eastAsia" w:eastAsia="宋体"/>
          <w:color w:val="auto"/>
          <w:sz w:val="24"/>
          <w:szCs w:val="24"/>
          <w:lang w:val="en-US" w:eastAsia="zh-CN"/>
        </w:rPr>
        <w:t>国道、克</w:t>
      </w:r>
      <w:r>
        <w:rPr>
          <w:rFonts w:hint="default" w:eastAsia="宋体"/>
          <w:color w:val="auto"/>
          <w:sz w:val="24"/>
          <w:szCs w:val="24"/>
          <w:lang w:val="en-US" w:eastAsia="zh-CN"/>
        </w:rPr>
        <w:t>-</w:t>
      </w:r>
      <w:r>
        <w:rPr>
          <w:rFonts w:hint="eastAsia" w:eastAsia="宋体"/>
          <w:color w:val="auto"/>
          <w:sz w:val="24"/>
          <w:szCs w:val="24"/>
          <w:lang w:val="en-US" w:eastAsia="zh-CN"/>
        </w:rPr>
        <w:t>百输油管道、通讯线及电力线等地面工程设施横贯油田，具有良好的地面开发条件。</w:t>
      </w:r>
    </w:p>
    <w:p w14:paraId="4472456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val="en-US" w:eastAsia="zh-CN"/>
        </w:rPr>
      </w:pPr>
      <w:r>
        <w:rPr>
          <w:rFonts w:hint="eastAsia" w:eastAsia="宋体"/>
          <w:color w:val="auto"/>
          <w:sz w:val="24"/>
          <w:szCs w:val="24"/>
          <w:lang w:val="en-US" w:eastAsia="zh-CN"/>
        </w:rPr>
        <w:t>为了提高油区油气开采力度，并减少油气挥发，实现气液密闭集输，百口泉采油厂拟在克拉玛依市乌尔禾区G217以北和塔城地区和布克赛尔蒙古自治县实施</w:t>
      </w:r>
      <w:r>
        <w:rPr>
          <w:rFonts w:hint="eastAsia" w:ascii="宋体" w:hAnsi="宋体" w:eastAsia="宋体" w:cs="宋体"/>
          <w:color w:val="auto"/>
          <w:sz w:val="24"/>
          <w:szCs w:val="24"/>
          <w:lang w:val="en-US" w:eastAsia="zh-CN"/>
        </w:rPr>
        <w:t>“</w:t>
      </w:r>
      <w:r>
        <w:rPr>
          <w:rFonts w:hint="eastAsia" w:eastAsia="宋体"/>
          <w:color w:val="auto"/>
          <w:sz w:val="24"/>
          <w:szCs w:val="24"/>
          <w:lang w:val="en-US" w:eastAsia="zh-CN"/>
        </w:rPr>
        <w:t>百口泉采油厂单罐井治理工程</w:t>
      </w:r>
      <w:r>
        <w:rPr>
          <w:rFonts w:hint="eastAsia" w:ascii="宋体" w:hAnsi="宋体" w:eastAsia="宋体" w:cs="宋体"/>
          <w:color w:val="auto"/>
          <w:sz w:val="24"/>
          <w:szCs w:val="24"/>
          <w:lang w:val="en-US" w:eastAsia="zh-CN"/>
        </w:rPr>
        <w:t>”</w:t>
      </w:r>
      <w:r>
        <w:rPr>
          <w:rFonts w:hint="eastAsia" w:eastAsia="宋体"/>
          <w:color w:val="auto"/>
          <w:sz w:val="24"/>
          <w:szCs w:val="24"/>
          <w:lang w:val="en-US" w:eastAsia="zh-CN"/>
        </w:rPr>
        <w:t>，主要建设内容为：①部署</w:t>
      </w:r>
      <w:r>
        <w:rPr>
          <w:rFonts w:hint="eastAsia"/>
          <w:color w:val="auto"/>
          <w:sz w:val="24"/>
          <w:szCs w:val="24"/>
          <w:lang w:val="en-US" w:eastAsia="zh-CN"/>
        </w:rPr>
        <w:t>10</w:t>
      </w:r>
      <w:r>
        <w:rPr>
          <w:rFonts w:hint="eastAsia" w:eastAsia="宋体"/>
          <w:color w:val="auto"/>
          <w:sz w:val="24"/>
          <w:szCs w:val="24"/>
          <w:lang w:val="en-US" w:eastAsia="zh-CN"/>
        </w:rPr>
        <w:t>口采油井（均为评价</w:t>
      </w:r>
      <w:r>
        <w:rPr>
          <w:rFonts w:hint="eastAsia"/>
          <w:color w:val="auto"/>
          <w:sz w:val="24"/>
          <w:szCs w:val="24"/>
          <w:lang w:val="en-US" w:eastAsia="zh-CN"/>
        </w:rPr>
        <w:t>/预探</w:t>
      </w:r>
      <w:r>
        <w:rPr>
          <w:rFonts w:hint="eastAsia" w:eastAsia="宋体"/>
          <w:color w:val="auto"/>
          <w:sz w:val="24"/>
          <w:szCs w:val="24"/>
          <w:lang w:val="en-US" w:eastAsia="zh-CN"/>
        </w:rPr>
        <w:t>井转产能井），并对区域内已投产的</w:t>
      </w:r>
      <w:r>
        <w:rPr>
          <w:rFonts w:hint="eastAsia"/>
          <w:color w:val="auto"/>
          <w:sz w:val="24"/>
          <w:szCs w:val="24"/>
          <w:lang w:val="en-US" w:eastAsia="zh-CN"/>
        </w:rPr>
        <w:t>8</w:t>
      </w:r>
      <w:r>
        <w:rPr>
          <w:rFonts w:hint="eastAsia" w:eastAsia="宋体"/>
          <w:color w:val="auto"/>
          <w:sz w:val="24"/>
          <w:szCs w:val="24"/>
          <w:lang w:val="en-US" w:eastAsia="zh-CN"/>
        </w:rPr>
        <w:t>口产能井进行密闭集输改造；②新建</w:t>
      </w:r>
      <w:r>
        <w:rPr>
          <w:rFonts w:hint="eastAsia"/>
          <w:color w:val="auto"/>
          <w:sz w:val="24"/>
          <w:szCs w:val="24"/>
          <w:lang w:val="en-US" w:eastAsia="zh-CN"/>
        </w:rPr>
        <w:t>单井集油</w:t>
      </w:r>
      <w:r>
        <w:rPr>
          <w:rFonts w:hint="eastAsia" w:eastAsia="宋体"/>
          <w:color w:val="auto"/>
          <w:sz w:val="24"/>
          <w:szCs w:val="24"/>
          <w:lang w:val="en-US" w:eastAsia="zh-CN"/>
        </w:rPr>
        <w:t>管线</w:t>
      </w:r>
      <w:r>
        <w:rPr>
          <w:rFonts w:hint="eastAsia"/>
          <w:color w:val="auto"/>
          <w:sz w:val="24"/>
          <w:szCs w:val="24"/>
          <w:lang w:val="en-US" w:eastAsia="zh-CN"/>
        </w:rPr>
        <w:t>20.71</w:t>
      </w:r>
      <w:r>
        <w:rPr>
          <w:rFonts w:hint="default" w:eastAsia="宋体"/>
          <w:color w:val="auto"/>
          <w:sz w:val="24"/>
          <w:szCs w:val="24"/>
          <w:lang w:val="en-US" w:eastAsia="zh-CN"/>
        </w:rPr>
        <w:t>km</w:t>
      </w:r>
      <w:r>
        <w:rPr>
          <w:rFonts w:hint="eastAsia" w:eastAsia="宋体"/>
          <w:color w:val="auto"/>
          <w:sz w:val="24"/>
          <w:szCs w:val="24"/>
          <w:lang w:val="en-US" w:eastAsia="zh-CN"/>
        </w:rPr>
        <w:t>（其中乌尔禾区内</w:t>
      </w:r>
      <w:r>
        <w:rPr>
          <w:rFonts w:hint="eastAsia"/>
          <w:color w:val="auto"/>
          <w:sz w:val="24"/>
          <w:szCs w:val="24"/>
          <w:lang w:val="en-US" w:eastAsia="zh-CN"/>
        </w:rPr>
        <w:t>7.92</w:t>
      </w:r>
      <w:r>
        <w:rPr>
          <w:rFonts w:hint="default" w:eastAsia="宋体"/>
          <w:color w:val="auto"/>
          <w:sz w:val="24"/>
          <w:szCs w:val="24"/>
          <w:lang w:val="en-US" w:eastAsia="zh-CN"/>
        </w:rPr>
        <w:t>km</w:t>
      </w:r>
      <w:r>
        <w:rPr>
          <w:rFonts w:hint="eastAsia" w:eastAsia="宋体"/>
          <w:color w:val="auto"/>
          <w:sz w:val="24"/>
          <w:szCs w:val="24"/>
          <w:lang w:val="en-US" w:eastAsia="zh-CN"/>
        </w:rPr>
        <w:t>，和布克赛尔蒙古自治县内</w:t>
      </w:r>
      <w:r>
        <w:rPr>
          <w:rFonts w:hint="eastAsia"/>
          <w:color w:val="auto"/>
          <w:sz w:val="24"/>
          <w:szCs w:val="24"/>
          <w:lang w:val="en-US" w:eastAsia="zh-CN"/>
        </w:rPr>
        <w:t>12.79</w:t>
      </w:r>
      <w:r>
        <w:rPr>
          <w:rFonts w:hint="default" w:eastAsia="宋体"/>
          <w:color w:val="auto"/>
          <w:sz w:val="24"/>
          <w:szCs w:val="24"/>
          <w:lang w:val="en-US" w:eastAsia="zh-CN"/>
        </w:rPr>
        <w:t>km</w:t>
      </w:r>
      <w:r>
        <w:rPr>
          <w:rFonts w:hint="eastAsia" w:eastAsia="宋体"/>
          <w:color w:val="auto"/>
          <w:sz w:val="24"/>
          <w:szCs w:val="24"/>
          <w:lang w:val="en-US" w:eastAsia="zh-CN"/>
        </w:rPr>
        <w:t>）；③配套建设供配电、通信、消防、道路、仪表自动化、防腐等工程。项目建成后，新增</w:t>
      </w:r>
      <w:r>
        <w:rPr>
          <w:rFonts w:hint="eastAsia"/>
          <w:color w:val="auto"/>
          <w:sz w:val="24"/>
          <w:szCs w:val="24"/>
          <w:lang w:val="en-US" w:eastAsia="zh-CN"/>
        </w:rPr>
        <w:t>原油</w:t>
      </w:r>
      <w:r>
        <w:rPr>
          <w:rFonts w:hint="eastAsia" w:eastAsia="宋体"/>
          <w:color w:val="auto"/>
          <w:sz w:val="24"/>
          <w:szCs w:val="24"/>
          <w:lang w:val="en-US" w:eastAsia="zh-CN"/>
        </w:rPr>
        <w:t>产能</w:t>
      </w:r>
      <w:r>
        <w:rPr>
          <w:rFonts w:hint="eastAsia"/>
          <w:color w:val="auto"/>
          <w:sz w:val="24"/>
          <w:szCs w:val="24"/>
          <w:lang w:val="en-US" w:eastAsia="zh-CN"/>
        </w:rPr>
        <w:t>7.72</w:t>
      </w:r>
      <w:r>
        <w:rPr>
          <w:rFonts w:hint="default" w:eastAsia="宋体"/>
          <w:color w:val="auto"/>
          <w:sz w:val="24"/>
          <w:szCs w:val="24"/>
          <w:lang w:val="en-US" w:eastAsia="zh-CN"/>
        </w:rPr>
        <w:t>×10</w:t>
      </w:r>
      <w:r>
        <w:rPr>
          <w:rFonts w:hint="default" w:eastAsia="宋体"/>
          <w:color w:val="auto"/>
          <w:sz w:val="24"/>
          <w:szCs w:val="24"/>
          <w:vertAlign w:val="superscript"/>
          <w:lang w:val="en-US" w:eastAsia="zh-CN"/>
        </w:rPr>
        <w:t>4</w:t>
      </w:r>
      <w:r>
        <w:rPr>
          <w:rFonts w:hint="default" w:eastAsia="宋体"/>
          <w:color w:val="auto"/>
          <w:sz w:val="24"/>
          <w:szCs w:val="24"/>
          <w:lang w:val="en-US" w:eastAsia="zh-CN"/>
        </w:rPr>
        <w:t>t/a</w:t>
      </w:r>
      <w:r>
        <w:rPr>
          <w:rFonts w:hint="eastAsia" w:eastAsia="宋体"/>
          <w:color w:val="auto"/>
          <w:sz w:val="24"/>
          <w:szCs w:val="24"/>
          <w:lang w:val="en-US" w:eastAsia="zh-CN"/>
        </w:rPr>
        <w:t>。</w:t>
      </w:r>
    </w:p>
    <w:p w14:paraId="07F2BF9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val="en-US" w:eastAsia="zh-CN"/>
        </w:rPr>
      </w:pPr>
      <w:r>
        <w:rPr>
          <w:rFonts w:hint="eastAsia"/>
          <w:color w:val="auto"/>
          <w:sz w:val="24"/>
          <w:szCs w:val="24"/>
          <w:lang w:val="en-US" w:eastAsia="zh-CN"/>
        </w:rPr>
        <w:t>本工程</w:t>
      </w:r>
      <w:r>
        <w:rPr>
          <w:rFonts w:hint="eastAsia" w:eastAsia="宋体"/>
          <w:color w:val="auto"/>
          <w:sz w:val="24"/>
          <w:szCs w:val="24"/>
          <w:lang w:val="en-US" w:eastAsia="zh-CN"/>
        </w:rPr>
        <w:t>所涉及的评价</w:t>
      </w:r>
      <w:r>
        <w:rPr>
          <w:rFonts w:hint="eastAsia"/>
          <w:color w:val="auto"/>
          <w:sz w:val="24"/>
          <w:szCs w:val="24"/>
          <w:lang w:val="en-US" w:eastAsia="zh-CN"/>
        </w:rPr>
        <w:t>/预探</w:t>
      </w:r>
      <w:r>
        <w:rPr>
          <w:rFonts w:hint="eastAsia" w:eastAsia="宋体"/>
          <w:color w:val="auto"/>
          <w:sz w:val="24"/>
          <w:szCs w:val="24"/>
          <w:lang w:val="en-US" w:eastAsia="zh-CN"/>
        </w:rPr>
        <w:t>井已基本探明原油量充足，具有开采价值，因此由评价</w:t>
      </w:r>
      <w:r>
        <w:rPr>
          <w:rFonts w:hint="eastAsia"/>
          <w:color w:val="auto"/>
          <w:sz w:val="24"/>
          <w:szCs w:val="24"/>
          <w:lang w:val="en-US" w:eastAsia="zh-CN"/>
        </w:rPr>
        <w:t>/预探</w:t>
      </w:r>
      <w:r>
        <w:rPr>
          <w:rFonts w:hint="eastAsia" w:eastAsia="宋体"/>
          <w:color w:val="auto"/>
          <w:sz w:val="24"/>
          <w:szCs w:val="24"/>
          <w:lang w:val="en-US" w:eastAsia="zh-CN"/>
        </w:rPr>
        <w:t>井转为产能井。</w:t>
      </w:r>
      <w:r>
        <w:rPr>
          <w:rFonts w:hint="eastAsia" w:eastAsia="宋体"/>
          <w:b/>
          <w:bCs/>
          <w:color w:val="auto"/>
          <w:sz w:val="24"/>
          <w:szCs w:val="24"/>
          <w:lang w:val="en-US" w:eastAsia="zh-CN"/>
        </w:rPr>
        <w:t>本次井场工程仅涉及设备安装和配套集输管线建设，均为地面工程，不涉及钻井工程。</w:t>
      </w:r>
    </w:p>
    <w:p w14:paraId="6BD830CD">
      <w:pPr>
        <w:pStyle w:val="2"/>
        <w:bidi w:val="0"/>
        <w:rPr>
          <w:rFonts w:hint="default" w:ascii="Times New Roman" w:hAnsi="Times New Roman" w:eastAsia="宋体" w:cs="Times New Roman"/>
          <w:b/>
          <w:bCs/>
          <w:color w:val="auto"/>
          <w:kern w:val="2"/>
          <w:sz w:val="32"/>
          <w:szCs w:val="32"/>
          <w:lang w:val="en-US" w:eastAsia="zh-CN" w:bidi="ar-SA"/>
        </w:rPr>
      </w:pPr>
      <w:bookmarkStart w:id="28" w:name="_Toc20313"/>
      <w:bookmarkStart w:id="29" w:name="_Toc22572"/>
      <w:bookmarkStart w:id="30" w:name="_Toc13536"/>
      <w:r>
        <w:rPr>
          <w:rFonts w:hint="eastAsia" w:ascii="Times New Roman" w:hAnsi="Times New Roman" w:eastAsia="宋体" w:cs="Times New Roman"/>
          <w:b/>
          <w:bCs/>
          <w:color w:val="auto"/>
          <w:kern w:val="2"/>
          <w:sz w:val="32"/>
          <w:szCs w:val="32"/>
          <w:lang w:val="en-US" w:eastAsia="zh-CN" w:bidi="ar-SA"/>
        </w:rPr>
        <w:t>1.</w:t>
      </w:r>
      <w:r>
        <w:rPr>
          <w:rFonts w:hint="eastAsia" w:eastAsia="宋体" w:cs="Times New Roman"/>
          <w:b/>
          <w:bCs/>
          <w:color w:val="auto"/>
          <w:kern w:val="2"/>
          <w:sz w:val="32"/>
          <w:szCs w:val="32"/>
          <w:lang w:val="en-US" w:eastAsia="zh-CN" w:bidi="ar-SA"/>
        </w:rPr>
        <w:t>2环境影响</w:t>
      </w:r>
      <w:r>
        <w:rPr>
          <w:rFonts w:hint="eastAsia" w:ascii="Times New Roman" w:hAnsi="Times New Roman" w:eastAsia="宋体" w:cs="Times New Roman"/>
          <w:color w:val="auto"/>
          <w:lang w:val="en-US" w:eastAsia="zh-CN"/>
        </w:rPr>
        <w:t>评价</w:t>
      </w:r>
      <w:r>
        <w:rPr>
          <w:rFonts w:hint="eastAsia" w:ascii="Times New Roman" w:hAnsi="Times New Roman" w:eastAsia="宋体" w:cs="Times New Roman"/>
          <w:b/>
          <w:bCs/>
          <w:color w:val="auto"/>
          <w:kern w:val="2"/>
          <w:sz w:val="32"/>
          <w:szCs w:val="32"/>
          <w:lang w:val="en-US" w:eastAsia="zh-CN" w:bidi="ar-SA"/>
        </w:rPr>
        <w:t>工作过程</w:t>
      </w:r>
      <w:bookmarkEnd w:id="28"/>
      <w:bookmarkEnd w:id="29"/>
      <w:bookmarkEnd w:id="30"/>
    </w:p>
    <w:p w14:paraId="772E81A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sectPr>
          <w:headerReference r:id="rId7" w:type="default"/>
          <w:footerReference r:id="rId8" w:type="default"/>
          <w:pgSz w:w="11906" w:h="16838"/>
          <w:pgMar w:top="1440" w:right="1800" w:bottom="1440" w:left="1800" w:header="851" w:footer="1134"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eastAsia="宋体"/>
          <w:color w:val="auto"/>
          <w:sz w:val="24"/>
          <w:szCs w:val="24"/>
          <w:lang w:val="en-US" w:eastAsia="zh-CN"/>
        </w:rPr>
        <w:t>本工程属于油气开采项目，项目区位于</w:t>
      </w:r>
      <w:r>
        <w:rPr>
          <w:rFonts w:hint="eastAsia"/>
          <w:color w:val="auto"/>
          <w:sz w:val="24"/>
          <w:szCs w:val="24"/>
          <w:lang w:val="en-US" w:eastAsia="zh-CN"/>
        </w:rPr>
        <w:t>新疆维吾尔自治区</w:t>
      </w:r>
      <w:r>
        <w:rPr>
          <w:rFonts w:hint="eastAsia" w:ascii="Times New Roman" w:hAnsi="Times New Roman" w:eastAsia="宋体"/>
          <w:color w:val="auto"/>
          <w:sz w:val="24"/>
          <w:szCs w:val="24"/>
          <w:lang w:val="en-US" w:eastAsia="zh-CN"/>
        </w:rPr>
        <w:t>克拉玛依市乌尔禾区和塔城地区和布克赛尔蒙古自治县，本次部署</w:t>
      </w:r>
      <w:r>
        <w:rPr>
          <w:rFonts w:hint="eastAsia"/>
          <w:color w:val="auto"/>
          <w:sz w:val="24"/>
          <w:szCs w:val="24"/>
          <w:lang w:val="en-US" w:eastAsia="zh-CN"/>
        </w:rPr>
        <w:t>10</w:t>
      </w:r>
      <w:r>
        <w:rPr>
          <w:rFonts w:hint="eastAsia" w:ascii="Times New Roman" w:hAnsi="Times New Roman" w:eastAsia="宋体"/>
          <w:color w:val="auto"/>
          <w:sz w:val="24"/>
          <w:szCs w:val="24"/>
          <w:lang w:val="en-US" w:eastAsia="zh-CN"/>
        </w:rPr>
        <w:t>口油井，均为评价井</w:t>
      </w:r>
      <w:r>
        <w:rPr>
          <w:rFonts w:hint="eastAsia"/>
          <w:color w:val="auto"/>
          <w:sz w:val="24"/>
          <w:szCs w:val="24"/>
          <w:lang w:val="en-US" w:eastAsia="zh-CN"/>
        </w:rPr>
        <w:t>/预探井</w:t>
      </w:r>
      <w:r>
        <w:rPr>
          <w:rFonts w:hint="eastAsia" w:ascii="Times New Roman" w:hAnsi="Times New Roman" w:eastAsia="宋体"/>
          <w:color w:val="auto"/>
          <w:sz w:val="24"/>
          <w:szCs w:val="24"/>
          <w:lang w:val="en-US" w:eastAsia="zh-CN"/>
        </w:rPr>
        <w:t>转产能井，其中</w:t>
      </w:r>
      <w:r>
        <w:rPr>
          <w:rFonts w:hint="eastAsia"/>
          <w:color w:val="auto"/>
          <w:sz w:val="24"/>
          <w:szCs w:val="24"/>
          <w:lang w:val="en-US" w:eastAsia="zh-CN"/>
        </w:rPr>
        <w:t>5</w:t>
      </w:r>
      <w:r>
        <w:rPr>
          <w:rFonts w:hint="eastAsia" w:ascii="Times New Roman" w:hAnsi="Times New Roman" w:eastAsia="宋体"/>
          <w:color w:val="auto"/>
          <w:sz w:val="24"/>
          <w:szCs w:val="24"/>
          <w:lang w:val="en-US" w:eastAsia="zh-CN"/>
        </w:rPr>
        <w:t>口井（百79井、百791井、百209</w:t>
      </w:r>
      <w:r>
        <w:rPr>
          <w:rFonts w:hint="default" w:ascii="Times New Roman" w:hAnsi="Times New Roman" w:eastAsia="宋体"/>
          <w:color w:val="auto"/>
          <w:sz w:val="24"/>
          <w:szCs w:val="24"/>
          <w:lang w:val="en-US" w:eastAsia="zh-CN"/>
        </w:rPr>
        <w:t>H</w:t>
      </w:r>
      <w:r>
        <w:rPr>
          <w:rFonts w:hint="eastAsia" w:ascii="Times New Roman" w:hAnsi="Times New Roman" w:eastAsia="宋体"/>
          <w:color w:val="auto"/>
          <w:sz w:val="24"/>
          <w:szCs w:val="24"/>
          <w:lang w:val="en-US" w:eastAsia="zh-CN"/>
        </w:rPr>
        <w:t>井、</w:t>
      </w:r>
      <w:r>
        <w:rPr>
          <w:rFonts w:hint="eastAsia"/>
          <w:color w:val="auto"/>
          <w:sz w:val="24"/>
          <w:szCs w:val="24"/>
          <w:lang w:val="en-US" w:eastAsia="zh-CN"/>
        </w:rPr>
        <w:t>百76井、</w:t>
      </w:r>
      <w:r>
        <w:rPr>
          <w:rFonts w:hint="eastAsia" w:ascii="Times New Roman" w:hAnsi="Times New Roman" w:eastAsia="宋体"/>
          <w:color w:val="auto"/>
          <w:sz w:val="24"/>
          <w:szCs w:val="24"/>
          <w:lang w:val="en-US" w:eastAsia="zh-CN"/>
        </w:rPr>
        <w:t>玛61井</w:t>
      </w:r>
      <w:r>
        <w:rPr>
          <w:rFonts w:hint="eastAsia"/>
          <w:color w:val="auto"/>
          <w:sz w:val="24"/>
          <w:szCs w:val="24"/>
          <w:lang w:val="en-US" w:eastAsia="zh-CN"/>
        </w:rPr>
        <w:t>）根据原新疆维吾尔自治区环境保护厅《关于进一步加强和规范油气田开发项目环境保护管理工作的通知》（新环发〔2018〕133号），</w:t>
      </w:r>
      <w:r>
        <w:rPr>
          <w:rFonts w:hint="eastAsia" w:ascii="Times New Roman" w:hAnsi="Times New Roman" w:eastAsia="宋体"/>
          <w:color w:val="auto"/>
          <w:sz w:val="24"/>
          <w:szCs w:val="24"/>
          <w:lang w:val="en-US" w:eastAsia="zh-CN"/>
        </w:rPr>
        <w:t>经核实不在</w:t>
      </w:r>
      <w:r>
        <w:rPr>
          <w:rFonts w:hint="eastAsia"/>
          <w:color w:val="auto"/>
          <w:sz w:val="24"/>
          <w:szCs w:val="24"/>
          <w:lang w:val="en-US" w:eastAsia="zh-CN"/>
        </w:rPr>
        <w:t>中国石油新疆</w:t>
      </w:r>
      <w:r>
        <w:rPr>
          <w:rFonts w:hint="eastAsia" w:ascii="Times New Roman" w:hAnsi="Times New Roman" w:eastAsia="宋体"/>
          <w:color w:val="auto"/>
          <w:sz w:val="24"/>
          <w:szCs w:val="24"/>
          <w:lang w:val="en-US" w:eastAsia="zh-CN"/>
        </w:rPr>
        <w:t>油田</w:t>
      </w:r>
      <w:r>
        <w:rPr>
          <w:rFonts w:hint="eastAsia"/>
          <w:color w:val="auto"/>
          <w:sz w:val="24"/>
          <w:szCs w:val="24"/>
          <w:lang w:val="en-US" w:eastAsia="zh-CN"/>
        </w:rPr>
        <w:t>分公司</w:t>
      </w:r>
      <w:r>
        <w:rPr>
          <w:rFonts w:hint="eastAsia" w:ascii="Times New Roman" w:hAnsi="Times New Roman" w:eastAsia="宋体"/>
          <w:color w:val="auto"/>
          <w:sz w:val="24"/>
          <w:szCs w:val="24"/>
          <w:lang w:val="en-US" w:eastAsia="zh-CN"/>
        </w:rPr>
        <w:t>开发区域划分的</w:t>
      </w:r>
      <w:r>
        <w:rPr>
          <w:rFonts w:hint="eastAsia" w:ascii="宋体" w:hAnsi="宋体" w:eastAsia="宋体" w:cs="宋体"/>
          <w:color w:val="auto"/>
          <w:sz w:val="24"/>
          <w:szCs w:val="24"/>
          <w:lang w:val="en-US" w:eastAsia="zh-CN"/>
        </w:rPr>
        <w:t>“一张图”</w:t>
      </w:r>
      <w:r>
        <w:rPr>
          <w:rFonts w:hint="eastAsia" w:ascii="Times New Roman" w:hAnsi="Times New Roman" w:eastAsia="宋体"/>
          <w:color w:val="auto"/>
          <w:sz w:val="24"/>
          <w:szCs w:val="24"/>
          <w:lang w:val="en-US" w:eastAsia="zh-CN"/>
        </w:rPr>
        <w:t>范围内，本次实施区域与老区块的位置关系见图</w:t>
      </w:r>
      <w:r>
        <w:rPr>
          <w:rFonts w:hint="default" w:ascii="Times New Roman" w:hAnsi="Times New Roman" w:eastAsia="宋体"/>
          <w:color w:val="auto"/>
          <w:sz w:val="24"/>
          <w:szCs w:val="24"/>
          <w:lang w:val="en-US" w:eastAsia="zh-CN"/>
        </w:rPr>
        <w:t>1.2-1</w:t>
      </w:r>
      <w:r>
        <w:rPr>
          <w:rFonts w:hint="eastAsia" w:ascii="Times New Roman" w:hAnsi="Times New Roman" w:eastAsia="宋体"/>
          <w:color w:val="auto"/>
          <w:sz w:val="24"/>
          <w:szCs w:val="24"/>
          <w:lang w:val="en-US" w:eastAsia="zh-CN"/>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0F6E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4" w:hRule="exact"/>
        </w:trPr>
        <w:tc>
          <w:tcPr>
            <w:tcW w:w="14174" w:type="dxa"/>
            <w:tcBorders>
              <w:top w:val="dotted" w:color="auto" w:sz="4" w:space="0"/>
              <w:left w:val="dotted" w:color="auto" w:sz="4" w:space="0"/>
              <w:bottom w:val="dotted" w:color="auto" w:sz="4" w:space="0"/>
              <w:right w:val="dotted" w:color="auto" w:sz="4" w:space="0"/>
            </w:tcBorders>
            <w:vAlign w:val="center"/>
          </w:tcPr>
          <w:p w14:paraId="238903D7">
            <w:pPr>
              <w:jc w:val="center"/>
              <w:rPr>
                <w:rFonts w:hint="eastAsia"/>
                <w:color w:val="auto"/>
                <w:vertAlign w:val="baseline"/>
                <w:lang w:val="en-US" w:eastAsia="zh-CN"/>
              </w:rPr>
            </w:pPr>
          </w:p>
        </w:tc>
      </w:tr>
      <w:tr w14:paraId="5191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Borders>
              <w:top w:val="dotted" w:color="auto" w:sz="4" w:space="0"/>
              <w:left w:val="dotted" w:color="auto" w:sz="4" w:space="0"/>
              <w:bottom w:val="dotted" w:color="auto" w:sz="4" w:space="0"/>
              <w:right w:val="dotted" w:color="auto" w:sz="4" w:space="0"/>
            </w:tcBorders>
          </w:tcPr>
          <w:p w14:paraId="12876E63">
            <w:pPr>
              <w:pStyle w:val="43"/>
              <w:bidi w:val="0"/>
              <w:rPr>
                <w:rFonts w:hint="eastAsia"/>
                <w:color w:val="auto"/>
                <w:vertAlign w:val="baseline"/>
                <w:lang w:val="en-US" w:eastAsia="zh-CN"/>
              </w:rPr>
            </w:pPr>
            <w:r>
              <w:rPr>
                <w:rFonts w:hint="eastAsia"/>
                <w:color w:val="auto"/>
                <w:lang w:val="en-US" w:eastAsia="zh-CN"/>
              </w:rPr>
              <w:t>图1.2-1  本工程与新疆油田分公司“一张图”位置关系示意图</w:t>
            </w:r>
          </w:p>
        </w:tc>
      </w:tr>
    </w:tbl>
    <w:p w14:paraId="67CEE66C">
      <w:pPr>
        <w:bidi w:val="0"/>
        <w:rPr>
          <w:rFonts w:hint="eastAsia"/>
          <w:color w:val="auto"/>
          <w:lang w:val="en-US" w:eastAsia="zh-CN"/>
        </w:rPr>
        <w:sectPr>
          <w:pgSz w:w="16838" w:h="11906" w:orient="landscape"/>
          <w:pgMar w:top="1800" w:right="1440" w:bottom="1800" w:left="1440" w:header="851" w:footer="1134" w:gutter="0"/>
          <w:pgBorders>
            <w:top w:val="none" w:sz="0" w:space="0"/>
            <w:left w:val="none" w:sz="0" w:space="0"/>
            <w:bottom w:val="none" w:sz="0" w:space="0"/>
            <w:right w:val="none" w:sz="0" w:space="0"/>
          </w:pgBorders>
          <w:pgNumType w:fmt="decimal"/>
          <w:cols w:space="425" w:num="1"/>
          <w:docGrid w:type="lines" w:linePitch="312" w:charSpace="0"/>
        </w:sectPr>
      </w:pPr>
    </w:p>
    <w:p w14:paraId="0BB0BA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根据《新疆维吾尔自治区水土保持规划（</w:t>
      </w:r>
      <w:r>
        <w:rPr>
          <w:rFonts w:hint="default" w:ascii="Times New Roman" w:hAnsi="Times New Roman" w:eastAsia="宋体" w:cstheme="minorBidi"/>
          <w:color w:val="auto"/>
          <w:kern w:val="2"/>
          <w:sz w:val="24"/>
          <w:szCs w:val="24"/>
          <w:lang w:val="en-US" w:eastAsia="zh-CN" w:bidi="ar-SA"/>
        </w:rPr>
        <w:t>2018-2030</w:t>
      </w:r>
      <w:r>
        <w:rPr>
          <w:rFonts w:hint="eastAsia" w:ascii="Times New Roman" w:hAnsi="Times New Roman" w:eastAsia="宋体" w:cstheme="minorBidi"/>
          <w:color w:val="auto"/>
          <w:kern w:val="2"/>
          <w:sz w:val="24"/>
          <w:szCs w:val="24"/>
          <w:lang w:val="en-US" w:eastAsia="zh-CN" w:bidi="ar-SA"/>
        </w:rPr>
        <w:t>年）</w:t>
      </w:r>
      <w:r>
        <w:rPr>
          <w:rFonts w:hint="eastAsia" w:cstheme="minorBidi"/>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关于印发新疆维吾尔自治区级水土流失重点预防区和重点治理区复核划分成果的通知》（新水水保</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heme="minorBidi"/>
          <w:color w:val="auto"/>
          <w:kern w:val="2"/>
          <w:sz w:val="24"/>
          <w:szCs w:val="24"/>
          <w:lang w:val="en-US" w:eastAsia="zh-CN" w:bidi="ar-SA"/>
        </w:rPr>
        <w:t>2019</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heme="minorBidi"/>
          <w:color w:val="auto"/>
          <w:kern w:val="2"/>
          <w:sz w:val="24"/>
          <w:szCs w:val="24"/>
          <w:lang w:val="en-US" w:eastAsia="zh-CN" w:bidi="ar-SA"/>
        </w:rPr>
        <w:t>4</w:t>
      </w:r>
      <w:r>
        <w:rPr>
          <w:rFonts w:hint="eastAsia" w:ascii="Times New Roman" w:hAnsi="Times New Roman" w:eastAsia="宋体" w:cstheme="minorBidi"/>
          <w:color w:val="auto"/>
          <w:kern w:val="2"/>
          <w:sz w:val="24"/>
          <w:szCs w:val="24"/>
          <w:lang w:val="en-US" w:eastAsia="zh-CN" w:bidi="ar-SA"/>
        </w:rPr>
        <w:t>号）和《新疆维吾尔自治区</w:t>
      </w:r>
      <w:r>
        <w:rPr>
          <w:rFonts w:hint="default" w:ascii="Times New Roman" w:hAnsi="Times New Roman" w:eastAsia="宋体" w:cstheme="minorBidi"/>
          <w:color w:val="auto"/>
          <w:kern w:val="2"/>
          <w:sz w:val="24"/>
          <w:szCs w:val="24"/>
          <w:lang w:val="en-US" w:eastAsia="zh-CN" w:bidi="ar-SA"/>
        </w:rPr>
        <w:t>2020</w:t>
      </w:r>
      <w:r>
        <w:rPr>
          <w:rFonts w:hint="eastAsia" w:ascii="Times New Roman" w:hAnsi="Times New Roman" w:eastAsia="宋体" w:cstheme="minorBidi"/>
          <w:color w:val="auto"/>
          <w:kern w:val="2"/>
          <w:sz w:val="24"/>
          <w:szCs w:val="24"/>
          <w:lang w:val="en-US" w:eastAsia="zh-CN" w:bidi="ar-SA"/>
        </w:rPr>
        <w:t>年水土流失动态监测数据》（水利部水土保持监测中心</w:t>
      </w:r>
      <w:r>
        <w:rPr>
          <w:rFonts w:hint="eastAsia" w:cstheme="minorBidi"/>
          <w:color w:val="auto"/>
          <w:kern w:val="2"/>
          <w:sz w:val="24"/>
          <w:szCs w:val="24"/>
          <w:lang w:val="en-US" w:eastAsia="zh-CN" w:bidi="ar-SA"/>
        </w:rPr>
        <w:t>，</w:t>
      </w:r>
      <w:r>
        <w:rPr>
          <w:rFonts w:hint="default" w:ascii="Times New Roman" w:hAnsi="Times New Roman" w:eastAsia="宋体" w:cstheme="minorBidi"/>
          <w:color w:val="auto"/>
          <w:kern w:val="2"/>
          <w:sz w:val="24"/>
          <w:szCs w:val="24"/>
          <w:lang w:val="en-US" w:eastAsia="zh-CN" w:bidi="ar-SA"/>
        </w:rPr>
        <w:t>2021</w:t>
      </w:r>
      <w:r>
        <w:rPr>
          <w:rFonts w:hint="eastAsia" w:ascii="Times New Roman" w:hAnsi="Times New Roman" w:eastAsia="宋体" w:cstheme="minorBidi"/>
          <w:color w:val="auto"/>
          <w:kern w:val="2"/>
          <w:sz w:val="24"/>
          <w:szCs w:val="24"/>
          <w:lang w:val="en-US" w:eastAsia="zh-CN" w:bidi="ar-SA"/>
        </w:rPr>
        <w:t>年</w:t>
      </w:r>
      <w:r>
        <w:rPr>
          <w:rFonts w:hint="default" w:ascii="Times New Roman" w:hAnsi="Times New Roman" w:eastAsia="宋体" w:cstheme="minorBidi"/>
          <w:color w:val="auto"/>
          <w:kern w:val="2"/>
          <w:sz w:val="24"/>
          <w:szCs w:val="24"/>
          <w:lang w:val="en-US" w:eastAsia="zh-CN" w:bidi="ar-SA"/>
        </w:rPr>
        <w:t>4</w:t>
      </w:r>
      <w:r>
        <w:rPr>
          <w:rFonts w:hint="eastAsia" w:ascii="Times New Roman" w:hAnsi="Times New Roman" w:eastAsia="宋体" w:cstheme="minorBidi"/>
          <w:color w:val="auto"/>
          <w:kern w:val="2"/>
          <w:sz w:val="24"/>
          <w:szCs w:val="24"/>
          <w:lang w:val="en-US" w:eastAsia="zh-CN" w:bidi="ar-SA"/>
        </w:rPr>
        <w:t>月），项目所在的塔城地区和布克赛尔蒙古自治县属于水土流失重点治理区</w:t>
      </w:r>
      <w:r>
        <w:rPr>
          <w:rFonts w:hint="default" w:ascii="Times New Roman" w:hAnsi="Times New Roman" w:eastAsia="宋体" w:cstheme="minorBidi"/>
          <w:color w:val="auto"/>
          <w:kern w:val="2"/>
          <w:sz w:val="24"/>
          <w:szCs w:val="24"/>
          <w:lang w:val="en-US" w:eastAsia="zh-CN" w:bidi="ar-SA"/>
        </w:rPr>
        <w:t>Ⅱ</w:t>
      </w:r>
      <w:r>
        <w:rPr>
          <w:rFonts w:hint="default" w:ascii="Times New Roman" w:hAnsi="Times New Roman" w:eastAsia="宋体" w:cstheme="minorBidi"/>
          <w:color w:val="auto"/>
          <w:kern w:val="2"/>
          <w:sz w:val="24"/>
          <w:szCs w:val="24"/>
          <w:vertAlign w:val="subscript"/>
          <w:lang w:val="en-US" w:eastAsia="zh-CN" w:bidi="ar-SA"/>
        </w:rPr>
        <w:t>2</w:t>
      </w:r>
      <w:r>
        <w:rPr>
          <w:rFonts w:hint="eastAsia" w:ascii="Times New Roman" w:hAnsi="Times New Roman" w:eastAsia="宋体" w:cstheme="minorBidi"/>
          <w:color w:val="auto"/>
          <w:kern w:val="2"/>
          <w:sz w:val="24"/>
          <w:szCs w:val="24"/>
          <w:lang w:val="en-US" w:eastAsia="zh-CN" w:bidi="ar-SA"/>
        </w:rPr>
        <w:t>天山北坡诸小河流域重点治理区。</w:t>
      </w:r>
    </w:p>
    <w:p w14:paraId="7D24C3F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根据《中华人民共和国环境影响评价法</w:t>
      </w:r>
      <w:r>
        <w:rPr>
          <w:rFonts w:hint="eastAsia"/>
          <w:color w:val="auto"/>
          <w:sz w:val="24"/>
          <w:szCs w:val="24"/>
          <w:lang w:val="en-US" w:eastAsia="zh-CN"/>
        </w:rPr>
        <w:t>》《</w:t>
      </w:r>
      <w:r>
        <w:rPr>
          <w:rFonts w:hint="eastAsia" w:ascii="Times New Roman" w:hAnsi="Times New Roman" w:eastAsia="宋体"/>
          <w:color w:val="auto"/>
          <w:sz w:val="24"/>
          <w:szCs w:val="24"/>
          <w:lang w:val="en-US" w:eastAsia="zh-CN"/>
        </w:rPr>
        <w:t>建设项目环境保护管理条例》和《建设项目环境影响评价分类管理名录（2021年版）》等有关规定，</w:t>
      </w:r>
      <w:r>
        <w:rPr>
          <w:rFonts w:hint="eastAsia"/>
          <w:color w:val="auto"/>
          <w:sz w:val="24"/>
          <w:szCs w:val="24"/>
          <w:lang w:val="en-US" w:eastAsia="zh-CN"/>
        </w:rPr>
        <w:t>本工程</w:t>
      </w:r>
      <w:r>
        <w:rPr>
          <w:rFonts w:hint="eastAsia" w:ascii="Times New Roman" w:hAnsi="Times New Roman" w:eastAsia="宋体"/>
          <w:color w:val="auto"/>
          <w:sz w:val="24"/>
          <w:szCs w:val="24"/>
          <w:lang w:val="en-US" w:eastAsia="zh-CN"/>
        </w:rPr>
        <w:t>应进行环境影响评价。</w:t>
      </w:r>
      <w:r>
        <w:rPr>
          <w:rFonts w:hint="eastAsia"/>
          <w:color w:val="auto"/>
          <w:sz w:val="24"/>
          <w:szCs w:val="24"/>
          <w:lang w:val="en-US" w:eastAsia="zh-CN"/>
        </w:rPr>
        <w:t>本工程</w:t>
      </w:r>
      <w:r>
        <w:rPr>
          <w:rFonts w:hint="eastAsia" w:ascii="Times New Roman" w:hAnsi="Times New Roman" w:eastAsia="宋体"/>
          <w:color w:val="auto"/>
          <w:sz w:val="24"/>
          <w:szCs w:val="24"/>
          <w:lang w:val="en-US" w:eastAsia="zh-CN"/>
        </w:rPr>
        <w:t>属于名录中</w:t>
      </w:r>
      <w:r>
        <w:rPr>
          <w:rFonts w:hint="eastAsia" w:ascii="Times New Roman" w:hAnsi="Times New Roman" w:eastAsia="宋体"/>
          <w:b/>
          <w:bCs/>
          <w:color w:val="auto"/>
          <w:sz w:val="24"/>
          <w:szCs w:val="24"/>
          <w:lang w:val="en-US" w:eastAsia="zh-CN"/>
        </w:rPr>
        <w:t>“五、石油和天然气开采业，7.陆地石油开采，石油开采新区块开发；涉及环境敏感区的（含内部集输管线建设）”</w:t>
      </w:r>
      <w:r>
        <w:rPr>
          <w:rFonts w:hint="eastAsia" w:ascii="Times New Roman" w:hAnsi="Times New Roman" w:eastAsia="宋体"/>
          <w:color w:val="auto"/>
          <w:sz w:val="24"/>
          <w:szCs w:val="24"/>
          <w:lang w:val="en-US" w:eastAsia="zh-CN"/>
        </w:rPr>
        <w:t>，应编制环境影响评价报告书。</w:t>
      </w:r>
      <w:r>
        <w:rPr>
          <w:rFonts w:hint="eastAsia"/>
          <w:color w:val="auto"/>
          <w:sz w:val="24"/>
          <w:szCs w:val="24"/>
          <w:lang w:val="en-US" w:eastAsia="zh-CN"/>
        </w:rPr>
        <w:t>本工程</w:t>
      </w:r>
      <w:r>
        <w:rPr>
          <w:rFonts w:hint="eastAsia" w:ascii="Times New Roman" w:hAnsi="Times New Roman" w:eastAsia="宋体"/>
          <w:color w:val="auto"/>
          <w:sz w:val="24"/>
          <w:szCs w:val="24"/>
          <w:lang w:val="en-US" w:eastAsia="zh-CN"/>
        </w:rPr>
        <w:t>涉及两个行政区域、新区块开发，且涉及水土流失重点治理区，属于环境敏感区，所以应编制环境影响评价报告书。</w:t>
      </w:r>
    </w:p>
    <w:p w14:paraId="22EC223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color w:val="auto"/>
          <w:sz w:val="24"/>
          <w:szCs w:val="28"/>
        </w:rPr>
        <w:t>202</w:t>
      </w:r>
      <w:r>
        <w:rPr>
          <w:rFonts w:hint="eastAsia"/>
          <w:color w:val="auto"/>
          <w:sz w:val="24"/>
          <w:szCs w:val="28"/>
          <w:lang w:val="en-US" w:eastAsia="zh-CN"/>
        </w:rPr>
        <w:t>5</w:t>
      </w:r>
      <w:r>
        <w:rPr>
          <w:color w:val="auto"/>
          <w:sz w:val="24"/>
          <w:szCs w:val="28"/>
        </w:rPr>
        <w:t>年</w:t>
      </w:r>
      <w:r>
        <w:rPr>
          <w:rFonts w:hint="eastAsia"/>
          <w:color w:val="auto"/>
          <w:sz w:val="24"/>
          <w:szCs w:val="28"/>
          <w:lang w:val="en-US" w:eastAsia="zh-CN"/>
        </w:rPr>
        <w:t>8</w:t>
      </w:r>
      <w:r>
        <w:rPr>
          <w:color w:val="auto"/>
          <w:sz w:val="24"/>
          <w:szCs w:val="28"/>
        </w:rPr>
        <w:t>月</w:t>
      </w:r>
      <w:r>
        <w:rPr>
          <w:rFonts w:hint="eastAsia"/>
          <w:color w:val="auto"/>
          <w:sz w:val="24"/>
          <w:szCs w:val="28"/>
          <w:lang w:val="en-US" w:eastAsia="zh-CN"/>
        </w:rPr>
        <w:t>23</w:t>
      </w:r>
      <w:r>
        <w:rPr>
          <w:color w:val="auto"/>
          <w:sz w:val="24"/>
          <w:szCs w:val="28"/>
        </w:rPr>
        <w:t>日，中国石油</w:t>
      </w:r>
      <w:r>
        <w:rPr>
          <w:rFonts w:hint="eastAsia"/>
          <w:color w:val="auto"/>
          <w:sz w:val="24"/>
          <w:szCs w:val="28"/>
          <w:lang w:val="en-US" w:eastAsia="zh-CN"/>
        </w:rPr>
        <w:t>新疆油田分公司百口泉</w:t>
      </w:r>
      <w:r>
        <w:rPr>
          <w:color w:val="auto"/>
          <w:sz w:val="24"/>
          <w:szCs w:val="28"/>
        </w:rPr>
        <w:t>采油厂委托我单位承担</w:t>
      </w:r>
      <w:r>
        <w:rPr>
          <w:rFonts w:hint="eastAsia"/>
          <w:color w:val="auto"/>
          <w:sz w:val="24"/>
          <w:szCs w:val="28"/>
          <w:lang w:val="en-US" w:eastAsia="zh-CN"/>
        </w:rPr>
        <w:t>百口泉采油厂单罐井治理工程</w:t>
      </w:r>
      <w:r>
        <w:rPr>
          <w:color w:val="auto"/>
          <w:sz w:val="24"/>
          <w:szCs w:val="28"/>
        </w:rPr>
        <w:t>的环境影响评价工作。接受委托后，我单位组织评价技术人员赴现场开展了全面的调查、监测和资料收集工作，通过综合整理和认真分析、研究，并依据有关技术资料，在工程分析、环境影响识别和评价因子筛选等工作的基础上，按照相关技术导则要求，编制完成了《</w:t>
      </w:r>
      <w:r>
        <w:rPr>
          <w:rFonts w:hint="eastAsia"/>
          <w:color w:val="auto"/>
          <w:sz w:val="24"/>
          <w:szCs w:val="28"/>
          <w:lang w:val="en-US" w:eastAsia="zh-CN"/>
        </w:rPr>
        <w:t>百口泉采油厂单罐井治理工程</w:t>
      </w:r>
      <w:r>
        <w:rPr>
          <w:color w:val="auto"/>
          <w:sz w:val="24"/>
          <w:szCs w:val="28"/>
        </w:rPr>
        <w:t>环境影响报告书》，在项目的各个规定节点，建设单位依据《环境影响评价公众参与办法》的要求，以网络媒体公示、张贴公示、登报公示等多种形式开展了公众参与工作。</w:t>
      </w:r>
    </w:p>
    <w:p w14:paraId="471AC6E4">
      <w:pPr>
        <w:pStyle w:val="38"/>
        <w:keepNext w:val="0"/>
        <w:keepLines w:val="0"/>
        <w:pageBreakBefore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Cs w:val="0"/>
          <w:color w:val="auto"/>
          <w:kern w:val="0"/>
          <w:sz w:val="24"/>
          <w:szCs w:val="24"/>
          <w:lang w:val="en-US" w:eastAsia="zh-CN" w:bidi="ar-SA"/>
        </w:rPr>
      </w:pPr>
      <w:r>
        <w:rPr>
          <w:rFonts w:hint="default" w:ascii="Times New Roman" w:hAnsi="Times New Roman" w:eastAsia="宋体" w:cs="Times New Roman"/>
          <w:bCs w:val="0"/>
          <w:color w:val="auto"/>
          <w:kern w:val="0"/>
          <w:sz w:val="24"/>
          <w:szCs w:val="24"/>
          <w:lang w:val="en-US" w:eastAsia="zh-CN" w:bidi="ar-SA"/>
        </w:rPr>
        <w:t>本次环评工作分为三个阶段，第一个阶段</w:t>
      </w:r>
      <w:r>
        <w:rPr>
          <w:rFonts w:hint="eastAsia" w:cs="Times New Roman"/>
          <w:bCs w:val="0"/>
          <w:color w:val="auto"/>
          <w:kern w:val="0"/>
          <w:sz w:val="24"/>
          <w:szCs w:val="24"/>
          <w:lang w:val="en-US" w:eastAsia="zh-CN" w:bidi="ar-SA"/>
        </w:rPr>
        <w:t>包括资料收集、工程分析和影响识别等工作</w:t>
      </w:r>
      <w:r>
        <w:rPr>
          <w:rFonts w:hint="default" w:ascii="Times New Roman" w:hAnsi="Times New Roman" w:eastAsia="宋体" w:cs="Times New Roman"/>
          <w:bCs w:val="0"/>
          <w:color w:val="auto"/>
          <w:kern w:val="0"/>
          <w:sz w:val="24"/>
          <w:szCs w:val="24"/>
          <w:lang w:val="en-US" w:eastAsia="zh-CN" w:bidi="ar-SA"/>
        </w:rPr>
        <w:t>，第二个阶段</w:t>
      </w:r>
      <w:r>
        <w:rPr>
          <w:rFonts w:hint="eastAsia" w:cs="Times New Roman"/>
          <w:bCs w:val="0"/>
          <w:color w:val="auto"/>
          <w:kern w:val="0"/>
          <w:sz w:val="24"/>
          <w:szCs w:val="24"/>
          <w:lang w:val="en-US" w:eastAsia="zh-CN" w:bidi="ar-SA"/>
        </w:rPr>
        <w:t>包括生态环境现状监测、现状调查与评价、环境影响预测与评价等工作</w:t>
      </w:r>
      <w:r>
        <w:rPr>
          <w:rFonts w:hint="default" w:ascii="Times New Roman" w:hAnsi="Times New Roman" w:eastAsia="宋体" w:cs="Times New Roman"/>
          <w:bCs w:val="0"/>
          <w:color w:val="auto"/>
          <w:kern w:val="0"/>
          <w:sz w:val="24"/>
          <w:szCs w:val="24"/>
          <w:lang w:val="en-US" w:eastAsia="zh-CN" w:bidi="ar-SA"/>
        </w:rPr>
        <w:t>，第三个阶段</w:t>
      </w:r>
      <w:r>
        <w:rPr>
          <w:rFonts w:hint="eastAsia" w:cs="Times New Roman"/>
          <w:bCs w:val="0"/>
          <w:color w:val="auto"/>
          <w:kern w:val="0"/>
          <w:sz w:val="24"/>
          <w:szCs w:val="24"/>
          <w:lang w:val="en-US" w:eastAsia="zh-CN" w:bidi="ar-SA"/>
        </w:rPr>
        <w:t>包括提出预防或减缓不利影响的环境保护措施、制定环境监测计划、从生态环境影响的角度给出工程建设项目是否可行的结论等工作</w:t>
      </w:r>
      <w:r>
        <w:rPr>
          <w:rFonts w:hint="default" w:ascii="Times New Roman" w:hAnsi="Times New Roman" w:eastAsia="宋体" w:cs="Times New Roman"/>
          <w:bCs w:val="0"/>
          <w:color w:val="auto"/>
          <w:kern w:val="0"/>
          <w:sz w:val="24"/>
          <w:szCs w:val="24"/>
          <w:lang w:val="en-US" w:eastAsia="zh-CN" w:bidi="ar-SA"/>
        </w:rPr>
        <w:t>。</w:t>
      </w:r>
      <w:r>
        <w:rPr>
          <w:rFonts w:hint="eastAsia" w:ascii="Times New Roman" w:hAnsi="Times New Roman" w:eastAsia="宋体" w:cs="Times New Roman"/>
          <w:bCs w:val="0"/>
          <w:color w:val="auto"/>
          <w:kern w:val="0"/>
          <w:sz w:val="24"/>
          <w:szCs w:val="24"/>
          <w:lang w:val="en-US" w:eastAsia="zh-CN" w:bidi="ar-SA"/>
        </w:rPr>
        <w:t>在整个报告编制阶段均进行了公众参与工作。</w:t>
      </w:r>
    </w:p>
    <w:p w14:paraId="0B5A4A98">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31" w:name="_Toc427218860"/>
      <w:r>
        <w:rPr>
          <w:rFonts w:hint="eastAsia" w:ascii="Times New Roman" w:hAnsi="Times New Roman" w:eastAsia="宋体" w:cs="Times New Roman"/>
          <w:color w:val="auto"/>
          <w:sz w:val="24"/>
          <w:szCs w:val="24"/>
          <w:lang w:val="en-US" w:eastAsia="zh-CN"/>
        </w:rPr>
        <w:t>（1）</w:t>
      </w:r>
      <w:bookmarkEnd w:id="31"/>
      <w:r>
        <w:rPr>
          <w:rFonts w:hint="eastAsia" w:ascii="Times New Roman" w:hAnsi="Times New Roman" w:eastAsia="宋体" w:cs="Times New Roman"/>
          <w:color w:val="auto"/>
          <w:sz w:val="24"/>
          <w:szCs w:val="24"/>
          <w:lang w:val="en-US" w:eastAsia="zh-CN"/>
        </w:rPr>
        <w:t>资料收集、工程分析和影响识别</w:t>
      </w:r>
    </w:p>
    <w:p w14:paraId="29CFCC74">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环评单位接受委托后，即派技术人员赴现场踏勘，了解项目拟建地有关情况，收集了相关资料；研究了项目</w:t>
      </w:r>
      <w:r>
        <w:rPr>
          <w:rFonts w:hint="eastAsia" w:ascii="Times New Roman" w:hAnsi="Times New Roman" w:eastAsia="宋体" w:cs="Times New Roman"/>
          <w:color w:val="auto"/>
          <w:sz w:val="24"/>
          <w:szCs w:val="24"/>
          <w:lang w:val="en-US" w:eastAsia="zh-CN"/>
        </w:rPr>
        <w:t>开发利用方案</w:t>
      </w:r>
      <w:r>
        <w:rPr>
          <w:rFonts w:hint="default" w:ascii="Times New Roman" w:hAnsi="Times New Roman" w:eastAsia="宋体" w:cs="Times New Roman"/>
          <w:color w:val="auto"/>
          <w:sz w:val="24"/>
          <w:szCs w:val="24"/>
          <w:lang w:val="en-US" w:eastAsia="zh-CN"/>
        </w:rPr>
        <w:t>及与项目相关的</w:t>
      </w:r>
      <w:r>
        <w:rPr>
          <w:rFonts w:hint="eastAsia" w:ascii="Times New Roman" w:hAnsi="Times New Roman" w:eastAsia="宋体" w:cs="Times New Roman"/>
          <w:color w:val="auto"/>
          <w:sz w:val="24"/>
          <w:szCs w:val="24"/>
          <w:lang w:val="en-US" w:eastAsia="zh-CN"/>
        </w:rPr>
        <w:t>基础资料</w:t>
      </w:r>
      <w:r>
        <w:rPr>
          <w:rFonts w:hint="default" w:ascii="Times New Roman" w:hAnsi="Times New Roman" w:eastAsia="宋体" w:cs="Times New Roman"/>
          <w:color w:val="auto"/>
          <w:sz w:val="24"/>
          <w:szCs w:val="24"/>
          <w:lang w:val="en-US" w:eastAsia="zh-CN"/>
        </w:rPr>
        <w:t>；进行了项目的初步工程分析，进行了该项目环境影响因素识别与评价因子筛选，明确了项目的评价重点，掌握了项目的四邻关系、环境保护目标情况等，在以上工作的基础上，确定了项目的评价工作等级</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评价范围</w:t>
      </w:r>
      <w:r>
        <w:rPr>
          <w:rFonts w:hint="eastAsia" w:ascii="Times New Roman" w:hAnsi="Times New Roman" w:eastAsia="宋体" w:cs="Times New Roman"/>
          <w:color w:val="auto"/>
          <w:sz w:val="24"/>
          <w:szCs w:val="24"/>
          <w:lang w:val="en-US" w:eastAsia="zh-CN"/>
        </w:rPr>
        <w:t>和评价标准</w:t>
      </w:r>
      <w:r>
        <w:rPr>
          <w:rFonts w:hint="default" w:ascii="Times New Roman" w:hAnsi="Times New Roman" w:eastAsia="宋体" w:cs="Times New Roman"/>
          <w:color w:val="auto"/>
          <w:sz w:val="24"/>
          <w:szCs w:val="24"/>
          <w:lang w:val="en-US" w:eastAsia="zh-CN"/>
        </w:rPr>
        <w:t>。</w:t>
      </w:r>
    </w:p>
    <w:p w14:paraId="756B663F">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（2）生态环境现状监测、现状调查与评价和环境影响预测与评价</w:t>
      </w:r>
    </w:p>
    <w:p w14:paraId="6DEAA3AA">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在工作方案的指导下，相关人员开始进行现状监测</w:t>
      </w:r>
      <w:r>
        <w:rPr>
          <w:rFonts w:hint="eastAsia" w:ascii="Times New Roman" w:hAnsi="Times New Roman" w:eastAsia="宋体" w:cs="Times New Roman"/>
          <w:color w:val="auto"/>
          <w:sz w:val="24"/>
          <w:szCs w:val="24"/>
          <w:lang w:val="en-US" w:eastAsia="zh-CN"/>
        </w:rPr>
        <w:t>并进行调查与评价</w:t>
      </w:r>
      <w:r>
        <w:rPr>
          <w:rFonts w:hint="default" w:ascii="Times New Roman" w:hAnsi="Times New Roman" w:eastAsia="宋体" w:cs="Times New Roman"/>
          <w:color w:val="auto"/>
          <w:sz w:val="24"/>
          <w:szCs w:val="24"/>
          <w:lang w:val="en-US" w:eastAsia="zh-CN"/>
        </w:rPr>
        <w:t>，在现状监测及工程分析的基础上对各个环境要素进行了环境影响预测及评价。</w:t>
      </w:r>
    </w:p>
    <w:p w14:paraId="24DD4DD6">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（3）提出环保措施、制定监测计划和项目是否可行的结论</w:t>
      </w:r>
    </w:p>
    <w:p w14:paraId="0953465E">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bCs w:val="0"/>
          <w:color w:val="auto"/>
          <w:kern w:val="0"/>
          <w:sz w:val="24"/>
          <w:szCs w:val="24"/>
          <w:lang w:val="en-US" w:eastAsia="zh-CN" w:bidi="ar-SA"/>
        </w:rPr>
      </w:pPr>
      <w:r>
        <w:rPr>
          <w:bCs/>
          <w:color w:val="auto"/>
          <w:sz w:val="24"/>
          <w:szCs w:val="24"/>
          <w:highlight w:val="none"/>
        </w:rPr>
        <w:t>在前面工作的基础上</w:t>
      </w:r>
      <w:r>
        <w:rPr>
          <w:rFonts w:hint="eastAsia"/>
          <w:bCs/>
          <w:color w:val="auto"/>
          <w:sz w:val="24"/>
          <w:szCs w:val="24"/>
          <w:highlight w:val="none"/>
          <w:lang w:val="en-US" w:eastAsia="zh-CN"/>
        </w:rPr>
        <w:t>确定科学合理、可行的工程方案，提出预防或减缓不利影响的对策或措施，制定相应的环境管理或环境监测计划，从生态环境影响的角度给出工程建设项目是否可行的结论。</w:t>
      </w:r>
    </w:p>
    <w:p w14:paraId="238E7D92">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bCs w:val="0"/>
          <w:color w:val="auto"/>
          <w:kern w:val="0"/>
          <w:sz w:val="24"/>
          <w:szCs w:val="24"/>
          <w:lang w:val="en-US" w:eastAsia="zh-CN" w:bidi="ar-SA"/>
        </w:rPr>
      </w:pPr>
      <w:r>
        <w:rPr>
          <w:rFonts w:hint="eastAsia" w:ascii="Times New Roman" w:hAnsi="Times New Roman" w:eastAsia="宋体" w:cs="Times New Roman"/>
          <w:bCs w:val="0"/>
          <w:color w:val="auto"/>
          <w:kern w:val="0"/>
          <w:sz w:val="24"/>
          <w:szCs w:val="24"/>
          <w:lang w:val="en-US" w:eastAsia="zh-CN" w:bidi="ar-SA"/>
        </w:rPr>
        <w:t>（4）项目的公众参与程序</w:t>
      </w:r>
    </w:p>
    <w:p w14:paraId="7D95B315">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中国石油新疆油田分公司</w:t>
      </w:r>
      <w:r>
        <w:rPr>
          <w:rFonts w:hint="eastAsia" w:eastAsia="宋体" w:cs="Times New Roman"/>
          <w:color w:val="auto"/>
          <w:sz w:val="24"/>
          <w:szCs w:val="24"/>
          <w:lang w:val="en-US" w:eastAsia="zh-CN"/>
        </w:rPr>
        <w:t>百口泉采油厂</w:t>
      </w:r>
      <w:r>
        <w:rPr>
          <w:rFonts w:hint="eastAsia" w:ascii="Times New Roman" w:hAnsi="Times New Roman" w:eastAsia="宋体" w:cs="Times New Roman"/>
          <w:color w:val="auto"/>
          <w:sz w:val="24"/>
          <w:szCs w:val="24"/>
          <w:lang w:val="en-US" w:eastAsia="zh-CN"/>
        </w:rPr>
        <w:t>于202</w:t>
      </w:r>
      <w:r>
        <w:rPr>
          <w:rFonts w:hint="eastAsia"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年8月</w:t>
      </w:r>
      <w:r>
        <w:rPr>
          <w:rFonts w:hint="eastAsia" w:cs="Times New Roman"/>
          <w:color w:val="auto"/>
          <w:sz w:val="24"/>
          <w:szCs w:val="24"/>
          <w:lang w:val="en-US" w:eastAsia="zh-CN"/>
        </w:rPr>
        <w:t>23</w:t>
      </w:r>
      <w:r>
        <w:rPr>
          <w:rFonts w:hint="eastAsia" w:ascii="Times New Roman" w:hAnsi="Times New Roman" w:eastAsia="宋体" w:cs="Times New Roman"/>
          <w:color w:val="auto"/>
          <w:sz w:val="24"/>
          <w:szCs w:val="24"/>
          <w:lang w:val="en-US" w:eastAsia="zh-CN"/>
        </w:rPr>
        <w:t>日委托核工业二0三研究所（以下简称“环评单位”）承担该项目环境影响评价工作。202</w:t>
      </w:r>
      <w:r>
        <w:rPr>
          <w:rFonts w:hint="eastAsia"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年8月</w:t>
      </w:r>
      <w:r>
        <w:rPr>
          <w:rFonts w:hint="eastAsia" w:cs="Times New Roman"/>
          <w:color w:val="auto"/>
          <w:sz w:val="24"/>
          <w:szCs w:val="24"/>
          <w:lang w:val="en-US" w:eastAsia="zh-CN"/>
        </w:rPr>
        <w:t>26</w:t>
      </w:r>
      <w:r>
        <w:rPr>
          <w:rFonts w:hint="eastAsia" w:ascii="Times New Roman" w:hAnsi="Times New Roman" w:eastAsia="宋体" w:cs="Times New Roman"/>
          <w:color w:val="auto"/>
          <w:sz w:val="24"/>
          <w:szCs w:val="24"/>
          <w:lang w:val="en-US" w:eastAsia="zh-CN"/>
        </w:rPr>
        <w:t>日在</w:t>
      </w:r>
      <w:r>
        <w:rPr>
          <w:rFonts w:hint="eastAsia" w:cs="Times New Roman"/>
          <w:color w:val="auto"/>
          <w:sz w:val="24"/>
          <w:szCs w:val="24"/>
          <w:lang w:val="en-US" w:eastAsia="zh-CN"/>
        </w:rPr>
        <w:t>全国建设项目环境信息公示平台</w:t>
      </w:r>
      <w:r>
        <w:rPr>
          <w:rFonts w:hint="eastAsia" w:ascii="Times New Roman" w:hAnsi="Times New Roman" w:eastAsia="宋体" w:cs="Times New Roman"/>
          <w:color w:val="auto"/>
          <w:sz w:val="24"/>
          <w:szCs w:val="24"/>
          <w:lang w:val="en-US" w:eastAsia="zh-CN"/>
        </w:rPr>
        <w:t>发布第一次环评信息公示（</w:t>
      </w:r>
      <w:r>
        <w:rPr>
          <w:rFonts w:hint="eastAsia" w:cs="Times New Roman"/>
          <w:color w:val="auto"/>
          <w:sz w:val="24"/>
          <w:szCs w:val="24"/>
          <w:lang w:val="en-US" w:eastAsia="zh-CN"/>
        </w:rPr>
        <w:t>https://www.eiacloud.com/gs/detail/3?id=50826rTghe</w:t>
      </w:r>
      <w:r>
        <w:rPr>
          <w:rFonts w:hint="eastAsia" w:ascii="Times New Roman" w:hAnsi="Times New Roman" w:eastAsia="宋体" w:cs="Times New Roman"/>
          <w:color w:val="auto"/>
          <w:sz w:val="24"/>
          <w:szCs w:val="24"/>
          <w:lang w:val="en-US" w:eastAsia="zh-CN"/>
        </w:rPr>
        <w:t>）；202</w:t>
      </w:r>
      <w:r>
        <w:rPr>
          <w:rFonts w:hint="eastAsia"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10</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14</w:t>
      </w:r>
      <w:r>
        <w:rPr>
          <w:rFonts w:hint="eastAsia" w:ascii="Times New Roman" w:hAnsi="Times New Roman" w:eastAsia="宋体" w:cs="Times New Roman"/>
          <w:color w:val="auto"/>
          <w:sz w:val="24"/>
          <w:szCs w:val="24"/>
          <w:lang w:val="en-US" w:eastAsia="zh-CN"/>
        </w:rPr>
        <w:t>日，报告书征求意见稿在</w:t>
      </w:r>
      <w:r>
        <w:rPr>
          <w:rFonts w:hint="eastAsia" w:cs="Times New Roman"/>
          <w:color w:val="auto"/>
          <w:sz w:val="24"/>
          <w:szCs w:val="24"/>
          <w:lang w:val="en-US" w:eastAsia="zh-CN"/>
        </w:rPr>
        <w:t>全国建设项目环境信息公示平台</w:t>
      </w:r>
      <w:r>
        <w:rPr>
          <w:rFonts w:hint="eastAsia" w:ascii="Times New Roman" w:hAnsi="Times New Roman" w:eastAsia="宋体" w:cs="Times New Roman"/>
          <w:color w:val="auto"/>
          <w:sz w:val="24"/>
          <w:szCs w:val="24"/>
          <w:lang w:val="en-US" w:eastAsia="zh-CN"/>
        </w:rPr>
        <w:t>发布第二次环评信息公示（</w:t>
      </w:r>
      <w:r>
        <w:rPr>
          <w:rFonts w:hint="eastAsia" w:ascii="Times New Roman" w:hAnsi="Times New Roman" w:eastAsia="宋体" w:cs="Times New Roman"/>
          <w:color w:val="auto"/>
          <w:sz w:val="24"/>
          <w:szCs w:val="24"/>
        </w:rPr>
        <w:t>https://www.eiacloud.com/gs/detail/3?id=510141hMud</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，同步在项目所在地公告栏张贴公告，持续公开10个工作日，202</w:t>
      </w: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年</w:t>
      </w:r>
      <w:r>
        <w:rPr>
          <w:rFonts w:hint="eastAsia" w:cs="Times New Roman"/>
          <w:color w:val="auto"/>
          <w:sz w:val="24"/>
          <w:szCs w:val="24"/>
          <w:lang w:val="en-US" w:eastAsia="zh-CN"/>
        </w:rPr>
        <w:t>10</w:t>
      </w:r>
      <w:r>
        <w:rPr>
          <w:rFonts w:hint="eastAsia" w:ascii="Times New Roman" w:hAnsi="Times New Roman" w:cs="Times New Roman"/>
          <w:color w:val="auto"/>
          <w:sz w:val="24"/>
          <w:szCs w:val="24"/>
          <w:lang w:val="en-US" w:eastAsia="zh-CN"/>
        </w:rPr>
        <w:t>月</w:t>
      </w:r>
      <w:r>
        <w:rPr>
          <w:rFonts w:hint="eastAsia" w:cs="Times New Roman"/>
          <w:color w:val="auto"/>
          <w:sz w:val="24"/>
          <w:szCs w:val="24"/>
          <w:lang w:val="en-US" w:eastAsia="zh-CN"/>
        </w:rPr>
        <w:t>15</w:t>
      </w:r>
      <w:r>
        <w:rPr>
          <w:rFonts w:hint="eastAsia" w:ascii="Times New Roman" w:hAnsi="Times New Roman" w:cs="Times New Roman"/>
          <w:color w:val="auto"/>
          <w:sz w:val="24"/>
          <w:szCs w:val="24"/>
          <w:lang w:val="en-US" w:eastAsia="zh-CN"/>
        </w:rPr>
        <w:t>日及202</w:t>
      </w: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年</w:t>
      </w:r>
      <w:r>
        <w:rPr>
          <w:rFonts w:hint="eastAsia" w:cs="Times New Roman"/>
          <w:color w:val="auto"/>
          <w:sz w:val="24"/>
          <w:szCs w:val="24"/>
          <w:lang w:val="en-US" w:eastAsia="zh-CN"/>
        </w:rPr>
        <w:t>10</w:t>
      </w:r>
      <w:r>
        <w:rPr>
          <w:rFonts w:hint="eastAsia" w:ascii="Times New Roman" w:hAnsi="Times New Roman" w:cs="Times New Roman"/>
          <w:color w:val="auto"/>
          <w:sz w:val="24"/>
          <w:szCs w:val="24"/>
          <w:lang w:val="en-US" w:eastAsia="zh-CN"/>
        </w:rPr>
        <w:t>月</w:t>
      </w:r>
      <w:r>
        <w:rPr>
          <w:rFonts w:hint="eastAsia" w:cs="Times New Roman"/>
          <w:color w:val="auto"/>
          <w:sz w:val="24"/>
          <w:szCs w:val="24"/>
          <w:lang w:val="en-US" w:eastAsia="zh-CN"/>
        </w:rPr>
        <w:t>22</w:t>
      </w:r>
      <w:r>
        <w:rPr>
          <w:rFonts w:hint="eastAsia" w:ascii="Times New Roman" w:hAnsi="Times New Roman" w:cs="Times New Roman"/>
          <w:color w:val="auto"/>
          <w:sz w:val="24"/>
          <w:szCs w:val="24"/>
          <w:lang w:val="en-US" w:eastAsia="zh-CN"/>
        </w:rPr>
        <w:t>日分两次在《克拉玛依日报》进行了报纸公示。两次公示期间建设单位及环评单位均未收到任何公众反对意见。在上报行政审批主管部门审批前，建设单位进行环评全文公示（</w:t>
      </w:r>
      <w:r>
        <w:rPr>
          <w:rFonts w:hint="eastAsia" w:cs="Times New Roman"/>
          <w:color w:val="auto"/>
          <w:sz w:val="24"/>
          <w:szCs w:val="24"/>
          <w:lang w:val="en-US" w:eastAsia="zh-CN"/>
        </w:rPr>
        <w:t>https://www.eiacloud.com/gs/detail/1?id=51103ypSAG</w:t>
      </w:r>
      <w:r>
        <w:rPr>
          <w:rFonts w:hint="eastAsia" w:ascii="Times New Roman" w:hAnsi="Times New Roman" w:cs="Times New Roman"/>
          <w:color w:val="auto"/>
          <w:sz w:val="24"/>
          <w:szCs w:val="24"/>
          <w:lang w:val="en-US" w:eastAsia="zh-CN"/>
        </w:rPr>
        <w:t>）。</w:t>
      </w:r>
    </w:p>
    <w:p w14:paraId="7F1724DE">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根据《环境影响评价技术导则 陆地石油天然气开发建设项目》（HJ349-2023）等相关技术规范的要求，本次环境影</w:t>
      </w:r>
      <w:r>
        <w:rPr>
          <w:rFonts w:hint="eastAsia"/>
          <w:color w:val="auto"/>
          <w:sz w:val="24"/>
          <w:szCs w:val="28"/>
          <w:lang w:val="en-US" w:eastAsia="zh-CN"/>
        </w:rPr>
        <w:t>响评价的工作过程及程序见图1.2-2。</w:t>
      </w:r>
    </w:p>
    <w:p w14:paraId="72285C87">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object>
          <v:shape id="_x0000_i1025" o:spt="75" type="#_x0000_t75" style="height:603.8pt;width:351.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14:paraId="6B890400">
      <w:pPr>
        <w:pStyle w:val="11"/>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hint="default"/>
          <w:b/>
          <w:bCs/>
          <w:color w:val="auto"/>
          <w:sz w:val="24"/>
          <w:szCs w:val="28"/>
          <w:lang w:val="en-US" w:eastAsia="zh-CN"/>
        </w:rPr>
      </w:pPr>
      <w:r>
        <w:rPr>
          <w:rFonts w:hint="eastAsia"/>
          <w:b/>
          <w:bCs/>
          <w:color w:val="auto"/>
          <w:lang w:val="en-US" w:eastAsia="zh-CN"/>
        </w:rPr>
        <w:t>图1.2-2  建设项目环境影响评价工作程序图</w:t>
      </w:r>
    </w:p>
    <w:p w14:paraId="65338F73">
      <w:pPr>
        <w:pStyle w:val="2"/>
        <w:bidi w:val="0"/>
        <w:rPr>
          <w:rFonts w:hint="default" w:ascii="Times New Roman" w:hAnsi="Times New Roman" w:eastAsia="宋体" w:cs="Times New Roman"/>
          <w:color w:val="auto"/>
          <w:sz w:val="32"/>
          <w:szCs w:val="32"/>
          <w:lang w:val="en-US" w:eastAsia="zh-CN"/>
        </w:rPr>
      </w:pPr>
      <w:bookmarkStart w:id="32" w:name="_Toc30684"/>
      <w:bookmarkStart w:id="33" w:name="_Toc25878"/>
      <w:bookmarkStart w:id="34" w:name="_Toc12880"/>
      <w:r>
        <w:rPr>
          <w:rFonts w:hint="eastAsia" w:ascii="Times New Roman" w:hAnsi="Times New Roman" w:eastAsia="宋体" w:cs="Times New Roman"/>
          <w:color w:val="auto"/>
          <w:sz w:val="32"/>
          <w:szCs w:val="32"/>
          <w:lang w:val="en-US" w:eastAsia="zh-CN"/>
        </w:rPr>
        <w:t>1.</w:t>
      </w:r>
      <w:r>
        <w:rPr>
          <w:rFonts w:hint="eastAsia" w:eastAsia="宋体" w:cs="Times New Roman"/>
          <w:color w:val="auto"/>
          <w:sz w:val="32"/>
          <w:szCs w:val="32"/>
          <w:lang w:val="en-US" w:eastAsia="zh-CN"/>
        </w:rPr>
        <w:t>3</w:t>
      </w:r>
      <w:r>
        <w:rPr>
          <w:rFonts w:hint="eastAsia" w:ascii="Times New Roman" w:hAnsi="Times New Roman" w:eastAsia="宋体" w:cs="Times New Roman"/>
          <w:color w:val="auto"/>
          <w:sz w:val="32"/>
          <w:szCs w:val="32"/>
          <w:lang w:val="en-US" w:eastAsia="zh-CN"/>
        </w:rPr>
        <w:t>分析判定相关情况</w:t>
      </w:r>
      <w:bookmarkEnd w:id="32"/>
      <w:bookmarkEnd w:id="33"/>
      <w:bookmarkEnd w:id="34"/>
    </w:p>
    <w:p w14:paraId="0FB2D37A">
      <w:pPr>
        <w:pStyle w:val="5"/>
        <w:bidi w:val="0"/>
        <w:rPr>
          <w:rFonts w:hint="default" w:ascii="Times New Roman" w:hAnsi="Times New Roman" w:eastAsia="宋体" w:cs="Times New Roman"/>
          <w:color w:val="auto"/>
          <w:sz w:val="30"/>
          <w:szCs w:val="30"/>
          <w:lang w:val="en-US" w:eastAsia="zh-CN"/>
        </w:rPr>
      </w:pPr>
      <w:bookmarkStart w:id="35" w:name="_Toc7016"/>
      <w:r>
        <w:rPr>
          <w:rFonts w:hint="eastAsia" w:ascii="Times New Roman" w:hAnsi="Times New Roman" w:eastAsia="宋体" w:cs="Times New Roman"/>
          <w:color w:val="auto"/>
          <w:sz w:val="30"/>
          <w:szCs w:val="30"/>
          <w:lang w:val="en-US" w:eastAsia="zh-CN"/>
        </w:rPr>
        <w:t>1.</w:t>
      </w:r>
      <w:r>
        <w:rPr>
          <w:rFonts w:hint="eastAsia" w:eastAsia="宋体" w:cs="Times New Roman"/>
          <w:color w:val="auto"/>
          <w:sz w:val="30"/>
          <w:szCs w:val="30"/>
          <w:lang w:val="en-US" w:eastAsia="zh-CN"/>
        </w:rPr>
        <w:t>3</w:t>
      </w:r>
      <w:r>
        <w:rPr>
          <w:rFonts w:hint="eastAsia" w:ascii="Times New Roman" w:hAnsi="Times New Roman" w:eastAsia="宋体" w:cs="Times New Roman"/>
          <w:color w:val="auto"/>
          <w:sz w:val="30"/>
          <w:szCs w:val="30"/>
          <w:lang w:val="en-US" w:eastAsia="zh-CN"/>
        </w:rPr>
        <w:t>.1产业</w:t>
      </w:r>
      <w:r>
        <w:rPr>
          <w:rFonts w:hint="eastAsia" w:ascii="Times New Roman" w:hAnsi="Times New Roman"/>
          <w:color w:val="auto"/>
          <w:sz w:val="30"/>
          <w:szCs w:val="30"/>
          <w:lang w:val="en-US" w:eastAsia="zh-CN"/>
        </w:rPr>
        <w:t>政策</w:t>
      </w:r>
      <w:r>
        <w:rPr>
          <w:rFonts w:hint="eastAsia" w:ascii="Times New Roman" w:hAnsi="Times New Roman" w:eastAsia="宋体" w:cs="Times New Roman"/>
          <w:color w:val="auto"/>
          <w:sz w:val="30"/>
          <w:szCs w:val="30"/>
          <w:lang w:val="en-US" w:eastAsia="zh-CN"/>
        </w:rPr>
        <w:t>符合性分析</w:t>
      </w:r>
      <w:bookmarkEnd w:id="35"/>
    </w:p>
    <w:p w14:paraId="3AC35E7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对照《产业结构调整指导目录（2024年本）》，属于其中鼓励类第七项</w:t>
      </w:r>
      <w:r>
        <w:rPr>
          <w:rFonts w:hint="eastAsia" w:ascii="宋体" w:hAnsi="宋体" w:eastAsia="宋体" w:cs="宋体"/>
          <w:color w:val="auto"/>
          <w:sz w:val="24"/>
          <w:szCs w:val="24"/>
        </w:rPr>
        <w:t>“石油天然气”</w:t>
      </w:r>
      <w:r>
        <w:rPr>
          <w:rFonts w:hint="default" w:ascii="Times New Roman" w:hAnsi="Times New Roman" w:eastAsia="宋体" w:cs="Times New Roman"/>
          <w:color w:val="auto"/>
          <w:sz w:val="24"/>
          <w:szCs w:val="24"/>
        </w:rPr>
        <w:t>中第1条</w:t>
      </w:r>
      <w:r>
        <w:rPr>
          <w:rFonts w:hint="eastAsia" w:ascii="宋体" w:hAnsi="宋体" w:eastAsia="宋体" w:cs="宋体"/>
          <w:color w:val="auto"/>
          <w:sz w:val="24"/>
          <w:szCs w:val="24"/>
        </w:rPr>
        <w:t>“常规石油、天然气勘探与开采</w:t>
      </w:r>
      <w:r>
        <w:rPr>
          <w:rFonts w:hint="default" w:ascii="Times New Roman" w:hAnsi="Times New Roman" w:cs="Times New Roman"/>
          <w:color w:val="auto"/>
          <w:sz w:val="24"/>
          <w:szCs w:val="32"/>
        </w:rPr>
        <w:t>和第2条：油气管网建设中原油、天然气、液化天然气、成品油的储存和管道输送设施建</w:t>
      </w:r>
      <w:r>
        <w:rPr>
          <w:rFonts w:hint="eastAsia" w:ascii="宋体" w:hAnsi="宋体" w:eastAsia="宋体" w:cs="宋体"/>
          <w:color w:val="auto"/>
          <w:sz w:val="24"/>
          <w:szCs w:val="32"/>
        </w:rPr>
        <w:t>设”</w:t>
      </w:r>
      <w:r>
        <w:rPr>
          <w:rFonts w:hint="default" w:ascii="Times New Roman" w:hAnsi="Times New Roman" w:cs="Times New Roman"/>
          <w:color w:val="auto"/>
          <w:sz w:val="24"/>
          <w:szCs w:val="32"/>
        </w:rPr>
        <w:t>，属于鼓励类项目</w:t>
      </w:r>
      <w:r>
        <w:rPr>
          <w:color w:val="auto"/>
          <w:kern w:val="0"/>
          <w:sz w:val="24"/>
        </w:rPr>
        <w:t>，</w:t>
      </w:r>
      <w:r>
        <w:rPr>
          <w:rFonts w:hint="default" w:ascii="Times New Roman" w:hAnsi="Times New Roman" w:eastAsia="宋体" w:cs="Times New Roman"/>
          <w:color w:val="auto"/>
          <w:sz w:val="24"/>
          <w:szCs w:val="24"/>
        </w:rPr>
        <w:t>项目建设符合国家产业政策</w:t>
      </w:r>
      <w:r>
        <w:rPr>
          <w:rFonts w:hint="default" w:ascii="Times New Roman" w:hAnsi="Times New Roman" w:eastAsia="宋体" w:cs="Times New Roman"/>
          <w:color w:val="auto"/>
          <w:sz w:val="24"/>
          <w:szCs w:val="24"/>
          <w:lang w:eastAsia="zh-CN"/>
        </w:rPr>
        <w:t>。</w:t>
      </w:r>
    </w:p>
    <w:p w14:paraId="1C831875">
      <w:pPr>
        <w:pStyle w:val="5"/>
        <w:bidi w:val="0"/>
        <w:rPr>
          <w:rFonts w:hint="default" w:ascii="Times New Roman" w:hAnsi="Times New Roman" w:eastAsia="宋体" w:cs="Times New Roman"/>
          <w:color w:val="auto"/>
          <w:sz w:val="30"/>
          <w:szCs w:val="30"/>
          <w:lang w:val="en-US" w:eastAsia="zh-CN"/>
        </w:rPr>
      </w:pPr>
      <w:bookmarkStart w:id="36" w:name="_Toc3477"/>
      <w:r>
        <w:rPr>
          <w:rFonts w:hint="eastAsia" w:ascii="Times New Roman" w:hAnsi="Times New Roman" w:eastAsia="宋体" w:cs="Times New Roman"/>
          <w:color w:val="auto"/>
          <w:sz w:val="30"/>
          <w:szCs w:val="30"/>
          <w:lang w:val="en-US" w:eastAsia="zh-CN"/>
        </w:rPr>
        <w:t>1.</w:t>
      </w:r>
      <w:r>
        <w:rPr>
          <w:rFonts w:hint="eastAsia" w:eastAsia="宋体" w:cs="Times New Roman"/>
          <w:color w:val="auto"/>
          <w:sz w:val="30"/>
          <w:szCs w:val="30"/>
          <w:lang w:val="en-US" w:eastAsia="zh-CN"/>
        </w:rPr>
        <w:t>3</w:t>
      </w:r>
      <w:r>
        <w:rPr>
          <w:rFonts w:hint="eastAsia" w:ascii="Times New Roman" w:hAnsi="Times New Roman" w:eastAsia="宋体" w:cs="Times New Roman"/>
          <w:color w:val="auto"/>
          <w:sz w:val="30"/>
          <w:szCs w:val="30"/>
          <w:lang w:val="en-US" w:eastAsia="zh-CN"/>
        </w:rPr>
        <w:t>.2其他技术政策</w:t>
      </w:r>
      <w:r>
        <w:rPr>
          <w:rFonts w:hint="eastAsia" w:ascii="Times New Roman" w:hAnsi="Times New Roman"/>
          <w:color w:val="auto"/>
          <w:sz w:val="30"/>
          <w:szCs w:val="30"/>
          <w:lang w:val="en-US" w:eastAsia="zh-CN"/>
        </w:rPr>
        <w:t>符合</w:t>
      </w:r>
      <w:r>
        <w:rPr>
          <w:rFonts w:hint="eastAsia" w:ascii="Times New Roman" w:hAnsi="Times New Roman" w:eastAsia="宋体" w:cs="Times New Roman"/>
          <w:color w:val="auto"/>
          <w:sz w:val="30"/>
          <w:szCs w:val="30"/>
          <w:lang w:val="en-US" w:eastAsia="zh-CN"/>
        </w:rPr>
        <w:t>性分析</w:t>
      </w:r>
      <w:bookmarkEnd w:id="36"/>
    </w:p>
    <w:p w14:paraId="7A36C60B">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本工程与《石油天然气开采业污染防治技术政策》《关于进一步加强石油天然气行业环境影响评价管理的通知》及其他相关文件相符性分析见表1.3-1~1.3-6。</w:t>
      </w:r>
    </w:p>
    <w:p w14:paraId="4AB558EF">
      <w:pPr>
        <w:pStyle w:val="43"/>
        <w:bidi w:val="0"/>
        <w:rPr>
          <w:rFonts w:hint="default"/>
          <w:color w:val="auto"/>
          <w:lang w:val="en-US" w:eastAsia="zh-CN"/>
        </w:rPr>
      </w:pPr>
      <w:r>
        <w:rPr>
          <w:rFonts w:hint="default"/>
          <w:color w:val="auto"/>
        </w:rPr>
        <w:t>表</w:t>
      </w:r>
      <w:r>
        <w:rPr>
          <w:rFonts w:hint="eastAsia"/>
          <w:color w:val="auto"/>
          <w:lang w:val="en-US" w:eastAsia="zh-CN"/>
        </w:rPr>
        <w:t>1.3-1</w:t>
      </w:r>
      <w:r>
        <w:rPr>
          <w:rFonts w:hint="default"/>
          <w:color w:val="auto"/>
        </w:rPr>
        <w:t xml:space="preserve"> </w:t>
      </w:r>
      <w:r>
        <w:rPr>
          <w:rFonts w:hint="eastAsia"/>
          <w:color w:val="auto"/>
          <w:lang w:val="en-US" w:eastAsia="zh-CN"/>
        </w:rPr>
        <w:t xml:space="preserve"> 与《石油天然气开采业污染防治技术政策》相符性分析一览表</w:t>
      </w:r>
    </w:p>
    <w:tbl>
      <w:tblPr>
        <w:tblStyle w:val="28"/>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
        <w:gridCol w:w="3646"/>
        <w:gridCol w:w="3764"/>
        <w:gridCol w:w="727"/>
      </w:tblGrid>
      <w:tr w14:paraId="0D92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8" w:type="pct"/>
            <w:tcBorders>
              <w:tl2br w:val="nil"/>
              <w:tr2bl w:val="nil"/>
            </w:tcBorders>
            <w:noWrap w:val="0"/>
            <w:vAlign w:val="center"/>
          </w:tcPr>
          <w:p w14:paraId="3422C8C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155" w:type="pct"/>
            <w:tcBorders>
              <w:tl2br w:val="nil"/>
              <w:tr2bl w:val="nil"/>
            </w:tcBorders>
            <w:noWrap w:val="0"/>
            <w:vAlign w:val="center"/>
          </w:tcPr>
          <w:p w14:paraId="72697F01">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要求</w:t>
            </w:r>
          </w:p>
        </w:tc>
        <w:tc>
          <w:tcPr>
            <w:tcW w:w="2225" w:type="pct"/>
            <w:tcBorders>
              <w:tl2br w:val="nil"/>
              <w:tr2bl w:val="nil"/>
            </w:tcBorders>
            <w:noWrap w:val="0"/>
            <w:vAlign w:val="center"/>
          </w:tcPr>
          <w:p w14:paraId="6FBB6766">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本工程</w:t>
            </w:r>
          </w:p>
        </w:tc>
        <w:tc>
          <w:tcPr>
            <w:tcW w:w="429" w:type="pct"/>
            <w:tcBorders>
              <w:tl2br w:val="nil"/>
              <w:tr2bl w:val="nil"/>
            </w:tcBorders>
            <w:noWrap w:val="0"/>
            <w:vAlign w:val="center"/>
          </w:tcPr>
          <w:p w14:paraId="4351CB8B">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相符性</w:t>
            </w:r>
          </w:p>
        </w:tc>
      </w:tr>
      <w:tr w14:paraId="2F61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8" w:type="pct"/>
            <w:tcBorders>
              <w:tl2br w:val="nil"/>
              <w:tr2bl w:val="nil"/>
            </w:tcBorders>
            <w:noWrap w:val="0"/>
            <w:vAlign w:val="center"/>
          </w:tcPr>
          <w:p w14:paraId="2CEAAE8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2155" w:type="pct"/>
            <w:tcBorders>
              <w:tl2br w:val="nil"/>
              <w:tr2bl w:val="nil"/>
            </w:tcBorders>
            <w:noWrap w:val="0"/>
            <w:vAlign w:val="center"/>
          </w:tcPr>
          <w:p w14:paraId="70390C71">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2225" w:type="pct"/>
            <w:tcBorders>
              <w:tl2br w:val="nil"/>
              <w:tr2bl w:val="nil"/>
            </w:tcBorders>
            <w:noWrap w:val="0"/>
            <w:vAlign w:val="center"/>
          </w:tcPr>
          <w:p w14:paraId="1DAE78F6">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运营期井下作业废水由罐车拉运至</w:t>
            </w:r>
            <w:r>
              <w:rPr>
                <w:rFonts w:hint="eastAsia" w:cs="Times New Roman"/>
                <w:color w:val="auto"/>
                <w:sz w:val="21"/>
                <w:szCs w:val="21"/>
                <w:lang w:val="en-US" w:eastAsia="zh-CN"/>
              </w:rPr>
              <w:t>百口泉注输</w:t>
            </w:r>
            <w:r>
              <w:rPr>
                <w:rFonts w:hint="default" w:ascii="Times New Roman" w:hAnsi="Times New Roman" w:eastAsia="宋体" w:cs="Times New Roman"/>
                <w:color w:val="auto"/>
                <w:sz w:val="21"/>
                <w:szCs w:val="21"/>
                <w:lang w:val="en-US" w:eastAsia="zh-CN"/>
              </w:rPr>
              <w:t>联合站采出水处理系统处置</w:t>
            </w:r>
            <w:r>
              <w:rPr>
                <w:rFonts w:hint="eastAsia" w:ascii="Times New Roman" w:hAnsi="Times New Roman" w:eastAsia="宋体" w:cs="Times New Roman"/>
                <w:color w:val="auto"/>
                <w:sz w:val="21"/>
                <w:szCs w:val="21"/>
                <w:lang w:val="en-US" w:eastAsia="zh-CN"/>
              </w:rPr>
              <w:t>，采出液密闭集输至</w:t>
            </w:r>
            <w:r>
              <w:rPr>
                <w:rFonts w:hint="eastAsia" w:cs="Times New Roman"/>
                <w:color w:val="auto"/>
                <w:sz w:val="21"/>
                <w:szCs w:val="21"/>
                <w:lang w:val="en-US" w:eastAsia="zh-CN"/>
              </w:rPr>
              <w:t>百口泉注输联合站</w:t>
            </w:r>
            <w:r>
              <w:rPr>
                <w:rFonts w:hint="eastAsia" w:ascii="Times New Roman" w:hAnsi="Times New Roman" w:eastAsia="宋体" w:cs="Times New Roman"/>
                <w:color w:val="auto"/>
                <w:sz w:val="21"/>
                <w:szCs w:val="21"/>
                <w:lang w:val="en-US" w:eastAsia="zh-CN"/>
              </w:rPr>
              <w:t>处理，采出液分离出的废水处理达标后</w:t>
            </w:r>
            <w:r>
              <w:rPr>
                <w:rFonts w:hint="eastAsia" w:cs="Times New Roman"/>
                <w:color w:val="auto"/>
                <w:sz w:val="21"/>
                <w:szCs w:val="21"/>
                <w:lang w:val="en-US" w:eastAsia="zh-CN"/>
              </w:rPr>
              <w:t>用于回注</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工业废水回用率大于90%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落地油100%回收</w:t>
            </w:r>
            <w:r>
              <w:rPr>
                <w:rFonts w:hint="eastAsia" w:ascii="Times New Roman" w:hAnsi="Times New Roman" w:eastAsia="宋体" w:cs="Times New Roman"/>
                <w:color w:val="auto"/>
                <w:sz w:val="21"/>
                <w:szCs w:val="21"/>
                <w:lang w:val="en-US" w:eastAsia="zh-CN"/>
              </w:rPr>
              <w:t>，含油污泥</w:t>
            </w:r>
            <w:r>
              <w:rPr>
                <w:rFonts w:hint="eastAsia" w:cs="Times New Roman"/>
                <w:color w:val="auto"/>
                <w:sz w:val="21"/>
                <w:szCs w:val="21"/>
                <w:lang w:val="en-US" w:eastAsia="zh-CN"/>
              </w:rPr>
              <w:t>、沾油废物</w:t>
            </w:r>
            <w:r>
              <w:rPr>
                <w:rFonts w:hint="eastAsia" w:ascii="Times New Roman" w:hAnsi="Times New Roman" w:eastAsia="宋体" w:cs="Times New Roman"/>
                <w:color w:val="auto"/>
                <w:sz w:val="21"/>
                <w:szCs w:val="21"/>
                <w:lang w:val="en-US" w:eastAsia="zh-CN"/>
              </w:rPr>
              <w:t>委托有危险废物处置资质的单位处置。</w:t>
            </w:r>
            <w:r>
              <w:rPr>
                <w:rFonts w:hint="default" w:ascii="Times New Roman" w:hAnsi="Times New Roman" w:eastAsia="宋体" w:cs="Times New Roman"/>
                <w:color w:val="auto"/>
                <w:sz w:val="21"/>
                <w:szCs w:val="21"/>
                <w:lang w:val="en-US" w:eastAsia="zh-CN"/>
              </w:rPr>
              <w:t>本环评对项目可能产生的环境风险进行了分析，并提出了相应的风险防范措施和应急预案</w:t>
            </w:r>
            <w:r>
              <w:rPr>
                <w:rFonts w:hint="eastAsia" w:ascii="Times New Roman" w:hAnsi="Times New Roman" w:eastAsia="宋体" w:cs="Times New Roman"/>
                <w:color w:val="auto"/>
                <w:sz w:val="21"/>
                <w:szCs w:val="21"/>
                <w:lang w:val="en-US" w:eastAsia="zh-CN"/>
              </w:rPr>
              <w:t>。</w:t>
            </w:r>
          </w:p>
        </w:tc>
        <w:tc>
          <w:tcPr>
            <w:tcW w:w="429" w:type="pct"/>
            <w:tcBorders>
              <w:tl2br w:val="nil"/>
              <w:tr2bl w:val="nil"/>
            </w:tcBorders>
            <w:noWrap w:val="0"/>
            <w:vAlign w:val="center"/>
          </w:tcPr>
          <w:p w14:paraId="219F98BE">
            <w:pPr>
              <w:jc w:val="center"/>
              <w:rPr>
                <w:rFonts w:hint="default"/>
                <w:color w:val="auto"/>
                <w:lang w:val="en-US" w:eastAsia="zh-CN"/>
              </w:rPr>
            </w:pPr>
            <w:r>
              <w:rPr>
                <w:rFonts w:hint="default"/>
                <w:color w:val="auto"/>
                <w:lang w:val="en-US" w:eastAsia="zh-CN"/>
              </w:rPr>
              <w:t>符合</w:t>
            </w:r>
          </w:p>
        </w:tc>
      </w:tr>
      <w:tr w14:paraId="2C3D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88" w:type="pct"/>
            <w:tcBorders>
              <w:tl2br w:val="nil"/>
              <w:tr2bl w:val="nil"/>
            </w:tcBorders>
            <w:noWrap w:val="0"/>
            <w:vAlign w:val="center"/>
          </w:tcPr>
          <w:p w14:paraId="4157333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2155" w:type="pct"/>
            <w:tcBorders>
              <w:tl2br w:val="nil"/>
              <w:tr2bl w:val="nil"/>
            </w:tcBorders>
            <w:noWrap w:val="0"/>
            <w:vAlign w:val="center"/>
          </w:tcPr>
          <w:p w14:paraId="0BEE7323">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在勘探开发过程中，应防止产生落地原油。其中井下作业过程中应配备泄油器、刮油器等。落地原油应及时回收，落地原油回收率应达到100%</w:t>
            </w:r>
          </w:p>
        </w:tc>
        <w:tc>
          <w:tcPr>
            <w:tcW w:w="2225" w:type="pct"/>
            <w:tcBorders>
              <w:tl2br w:val="nil"/>
              <w:tr2bl w:val="nil"/>
            </w:tcBorders>
            <w:noWrap w:val="0"/>
            <w:vAlign w:val="center"/>
          </w:tcPr>
          <w:p w14:paraId="1F5F86A4">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井下作业必须带罐（车）操作，</w:t>
            </w:r>
            <w:r>
              <w:rPr>
                <w:rFonts w:hint="eastAsia" w:cs="Times New Roman"/>
                <w:color w:val="auto"/>
                <w:sz w:val="21"/>
                <w:szCs w:val="21"/>
                <w:lang w:val="en-US" w:eastAsia="zh-CN"/>
              </w:rPr>
              <w:t>采用专用罐车</w:t>
            </w:r>
            <w:r>
              <w:rPr>
                <w:rFonts w:hint="default" w:ascii="Times New Roman" w:hAnsi="Times New Roman" w:eastAsia="宋体" w:cs="Times New Roman"/>
                <w:color w:val="auto"/>
                <w:sz w:val="21"/>
                <w:szCs w:val="21"/>
                <w:lang w:val="en-US" w:eastAsia="zh-CN"/>
              </w:rPr>
              <w:t>拉运至</w:t>
            </w:r>
            <w:r>
              <w:rPr>
                <w:rFonts w:hint="eastAsia" w:cs="Times New Roman"/>
                <w:color w:val="auto"/>
                <w:sz w:val="21"/>
                <w:szCs w:val="21"/>
                <w:lang w:val="en-US" w:eastAsia="zh-CN"/>
              </w:rPr>
              <w:t>百口泉注输联合站</w:t>
            </w:r>
            <w:r>
              <w:rPr>
                <w:rFonts w:hint="default" w:ascii="Times New Roman" w:hAnsi="Times New Roman" w:eastAsia="宋体" w:cs="Times New Roman"/>
                <w:color w:val="auto"/>
                <w:sz w:val="21"/>
                <w:szCs w:val="21"/>
                <w:lang w:val="en-US" w:eastAsia="zh-CN"/>
              </w:rPr>
              <w:t>处理。落地油100%回收</w:t>
            </w:r>
            <w:r>
              <w:rPr>
                <w:rFonts w:hint="eastAsia" w:ascii="Times New Roman" w:hAnsi="Times New Roman" w:eastAsia="宋体" w:cs="Times New Roman"/>
                <w:color w:val="auto"/>
                <w:sz w:val="21"/>
                <w:szCs w:val="21"/>
                <w:lang w:val="en-US" w:eastAsia="zh-CN"/>
              </w:rPr>
              <w:t>。</w:t>
            </w:r>
          </w:p>
        </w:tc>
        <w:tc>
          <w:tcPr>
            <w:tcW w:w="429" w:type="pct"/>
            <w:tcBorders>
              <w:tl2br w:val="nil"/>
              <w:tr2bl w:val="nil"/>
            </w:tcBorders>
            <w:noWrap w:val="0"/>
            <w:vAlign w:val="center"/>
          </w:tcPr>
          <w:p w14:paraId="5B1CCC90">
            <w:pPr>
              <w:jc w:val="center"/>
              <w:rPr>
                <w:rFonts w:hint="default"/>
                <w:color w:val="auto"/>
                <w:lang w:val="en-US" w:eastAsia="zh-CN"/>
              </w:rPr>
            </w:pPr>
            <w:r>
              <w:rPr>
                <w:rFonts w:hint="default"/>
                <w:color w:val="auto"/>
                <w:lang w:val="en-US" w:eastAsia="zh-CN"/>
              </w:rPr>
              <w:t>符合</w:t>
            </w:r>
          </w:p>
        </w:tc>
      </w:tr>
      <w:tr w14:paraId="5B2E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88" w:type="pct"/>
            <w:tcBorders>
              <w:tl2br w:val="nil"/>
              <w:tr2bl w:val="nil"/>
            </w:tcBorders>
            <w:noWrap w:val="0"/>
            <w:vAlign w:val="center"/>
          </w:tcPr>
          <w:p w14:paraId="4AD7216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2155" w:type="pct"/>
            <w:tcBorders>
              <w:tl2br w:val="nil"/>
              <w:tr2bl w:val="nil"/>
            </w:tcBorders>
            <w:noWrap w:val="0"/>
            <w:vAlign w:val="center"/>
          </w:tcPr>
          <w:p w14:paraId="71C1425C">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w:t>
            </w:r>
            <w:r>
              <w:rPr>
                <w:rFonts w:hint="eastAsia" w:ascii="Times New Roman" w:hAnsi="Times New Roman" w:eastAsia="宋体" w:cs="Times New Roman"/>
                <w:color w:val="auto"/>
                <w:sz w:val="21"/>
                <w:szCs w:val="21"/>
                <w:lang w:val="en-US" w:eastAsia="zh-CN"/>
              </w:rPr>
              <w:t>开发过程中，适宜注水开采的油气田，应将采出水处理满足标准后回注；对于稠油注汽开采，鼓励采出水处理后回用于注汽锅炉。</w:t>
            </w:r>
          </w:p>
        </w:tc>
        <w:tc>
          <w:tcPr>
            <w:tcW w:w="2225" w:type="pct"/>
            <w:tcBorders>
              <w:tl2br w:val="nil"/>
              <w:tr2bl w:val="nil"/>
            </w:tcBorders>
            <w:noWrap w:val="0"/>
            <w:vAlign w:val="center"/>
          </w:tcPr>
          <w:p w14:paraId="03DED57C">
            <w:pPr>
              <w:jc w:val="lef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本工程</w:t>
            </w:r>
            <w:r>
              <w:rPr>
                <w:rFonts w:hint="default" w:ascii="Times New Roman" w:hAnsi="Times New Roman" w:eastAsia="宋体" w:cs="Times New Roman"/>
                <w:color w:val="auto"/>
                <w:sz w:val="21"/>
                <w:szCs w:val="21"/>
                <w:lang w:val="en-US" w:eastAsia="zh-CN"/>
              </w:rPr>
              <w:t>采出液密闭集输至</w:t>
            </w:r>
            <w:r>
              <w:rPr>
                <w:rFonts w:hint="eastAsia" w:cs="Times New Roman"/>
                <w:color w:val="auto"/>
                <w:sz w:val="21"/>
                <w:szCs w:val="21"/>
                <w:lang w:val="en-US" w:eastAsia="zh-CN"/>
              </w:rPr>
              <w:t>百口泉注输联合站</w:t>
            </w:r>
            <w:r>
              <w:rPr>
                <w:rFonts w:hint="default" w:ascii="Times New Roman" w:hAnsi="Times New Roman" w:eastAsia="宋体" w:cs="Times New Roman"/>
                <w:color w:val="auto"/>
                <w:sz w:val="21"/>
                <w:szCs w:val="21"/>
                <w:lang w:val="en-US" w:eastAsia="zh-CN"/>
              </w:rPr>
              <w:t>处理，采出液分离出的废水经</w:t>
            </w:r>
            <w:r>
              <w:rPr>
                <w:rFonts w:hint="eastAsia" w:cs="Times New Roman"/>
                <w:color w:val="auto"/>
                <w:sz w:val="21"/>
                <w:szCs w:val="21"/>
                <w:lang w:val="en-US" w:eastAsia="zh-CN"/>
              </w:rPr>
              <w:t>百口泉注输联合站</w:t>
            </w:r>
            <w:r>
              <w:rPr>
                <w:rFonts w:hint="default" w:ascii="Times New Roman" w:hAnsi="Times New Roman" w:eastAsia="宋体" w:cs="Times New Roman"/>
                <w:color w:val="auto"/>
                <w:sz w:val="21"/>
                <w:szCs w:val="21"/>
                <w:lang w:val="en-US" w:eastAsia="zh-CN"/>
              </w:rPr>
              <w:t>采出水处理系统处理达标后</w:t>
            </w:r>
            <w:r>
              <w:rPr>
                <w:rFonts w:hint="eastAsia" w:cs="Times New Roman"/>
                <w:color w:val="auto"/>
                <w:sz w:val="21"/>
                <w:szCs w:val="21"/>
                <w:lang w:val="en-US" w:eastAsia="zh-CN"/>
              </w:rPr>
              <w:t>回注</w:t>
            </w:r>
            <w:r>
              <w:rPr>
                <w:rFonts w:hint="default" w:ascii="Times New Roman" w:hAnsi="Times New Roman" w:eastAsia="宋体" w:cs="Times New Roman"/>
                <w:color w:val="auto"/>
                <w:sz w:val="21"/>
                <w:szCs w:val="21"/>
                <w:lang w:val="en-US" w:eastAsia="zh-CN"/>
              </w:rPr>
              <w:t>。</w:t>
            </w:r>
          </w:p>
        </w:tc>
        <w:tc>
          <w:tcPr>
            <w:tcW w:w="429" w:type="pct"/>
            <w:tcBorders>
              <w:tl2br w:val="nil"/>
              <w:tr2bl w:val="nil"/>
            </w:tcBorders>
            <w:noWrap w:val="0"/>
            <w:vAlign w:val="center"/>
          </w:tcPr>
          <w:p w14:paraId="6DFA93C2">
            <w:pPr>
              <w:jc w:val="center"/>
              <w:rPr>
                <w:rFonts w:hint="default"/>
                <w:color w:val="auto"/>
                <w:lang w:val="en-US" w:eastAsia="zh-CN"/>
              </w:rPr>
            </w:pPr>
            <w:r>
              <w:rPr>
                <w:rFonts w:hint="default"/>
                <w:color w:val="auto"/>
                <w:lang w:val="en-US" w:eastAsia="zh-CN"/>
              </w:rPr>
              <w:t>符合</w:t>
            </w:r>
          </w:p>
        </w:tc>
      </w:tr>
      <w:tr w14:paraId="07EF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88" w:type="pct"/>
            <w:tcBorders>
              <w:tl2br w:val="nil"/>
              <w:tr2bl w:val="nil"/>
            </w:tcBorders>
            <w:noWrap w:val="0"/>
            <w:vAlign w:val="center"/>
          </w:tcPr>
          <w:p w14:paraId="2153232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155" w:type="pct"/>
            <w:tcBorders>
              <w:tl2br w:val="nil"/>
              <w:tr2bl w:val="nil"/>
            </w:tcBorders>
            <w:noWrap w:val="0"/>
            <w:vAlign w:val="center"/>
          </w:tcPr>
          <w:p w14:paraId="5DED01E1">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在开发过程中，伴生气应回收利用，减少温室气体排放，不具备回收利用条件的，应充分燃烧，伴生气回收利用率应达到80%以上</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站场放空天然气应充分燃烧。燃烧放空设施应避开鸟类迁徙通道。</w:t>
            </w:r>
          </w:p>
        </w:tc>
        <w:tc>
          <w:tcPr>
            <w:tcW w:w="2225" w:type="pct"/>
            <w:tcBorders>
              <w:tl2br w:val="nil"/>
              <w:tr2bl w:val="nil"/>
            </w:tcBorders>
            <w:noWrap w:val="0"/>
            <w:vAlign w:val="center"/>
          </w:tcPr>
          <w:p w14:paraId="74598DE5">
            <w:pPr>
              <w:jc w:val="lef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本工程</w:t>
            </w:r>
            <w:r>
              <w:rPr>
                <w:rFonts w:hint="default" w:ascii="Times New Roman" w:hAnsi="Times New Roman" w:eastAsia="宋体" w:cs="Times New Roman"/>
                <w:color w:val="auto"/>
                <w:sz w:val="21"/>
                <w:szCs w:val="21"/>
                <w:lang w:val="en-US" w:eastAsia="zh-CN"/>
              </w:rPr>
              <w:t>运营期随产液一起采出的伴生气产生</w:t>
            </w:r>
            <w:r>
              <w:rPr>
                <w:rFonts w:hint="eastAsia" w:cs="Times New Roman"/>
                <w:color w:val="auto"/>
                <w:sz w:val="21"/>
                <w:szCs w:val="21"/>
                <w:lang w:val="en-US" w:eastAsia="zh-CN"/>
              </w:rPr>
              <w:t>进伴生气处理站进一步处理</w:t>
            </w:r>
            <w:r>
              <w:rPr>
                <w:rFonts w:hint="default" w:ascii="Times New Roman" w:hAnsi="Times New Roman" w:eastAsia="宋体" w:cs="Times New Roman"/>
                <w:color w:val="auto"/>
                <w:sz w:val="21"/>
                <w:szCs w:val="21"/>
                <w:lang w:val="en-US" w:eastAsia="zh-CN"/>
              </w:rPr>
              <w:t>。</w:t>
            </w:r>
          </w:p>
        </w:tc>
        <w:tc>
          <w:tcPr>
            <w:tcW w:w="429" w:type="pct"/>
            <w:tcBorders>
              <w:tl2br w:val="nil"/>
              <w:tr2bl w:val="nil"/>
            </w:tcBorders>
            <w:noWrap w:val="0"/>
            <w:vAlign w:val="center"/>
          </w:tcPr>
          <w:p w14:paraId="54B5C16F">
            <w:pPr>
              <w:jc w:val="center"/>
              <w:rPr>
                <w:rFonts w:hint="default"/>
                <w:color w:val="auto"/>
                <w:lang w:val="en-US" w:eastAsia="zh-CN"/>
              </w:rPr>
            </w:pPr>
            <w:r>
              <w:rPr>
                <w:rFonts w:hint="default" w:ascii="Times New Roman" w:hAnsi="Times New Roman" w:eastAsia="宋体" w:cs="Times New Roman"/>
                <w:color w:val="auto"/>
                <w:sz w:val="21"/>
                <w:szCs w:val="21"/>
                <w:lang w:val="en-US" w:eastAsia="zh-CN"/>
              </w:rPr>
              <w:t>符</w:t>
            </w:r>
            <w:r>
              <w:rPr>
                <w:rFonts w:hint="eastAsia" w:ascii="Times New Roman" w:hAnsi="Times New Roman" w:eastAsia="宋体" w:cs="Times New Roman"/>
                <w:color w:val="auto"/>
                <w:sz w:val="21"/>
                <w:szCs w:val="21"/>
                <w:lang w:val="en-US" w:eastAsia="zh-CN"/>
              </w:rPr>
              <w:t>合</w:t>
            </w:r>
          </w:p>
        </w:tc>
      </w:tr>
      <w:tr w14:paraId="3BCF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88" w:type="pct"/>
            <w:tcBorders>
              <w:tl2br w:val="nil"/>
              <w:tr2bl w:val="nil"/>
            </w:tcBorders>
            <w:noWrap w:val="0"/>
            <w:vAlign w:val="center"/>
          </w:tcPr>
          <w:p w14:paraId="1EF40B0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155" w:type="pct"/>
            <w:tcBorders>
              <w:tl2br w:val="nil"/>
              <w:tr2bl w:val="nil"/>
            </w:tcBorders>
            <w:noWrap w:val="0"/>
            <w:vAlign w:val="center"/>
          </w:tcPr>
          <w:p w14:paraId="1BE1ACE9">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r>
              <w:rPr>
                <w:rFonts w:hint="eastAsia" w:cs="Times New Roman"/>
                <w:color w:val="auto"/>
                <w:sz w:val="21"/>
                <w:szCs w:val="21"/>
                <w:lang w:val="en-US" w:eastAsia="zh-CN"/>
              </w:rPr>
              <w:t>。</w:t>
            </w:r>
          </w:p>
        </w:tc>
        <w:tc>
          <w:tcPr>
            <w:tcW w:w="2225" w:type="pct"/>
            <w:tcBorders>
              <w:tl2br w:val="nil"/>
              <w:tr2bl w:val="nil"/>
            </w:tcBorders>
            <w:noWrap w:val="0"/>
            <w:vAlign w:val="center"/>
          </w:tcPr>
          <w:p w14:paraId="5D797A88">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运营期井下作业必须带罐（车）操作，</w:t>
            </w:r>
            <w:r>
              <w:rPr>
                <w:rFonts w:hint="eastAsia" w:cs="Times New Roman"/>
                <w:color w:val="auto"/>
                <w:sz w:val="21"/>
                <w:szCs w:val="21"/>
                <w:lang w:val="en-US" w:eastAsia="zh-CN"/>
              </w:rPr>
              <w:t>采用专用罐车</w:t>
            </w:r>
            <w:r>
              <w:rPr>
                <w:rFonts w:hint="eastAsia" w:ascii="Times New Roman" w:hAnsi="Times New Roman" w:eastAsia="宋体" w:cs="Times New Roman"/>
                <w:color w:val="auto"/>
                <w:sz w:val="21"/>
                <w:szCs w:val="21"/>
                <w:lang w:val="en-US" w:eastAsia="zh-CN"/>
              </w:rPr>
              <w:t>拉运至</w:t>
            </w:r>
            <w:r>
              <w:rPr>
                <w:rFonts w:hint="eastAsia" w:cs="Times New Roman"/>
                <w:color w:val="auto"/>
                <w:sz w:val="21"/>
                <w:szCs w:val="21"/>
                <w:lang w:val="en-US" w:eastAsia="zh-CN"/>
              </w:rPr>
              <w:t>百口泉注输联合站</w:t>
            </w:r>
            <w:r>
              <w:rPr>
                <w:rFonts w:hint="eastAsia"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lang w:val="en-US" w:eastAsia="zh-CN"/>
              </w:rPr>
              <w:t>落地油100%进行回收</w:t>
            </w:r>
            <w:r>
              <w:rPr>
                <w:rFonts w:hint="eastAsia" w:ascii="Times New Roman" w:hAnsi="Times New Roman" w:eastAsia="宋体" w:cs="Times New Roman"/>
                <w:color w:val="auto"/>
                <w:sz w:val="21"/>
                <w:szCs w:val="21"/>
                <w:lang w:val="en-US" w:eastAsia="zh-CN"/>
              </w:rPr>
              <w:t>。含油污泥委托有危险废物处置资质的单位处置。</w:t>
            </w:r>
          </w:p>
        </w:tc>
        <w:tc>
          <w:tcPr>
            <w:tcW w:w="429" w:type="pct"/>
            <w:tcBorders>
              <w:tl2br w:val="nil"/>
              <w:tr2bl w:val="nil"/>
            </w:tcBorders>
            <w:noWrap w:val="0"/>
            <w:vAlign w:val="center"/>
          </w:tcPr>
          <w:p w14:paraId="4E83565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F87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88" w:type="pct"/>
            <w:tcBorders>
              <w:tl2br w:val="nil"/>
              <w:tr2bl w:val="nil"/>
            </w:tcBorders>
            <w:noWrap w:val="0"/>
            <w:vAlign w:val="center"/>
          </w:tcPr>
          <w:p w14:paraId="5D7347A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2155" w:type="pct"/>
            <w:tcBorders>
              <w:tl2br w:val="nil"/>
              <w:tr2bl w:val="nil"/>
            </w:tcBorders>
            <w:noWrap w:val="0"/>
            <w:vAlign w:val="center"/>
          </w:tcPr>
          <w:p w14:paraId="6935B47C">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油气田企业应制定环境保护管理规定，建立并运行健康、安全与环境管理体系</w:t>
            </w:r>
            <w:r>
              <w:rPr>
                <w:rFonts w:hint="eastAsia" w:cs="Times New Roman"/>
                <w:color w:val="auto"/>
                <w:sz w:val="21"/>
                <w:szCs w:val="21"/>
                <w:lang w:val="en-US" w:eastAsia="zh-CN"/>
              </w:rPr>
              <w:t>。</w:t>
            </w:r>
          </w:p>
        </w:tc>
        <w:tc>
          <w:tcPr>
            <w:tcW w:w="2225" w:type="pct"/>
            <w:tcBorders>
              <w:tl2br w:val="nil"/>
              <w:tr2bl w:val="nil"/>
            </w:tcBorders>
            <w:noWrap w:val="0"/>
            <w:vAlign w:val="center"/>
          </w:tcPr>
          <w:p w14:paraId="59B10B0D">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中国石油新疆油田分公司</w:t>
            </w:r>
            <w:r>
              <w:rPr>
                <w:rFonts w:hint="eastAsia" w:cs="Times New Roman"/>
                <w:color w:val="auto"/>
                <w:sz w:val="21"/>
                <w:szCs w:val="21"/>
                <w:lang w:val="en-US" w:eastAsia="zh-CN"/>
              </w:rPr>
              <w:t>百口泉采油厂</w:t>
            </w:r>
            <w:r>
              <w:rPr>
                <w:rFonts w:hint="default" w:ascii="Times New Roman" w:hAnsi="Times New Roman" w:eastAsia="宋体" w:cs="Times New Roman"/>
                <w:color w:val="auto"/>
                <w:sz w:val="21"/>
                <w:szCs w:val="21"/>
                <w:lang w:val="en-US" w:eastAsia="zh-CN"/>
              </w:rPr>
              <w:t>建立了完善的健康、安全与环境管理体系</w:t>
            </w:r>
            <w:r>
              <w:rPr>
                <w:rFonts w:hint="eastAsia" w:ascii="Times New Roman" w:hAnsi="Times New Roman" w:eastAsia="宋体" w:cs="Times New Roman"/>
                <w:color w:val="auto"/>
                <w:sz w:val="21"/>
                <w:szCs w:val="21"/>
                <w:lang w:val="en-US" w:eastAsia="zh-CN"/>
              </w:rPr>
              <w:t>。</w:t>
            </w:r>
          </w:p>
        </w:tc>
        <w:tc>
          <w:tcPr>
            <w:tcW w:w="429" w:type="pct"/>
            <w:tcBorders>
              <w:tl2br w:val="nil"/>
              <w:tr2bl w:val="nil"/>
            </w:tcBorders>
            <w:noWrap w:val="0"/>
            <w:vAlign w:val="center"/>
          </w:tcPr>
          <w:p w14:paraId="01D64DF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7424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88" w:type="pct"/>
            <w:tcBorders>
              <w:tl2br w:val="nil"/>
              <w:tr2bl w:val="nil"/>
            </w:tcBorders>
            <w:noWrap w:val="0"/>
            <w:vAlign w:val="center"/>
          </w:tcPr>
          <w:p w14:paraId="62DCE3E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2155" w:type="pct"/>
            <w:tcBorders>
              <w:tl2br w:val="nil"/>
              <w:tr2bl w:val="nil"/>
            </w:tcBorders>
            <w:noWrap w:val="0"/>
            <w:vAlign w:val="center"/>
          </w:tcPr>
          <w:p w14:paraId="7BD6E474">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加强油气田建设、勘探开发过程的环境监督管理。油气田建设过程应开展工程环境监理</w:t>
            </w:r>
            <w:r>
              <w:rPr>
                <w:rFonts w:hint="eastAsia" w:cs="Times New Roman"/>
                <w:color w:val="auto"/>
                <w:sz w:val="21"/>
                <w:szCs w:val="21"/>
                <w:lang w:val="en-US" w:eastAsia="zh-CN"/>
              </w:rPr>
              <w:t>。</w:t>
            </w:r>
          </w:p>
        </w:tc>
        <w:tc>
          <w:tcPr>
            <w:tcW w:w="2225" w:type="pct"/>
            <w:tcBorders>
              <w:tl2br w:val="nil"/>
              <w:tr2bl w:val="nil"/>
            </w:tcBorders>
            <w:noWrap w:val="0"/>
            <w:vAlign w:val="center"/>
          </w:tcPr>
          <w:p w14:paraId="6210BFEE">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环评要求项目开展工程环境监理，并拟定了开发期环境监理计划</w:t>
            </w:r>
            <w:r>
              <w:rPr>
                <w:rFonts w:hint="eastAsia" w:ascii="Times New Roman" w:hAnsi="Times New Roman" w:eastAsia="宋体" w:cs="Times New Roman"/>
                <w:color w:val="auto"/>
                <w:sz w:val="21"/>
                <w:szCs w:val="21"/>
                <w:lang w:val="en-US" w:eastAsia="zh-CN"/>
              </w:rPr>
              <w:t>。</w:t>
            </w:r>
          </w:p>
        </w:tc>
        <w:tc>
          <w:tcPr>
            <w:tcW w:w="429" w:type="pct"/>
            <w:tcBorders>
              <w:tl2br w:val="nil"/>
              <w:tr2bl w:val="nil"/>
            </w:tcBorders>
            <w:noWrap w:val="0"/>
            <w:vAlign w:val="center"/>
          </w:tcPr>
          <w:p w14:paraId="6A53B6A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41733A87">
      <w:pPr>
        <w:pStyle w:val="43"/>
        <w:bidi w:val="0"/>
        <w:rPr>
          <w:rFonts w:hint="default"/>
          <w:color w:val="auto"/>
          <w:lang w:val="en-US" w:eastAsia="zh-CN"/>
        </w:rPr>
      </w:pPr>
      <w:r>
        <w:rPr>
          <w:rFonts w:hint="eastAsia"/>
          <w:color w:val="auto"/>
          <w:lang w:val="en-US" w:eastAsia="zh-CN"/>
        </w:rPr>
        <w:t>表1.3-2  与《关于进一步加强石油天然气行业环境影响评价管理的通知》的相符性分析</w:t>
      </w:r>
    </w:p>
    <w:tbl>
      <w:tblPr>
        <w:tblStyle w:val="27"/>
        <w:tblW w:w="4981" w:type="pct"/>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4950"/>
        <w:gridCol w:w="2307"/>
        <w:gridCol w:w="858"/>
      </w:tblGrid>
      <w:tr w14:paraId="4DBF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33360CE2">
            <w:pPr>
              <w:bidi w:val="0"/>
              <w:jc w:val="center"/>
              <w:rPr>
                <w:b/>
                <w:bCs/>
                <w:color w:val="auto"/>
              </w:rPr>
            </w:pPr>
            <w:r>
              <w:rPr>
                <w:b/>
                <w:bCs/>
                <w:color w:val="auto"/>
              </w:rPr>
              <w:t>序号</w:t>
            </w:r>
          </w:p>
        </w:tc>
        <w:tc>
          <w:tcPr>
            <w:tcW w:w="2915" w:type="pct"/>
            <w:tcBorders>
              <w:tl2br w:val="nil"/>
              <w:tr2bl w:val="nil"/>
            </w:tcBorders>
            <w:noWrap w:val="0"/>
            <w:vAlign w:val="center"/>
          </w:tcPr>
          <w:p w14:paraId="612229CD">
            <w:pPr>
              <w:bidi w:val="0"/>
              <w:jc w:val="center"/>
              <w:rPr>
                <w:b/>
                <w:bCs/>
                <w:color w:val="auto"/>
              </w:rPr>
            </w:pPr>
            <w:r>
              <w:rPr>
                <w:b/>
                <w:bCs/>
                <w:color w:val="auto"/>
              </w:rPr>
              <w:t>要求</w:t>
            </w:r>
          </w:p>
        </w:tc>
        <w:tc>
          <w:tcPr>
            <w:tcW w:w="1358" w:type="pct"/>
            <w:tcBorders>
              <w:tl2br w:val="nil"/>
              <w:tr2bl w:val="nil"/>
            </w:tcBorders>
            <w:noWrap w:val="0"/>
            <w:vAlign w:val="center"/>
          </w:tcPr>
          <w:p w14:paraId="21A047C7">
            <w:pPr>
              <w:bidi w:val="0"/>
              <w:jc w:val="center"/>
              <w:rPr>
                <w:rFonts w:hint="eastAsia"/>
                <w:b/>
                <w:bCs/>
                <w:color w:val="auto"/>
                <w:lang w:eastAsia="zh-CN"/>
              </w:rPr>
            </w:pPr>
            <w:r>
              <w:rPr>
                <w:rFonts w:hint="eastAsia"/>
                <w:b/>
                <w:bCs/>
                <w:color w:val="auto"/>
                <w:lang w:eastAsia="zh-CN"/>
              </w:rPr>
              <w:t>本工程</w:t>
            </w:r>
          </w:p>
        </w:tc>
        <w:tc>
          <w:tcPr>
            <w:tcW w:w="505" w:type="pct"/>
            <w:tcBorders>
              <w:tl2br w:val="nil"/>
              <w:tr2bl w:val="nil"/>
            </w:tcBorders>
            <w:noWrap w:val="0"/>
            <w:vAlign w:val="center"/>
          </w:tcPr>
          <w:p w14:paraId="10819664">
            <w:pPr>
              <w:bidi w:val="0"/>
              <w:jc w:val="center"/>
              <w:rPr>
                <w:b/>
                <w:bCs/>
                <w:color w:val="auto"/>
              </w:rPr>
            </w:pPr>
            <w:r>
              <w:rPr>
                <w:b/>
                <w:bCs/>
                <w:color w:val="auto"/>
              </w:rPr>
              <w:t>相符性</w:t>
            </w:r>
          </w:p>
        </w:tc>
      </w:tr>
      <w:tr w14:paraId="01CA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220" w:type="pct"/>
            <w:tcBorders>
              <w:tl2br w:val="nil"/>
              <w:tr2bl w:val="nil"/>
            </w:tcBorders>
            <w:noWrap w:val="0"/>
            <w:vAlign w:val="center"/>
          </w:tcPr>
          <w:p w14:paraId="5763808B">
            <w:pPr>
              <w:bidi w:val="0"/>
              <w:jc w:val="center"/>
              <w:rPr>
                <w:rFonts w:hint="eastAsia"/>
                <w:color w:val="auto"/>
                <w:lang w:val="en-US" w:eastAsia="zh-CN"/>
              </w:rPr>
            </w:pPr>
            <w:r>
              <w:rPr>
                <w:rFonts w:hint="eastAsia"/>
                <w:color w:val="auto"/>
                <w:lang w:val="en-US" w:eastAsia="zh-CN"/>
              </w:rPr>
              <w:t>1</w:t>
            </w:r>
          </w:p>
        </w:tc>
        <w:tc>
          <w:tcPr>
            <w:tcW w:w="2915" w:type="pct"/>
            <w:tcBorders>
              <w:tl2br w:val="nil"/>
              <w:tr2bl w:val="nil"/>
            </w:tcBorders>
            <w:noWrap w:val="0"/>
            <w:vAlign w:val="center"/>
          </w:tcPr>
          <w:p w14:paraId="6C27B0C0">
            <w:pPr>
              <w:rPr>
                <w:color w:val="auto"/>
                <w:sz w:val="21"/>
                <w:szCs w:val="21"/>
              </w:rPr>
            </w:pPr>
            <w:r>
              <w:rPr>
                <w:rFonts w:ascii="宋体" w:hAnsi="宋体" w:eastAsia="宋体" w:cs="宋体"/>
                <w:color w:val="auto"/>
                <w:sz w:val="21"/>
                <w:szCs w:val="21"/>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358" w:type="pct"/>
            <w:tcBorders>
              <w:tl2br w:val="nil"/>
              <w:tr2bl w:val="nil"/>
            </w:tcBorders>
            <w:noWrap w:val="0"/>
            <w:vAlign w:val="center"/>
          </w:tcPr>
          <w:p w14:paraId="2A94D580">
            <w:pPr>
              <w:keepNext w:val="0"/>
              <w:keepLines w:val="0"/>
              <w:pageBreakBefore w:val="0"/>
              <w:widowControl/>
              <w:kinsoku/>
              <w:wordWrap/>
              <w:overflowPunct/>
              <w:topLinePunct w:val="0"/>
              <w:autoSpaceDE/>
              <w:autoSpaceDN/>
              <w:bidi w:val="0"/>
              <w:adjustRightInd/>
              <w:snapToGrid/>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本工程</w:t>
            </w:r>
            <w:r>
              <w:rPr>
                <w:rFonts w:hint="eastAsia" w:ascii="宋体" w:hAnsi="宋体" w:eastAsia="宋体" w:cs="宋体"/>
                <w:color w:val="auto"/>
                <w:sz w:val="21"/>
                <w:szCs w:val="21"/>
                <w:lang w:val="en-US" w:eastAsia="zh-CN"/>
              </w:rPr>
              <w:t>位于</w:t>
            </w:r>
            <w:r>
              <w:rPr>
                <w:rFonts w:hint="eastAsia" w:cs="Times New Roman"/>
                <w:color w:val="auto"/>
                <w:sz w:val="21"/>
                <w:szCs w:val="21"/>
                <w:lang w:val="en-US" w:eastAsia="zh-CN"/>
              </w:rPr>
              <w:t>新区块和老区</w:t>
            </w:r>
            <w:r>
              <w:rPr>
                <w:rFonts w:hint="eastAsia" w:ascii="宋体" w:hAnsi="宋体" w:eastAsia="宋体" w:cs="宋体"/>
                <w:color w:val="auto"/>
                <w:sz w:val="21"/>
                <w:szCs w:val="21"/>
                <w:lang w:val="en-US" w:eastAsia="zh-CN"/>
              </w:rPr>
              <w:t>内，评价内容包括井场、管线以及配套工程等。</w:t>
            </w:r>
            <w:r>
              <w:rPr>
                <w:rFonts w:ascii="宋体" w:hAnsi="宋体" w:eastAsia="宋体" w:cs="宋体"/>
                <w:color w:val="auto"/>
                <w:sz w:val="21"/>
                <w:szCs w:val="21"/>
              </w:rPr>
              <w:t>报告将施工期、</w:t>
            </w:r>
            <w:r>
              <w:rPr>
                <w:rFonts w:hint="eastAsia" w:ascii="宋体" w:hAnsi="宋体" w:cs="宋体"/>
                <w:color w:val="auto"/>
                <w:sz w:val="21"/>
                <w:szCs w:val="21"/>
                <w:lang w:val="en-US" w:eastAsia="zh-CN"/>
              </w:rPr>
              <w:t>运营</w:t>
            </w:r>
            <w:r>
              <w:rPr>
                <w:rFonts w:ascii="宋体" w:hAnsi="宋体" w:eastAsia="宋体" w:cs="宋体"/>
                <w:color w:val="auto"/>
                <w:sz w:val="21"/>
                <w:szCs w:val="21"/>
              </w:rPr>
              <w:t>期废水、废气、噪声、固废、地下水、生态、土壤等要素环境影响和污染防治措施可行性作为评价重点。</w:t>
            </w:r>
            <w:r>
              <w:rPr>
                <w:color w:val="auto"/>
              </w:rPr>
              <w:t>对现有工程影响进行了回顾性评价，针对现有工程存在的问题提出</w:t>
            </w:r>
            <w:r>
              <w:rPr>
                <w:rFonts w:hint="eastAsia" w:ascii="宋体" w:hAnsi="宋体" w:eastAsia="宋体" w:cs="宋体"/>
                <w:color w:val="auto"/>
              </w:rPr>
              <w:t>“以新带老”</w:t>
            </w:r>
            <w:r>
              <w:rPr>
                <w:color w:val="auto"/>
              </w:rPr>
              <w:t>措施。对依托工程进行了依托可行性分析</w:t>
            </w:r>
            <w:r>
              <w:rPr>
                <w:rFonts w:ascii="宋体" w:hAnsi="宋体" w:eastAsia="宋体" w:cs="宋体"/>
                <w:color w:val="auto"/>
                <w:sz w:val="21"/>
                <w:szCs w:val="21"/>
              </w:rPr>
              <w:t>。</w:t>
            </w:r>
          </w:p>
        </w:tc>
        <w:tc>
          <w:tcPr>
            <w:tcW w:w="505" w:type="pct"/>
            <w:tcBorders>
              <w:tl2br w:val="nil"/>
              <w:tr2bl w:val="nil"/>
            </w:tcBorders>
            <w:noWrap w:val="0"/>
            <w:vAlign w:val="center"/>
          </w:tcPr>
          <w:p w14:paraId="3C65D263">
            <w:pPr>
              <w:bidi w:val="0"/>
              <w:jc w:val="center"/>
              <w:rPr>
                <w:rFonts w:hint="eastAsia"/>
                <w:color w:val="auto"/>
                <w:lang w:val="en-US" w:eastAsia="zh-CN"/>
              </w:rPr>
            </w:pPr>
            <w:r>
              <w:rPr>
                <w:rFonts w:hint="eastAsia"/>
                <w:color w:val="auto"/>
                <w:lang w:val="en-US" w:eastAsia="zh-CN"/>
              </w:rPr>
              <w:t>符合</w:t>
            </w:r>
          </w:p>
        </w:tc>
      </w:tr>
      <w:tr w14:paraId="0BCA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220" w:type="pct"/>
            <w:tcBorders>
              <w:tl2br w:val="nil"/>
              <w:tr2bl w:val="nil"/>
            </w:tcBorders>
            <w:noWrap w:val="0"/>
            <w:vAlign w:val="center"/>
          </w:tcPr>
          <w:p w14:paraId="56C7CFBF">
            <w:pPr>
              <w:bidi w:val="0"/>
              <w:jc w:val="center"/>
              <w:rPr>
                <w:rFonts w:hint="default"/>
                <w:color w:val="auto"/>
                <w:lang w:val="en-US" w:eastAsia="zh-CN"/>
              </w:rPr>
            </w:pPr>
            <w:r>
              <w:rPr>
                <w:rFonts w:hint="eastAsia"/>
                <w:color w:val="auto"/>
                <w:lang w:val="en-US" w:eastAsia="zh-CN"/>
              </w:rPr>
              <w:t>2</w:t>
            </w:r>
          </w:p>
        </w:tc>
        <w:tc>
          <w:tcPr>
            <w:tcW w:w="2915" w:type="pct"/>
            <w:tcBorders>
              <w:tl2br w:val="nil"/>
              <w:tr2bl w:val="nil"/>
            </w:tcBorders>
            <w:noWrap w:val="0"/>
            <w:vAlign w:val="center"/>
          </w:tcPr>
          <w:p w14:paraId="4F90050D">
            <w:pPr>
              <w:rPr>
                <w:color w:val="auto"/>
                <w:sz w:val="21"/>
                <w:szCs w:val="21"/>
              </w:rPr>
            </w:pPr>
            <w:r>
              <w:rPr>
                <w:rFonts w:hint="default" w:ascii="Times New Roman" w:hAnsi="Times New Roman" w:eastAsia="宋体" w:cs="Times New Roman"/>
                <w:color w:val="auto"/>
                <w:sz w:val="21"/>
                <w:szCs w:val="21"/>
              </w:rPr>
              <w:t>涉及向地表水体排放污染物的陆地油气开采项目，应当符合国家和地方污染物排放标准，满足重点污染物排放总量控制要求。涉及污染物排放的海洋油气开发项目，应当符合《海洋石油勘探开发污染物排放浓度限值》（GB4914）等排放标准要求。</w:t>
            </w:r>
          </w:p>
        </w:tc>
        <w:tc>
          <w:tcPr>
            <w:tcW w:w="1358" w:type="pct"/>
            <w:tcBorders>
              <w:tl2br w:val="nil"/>
              <w:tr2bl w:val="nil"/>
            </w:tcBorders>
            <w:noWrap w:val="0"/>
            <w:vAlign w:val="center"/>
          </w:tcPr>
          <w:p w14:paraId="4322B79E">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color w:val="auto"/>
                <w:sz w:val="21"/>
                <w:szCs w:val="21"/>
              </w:rPr>
            </w:pPr>
            <w:r>
              <w:rPr>
                <w:rFonts w:hint="eastAsia"/>
                <w:color w:val="auto"/>
                <w:sz w:val="21"/>
                <w:szCs w:val="21"/>
                <w:lang w:val="en-US" w:eastAsia="zh-CN"/>
              </w:rPr>
              <w:t>本工程运营期产生的井下作业废水拉运至作业区采出水处理系统处理达标后回注；运营期生产废水由采出水处理系统处理达标后回注，不外排。</w:t>
            </w:r>
          </w:p>
        </w:tc>
        <w:tc>
          <w:tcPr>
            <w:tcW w:w="505" w:type="pct"/>
            <w:tcBorders>
              <w:tl2br w:val="nil"/>
              <w:tr2bl w:val="nil"/>
            </w:tcBorders>
            <w:noWrap w:val="0"/>
            <w:vAlign w:val="center"/>
          </w:tcPr>
          <w:p w14:paraId="7E870431">
            <w:pPr>
              <w:bidi w:val="0"/>
              <w:jc w:val="center"/>
              <w:rPr>
                <w:rFonts w:hint="eastAsia"/>
                <w:color w:val="auto"/>
                <w:lang w:val="en-US" w:eastAsia="zh-CN"/>
              </w:rPr>
            </w:pPr>
            <w:r>
              <w:rPr>
                <w:rFonts w:hint="eastAsia"/>
                <w:color w:val="auto"/>
                <w:lang w:val="en-US" w:eastAsia="zh-CN"/>
              </w:rPr>
              <w:t>符合</w:t>
            </w:r>
          </w:p>
        </w:tc>
      </w:tr>
      <w:tr w14:paraId="70ED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20" w:type="pct"/>
            <w:tcBorders>
              <w:tl2br w:val="nil"/>
              <w:tr2bl w:val="nil"/>
            </w:tcBorders>
            <w:noWrap w:val="0"/>
            <w:vAlign w:val="center"/>
          </w:tcPr>
          <w:p w14:paraId="2C716712">
            <w:pPr>
              <w:bidi w:val="0"/>
              <w:jc w:val="center"/>
              <w:rPr>
                <w:rFonts w:hint="eastAsia"/>
                <w:color w:val="auto"/>
                <w:lang w:eastAsia="zh-CN"/>
              </w:rPr>
            </w:pPr>
            <w:r>
              <w:rPr>
                <w:rFonts w:hint="eastAsia"/>
                <w:color w:val="auto"/>
                <w:lang w:val="en-US" w:eastAsia="zh-CN"/>
              </w:rPr>
              <w:t>3</w:t>
            </w:r>
          </w:p>
        </w:tc>
        <w:tc>
          <w:tcPr>
            <w:tcW w:w="2915" w:type="pct"/>
            <w:tcBorders>
              <w:tl2br w:val="nil"/>
              <w:tr2bl w:val="nil"/>
            </w:tcBorders>
            <w:noWrap w:val="0"/>
            <w:vAlign w:val="center"/>
          </w:tcPr>
          <w:p w14:paraId="36BA4A50">
            <w:pPr>
              <w:rPr>
                <w:rFonts w:hint="eastAsia" w:eastAsia="宋体"/>
                <w:color w:val="auto"/>
                <w:sz w:val="21"/>
                <w:szCs w:val="21"/>
                <w:lang w:eastAsia="zh-CN"/>
              </w:rPr>
            </w:pPr>
            <w:r>
              <w:rPr>
                <w:rFonts w:ascii="宋体" w:hAnsi="宋体" w:eastAsia="宋体" w:cs="宋体"/>
                <w:color w:val="auto"/>
                <w:sz w:val="21"/>
                <w:szCs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w:t>
            </w:r>
            <w:r>
              <w:rPr>
                <w:rFonts w:hint="default" w:ascii="Times New Roman" w:hAnsi="Times New Roman" w:eastAsia="宋体" w:cs="Times New Roman"/>
                <w:color w:val="auto"/>
                <w:sz w:val="21"/>
                <w:szCs w:val="21"/>
              </w:rPr>
              <w:t>油藏注水水质</w:t>
            </w:r>
            <w:r>
              <w:rPr>
                <w:rFonts w:hint="eastAsia" w:cs="Times New Roman"/>
                <w:color w:val="auto"/>
                <w:sz w:val="21"/>
                <w:szCs w:val="21"/>
                <w:lang w:eastAsia="zh-CN"/>
              </w:rPr>
              <w:t>推荐</w:t>
            </w:r>
            <w:r>
              <w:rPr>
                <w:rFonts w:hint="default" w:ascii="Times New Roman" w:hAnsi="Times New Roman" w:eastAsia="宋体" w:cs="Times New Roman"/>
                <w:color w:val="auto"/>
                <w:sz w:val="21"/>
                <w:szCs w:val="21"/>
              </w:rPr>
              <w:t>指标及分析方法》（SY/T5329</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等相关标准要求后回注，同步采取切实可行措施防治污染。回注目的层应当为地质构造封闭地层，一般</w:t>
            </w:r>
            <w:r>
              <w:rPr>
                <w:rFonts w:ascii="宋体" w:hAnsi="宋体" w:eastAsia="宋体" w:cs="宋体"/>
                <w:color w:val="auto"/>
                <w:sz w:val="21"/>
                <w:szCs w:val="21"/>
              </w:rPr>
              <w:t>应当回注到现役油气藏或枯竭废弃油气藏。相关部门及油气企业应当加强采出水等污水回注的研究，重点关注回注井井位合理性、过程控制有效性、风险防控系统性等，提出从源头到末端的全过程生态环境保护及风险防控措施、监控要求。建设项目环评文件中应当包含钻井液、压裂液中重金属等有毒有害物质的相关信息，涉及商业秘密、技术秘密等情形的除外。</w:t>
            </w:r>
          </w:p>
        </w:tc>
        <w:tc>
          <w:tcPr>
            <w:tcW w:w="1358" w:type="pct"/>
            <w:tcBorders>
              <w:tl2br w:val="nil"/>
              <w:tr2bl w:val="nil"/>
            </w:tcBorders>
            <w:noWrap w:val="0"/>
            <w:vAlign w:val="center"/>
          </w:tcPr>
          <w:p w14:paraId="2E2282E7">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eastAsia="宋体"/>
                <w:color w:val="auto"/>
                <w:sz w:val="21"/>
                <w:szCs w:val="21"/>
                <w:lang w:val="en-US" w:eastAsia="zh-CN"/>
              </w:rPr>
            </w:pPr>
            <w:r>
              <w:rPr>
                <w:rFonts w:hint="eastAsia"/>
                <w:color w:val="auto"/>
                <w:sz w:val="21"/>
                <w:szCs w:val="21"/>
                <w:lang w:val="en-US" w:eastAsia="zh-CN"/>
              </w:rPr>
              <w:t>本工程运营期产生的井下作业废水拉运至作业区采出水处理系统处理达标后回注；运营期采出水由采出水处理系统处理达标后回注。</w:t>
            </w:r>
          </w:p>
        </w:tc>
        <w:tc>
          <w:tcPr>
            <w:tcW w:w="505" w:type="pct"/>
            <w:tcBorders>
              <w:tl2br w:val="nil"/>
              <w:tr2bl w:val="nil"/>
            </w:tcBorders>
            <w:noWrap w:val="0"/>
            <w:vAlign w:val="center"/>
          </w:tcPr>
          <w:p w14:paraId="11EF61CF">
            <w:pPr>
              <w:bidi w:val="0"/>
              <w:jc w:val="center"/>
              <w:rPr>
                <w:color w:val="auto"/>
              </w:rPr>
            </w:pPr>
            <w:r>
              <w:rPr>
                <w:color w:val="auto"/>
              </w:rPr>
              <w:t>符合</w:t>
            </w:r>
          </w:p>
        </w:tc>
      </w:tr>
      <w:tr w14:paraId="0380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20" w:type="pct"/>
            <w:tcBorders>
              <w:tl2br w:val="nil"/>
              <w:tr2bl w:val="nil"/>
            </w:tcBorders>
            <w:noWrap w:val="0"/>
            <w:vAlign w:val="center"/>
          </w:tcPr>
          <w:p w14:paraId="4A5DAD54">
            <w:pPr>
              <w:bidi w:val="0"/>
              <w:jc w:val="center"/>
              <w:rPr>
                <w:rFonts w:hint="eastAsia"/>
                <w:color w:val="auto"/>
                <w:lang w:eastAsia="zh-CN"/>
              </w:rPr>
            </w:pPr>
            <w:r>
              <w:rPr>
                <w:rFonts w:hint="eastAsia"/>
                <w:color w:val="auto"/>
                <w:lang w:val="en-US" w:eastAsia="zh-CN"/>
              </w:rPr>
              <w:t>4</w:t>
            </w:r>
          </w:p>
        </w:tc>
        <w:tc>
          <w:tcPr>
            <w:tcW w:w="2915" w:type="pct"/>
            <w:tcBorders>
              <w:tl2br w:val="nil"/>
              <w:tr2bl w:val="nil"/>
            </w:tcBorders>
            <w:noWrap w:val="0"/>
            <w:vAlign w:val="center"/>
          </w:tcPr>
          <w:p w14:paraId="454431C1">
            <w:pPr>
              <w:rPr>
                <w:color w:val="auto"/>
                <w:sz w:val="21"/>
                <w:szCs w:val="21"/>
              </w:rPr>
            </w:pPr>
            <w:r>
              <w:rPr>
                <w:rFonts w:ascii="宋体" w:hAnsi="宋体" w:eastAsia="宋体" w:cs="宋体"/>
                <w:color w:val="auto"/>
                <w:sz w:val="21"/>
                <w:szCs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相关部门及油气企业应当加强固体废物处置的研究，重点关注固体废物产生类型、主要污染因子及潜在环境影响，分别提出减量化的源头控制措施、资源化的利用路径、无害化的处理要求，促进固体废物合理利用和妥善处置。</w:t>
            </w:r>
          </w:p>
        </w:tc>
        <w:tc>
          <w:tcPr>
            <w:tcW w:w="1358" w:type="pct"/>
            <w:tcBorders>
              <w:tl2br w:val="nil"/>
              <w:tr2bl w:val="nil"/>
            </w:tcBorders>
            <w:noWrap w:val="0"/>
            <w:vAlign w:val="center"/>
          </w:tcPr>
          <w:p w14:paraId="5B31E379">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color w:val="auto"/>
                <w:sz w:val="21"/>
                <w:szCs w:val="21"/>
              </w:rPr>
            </w:pPr>
            <w:r>
              <w:rPr>
                <w:rFonts w:hint="eastAsia" w:ascii="宋体" w:hAnsi="宋体" w:cs="宋体"/>
                <w:color w:val="auto"/>
                <w:sz w:val="21"/>
                <w:szCs w:val="21"/>
                <w:lang w:eastAsia="zh-CN"/>
              </w:rPr>
              <w:t>运营</w:t>
            </w:r>
            <w:r>
              <w:rPr>
                <w:rFonts w:ascii="宋体" w:hAnsi="宋体" w:eastAsia="宋体" w:cs="宋体"/>
                <w:color w:val="auto"/>
                <w:sz w:val="21"/>
                <w:szCs w:val="21"/>
              </w:rPr>
              <w:t>期含油污泥、</w:t>
            </w:r>
            <w:r>
              <w:rPr>
                <w:rFonts w:hint="eastAsia" w:ascii="宋体" w:hAnsi="宋体" w:cs="宋体"/>
                <w:color w:val="auto"/>
                <w:sz w:val="21"/>
                <w:szCs w:val="21"/>
                <w:lang w:val="en-US" w:eastAsia="zh-CN"/>
              </w:rPr>
              <w:t>沾油废物</w:t>
            </w:r>
            <w:r>
              <w:rPr>
                <w:rFonts w:ascii="宋体" w:hAnsi="宋体" w:eastAsia="宋体" w:cs="宋体"/>
                <w:color w:val="auto"/>
                <w:sz w:val="21"/>
                <w:szCs w:val="21"/>
              </w:rPr>
              <w:t>等委托有资质的单位进行安全处置。</w:t>
            </w:r>
          </w:p>
        </w:tc>
        <w:tc>
          <w:tcPr>
            <w:tcW w:w="505" w:type="pct"/>
            <w:tcBorders>
              <w:tl2br w:val="nil"/>
              <w:tr2bl w:val="nil"/>
            </w:tcBorders>
            <w:noWrap w:val="0"/>
            <w:vAlign w:val="center"/>
          </w:tcPr>
          <w:p w14:paraId="3CFC9D56">
            <w:pPr>
              <w:bidi w:val="0"/>
              <w:jc w:val="center"/>
              <w:rPr>
                <w:color w:val="auto"/>
              </w:rPr>
            </w:pPr>
            <w:r>
              <w:rPr>
                <w:color w:val="auto"/>
              </w:rPr>
              <w:t>符合</w:t>
            </w:r>
          </w:p>
        </w:tc>
      </w:tr>
      <w:tr w14:paraId="2AD8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220" w:type="pct"/>
            <w:tcBorders>
              <w:tl2br w:val="nil"/>
              <w:tr2bl w:val="nil"/>
            </w:tcBorders>
            <w:noWrap w:val="0"/>
            <w:vAlign w:val="center"/>
          </w:tcPr>
          <w:p w14:paraId="3D8E6395">
            <w:pPr>
              <w:bidi w:val="0"/>
              <w:jc w:val="center"/>
              <w:rPr>
                <w:rFonts w:hint="eastAsia"/>
                <w:color w:val="auto"/>
                <w:lang w:eastAsia="zh-CN"/>
              </w:rPr>
            </w:pPr>
            <w:r>
              <w:rPr>
                <w:rFonts w:hint="eastAsia"/>
                <w:color w:val="auto"/>
                <w:lang w:val="en-US" w:eastAsia="zh-CN"/>
              </w:rPr>
              <w:t>5</w:t>
            </w:r>
          </w:p>
        </w:tc>
        <w:tc>
          <w:tcPr>
            <w:tcW w:w="2915" w:type="pct"/>
            <w:tcBorders>
              <w:tl2br w:val="nil"/>
              <w:tr2bl w:val="nil"/>
            </w:tcBorders>
            <w:noWrap w:val="0"/>
            <w:vAlign w:val="center"/>
          </w:tcPr>
          <w:p w14:paraId="22AF5707">
            <w:pPr>
              <w:rPr>
                <w:color w:val="auto"/>
                <w:sz w:val="21"/>
                <w:szCs w:val="21"/>
              </w:rPr>
            </w:pPr>
            <w:r>
              <w:rPr>
                <w:rFonts w:ascii="宋体" w:hAnsi="宋体" w:eastAsia="宋体" w:cs="宋体"/>
                <w:color w:val="auto"/>
                <w:sz w:val="21"/>
                <w:szCs w:val="21"/>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358" w:type="pct"/>
            <w:tcBorders>
              <w:tl2br w:val="nil"/>
              <w:tr2bl w:val="nil"/>
            </w:tcBorders>
            <w:noWrap w:val="0"/>
            <w:vAlign w:val="center"/>
          </w:tcPr>
          <w:p w14:paraId="7116113D">
            <w:pPr>
              <w:keepNext w:val="0"/>
              <w:keepLines w:val="0"/>
              <w:pageBreakBefore w:val="0"/>
              <w:widowControl/>
              <w:kinsoku/>
              <w:wordWrap/>
              <w:overflowPunct/>
              <w:topLinePunct w:val="0"/>
              <w:autoSpaceDE/>
              <w:autoSpaceDN/>
              <w:bidi w:val="0"/>
              <w:adjustRightInd/>
              <w:snapToGrid/>
              <w:textAlignment w:val="auto"/>
              <w:rPr>
                <w:color w:val="auto"/>
                <w:sz w:val="21"/>
                <w:szCs w:val="21"/>
              </w:rPr>
            </w:pPr>
            <w:r>
              <w:rPr>
                <w:rFonts w:hint="eastAsia" w:cs="Times New Roman"/>
                <w:color w:val="auto"/>
                <w:sz w:val="21"/>
                <w:szCs w:val="21"/>
                <w:lang w:eastAsia="zh-CN"/>
              </w:rPr>
              <w:t>本工程</w:t>
            </w:r>
            <w:r>
              <w:rPr>
                <w:rFonts w:hint="default" w:ascii="Times New Roman" w:hAnsi="Times New Roman" w:eastAsia="宋体" w:cs="Times New Roman"/>
                <w:color w:val="auto"/>
                <w:sz w:val="21"/>
                <w:szCs w:val="21"/>
              </w:rPr>
              <w:t>主要采用</w:t>
            </w:r>
            <w:r>
              <w:rPr>
                <w:rFonts w:hint="eastAsia" w:cs="Times New Roman"/>
                <w:color w:val="auto"/>
                <w:sz w:val="21"/>
                <w:szCs w:val="21"/>
                <w:lang w:val="en-US" w:eastAsia="zh-CN"/>
              </w:rPr>
              <w:t>密闭</w:t>
            </w:r>
            <w:r>
              <w:rPr>
                <w:rFonts w:hint="default" w:ascii="Times New Roman" w:hAnsi="Times New Roman" w:eastAsia="宋体" w:cs="Times New Roman"/>
                <w:color w:val="auto"/>
                <w:sz w:val="21"/>
                <w:szCs w:val="21"/>
              </w:rPr>
              <w:t>集输，可有效减少伴生气的挥发。</w:t>
            </w:r>
            <w:r>
              <w:rPr>
                <w:rFonts w:hint="eastAsia" w:cs="Times New Roman"/>
                <w:color w:val="auto"/>
                <w:sz w:val="21"/>
                <w:szCs w:val="21"/>
                <w:lang w:val="en-US" w:eastAsia="zh-CN"/>
              </w:rPr>
              <w:t>本工程不涉及建设锅炉</w:t>
            </w:r>
            <w:r>
              <w:rPr>
                <w:rFonts w:hint="default" w:ascii="Times New Roman" w:hAnsi="Times New Roman" w:eastAsia="宋体" w:cs="Times New Roman"/>
                <w:color w:val="auto"/>
                <w:sz w:val="21"/>
                <w:szCs w:val="21"/>
              </w:rPr>
              <w:t>。</w:t>
            </w:r>
          </w:p>
        </w:tc>
        <w:tc>
          <w:tcPr>
            <w:tcW w:w="505" w:type="pct"/>
            <w:tcBorders>
              <w:tl2br w:val="nil"/>
              <w:tr2bl w:val="nil"/>
            </w:tcBorders>
            <w:noWrap w:val="0"/>
            <w:vAlign w:val="center"/>
          </w:tcPr>
          <w:p w14:paraId="28C9FCBB">
            <w:pPr>
              <w:bidi w:val="0"/>
              <w:jc w:val="center"/>
              <w:rPr>
                <w:color w:val="auto"/>
              </w:rPr>
            </w:pPr>
            <w:r>
              <w:rPr>
                <w:color w:val="auto"/>
              </w:rPr>
              <w:t>符合</w:t>
            </w:r>
          </w:p>
        </w:tc>
      </w:tr>
      <w:tr w14:paraId="7EF4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220" w:type="pct"/>
            <w:tcBorders>
              <w:tl2br w:val="nil"/>
              <w:tr2bl w:val="nil"/>
            </w:tcBorders>
            <w:noWrap w:val="0"/>
            <w:vAlign w:val="center"/>
          </w:tcPr>
          <w:p w14:paraId="4E297056">
            <w:pPr>
              <w:bidi w:val="0"/>
              <w:jc w:val="center"/>
              <w:rPr>
                <w:rFonts w:hint="default"/>
                <w:color w:val="auto"/>
                <w:lang w:val="en-US" w:eastAsia="zh-CN"/>
              </w:rPr>
            </w:pPr>
            <w:r>
              <w:rPr>
                <w:rFonts w:hint="eastAsia"/>
                <w:color w:val="auto"/>
                <w:lang w:val="en-US" w:eastAsia="zh-CN"/>
              </w:rPr>
              <w:t>6</w:t>
            </w:r>
          </w:p>
        </w:tc>
        <w:tc>
          <w:tcPr>
            <w:tcW w:w="2915" w:type="pct"/>
            <w:tcBorders>
              <w:tl2br w:val="nil"/>
              <w:tr2bl w:val="nil"/>
            </w:tcBorders>
            <w:noWrap w:val="0"/>
            <w:vAlign w:val="center"/>
          </w:tcPr>
          <w:p w14:paraId="22E07B3F">
            <w:pPr>
              <w:keepNext w:val="0"/>
              <w:keepLines w:val="0"/>
              <w:pageBreakBefore w:val="0"/>
              <w:widowControl/>
              <w:kinsoku/>
              <w:wordWrap/>
              <w:overflowPunct/>
              <w:topLinePunct w:val="0"/>
              <w:autoSpaceDE/>
              <w:autoSpaceDN/>
              <w:bidi w:val="0"/>
              <w:adjustRightInd/>
              <w:snapToGrid/>
              <w:textAlignment w:val="auto"/>
              <w:rPr>
                <w:rFonts w:ascii="宋体" w:hAnsi="宋体" w:eastAsia="宋体" w:cs="宋体"/>
                <w:color w:val="auto"/>
                <w:sz w:val="21"/>
                <w:szCs w:val="21"/>
              </w:rPr>
            </w:pPr>
            <w:r>
              <w:rPr>
                <w:rFonts w:ascii="宋体" w:hAnsi="宋体" w:eastAsia="宋体" w:cs="宋体"/>
                <w:color w:val="auto"/>
                <w:sz w:val="21"/>
                <w:szCs w:val="21"/>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358" w:type="pct"/>
            <w:tcBorders>
              <w:tl2br w:val="nil"/>
              <w:tr2bl w:val="nil"/>
            </w:tcBorders>
            <w:noWrap w:val="0"/>
            <w:vAlign w:val="center"/>
          </w:tcPr>
          <w:p w14:paraId="5933FE5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rPr>
            </w:pPr>
            <w:r>
              <w:rPr>
                <w:rFonts w:ascii="宋体" w:hAnsi="宋体" w:eastAsia="宋体" w:cs="宋体"/>
                <w:color w:val="auto"/>
                <w:kern w:val="0"/>
                <w:sz w:val="21"/>
                <w:szCs w:val="21"/>
                <w:lang w:val="en-US" w:eastAsia="zh-CN" w:bidi="ar-SA"/>
              </w:rPr>
              <w:t>报告中已提出施工过程中严格控制作业带，减少施工占地的措施，要求施工结束后及时进行恢复清理，落实报告中提出的生态保护措施，避免对区域生态环境造成影响。</w:t>
            </w:r>
          </w:p>
        </w:tc>
        <w:tc>
          <w:tcPr>
            <w:tcW w:w="505" w:type="pct"/>
            <w:tcBorders>
              <w:tl2br w:val="nil"/>
              <w:tr2bl w:val="nil"/>
            </w:tcBorders>
            <w:noWrap w:val="0"/>
            <w:vAlign w:val="center"/>
          </w:tcPr>
          <w:p w14:paraId="67E44E26">
            <w:pPr>
              <w:bidi w:val="0"/>
              <w:jc w:val="center"/>
              <w:rPr>
                <w:rFonts w:hint="eastAsia"/>
                <w:color w:val="auto"/>
                <w:lang w:val="en-US" w:eastAsia="zh-CN"/>
              </w:rPr>
            </w:pPr>
            <w:r>
              <w:rPr>
                <w:rFonts w:hint="eastAsia"/>
                <w:color w:val="auto"/>
                <w:lang w:val="en-US" w:eastAsia="zh-CN"/>
              </w:rPr>
              <w:t>符合</w:t>
            </w:r>
          </w:p>
        </w:tc>
      </w:tr>
      <w:tr w14:paraId="31C6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220" w:type="pct"/>
            <w:tcBorders>
              <w:tl2br w:val="nil"/>
              <w:tr2bl w:val="nil"/>
            </w:tcBorders>
            <w:noWrap w:val="0"/>
            <w:vAlign w:val="center"/>
          </w:tcPr>
          <w:p w14:paraId="23B72A39">
            <w:pPr>
              <w:bidi w:val="0"/>
              <w:jc w:val="center"/>
              <w:rPr>
                <w:rFonts w:hint="default"/>
                <w:color w:val="auto"/>
                <w:lang w:val="en-US" w:eastAsia="zh-CN"/>
              </w:rPr>
            </w:pPr>
            <w:r>
              <w:rPr>
                <w:rFonts w:hint="eastAsia"/>
                <w:color w:val="auto"/>
                <w:lang w:val="en-US" w:eastAsia="zh-CN"/>
              </w:rPr>
              <w:t>7</w:t>
            </w:r>
          </w:p>
        </w:tc>
        <w:tc>
          <w:tcPr>
            <w:tcW w:w="2915" w:type="pct"/>
            <w:tcBorders>
              <w:tl2br w:val="nil"/>
              <w:tr2bl w:val="nil"/>
            </w:tcBorders>
            <w:noWrap w:val="0"/>
            <w:vAlign w:val="center"/>
          </w:tcPr>
          <w:p w14:paraId="094F305D">
            <w:pPr>
              <w:keepNext w:val="0"/>
              <w:keepLines w:val="0"/>
              <w:pageBreakBefore w:val="0"/>
              <w:widowControl/>
              <w:kinsoku/>
              <w:wordWrap/>
              <w:overflowPunct/>
              <w:topLinePunct w:val="0"/>
              <w:autoSpaceDE/>
              <w:autoSpaceDN/>
              <w:bidi w:val="0"/>
              <w:adjustRightInd/>
              <w:snapToGrid/>
              <w:textAlignment w:val="auto"/>
              <w:rPr>
                <w:rFonts w:ascii="宋体" w:hAnsi="宋体" w:eastAsia="宋体" w:cs="宋体"/>
                <w:color w:val="auto"/>
                <w:sz w:val="21"/>
                <w:szCs w:val="21"/>
              </w:rPr>
            </w:pPr>
            <w:r>
              <w:rPr>
                <w:rFonts w:ascii="宋体" w:hAnsi="宋体" w:eastAsia="宋体" w:cs="宋体"/>
                <w:color w:val="auto"/>
                <w:sz w:val="21"/>
                <w:szCs w:val="21"/>
              </w:rPr>
              <w:t>陆地油气长输管道项目，原则上应当单独编制环评文件。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1358" w:type="pct"/>
            <w:tcBorders>
              <w:tl2br w:val="nil"/>
              <w:tr2bl w:val="nil"/>
            </w:tcBorders>
            <w:noWrap w:val="0"/>
            <w:vAlign w:val="center"/>
          </w:tcPr>
          <w:p w14:paraId="36E6ACEF">
            <w:pP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本工程</w:t>
            </w:r>
            <w:r>
              <w:rPr>
                <w:rFonts w:hint="eastAsia" w:ascii="Times New Roman" w:hAnsi="Times New Roman" w:eastAsia="宋体" w:cs="Times New Roman"/>
                <w:color w:val="auto"/>
                <w:sz w:val="21"/>
                <w:szCs w:val="21"/>
                <w:lang w:val="en-US" w:eastAsia="zh-CN"/>
              </w:rPr>
              <w:t>原油管线位于油区内部，</w:t>
            </w:r>
            <w:r>
              <w:rPr>
                <w:rFonts w:hint="eastAsia" w:cs="Times New Roman"/>
                <w:color w:val="auto"/>
                <w:sz w:val="21"/>
                <w:szCs w:val="21"/>
                <w:lang w:val="en-US" w:eastAsia="zh-CN"/>
              </w:rPr>
              <w:t>不属于油气长输管道</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管线已避让环境敏感区</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集输管线</w:t>
            </w:r>
            <w:r>
              <w:rPr>
                <w:rFonts w:hint="eastAsia" w:ascii="Times New Roman" w:hAnsi="Times New Roman" w:eastAsia="宋体" w:cs="Times New Roman"/>
                <w:color w:val="auto"/>
                <w:sz w:val="21"/>
                <w:szCs w:val="21"/>
                <w:lang w:val="en-US" w:eastAsia="zh-CN"/>
              </w:rPr>
              <w:t>采用外防腐工艺。</w:t>
            </w:r>
          </w:p>
        </w:tc>
        <w:tc>
          <w:tcPr>
            <w:tcW w:w="505" w:type="pct"/>
            <w:tcBorders>
              <w:tl2br w:val="nil"/>
              <w:tr2bl w:val="nil"/>
            </w:tcBorders>
            <w:noWrap w:val="0"/>
            <w:vAlign w:val="center"/>
          </w:tcPr>
          <w:p w14:paraId="26019417">
            <w:pPr>
              <w:bidi w:val="0"/>
              <w:rPr>
                <w:rFonts w:hint="eastAsia"/>
                <w:color w:val="auto"/>
                <w:lang w:val="en-US" w:eastAsia="zh-CN"/>
              </w:rPr>
            </w:pPr>
            <w:r>
              <w:rPr>
                <w:rFonts w:hint="eastAsia"/>
                <w:color w:val="auto"/>
                <w:lang w:val="en-US" w:eastAsia="zh-CN"/>
              </w:rPr>
              <w:t>符合</w:t>
            </w:r>
          </w:p>
        </w:tc>
      </w:tr>
      <w:tr w14:paraId="3AB1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220" w:type="pct"/>
            <w:tcBorders>
              <w:tl2br w:val="nil"/>
              <w:tr2bl w:val="nil"/>
            </w:tcBorders>
            <w:noWrap w:val="0"/>
            <w:vAlign w:val="center"/>
          </w:tcPr>
          <w:p w14:paraId="6F128A34">
            <w:pPr>
              <w:bidi w:val="0"/>
              <w:jc w:val="center"/>
              <w:rPr>
                <w:rFonts w:hint="default"/>
                <w:color w:val="auto"/>
                <w:lang w:val="en-US" w:eastAsia="zh-CN"/>
              </w:rPr>
            </w:pPr>
            <w:r>
              <w:rPr>
                <w:rFonts w:hint="eastAsia"/>
                <w:color w:val="auto"/>
                <w:lang w:val="en-US" w:eastAsia="zh-CN"/>
              </w:rPr>
              <w:t>8</w:t>
            </w:r>
          </w:p>
        </w:tc>
        <w:tc>
          <w:tcPr>
            <w:tcW w:w="2915" w:type="pct"/>
            <w:tcBorders>
              <w:tl2br w:val="nil"/>
              <w:tr2bl w:val="nil"/>
            </w:tcBorders>
            <w:noWrap w:val="0"/>
            <w:vAlign w:val="center"/>
          </w:tcPr>
          <w:p w14:paraId="14B3035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ascii="宋体" w:hAnsi="宋体" w:eastAsia="宋体" w:cs="宋体"/>
                <w:color w:val="auto"/>
                <w:sz w:val="21"/>
                <w:szCs w:val="21"/>
              </w:rPr>
            </w:pPr>
            <w:r>
              <w:rPr>
                <w:rFonts w:ascii="宋体" w:hAnsi="宋体" w:eastAsia="宋体" w:cs="宋体"/>
                <w:color w:val="auto"/>
                <w:kern w:val="0"/>
                <w:sz w:val="21"/>
                <w:szCs w:val="21"/>
                <w:lang w:val="en-US" w:eastAsia="zh-CN" w:bidi="ar-SA"/>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358" w:type="pct"/>
            <w:tcBorders>
              <w:tl2br w:val="nil"/>
              <w:tr2bl w:val="nil"/>
            </w:tcBorders>
            <w:noWrap w:val="0"/>
            <w:vAlign w:val="center"/>
          </w:tcPr>
          <w:p w14:paraId="711C7F5D">
            <w:pP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本工程</w:t>
            </w:r>
            <w:r>
              <w:rPr>
                <w:rFonts w:hint="eastAsia" w:ascii="Times New Roman" w:hAnsi="Times New Roman" w:eastAsia="宋体" w:cs="Times New Roman"/>
                <w:color w:val="auto"/>
                <w:sz w:val="21"/>
                <w:szCs w:val="21"/>
                <w:lang w:val="en-US" w:eastAsia="zh-CN"/>
              </w:rPr>
              <w:t>不涉及油气存储。</w:t>
            </w:r>
          </w:p>
        </w:tc>
        <w:tc>
          <w:tcPr>
            <w:tcW w:w="505" w:type="pct"/>
            <w:tcBorders>
              <w:tl2br w:val="nil"/>
              <w:tr2bl w:val="nil"/>
            </w:tcBorders>
            <w:noWrap w:val="0"/>
            <w:vAlign w:val="center"/>
          </w:tcPr>
          <w:p w14:paraId="680AA47E">
            <w:pPr>
              <w:bidi w:val="0"/>
              <w:rPr>
                <w:rFonts w:hint="eastAsia"/>
                <w:color w:val="auto"/>
                <w:lang w:val="en-US" w:eastAsia="zh-CN"/>
              </w:rPr>
            </w:pPr>
            <w:r>
              <w:rPr>
                <w:rFonts w:hint="eastAsia"/>
                <w:color w:val="auto"/>
                <w:lang w:val="en-US" w:eastAsia="zh-CN"/>
              </w:rPr>
              <w:t>符合</w:t>
            </w:r>
          </w:p>
        </w:tc>
      </w:tr>
      <w:tr w14:paraId="2473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220" w:type="pct"/>
            <w:tcBorders>
              <w:tl2br w:val="nil"/>
              <w:tr2bl w:val="nil"/>
            </w:tcBorders>
            <w:noWrap w:val="0"/>
            <w:vAlign w:val="center"/>
          </w:tcPr>
          <w:p w14:paraId="2033B764">
            <w:pPr>
              <w:bidi w:val="0"/>
              <w:jc w:val="center"/>
              <w:rPr>
                <w:rFonts w:hint="default"/>
                <w:color w:val="auto"/>
                <w:lang w:val="en-US" w:eastAsia="zh-CN"/>
              </w:rPr>
            </w:pPr>
            <w:r>
              <w:rPr>
                <w:rFonts w:hint="eastAsia"/>
                <w:color w:val="auto"/>
                <w:lang w:val="en-US" w:eastAsia="zh-CN"/>
              </w:rPr>
              <w:t>9</w:t>
            </w:r>
          </w:p>
        </w:tc>
        <w:tc>
          <w:tcPr>
            <w:tcW w:w="2915" w:type="pct"/>
            <w:tcBorders>
              <w:tl2br w:val="nil"/>
              <w:tr2bl w:val="nil"/>
            </w:tcBorders>
            <w:noWrap w:val="0"/>
            <w:vAlign w:val="center"/>
          </w:tcPr>
          <w:p w14:paraId="57AE44D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ascii="宋体" w:hAnsi="宋体" w:eastAsia="宋体" w:cs="宋体"/>
                <w:color w:val="auto"/>
                <w:sz w:val="21"/>
                <w:szCs w:val="21"/>
              </w:rPr>
            </w:pPr>
            <w:r>
              <w:rPr>
                <w:rFonts w:ascii="宋体" w:hAnsi="宋体" w:eastAsia="宋体" w:cs="宋体"/>
                <w:color w:val="auto"/>
                <w:sz w:val="21"/>
                <w:szCs w:val="21"/>
              </w:rPr>
              <w:t>油气企业应当加强风险防控，按规定编制突发环境事件应急预案，报所在地生态环境主管部门备案。海洋油气勘探开发溢油应急计划报相关海域生态环境监督管理局备案。</w:t>
            </w:r>
          </w:p>
        </w:tc>
        <w:tc>
          <w:tcPr>
            <w:tcW w:w="1358" w:type="pct"/>
            <w:tcBorders>
              <w:tl2br w:val="nil"/>
              <w:tr2bl w:val="nil"/>
            </w:tcBorders>
            <w:noWrap w:val="0"/>
            <w:vAlign w:val="center"/>
          </w:tcPr>
          <w:p w14:paraId="0CCEBBAA">
            <w:pP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环评提出了修订现有应急预案的要求。</w:t>
            </w:r>
          </w:p>
        </w:tc>
        <w:tc>
          <w:tcPr>
            <w:tcW w:w="505" w:type="pct"/>
            <w:tcBorders>
              <w:tl2br w:val="nil"/>
              <w:tr2bl w:val="nil"/>
            </w:tcBorders>
            <w:noWrap w:val="0"/>
            <w:vAlign w:val="center"/>
          </w:tcPr>
          <w:p w14:paraId="7A2BDA39">
            <w:pPr>
              <w:bidi w:val="0"/>
              <w:rPr>
                <w:rFonts w:hint="eastAsia"/>
                <w:color w:val="auto"/>
                <w:lang w:val="en-US" w:eastAsia="zh-CN"/>
              </w:rPr>
            </w:pPr>
            <w:r>
              <w:rPr>
                <w:rFonts w:hint="eastAsia"/>
                <w:color w:val="auto"/>
                <w:lang w:val="en-US" w:eastAsia="zh-CN"/>
              </w:rPr>
              <w:t>符合</w:t>
            </w:r>
          </w:p>
        </w:tc>
      </w:tr>
    </w:tbl>
    <w:p w14:paraId="1E1BBE9E">
      <w:pPr>
        <w:pStyle w:val="43"/>
        <w:bidi w:val="0"/>
        <w:rPr>
          <w:rFonts w:hint="eastAsia"/>
          <w:color w:val="auto"/>
          <w:lang w:val="en-US" w:eastAsia="zh-CN"/>
        </w:rPr>
      </w:pPr>
      <w:r>
        <w:rPr>
          <w:rFonts w:hint="eastAsia"/>
          <w:color w:val="auto"/>
          <w:lang w:val="en-US" w:eastAsia="zh-CN"/>
        </w:rPr>
        <w:t>表1.3-3  与《挥发性有机物（VOCs）污染防治技术政策》相符性分析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4380"/>
        <w:gridCol w:w="2910"/>
        <w:gridCol w:w="863"/>
      </w:tblGrid>
      <w:tr w14:paraId="3DD0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6514E948">
            <w:pPr>
              <w:bidi w:val="0"/>
              <w:jc w:val="center"/>
              <w:rPr>
                <w:rFonts w:hint="default"/>
                <w:b/>
                <w:bCs/>
                <w:color w:val="auto"/>
                <w:vertAlign w:val="baseline"/>
                <w:lang w:val="en-US" w:eastAsia="zh-CN"/>
              </w:rPr>
            </w:pPr>
            <w:r>
              <w:rPr>
                <w:rFonts w:hint="eastAsia"/>
                <w:b/>
                <w:bCs/>
                <w:color w:val="auto"/>
                <w:vertAlign w:val="baseline"/>
                <w:lang w:val="en-US" w:eastAsia="zh-CN"/>
              </w:rPr>
              <w:t>序号</w:t>
            </w:r>
          </w:p>
        </w:tc>
        <w:tc>
          <w:tcPr>
            <w:tcW w:w="4380" w:type="dxa"/>
            <w:vAlign w:val="center"/>
          </w:tcPr>
          <w:p w14:paraId="377420FF">
            <w:pPr>
              <w:bidi w:val="0"/>
              <w:jc w:val="center"/>
              <w:rPr>
                <w:rFonts w:hint="default"/>
                <w:b/>
                <w:bCs/>
                <w:color w:val="auto"/>
                <w:vertAlign w:val="baseline"/>
                <w:lang w:val="en-US" w:eastAsia="zh-CN"/>
              </w:rPr>
            </w:pPr>
            <w:r>
              <w:rPr>
                <w:rFonts w:hint="eastAsia"/>
                <w:b/>
                <w:bCs/>
                <w:color w:val="auto"/>
                <w:vertAlign w:val="baseline"/>
                <w:lang w:val="en-US" w:eastAsia="zh-CN"/>
              </w:rPr>
              <w:t>要求</w:t>
            </w:r>
          </w:p>
        </w:tc>
        <w:tc>
          <w:tcPr>
            <w:tcW w:w="2910" w:type="dxa"/>
            <w:vAlign w:val="center"/>
          </w:tcPr>
          <w:p w14:paraId="7AFE9E24">
            <w:pPr>
              <w:bidi w:val="0"/>
              <w:jc w:val="center"/>
              <w:rPr>
                <w:rFonts w:hint="default"/>
                <w:b/>
                <w:bCs/>
                <w:color w:val="auto"/>
                <w:vertAlign w:val="baseline"/>
                <w:lang w:val="en-US" w:eastAsia="zh-CN"/>
              </w:rPr>
            </w:pPr>
            <w:r>
              <w:rPr>
                <w:rFonts w:hint="eastAsia"/>
                <w:b/>
                <w:bCs/>
                <w:color w:val="auto"/>
                <w:vertAlign w:val="baseline"/>
                <w:lang w:val="en-US" w:eastAsia="zh-CN"/>
              </w:rPr>
              <w:t>本工程</w:t>
            </w:r>
          </w:p>
        </w:tc>
        <w:tc>
          <w:tcPr>
            <w:tcW w:w="863" w:type="dxa"/>
            <w:vAlign w:val="center"/>
          </w:tcPr>
          <w:p w14:paraId="36D4F2BA">
            <w:pPr>
              <w:bidi w:val="0"/>
              <w:jc w:val="center"/>
              <w:rPr>
                <w:rFonts w:hint="default"/>
                <w:b/>
                <w:bCs/>
                <w:color w:val="auto"/>
                <w:vertAlign w:val="baseline"/>
                <w:lang w:val="en-US" w:eastAsia="zh-CN"/>
              </w:rPr>
            </w:pPr>
            <w:r>
              <w:rPr>
                <w:rFonts w:hint="eastAsia"/>
                <w:b/>
                <w:bCs/>
                <w:color w:val="auto"/>
                <w:vertAlign w:val="baseline"/>
                <w:lang w:val="en-US" w:eastAsia="zh-CN"/>
              </w:rPr>
              <w:t>相符性</w:t>
            </w:r>
          </w:p>
        </w:tc>
      </w:tr>
      <w:tr w14:paraId="0ADF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43AC72FF">
            <w:pPr>
              <w:bidi w:val="0"/>
              <w:jc w:val="center"/>
              <w:rPr>
                <w:rFonts w:hint="default"/>
                <w:color w:val="auto"/>
                <w:vertAlign w:val="baseline"/>
                <w:lang w:val="en-US" w:eastAsia="zh-CN"/>
              </w:rPr>
            </w:pPr>
            <w:r>
              <w:rPr>
                <w:rFonts w:hint="eastAsia"/>
                <w:color w:val="auto"/>
                <w:vertAlign w:val="baseline"/>
                <w:lang w:val="en-US" w:eastAsia="zh-CN"/>
              </w:rPr>
              <w:t>1</w:t>
            </w:r>
          </w:p>
        </w:tc>
        <w:tc>
          <w:tcPr>
            <w:tcW w:w="4380" w:type="dxa"/>
            <w:shd w:val="clear" w:color="auto" w:fill="auto"/>
            <w:vAlign w:val="center"/>
          </w:tcPr>
          <w:p w14:paraId="6EBADED7">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对泵、压缩机、阀门、法兰等易发生泄漏的设备与管线组件，制定泄漏检测与修复（LDAR）计划，定期检测、及时修复，防止或减少跑、冒、滴、漏现象。</w:t>
            </w:r>
          </w:p>
        </w:tc>
        <w:tc>
          <w:tcPr>
            <w:tcW w:w="2910" w:type="dxa"/>
            <w:shd w:val="clear" w:color="auto" w:fill="auto"/>
            <w:vAlign w:val="center"/>
          </w:tcPr>
          <w:p w14:paraId="10DC61FB">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eastAsia="宋体" w:asciiTheme="minorHAnsi" w:hAnsiTheme="minorHAnsi" w:cstheme="minorBidi"/>
                <w:b w:val="0"/>
                <w:bCs w:val="0"/>
                <w:color w:val="auto"/>
                <w:sz w:val="21"/>
                <w:szCs w:val="21"/>
                <w:lang w:val="en-US" w:eastAsia="zh-CN" w:bidi="ar-SA"/>
              </w:rPr>
            </w:pPr>
            <w:r>
              <w:rPr>
                <w:rFonts w:hint="eastAsia"/>
                <w:b w:val="0"/>
                <w:bCs w:val="0"/>
                <w:color w:val="auto"/>
                <w:sz w:val="21"/>
                <w:szCs w:val="21"/>
                <w:lang w:val="en-US" w:eastAsia="zh-CN"/>
              </w:rPr>
              <w:t>建设单位定期对管道、阀门、机械设备等制定相关检修计划，防止或减少跑、冒、滴、漏等情况发生。</w:t>
            </w:r>
          </w:p>
        </w:tc>
        <w:tc>
          <w:tcPr>
            <w:tcW w:w="863" w:type="dxa"/>
            <w:vAlign w:val="center"/>
          </w:tcPr>
          <w:p w14:paraId="5387A53C">
            <w:pPr>
              <w:bidi w:val="0"/>
              <w:jc w:val="center"/>
              <w:rPr>
                <w:rFonts w:hint="default"/>
                <w:color w:val="auto"/>
                <w:vertAlign w:val="baseline"/>
                <w:lang w:val="en-US" w:eastAsia="zh-CN"/>
              </w:rPr>
            </w:pPr>
            <w:r>
              <w:rPr>
                <w:rFonts w:hint="eastAsia"/>
                <w:color w:val="auto"/>
                <w:vertAlign w:val="baseline"/>
                <w:lang w:val="en-US" w:eastAsia="zh-CN"/>
              </w:rPr>
              <w:t>符合</w:t>
            </w:r>
          </w:p>
        </w:tc>
      </w:tr>
      <w:tr w14:paraId="731B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626E38E">
            <w:pPr>
              <w:bidi w:val="0"/>
              <w:jc w:val="center"/>
              <w:rPr>
                <w:rFonts w:hint="default"/>
                <w:color w:val="auto"/>
                <w:vertAlign w:val="baseline"/>
                <w:lang w:val="en-US" w:eastAsia="zh-CN"/>
              </w:rPr>
            </w:pPr>
            <w:r>
              <w:rPr>
                <w:rFonts w:hint="eastAsia"/>
                <w:color w:val="auto"/>
                <w:vertAlign w:val="baseline"/>
                <w:lang w:val="en-US" w:eastAsia="zh-CN"/>
              </w:rPr>
              <w:t>2</w:t>
            </w:r>
          </w:p>
        </w:tc>
        <w:tc>
          <w:tcPr>
            <w:tcW w:w="4380" w:type="dxa"/>
            <w:shd w:val="clear" w:color="auto" w:fill="auto"/>
            <w:vAlign w:val="center"/>
          </w:tcPr>
          <w:p w14:paraId="2798794B">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对生产装置排放的含VOCs工艺排气宜优先回收利用，不能（或不能完全）回收利用的经处理后达标排放；应急情况下的泄放气可导入燃烧塔（火炬），经过充分燃烧后排放。</w:t>
            </w:r>
          </w:p>
        </w:tc>
        <w:tc>
          <w:tcPr>
            <w:tcW w:w="2910" w:type="dxa"/>
            <w:shd w:val="clear" w:color="auto" w:fill="auto"/>
            <w:vAlign w:val="center"/>
          </w:tcPr>
          <w:p w14:paraId="2023D7CF">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eastAsia="宋体" w:asciiTheme="minorHAnsi" w:hAnsiTheme="minorHAnsi" w:cstheme="minorBidi"/>
                <w:b w:val="0"/>
                <w:bCs w:val="0"/>
                <w:color w:val="auto"/>
                <w:sz w:val="21"/>
                <w:szCs w:val="21"/>
                <w:lang w:val="en-US" w:eastAsia="zh-CN" w:bidi="ar-SA"/>
              </w:rPr>
            </w:pPr>
            <w:r>
              <w:rPr>
                <w:rFonts w:hint="eastAsia"/>
                <w:b w:val="0"/>
                <w:bCs w:val="0"/>
                <w:color w:val="auto"/>
                <w:sz w:val="21"/>
                <w:szCs w:val="21"/>
                <w:lang w:val="en-US" w:eastAsia="zh-CN"/>
              </w:rPr>
              <w:t>本工程采用密闭集输工艺，伴生气进处理站处理。</w:t>
            </w:r>
          </w:p>
        </w:tc>
        <w:tc>
          <w:tcPr>
            <w:tcW w:w="863" w:type="dxa"/>
            <w:vAlign w:val="center"/>
          </w:tcPr>
          <w:p w14:paraId="5099E952">
            <w:pPr>
              <w:bidi w:val="0"/>
              <w:jc w:val="center"/>
              <w:rPr>
                <w:rFonts w:hint="default"/>
                <w:color w:val="auto"/>
                <w:vertAlign w:val="baseline"/>
                <w:lang w:val="en-US" w:eastAsia="zh-CN"/>
              </w:rPr>
            </w:pPr>
            <w:r>
              <w:rPr>
                <w:rFonts w:hint="eastAsia"/>
                <w:color w:val="auto"/>
                <w:vertAlign w:val="baseline"/>
                <w:lang w:val="en-US" w:eastAsia="zh-CN"/>
              </w:rPr>
              <w:t>符合</w:t>
            </w:r>
          </w:p>
        </w:tc>
      </w:tr>
      <w:tr w14:paraId="2FD5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1E8E213E">
            <w:pPr>
              <w:bidi w:val="0"/>
              <w:jc w:val="center"/>
              <w:rPr>
                <w:rFonts w:hint="default"/>
                <w:color w:val="auto"/>
                <w:vertAlign w:val="baseline"/>
                <w:lang w:val="en-US" w:eastAsia="zh-CN"/>
              </w:rPr>
            </w:pPr>
            <w:r>
              <w:rPr>
                <w:rFonts w:hint="eastAsia"/>
                <w:color w:val="auto"/>
                <w:vertAlign w:val="baseline"/>
                <w:lang w:val="en-US" w:eastAsia="zh-CN"/>
              </w:rPr>
              <w:t>3</w:t>
            </w:r>
          </w:p>
        </w:tc>
        <w:tc>
          <w:tcPr>
            <w:tcW w:w="4380" w:type="dxa"/>
            <w:shd w:val="clear" w:color="auto" w:fill="auto"/>
            <w:vAlign w:val="center"/>
          </w:tcPr>
          <w:p w14:paraId="580AD504">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color w:val="auto"/>
                <w:sz w:val="21"/>
                <w:szCs w:val="21"/>
              </w:rPr>
              <w:t>企业应建立健全VOCs治理设施的运行维护规程和台账等日常管理制度，并根据工艺要求定期对各类设备、电气、自控仪表等进行检修维护，确保设施的稳定运行。</w:t>
            </w:r>
          </w:p>
        </w:tc>
        <w:tc>
          <w:tcPr>
            <w:tcW w:w="2910" w:type="dxa"/>
            <w:shd w:val="clear" w:color="auto" w:fill="auto"/>
            <w:vAlign w:val="center"/>
          </w:tcPr>
          <w:p w14:paraId="689FFEAF">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asciiTheme="minorHAnsi" w:hAnsiTheme="minorHAnsi" w:eastAsiaTheme="minorEastAsia" w:cstheme="minorBidi"/>
                <w:b w:val="0"/>
                <w:bCs w:val="0"/>
                <w:color w:val="auto"/>
                <w:sz w:val="21"/>
                <w:szCs w:val="21"/>
                <w:lang w:val="en-US" w:eastAsia="zh-CN" w:bidi="ar-SA"/>
              </w:rPr>
            </w:pPr>
            <w:r>
              <w:rPr>
                <w:rFonts w:ascii="宋体" w:hAnsi="宋体" w:eastAsia="宋体" w:cs="宋体"/>
                <w:color w:val="auto"/>
                <w:sz w:val="21"/>
                <w:szCs w:val="21"/>
              </w:rPr>
              <w:t>建设单位需制定设施的运行维护规程和台账，并定期对设备、电器、自控仪表进行检修。</w:t>
            </w:r>
          </w:p>
        </w:tc>
        <w:tc>
          <w:tcPr>
            <w:tcW w:w="863" w:type="dxa"/>
            <w:vAlign w:val="center"/>
          </w:tcPr>
          <w:p w14:paraId="3F1F86B9">
            <w:pPr>
              <w:bidi w:val="0"/>
              <w:jc w:val="center"/>
              <w:rPr>
                <w:rFonts w:hint="default"/>
                <w:color w:val="auto"/>
                <w:vertAlign w:val="baseline"/>
                <w:lang w:val="en-US" w:eastAsia="zh-CN"/>
              </w:rPr>
            </w:pPr>
            <w:r>
              <w:rPr>
                <w:rFonts w:hint="eastAsia"/>
                <w:color w:val="auto"/>
                <w:vertAlign w:val="baseline"/>
                <w:lang w:val="en-US" w:eastAsia="zh-CN"/>
              </w:rPr>
              <w:t>符合</w:t>
            </w:r>
          </w:p>
        </w:tc>
      </w:tr>
    </w:tbl>
    <w:p w14:paraId="300ABE9B">
      <w:pPr>
        <w:pStyle w:val="43"/>
        <w:bidi w:val="0"/>
        <w:rPr>
          <w:rFonts w:hint="eastAsia"/>
          <w:color w:val="auto"/>
          <w:lang w:val="en-US" w:eastAsia="zh-CN"/>
        </w:rPr>
      </w:pPr>
      <w:r>
        <w:rPr>
          <w:rFonts w:hint="eastAsia"/>
          <w:color w:val="auto"/>
          <w:lang w:val="en-US" w:eastAsia="zh-CN"/>
        </w:rPr>
        <w:t>表1.3-4  与《新疆维吾尔自治区重点行业生态环境准入条件（2024年）》符合性分析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4380"/>
        <w:gridCol w:w="2910"/>
        <w:gridCol w:w="863"/>
      </w:tblGrid>
      <w:tr w14:paraId="6D94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6EC21CFA">
            <w:pPr>
              <w:bidi w:val="0"/>
              <w:jc w:val="center"/>
              <w:rPr>
                <w:rFonts w:hint="default"/>
                <w:b/>
                <w:bCs/>
                <w:color w:val="auto"/>
                <w:vertAlign w:val="baseline"/>
                <w:lang w:val="en-US" w:eastAsia="zh-CN"/>
              </w:rPr>
            </w:pPr>
            <w:r>
              <w:rPr>
                <w:rFonts w:hint="eastAsia"/>
                <w:b/>
                <w:bCs/>
                <w:color w:val="auto"/>
                <w:vertAlign w:val="baseline"/>
                <w:lang w:val="en-US" w:eastAsia="zh-CN"/>
              </w:rPr>
              <w:t>序号</w:t>
            </w:r>
          </w:p>
        </w:tc>
        <w:tc>
          <w:tcPr>
            <w:tcW w:w="4380" w:type="dxa"/>
            <w:vAlign w:val="center"/>
          </w:tcPr>
          <w:p w14:paraId="264F4AB4">
            <w:pPr>
              <w:bidi w:val="0"/>
              <w:jc w:val="center"/>
              <w:rPr>
                <w:rFonts w:hint="default"/>
                <w:b/>
                <w:bCs/>
                <w:color w:val="auto"/>
                <w:vertAlign w:val="baseline"/>
                <w:lang w:val="en-US" w:eastAsia="zh-CN"/>
              </w:rPr>
            </w:pPr>
            <w:r>
              <w:rPr>
                <w:rFonts w:hint="eastAsia"/>
                <w:b/>
                <w:bCs/>
                <w:color w:val="auto"/>
                <w:vertAlign w:val="baseline"/>
                <w:lang w:val="en-US" w:eastAsia="zh-CN"/>
              </w:rPr>
              <w:t>要求</w:t>
            </w:r>
          </w:p>
        </w:tc>
        <w:tc>
          <w:tcPr>
            <w:tcW w:w="2910" w:type="dxa"/>
            <w:vAlign w:val="center"/>
          </w:tcPr>
          <w:p w14:paraId="49B5354B">
            <w:pPr>
              <w:bidi w:val="0"/>
              <w:jc w:val="center"/>
              <w:rPr>
                <w:rFonts w:hint="default"/>
                <w:b/>
                <w:bCs/>
                <w:color w:val="auto"/>
                <w:vertAlign w:val="baseline"/>
                <w:lang w:val="en-US" w:eastAsia="zh-CN"/>
              </w:rPr>
            </w:pPr>
            <w:r>
              <w:rPr>
                <w:rFonts w:hint="eastAsia"/>
                <w:b/>
                <w:bCs/>
                <w:color w:val="auto"/>
                <w:vertAlign w:val="baseline"/>
                <w:lang w:val="en-US" w:eastAsia="zh-CN"/>
              </w:rPr>
              <w:t>本工程</w:t>
            </w:r>
          </w:p>
        </w:tc>
        <w:tc>
          <w:tcPr>
            <w:tcW w:w="863" w:type="dxa"/>
            <w:vAlign w:val="center"/>
          </w:tcPr>
          <w:p w14:paraId="3FB172E0">
            <w:pPr>
              <w:bidi w:val="0"/>
              <w:jc w:val="center"/>
              <w:rPr>
                <w:rFonts w:hint="default"/>
                <w:b/>
                <w:bCs/>
                <w:color w:val="auto"/>
                <w:vertAlign w:val="baseline"/>
                <w:lang w:val="en-US" w:eastAsia="zh-CN"/>
              </w:rPr>
            </w:pPr>
            <w:r>
              <w:rPr>
                <w:rFonts w:hint="eastAsia"/>
                <w:b/>
                <w:bCs/>
                <w:color w:val="auto"/>
                <w:vertAlign w:val="baseline"/>
                <w:lang w:val="en-US" w:eastAsia="zh-CN"/>
              </w:rPr>
              <w:t>相符性</w:t>
            </w:r>
          </w:p>
        </w:tc>
      </w:tr>
      <w:tr w14:paraId="1F1B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vAlign w:val="center"/>
          </w:tcPr>
          <w:p w14:paraId="26D5374D">
            <w:pPr>
              <w:bidi w:val="0"/>
              <w:jc w:val="center"/>
              <w:rPr>
                <w:rFonts w:hint="eastAsia"/>
                <w:b/>
                <w:bCs/>
                <w:color w:val="auto"/>
                <w:vertAlign w:val="baseline"/>
                <w:lang w:val="en-US" w:eastAsia="zh-CN"/>
              </w:rPr>
            </w:pPr>
            <w:r>
              <w:rPr>
                <w:rFonts w:hint="eastAsia"/>
                <w:b w:val="0"/>
                <w:bCs w:val="0"/>
                <w:color w:val="auto"/>
                <w:sz w:val="21"/>
                <w:szCs w:val="21"/>
                <w:lang w:eastAsia="zh-CN"/>
              </w:rPr>
              <w:t>（</w:t>
            </w:r>
            <w:r>
              <w:rPr>
                <w:rFonts w:hint="eastAsia"/>
                <w:b w:val="0"/>
                <w:bCs w:val="0"/>
                <w:color w:val="auto"/>
                <w:sz w:val="21"/>
                <w:szCs w:val="21"/>
                <w:lang w:val="en-US" w:eastAsia="zh-CN"/>
              </w:rPr>
              <w:t>一</w:t>
            </w:r>
            <w:r>
              <w:rPr>
                <w:rFonts w:hint="eastAsia"/>
                <w:b w:val="0"/>
                <w:bCs w:val="0"/>
                <w:color w:val="auto"/>
                <w:sz w:val="21"/>
                <w:szCs w:val="21"/>
                <w:lang w:eastAsia="zh-CN"/>
              </w:rPr>
              <w:t>）</w:t>
            </w:r>
            <w:r>
              <w:rPr>
                <w:rFonts w:hint="eastAsia"/>
                <w:b w:val="0"/>
                <w:bCs w:val="0"/>
                <w:color w:val="auto"/>
                <w:sz w:val="21"/>
                <w:szCs w:val="21"/>
                <w:lang w:val="en-US" w:eastAsia="zh-CN"/>
              </w:rPr>
              <w:t>选址与空间布局</w:t>
            </w:r>
          </w:p>
        </w:tc>
      </w:tr>
      <w:tr w14:paraId="787B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53BBF307">
            <w:pPr>
              <w:bidi w:val="0"/>
              <w:jc w:val="center"/>
              <w:rPr>
                <w:rFonts w:hint="default"/>
                <w:b/>
                <w:bCs/>
                <w:color w:val="auto"/>
                <w:vertAlign w:val="baseline"/>
                <w:lang w:val="en-US" w:eastAsia="zh-CN"/>
              </w:rPr>
            </w:pPr>
            <w:r>
              <w:rPr>
                <w:rFonts w:hint="eastAsia"/>
                <w:b w:val="0"/>
                <w:bCs w:val="0"/>
                <w:color w:val="auto"/>
                <w:vertAlign w:val="baseline"/>
                <w:lang w:val="en-US" w:eastAsia="zh-CN"/>
              </w:rPr>
              <w:t>1</w:t>
            </w:r>
          </w:p>
        </w:tc>
        <w:tc>
          <w:tcPr>
            <w:tcW w:w="4380" w:type="dxa"/>
            <w:shd w:val="clear" w:color="auto" w:fill="auto"/>
            <w:vAlign w:val="center"/>
          </w:tcPr>
          <w:p w14:paraId="2B23416B">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eastAsia="宋体" w:asciiTheme="minorHAnsi" w:hAnsiTheme="minorHAnsi" w:cstheme="minorBidi"/>
                <w:b w:val="0"/>
                <w:bCs w:val="0"/>
                <w:color w:val="auto"/>
                <w:sz w:val="21"/>
                <w:szCs w:val="21"/>
                <w:lang w:val="en-US" w:eastAsia="zh-CN" w:bidi="ar-SA"/>
              </w:rPr>
            </w:pPr>
            <w:r>
              <w:rPr>
                <w:rFonts w:hint="eastAsia"/>
                <w:b w:val="0"/>
                <w:bCs w:val="0"/>
                <w:color w:val="auto"/>
                <w:sz w:val="21"/>
                <w:szCs w:val="21"/>
                <w:lang w:val="en-US" w:eastAsia="zh-CN"/>
              </w:rPr>
              <w:t>石油、天然气开发项目的选址与布局应符合自治区或油气企业相关油气开发专项规划及规划环评要求，原则上应当以区块为单位开展环境影响评价工作。</w:t>
            </w:r>
          </w:p>
        </w:tc>
        <w:tc>
          <w:tcPr>
            <w:tcW w:w="2910" w:type="dxa"/>
            <w:shd w:val="clear" w:color="auto" w:fill="auto"/>
            <w:vAlign w:val="center"/>
          </w:tcPr>
          <w:p w14:paraId="7937B99D">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eastAsia="宋体" w:asciiTheme="minorHAnsi" w:hAnsiTheme="minorHAnsi" w:cstheme="minorBidi"/>
                <w:b w:val="0"/>
                <w:bCs w:val="0"/>
                <w:color w:val="auto"/>
                <w:sz w:val="21"/>
                <w:szCs w:val="21"/>
                <w:lang w:val="en-US" w:eastAsia="zh-CN" w:bidi="ar-SA"/>
              </w:rPr>
            </w:pPr>
            <w:r>
              <w:rPr>
                <w:rFonts w:hint="eastAsia" w:ascii="宋体" w:hAnsi="宋体" w:cs="宋体"/>
                <w:color w:val="auto"/>
                <w:sz w:val="21"/>
                <w:szCs w:val="21"/>
                <w:lang w:val="en-US" w:eastAsia="zh-CN"/>
              </w:rPr>
              <w:t>本工程</w:t>
            </w:r>
            <w:r>
              <w:rPr>
                <w:rFonts w:ascii="宋体" w:hAnsi="宋体" w:eastAsia="宋体" w:cs="宋体"/>
                <w:color w:val="auto"/>
                <w:sz w:val="21"/>
                <w:szCs w:val="21"/>
              </w:rPr>
              <w:t>建设符合《新疆油田公司“十四五”发展规划》和《新疆油田公司“十四五”发展规划环境影响报告书》的要求</w:t>
            </w:r>
            <w:r>
              <w:rPr>
                <w:rFonts w:ascii="宋体" w:hAnsi="宋体" w:eastAsia="宋体" w:cs="宋体"/>
                <w:color w:val="auto"/>
                <w:sz w:val="24"/>
                <w:szCs w:val="24"/>
              </w:rPr>
              <w:t>。</w:t>
            </w:r>
          </w:p>
        </w:tc>
        <w:tc>
          <w:tcPr>
            <w:tcW w:w="863" w:type="dxa"/>
            <w:vAlign w:val="center"/>
          </w:tcPr>
          <w:p w14:paraId="3A5A5EA9">
            <w:pPr>
              <w:bidi w:val="0"/>
              <w:jc w:val="center"/>
              <w:rPr>
                <w:rFonts w:hint="default"/>
                <w:b/>
                <w:bCs/>
                <w:color w:val="auto"/>
                <w:vertAlign w:val="baseline"/>
                <w:lang w:val="en-US" w:eastAsia="zh-CN"/>
              </w:rPr>
            </w:pPr>
            <w:r>
              <w:rPr>
                <w:rFonts w:hint="eastAsia"/>
                <w:b w:val="0"/>
                <w:bCs w:val="0"/>
                <w:color w:val="auto"/>
                <w:vertAlign w:val="baseline"/>
                <w:lang w:val="en-US" w:eastAsia="zh-CN"/>
              </w:rPr>
              <w:t>符合</w:t>
            </w:r>
          </w:p>
        </w:tc>
      </w:tr>
      <w:tr w14:paraId="2383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76EFD1C7">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2</w:t>
            </w:r>
          </w:p>
        </w:tc>
        <w:tc>
          <w:tcPr>
            <w:tcW w:w="4380" w:type="dxa"/>
            <w:shd w:val="clear" w:color="auto" w:fill="auto"/>
            <w:vAlign w:val="center"/>
          </w:tcPr>
          <w:p w14:paraId="037C7CE1">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在符合产业政策、满足区域生态环境空气质量改善和污染物总量控制要求的前提下，经环境影响比选论证后，适宜在矿区开展的页岩油、页岩气开采、加工一体化项目可在矿区内就地选址。</w:t>
            </w:r>
          </w:p>
        </w:tc>
        <w:tc>
          <w:tcPr>
            <w:tcW w:w="2910" w:type="dxa"/>
            <w:shd w:val="clear" w:color="auto" w:fill="auto"/>
            <w:vAlign w:val="center"/>
          </w:tcPr>
          <w:p w14:paraId="263CC4B4">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eastAsia="宋体" w:asciiTheme="minorHAnsi" w:hAnsiTheme="minorHAnsi" w:cstheme="minorBidi"/>
                <w:b w:val="0"/>
                <w:bCs w:val="0"/>
                <w:color w:val="auto"/>
                <w:sz w:val="21"/>
                <w:szCs w:val="21"/>
                <w:lang w:val="en-US" w:eastAsia="zh-CN" w:bidi="ar-SA"/>
              </w:rPr>
            </w:pPr>
            <w:r>
              <w:rPr>
                <w:rFonts w:hint="eastAsia"/>
                <w:b w:val="0"/>
                <w:bCs w:val="0"/>
                <w:color w:val="auto"/>
                <w:sz w:val="21"/>
                <w:szCs w:val="21"/>
                <w:lang w:val="en-US" w:eastAsia="zh-CN"/>
              </w:rPr>
              <w:t>本工程属于陆地石油天然气开采。</w:t>
            </w:r>
          </w:p>
        </w:tc>
        <w:tc>
          <w:tcPr>
            <w:tcW w:w="863" w:type="dxa"/>
            <w:vAlign w:val="center"/>
          </w:tcPr>
          <w:p w14:paraId="7519F194">
            <w:pPr>
              <w:bidi w:val="0"/>
              <w:jc w:val="center"/>
              <w:rPr>
                <w:rFonts w:hint="eastAsia"/>
                <w:b/>
                <w:bCs/>
                <w:color w:val="auto"/>
                <w:vertAlign w:val="baseline"/>
                <w:lang w:val="en-US" w:eastAsia="zh-CN"/>
              </w:rPr>
            </w:pPr>
            <w:r>
              <w:rPr>
                <w:rFonts w:hint="eastAsia"/>
                <w:b w:val="0"/>
                <w:bCs w:val="0"/>
                <w:color w:val="auto"/>
                <w:vertAlign w:val="baseline"/>
                <w:lang w:val="en-US" w:eastAsia="zh-CN"/>
              </w:rPr>
              <w:t>符合</w:t>
            </w:r>
          </w:p>
        </w:tc>
      </w:tr>
      <w:tr w14:paraId="09B9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7F660B6D">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3</w:t>
            </w:r>
          </w:p>
        </w:tc>
        <w:tc>
          <w:tcPr>
            <w:tcW w:w="4380" w:type="dxa"/>
            <w:shd w:val="clear" w:color="auto" w:fill="auto"/>
            <w:vAlign w:val="center"/>
          </w:tcPr>
          <w:p w14:paraId="29C78DD7">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asciiTheme="minorHAnsi" w:hAnsiTheme="minorHAnsi" w:eastAsiaTheme="minorEastAsia" w:cstheme="minorBidi"/>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涉及自然保护地的石油天然气勘探、开发项目按照国家和自治区有关油气安全保障政策要求执行。</w:t>
            </w:r>
          </w:p>
        </w:tc>
        <w:tc>
          <w:tcPr>
            <w:tcW w:w="2910" w:type="dxa"/>
            <w:shd w:val="clear" w:color="auto" w:fill="auto"/>
            <w:vAlign w:val="center"/>
          </w:tcPr>
          <w:p w14:paraId="167D9096">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eastAsia="宋体" w:asciiTheme="minorHAnsi" w:hAnsiTheme="minorHAnsi" w:cstheme="minorBidi"/>
                <w:b w:val="0"/>
                <w:bCs w:val="0"/>
                <w:color w:val="auto"/>
                <w:sz w:val="21"/>
                <w:szCs w:val="21"/>
                <w:lang w:val="en-US" w:eastAsia="zh-CN" w:bidi="ar-SA"/>
              </w:rPr>
            </w:pPr>
            <w:r>
              <w:rPr>
                <w:rFonts w:hint="eastAsia"/>
                <w:b w:val="0"/>
                <w:bCs w:val="0"/>
                <w:color w:val="auto"/>
                <w:sz w:val="21"/>
                <w:szCs w:val="21"/>
                <w:lang w:val="en-US" w:eastAsia="zh-CN"/>
              </w:rPr>
              <w:t>项目不占用自然保护地，符合法律法规，严格办理相关手续。</w:t>
            </w:r>
          </w:p>
        </w:tc>
        <w:tc>
          <w:tcPr>
            <w:tcW w:w="863" w:type="dxa"/>
            <w:vAlign w:val="center"/>
          </w:tcPr>
          <w:p w14:paraId="7908069F">
            <w:pPr>
              <w:bidi w:val="0"/>
              <w:jc w:val="center"/>
              <w:rPr>
                <w:rFonts w:hint="eastAsia"/>
                <w:b/>
                <w:bCs/>
                <w:color w:val="auto"/>
                <w:vertAlign w:val="baseline"/>
                <w:lang w:val="en-US" w:eastAsia="zh-CN"/>
              </w:rPr>
            </w:pPr>
            <w:r>
              <w:rPr>
                <w:rFonts w:hint="eastAsia"/>
                <w:b w:val="0"/>
                <w:bCs w:val="0"/>
                <w:color w:val="auto"/>
                <w:vertAlign w:val="baseline"/>
                <w:lang w:val="en-US" w:eastAsia="zh-CN"/>
              </w:rPr>
              <w:t>符合</w:t>
            </w:r>
          </w:p>
        </w:tc>
      </w:tr>
      <w:tr w14:paraId="1148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vAlign w:val="center"/>
          </w:tcPr>
          <w:p w14:paraId="3080DC77">
            <w:pPr>
              <w:bidi w:val="0"/>
              <w:jc w:val="center"/>
              <w:rPr>
                <w:rFonts w:hint="eastAsia"/>
                <w:b w:val="0"/>
                <w:bCs w:val="0"/>
                <w:color w:val="auto"/>
                <w:vertAlign w:val="baseline"/>
                <w:lang w:val="en-US" w:eastAsia="zh-CN"/>
              </w:rPr>
            </w:pPr>
            <w:r>
              <w:rPr>
                <w:rFonts w:hint="eastAsia"/>
                <w:b w:val="0"/>
                <w:bCs w:val="0"/>
                <w:color w:val="auto"/>
                <w:sz w:val="21"/>
                <w:szCs w:val="21"/>
                <w:lang w:eastAsia="zh-CN"/>
              </w:rPr>
              <w:t>（</w:t>
            </w:r>
            <w:r>
              <w:rPr>
                <w:rFonts w:hint="eastAsia"/>
                <w:b w:val="0"/>
                <w:bCs w:val="0"/>
                <w:color w:val="auto"/>
                <w:sz w:val="21"/>
                <w:szCs w:val="21"/>
                <w:lang w:val="en-US" w:eastAsia="zh-CN"/>
              </w:rPr>
              <w:t>二</w:t>
            </w:r>
            <w:r>
              <w:rPr>
                <w:rFonts w:hint="eastAsia"/>
                <w:b w:val="0"/>
                <w:bCs w:val="0"/>
                <w:color w:val="auto"/>
                <w:sz w:val="21"/>
                <w:szCs w:val="21"/>
                <w:lang w:eastAsia="zh-CN"/>
              </w:rPr>
              <w:t>）</w:t>
            </w:r>
            <w:r>
              <w:rPr>
                <w:rFonts w:hint="eastAsia"/>
                <w:b w:val="0"/>
                <w:bCs w:val="0"/>
                <w:color w:val="auto"/>
                <w:sz w:val="21"/>
                <w:szCs w:val="21"/>
                <w:lang w:val="en-US" w:eastAsia="zh-CN"/>
              </w:rPr>
              <w:t>污染防治与环境影响</w:t>
            </w:r>
          </w:p>
        </w:tc>
      </w:tr>
      <w:tr w14:paraId="1D2C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241FD63D">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4</w:t>
            </w:r>
          </w:p>
        </w:tc>
        <w:tc>
          <w:tcPr>
            <w:tcW w:w="4380" w:type="dxa"/>
            <w:shd w:val="clear" w:color="auto" w:fill="auto"/>
            <w:vAlign w:val="center"/>
          </w:tcPr>
          <w:p w14:paraId="0FB862AB">
            <w:pPr>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2"/>
                <w:lang w:val="en-US" w:eastAsia="zh-CN" w:bidi="ar-SA"/>
              </w:rPr>
            </w:pPr>
            <w:r>
              <w:rPr>
                <w:rFonts w:hint="eastAsia"/>
                <w:color w:val="auto"/>
              </w:rPr>
              <w:t>施工期应当尽量减少施工占地、严格控制施工作业面积、缩短施工时间、选择合理施工方式、落实环境敏感区管控要求以及其他生态环境保护措施，有效降低生态环境影响。</w:t>
            </w:r>
          </w:p>
        </w:tc>
        <w:tc>
          <w:tcPr>
            <w:tcW w:w="2910" w:type="dxa"/>
            <w:shd w:val="clear" w:color="auto" w:fill="auto"/>
            <w:vAlign w:val="center"/>
          </w:tcPr>
          <w:p w14:paraId="546DEC2D">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eastAsia="宋体" w:asciiTheme="minorHAnsi" w:hAnsiTheme="minorHAnsi" w:cstheme="minorBidi"/>
                <w:b w:val="0"/>
                <w:bCs w:val="0"/>
                <w:color w:val="auto"/>
                <w:sz w:val="21"/>
                <w:szCs w:val="21"/>
                <w:lang w:val="en-US" w:eastAsia="zh-CN" w:bidi="ar-SA"/>
              </w:rPr>
            </w:pPr>
            <w:r>
              <w:rPr>
                <w:rFonts w:hint="eastAsia"/>
                <w:b w:val="0"/>
                <w:bCs w:val="0"/>
                <w:color w:val="auto"/>
                <w:sz w:val="21"/>
                <w:szCs w:val="21"/>
                <w:lang w:val="en-US" w:eastAsia="zh-CN"/>
              </w:rPr>
              <w:t>本工程施工期尽量减少施工占地，严格控制施工作业面积，缩短施工时间，落实各项生态环境保护措施。</w:t>
            </w:r>
          </w:p>
        </w:tc>
        <w:tc>
          <w:tcPr>
            <w:tcW w:w="863" w:type="dxa"/>
            <w:vAlign w:val="center"/>
          </w:tcPr>
          <w:p w14:paraId="33684AC2">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符合</w:t>
            </w:r>
          </w:p>
        </w:tc>
      </w:tr>
      <w:tr w14:paraId="2AD6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74D845A">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5</w:t>
            </w:r>
          </w:p>
        </w:tc>
        <w:tc>
          <w:tcPr>
            <w:tcW w:w="0" w:type="auto"/>
            <w:shd w:val="clear" w:color="auto" w:fill="auto"/>
            <w:vAlign w:val="center"/>
          </w:tcPr>
          <w:p w14:paraId="578CBA6E">
            <w:pPr>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2"/>
                <w:lang w:val="en-US" w:eastAsia="zh-CN" w:bidi="ar-SA"/>
              </w:rPr>
            </w:pPr>
            <w:r>
              <w:rPr>
                <w:rFonts w:hint="eastAsia"/>
                <w:color w:val="auto"/>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非甲烷总烃排放浓度应满足《陆上石油天然气开采工业大气污染物排放标准》（GB39728）要求。锅炉、加热炉、压缩机等装置应优先使用清洁燃料或能源，燃煤燃气锅炉、加热炉废气排放应达到《锅炉大气污染物排放标准》(GB13271）要求，有地方标准的按地方标准执行。涉及高含硫天然气开采的，应当强化钻井、输送、净化等环节环境风险防范措施。高含硫气田回注采出水，应当采取有效措施减少废水处理站和回注井场硫化氢的无组织排放。高含硫天然气净化厂应采用先进高效的硫磺回收工艺，减少二氧化硫排放。</w:t>
            </w:r>
          </w:p>
        </w:tc>
        <w:tc>
          <w:tcPr>
            <w:tcW w:w="0" w:type="auto"/>
            <w:shd w:val="clear" w:color="auto" w:fill="auto"/>
            <w:vAlign w:val="center"/>
          </w:tcPr>
          <w:p w14:paraId="793C9103">
            <w:pP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 w:val="21"/>
                <w:szCs w:val="21"/>
                <w:lang w:val="en-US" w:eastAsia="zh-CN"/>
              </w:rPr>
              <w:t>本工程采取密闭集输工艺，经预测，井场边界非甲烷总烃排放浓度满足《陆上石油天然气开采工业大气污染物排放标准》（GB39728）要求；项目采出的伴生气最终进入伴生气处理站；建设单位加强环境风险防范措施落实情况。</w:t>
            </w:r>
          </w:p>
        </w:tc>
        <w:tc>
          <w:tcPr>
            <w:tcW w:w="0" w:type="auto"/>
            <w:vAlign w:val="center"/>
          </w:tcPr>
          <w:p w14:paraId="6BAA21DA">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符合</w:t>
            </w:r>
          </w:p>
        </w:tc>
      </w:tr>
      <w:tr w14:paraId="3FD4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20C58B4">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6</w:t>
            </w:r>
          </w:p>
        </w:tc>
        <w:tc>
          <w:tcPr>
            <w:tcW w:w="0" w:type="auto"/>
            <w:shd w:val="clear" w:color="auto" w:fill="auto"/>
            <w:vAlign w:val="center"/>
          </w:tcPr>
          <w:p w14:paraId="6A1DAA00">
            <w:pPr>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2"/>
                <w:lang w:val="en-US" w:eastAsia="zh-CN" w:bidi="ar-SA"/>
              </w:rPr>
            </w:pPr>
            <w:r>
              <w:rPr>
                <w:rFonts w:hint="eastAsia"/>
                <w:color w:val="auto"/>
              </w:rPr>
              <w:t>油气开发产生的伴生气应优先回收利用，减少温室气体排放，开发区块伴生气整体回收利用率应达到80%以上；边远井、零散井等产生的伴生气不能回收或难以回收的，应经燃烧后放空。鼓励油气企业将碳捕集、利用与封存（CCUS）技术用于油气开采，提高采收率、减少温室气体排放。</w:t>
            </w:r>
          </w:p>
        </w:tc>
        <w:tc>
          <w:tcPr>
            <w:tcW w:w="0" w:type="auto"/>
            <w:shd w:val="clear" w:color="auto" w:fill="auto"/>
            <w:vAlign w:val="center"/>
          </w:tcPr>
          <w:p w14:paraId="1C142620">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eastAsia="宋体" w:asciiTheme="minorHAnsi" w:hAnsiTheme="minorHAnsi" w:cstheme="minorBidi"/>
                <w:b w:val="0"/>
                <w:bCs w:val="0"/>
                <w:color w:val="auto"/>
                <w:sz w:val="21"/>
                <w:szCs w:val="21"/>
                <w:lang w:val="en-US" w:eastAsia="zh-CN" w:bidi="ar-SA"/>
              </w:rPr>
            </w:pPr>
            <w:r>
              <w:rPr>
                <w:rFonts w:hint="eastAsia"/>
                <w:b w:val="0"/>
                <w:bCs w:val="0"/>
                <w:color w:val="auto"/>
                <w:sz w:val="21"/>
                <w:szCs w:val="21"/>
                <w:lang w:val="en-US" w:eastAsia="zh-CN"/>
              </w:rPr>
              <w:t>本工程油气经管道输送至处理站处理后外输或综合利用。</w:t>
            </w:r>
          </w:p>
        </w:tc>
        <w:tc>
          <w:tcPr>
            <w:tcW w:w="0" w:type="auto"/>
            <w:vAlign w:val="center"/>
          </w:tcPr>
          <w:p w14:paraId="631A4254">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符合</w:t>
            </w:r>
          </w:p>
        </w:tc>
      </w:tr>
      <w:tr w14:paraId="6166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68CE444">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7</w:t>
            </w:r>
          </w:p>
        </w:tc>
        <w:tc>
          <w:tcPr>
            <w:tcW w:w="0" w:type="auto"/>
            <w:shd w:val="clear" w:color="auto" w:fill="auto"/>
            <w:vAlign w:val="center"/>
          </w:tcPr>
          <w:p w14:paraId="2B3BCA68">
            <w:pPr>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2"/>
                <w:lang w:val="en-US" w:eastAsia="zh-CN" w:bidi="ar-SA"/>
              </w:rPr>
            </w:pPr>
            <w:r>
              <w:rPr>
                <w:rFonts w:hint="eastAsia"/>
                <w:color w:val="auto"/>
              </w:rPr>
              <w:t>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钻井液循环率应达到95%以上，压裂废液、酸化废液等井下作业废水应100%返排入罐。</w:t>
            </w:r>
          </w:p>
        </w:tc>
        <w:tc>
          <w:tcPr>
            <w:tcW w:w="0" w:type="auto"/>
            <w:shd w:val="clear" w:color="auto" w:fill="auto"/>
            <w:vAlign w:val="center"/>
          </w:tcPr>
          <w:p w14:paraId="352CCEFE">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eastAsia="宋体" w:asciiTheme="minorHAnsi" w:hAnsiTheme="minorHAnsi" w:cstheme="minorBidi"/>
                <w:b w:val="0"/>
                <w:bCs w:val="0"/>
                <w:color w:val="auto"/>
                <w:sz w:val="21"/>
                <w:szCs w:val="21"/>
                <w:lang w:val="en-US" w:eastAsia="zh-CN" w:bidi="ar-SA"/>
              </w:rPr>
            </w:pPr>
            <w:r>
              <w:rPr>
                <w:rFonts w:hint="eastAsia"/>
                <w:b w:val="0"/>
                <w:bCs w:val="0"/>
                <w:color w:val="auto"/>
                <w:sz w:val="21"/>
                <w:szCs w:val="21"/>
                <w:lang w:val="en-US" w:eastAsia="zh-CN"/>
              </w:rPr>
              <w:t>本工程生产废水处理达标后回注，不涉及钻井及储层改造。</w:t>
            </w:r>
          </w:p>
        </w:tc>
        <w:tc>
          <w:tcPr>
            <w:tcW w:w="0" w:type="auto"/>
            <w:vAlign w:val="center"/>
          </w:tcPr>
          <w:p w14:paraId="2F204ECD">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符合</w:t>
            </w:r>
          </w:p>
        </w:tc>
      </w:tr>
      <w:tr w14:paraId="0677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10B65E6">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8</w:t>
            </w:r>
          </w:p>
        </w:tc>
        <w:tc>
          <w:tcPr>
            <w:tcW w:w="0" w:type="auto"/>
            <w:shd w:val="clear" w:color="auto" w:fill="auto"/>
            <w:vAlign w:val="center"/>
          </w:tcPr>
          <w:p w14:paraId="0F5E0D73">
            <w:pPr>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2"/>
                <w:lang w:val="en-US" w:eastAsia="zh-CN" w:bidi="ar-SA"/>
              </w:rPr>
            </w:pPr>
            <w:r>
              <w:rPr>
                <w:rFonts w:hint="eastAsia"/>
                <w:color w:val="auto"/>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0" w:type="auto"/>
            <w:shd w:val="clear" w:color="auto" w:fill="auto"/>
            <w:vAlign w:val="center"/>
          </w:tcPr>
          <w:p w14:paraId="788FC086">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本工程生产废水处理达标后涉及回注，满足《碎屑岩油藏注水水质指标技术要求及分析方法》（SY/T5329）中相关要求。</w:t>
            </w:r>
          </w:p>
        </w:tc>
        <w:tc>
          <w:tcPr>
            <w:tcW w:w="0" w:type="auto"/>
            <w:vAlign w:val="center"/>
          </w:tcPr>
          <w:p w14:paraId="4949B6D8">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符合</w:t>
            </w:r>
          </w:p>
        </w:tc>
      </w:tr>
      <w:tr w14:paraId="0221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2ECBD47">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9</w:t>
            </w:r>
          </w:p>
        </w:tc>
        <w:tc>
          <w:tcPr>
            <w:tcW w:w="0" w:type="auto"/>
            <w:shd w:val="clear" w:color="auto" w:fill="auto"/>
            <w:vAlign w:val="center"/>
          </w:tcPr>
          <w:p w14:paraId="4CACBE03">
            <w:pPr>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2"/>
                <w:lang w:val="en-US" w:eastAsia="zh-CN" w:bidi="ar-SA"/>
              </w:rPr>
            </w:pPr>
            <w:r>
              <w:rPr>
                <w:rFonts w:hint="eastAsia"/>
                <w:color w:val="auto"/>
              </w:rPr>
              <w:t>废弃钻井泥浆及岩屑应采取“泥浆不落地”工艺，勘探、开发过程产生的落地原油回收率应达到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0" w:type="auto"/>
            <w:shd w:val="clear" w:color="auto" w:fill="auto"/>
            <w:vAlign w:val="center"/>
          </w:tcPr>
          <w:p w14:paraId="08047576">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本工程不涉及钻井泥浆及岩屑处置，原油开采中产生的落地油100%回收。运营期产生的</w:t>
            </w:r>
            <w:r>
              <w:rPr>
                <w:rFonts w:hint="eastAsia"/>
                <w:color w:val="auto"/>
              </w:rPr>
              <w:t>危险废物按照国家有关规定制定危险废物管理计划，建立危险废物管理台账，</w:t>
            </w:r>
            <w:r>
              <w:rPr>
                <w:rFonts w:hint="eastAsia"/>
                <w:color w:val="auto"/>
                <w:lang w:val="en-US" w:eastAsia="zh-CN"/>
              </w:rPr>
              <w:t>委托有资质的单位处置。</w:t>
            </w:r>
          </w:p>
        </w:tc>
        <w:tc>
          <w:tcPr>
            <w:tcW w:w="0" w:type="auto"/>
            <w:vAlign w:val="center"/>
          </w:tcPr>
          <w:p w14:paraId="231D5DF5">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符合</w:t>
            </w:r>
          </w:p>
        </w:tc>
      </w:tr>
      <w:tr w14:paraId="2DD0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8EA321C">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10</w:t>
            </w:r>
          </w:p>
        </w:tc>
        <w:tc>
          <w:tcPr>
            <w:tcW w:w="0" w:type="auto"/>
            <w:shd w:val="clear" w:color="auto" w:fill="auto"/>
            <w:vAlign w:val="center"/>
          </w:tcPr>
          <w:p w14:paraId="78482304">
            <w:pPr>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2"/>
                <w:lang w:val="en-US" w:eastAsia="zh-CN" w:bidi="ar-SA"/>
              </w:rPr>
            </w:pPr>
            <w:r>
              <w:rPr>
                <w:rFonts w:hint="eastAsia"/>
                <w:color w:val="auto"/>
              </w:rPr>
              <w:t>噪声排放应达到《工业企业厂界环境噪声排放标准》（GB12348）要求。</w:t>
            </w:r>
          </w:p>
        </w:tc>
        <w:tc>
          <w:tcPr>
            <w:tcW w:w="0" w:type="auto"/>
            <w:shd w:val="clear" w:color="auto" w:fill="auto"/>
            <w:vAlign w:val="center"/>
          </w:tcPr>
          <w:p w14:paraId="73BA4EB1">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经预测，本工程井场噪声</w:t>
            </w:r>
            <w:r>
              <w:rPr>
                <w:rFonts w:hint="eastAsia"/>
                <w:color w:val="auto"/>
              </w:rPr>
              <w:t>排放应达到《工业企业厂界环境噪声排放标准》（GB12348）要求</w:t>
            </w:r>
            <w:r>
              <w:rPr>
                <w:rFonts w:hint="eastAsia"/>
                <w:color w:val="auto"/>
                <w:lang w:eastAsia="zh-CN"/>
              </w:rPr>
              <w:t>。</w:t>
            </w:r>
          </w:p>
        </w:tc>
        <w:tc>
          <w:tcPr>
            <w:tcW w:w="0" w:type="auto"/>
            <w:vAlign w:val="center"/>
          </w:tcPr>
          <w:p w14:paraId="1CC41FEA">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符合</w:t>
            </w:r>
          </w:p>
        </w:tc>
      </w:tr>
      <w:tr w14:paraId="0E42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762E2BD">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11</w:t>
            </w:r>
          </w:p>
        </w:tc>
        <w:tc>
          <w:tcPr>
            <w:tcW w:w="0" w:type="auto"/>
            <w:shd w:val="clear" w:color="auto" w:fill="auto"/>
            <w:vAlign w:val="center"/>
          </w:tcPr>
          <w:p w14:paraId="2F0A2204">
            <w:pPr>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2"/>
                <w:lang w:val="en-US" w:eastAsia="zh-CN" w:bidi="ar-SA"/>
              </w:rPr>
            </w:pPr>
            <w:r>
              <w:rPr>
                <w:rFonts w:hint="eastAsia"/>
                <w:color w:val="auto"/>
              </w:rPr>
              <w:t>对拟退役的废弃井（站）场、管道、道路等工程设施应进行生态修复，生态修复前应对废弃油（气）井、管道进行封堵或设施拆除，确保无土壤及地下水环境污染遗留问题、废弃物得到妥善处置。生态修复应满足《矿山生态环境保护与恢复治理技术规范（试行）》（HJ651）、《废弃井封井回填技术指南（试行）</w:t>
            </w:r>
            <w:r>
              <w:rPr>
                <w:rFonts w:hint="eastAsia"/>
                <w:color w:val="auto"/>
                <w:lang w:eastAsia="zh-CN"/>
              </w:rPr>
              <w:t>》《</w:t>
            </w:r>
            <w:r>
              <w:rPr>
                <w:rFonts w:hint="eastAsia"/>
                <w:color w:val="auto"/>
              </w:rPr>
              <w:t>废弃井及长停井处置指南》（SY/T6646）、《陆上石油天然气开采业绿色矿山建设规范》（DZ/T0317）等相关要求。</w:t>
            </w:r>
          </w:p>
        </w:tc>
        <w:tc>
          <w:tcPr>
            <w:tcW w:w="0" w:type="auto"/>
            <w:shd w:val="clear" w:color="auto" w:fill="auto"/>
            <w:vAlign w:val="center"/>
          </w:tcPr>
          <w:p w14:paraId="2C095C61">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eastAsia="宋体" w:asciiTheme="minorHAnsi" w:hAnsiTheme="minorHAnsi" w:cstheme="minorBidi"/>
                <w:b w:val="0"/>
                <w:bCs w:val="0"/>
                <w:color w:val="auto"/>
                <w:sz w:val="21"/>
                <w:szCs w:val="21"/>
                <w:lang w:val="en-US" w:eastAsia="zh-CN" w:bidi="ar-SA"/>
              </w:rPr>
            </w:pPr>
            <w:r>
              <w:rPr>
                <w:rFonts w:hint="default" w:ascii="Times New Roman" w:hAnsi="Times New Roman" w:eastAsia="宋体" w:cs="Times New Roman"/>
                <w:bCs w:val="0"/>
                <w:color w:val="auto"/>
                <w:sz w:val="21"/>
                <w:szCs w:val="21"/>
                <w:lang w:bidi="en-US"/>
              </w:rPr>
              <w:t>本环评对拟退役的废弃井（站）场、管道、道路等工程设施提出生态修复措施，并要求满足《矿山生态环境保护与恢复治理技术规范（试行）》（HJ651）、《废弃井封井回填技术指南（试行）</w:t>
            </w:r>
            <w:r>
              <w:rPr>
                <w:rFonts w:hint="eastAsia" w:ascii="Times New Roman" w:hAnsi="Times New Roman" w:eastAsia="宋体" w:cs="Times New Roman"/>
                <w:bCs w:val="0"/>
                <w:color w:val="auto"/>
                <w:sz w:val="21"/>
                <w:szCs w:val="21"/>
                <w:lang w:eastAsia="zh-CN" w:bidi="en-US"/>
              </w:rPr>
              <w:t>》《</w:t>
            </w:r>
            <w:r>
              <w:rPr>
                <w:rFonts w:hint="default" w:ascii="Times New Roman" w:hAnsi="Times New Roman" w:eastAsia="宋体" w:cs="Times New Roman"/>
                <w:bCs w:val="0"/>
                <w:color w:val="auto"/>
                <w:sz w:val="21"/>
                <w:szCs w:val="21"/>
                <w:lang w:bidi="en-US"/>
              </w:rPr>
              <w:t>废弃井及长停井处置指南》（SY/T6646）、《陆上石油天然气开采业绿色矿山建设规范》（DZ/T0317）等相关要求</w:t>
            </w:r>
            <w:r>
              <w:rPr>
                <w:rFonts w:hint="eastAsia" w:ascii="Times New Roman" w:hAnsi="Times New Roman" w:eastAsia="宋体" w:cs="Times New Roman"/>
                <w:bCs w:val="0"/>
                <w:color w:val="auto"/>
                <w:sz w:val="21"/>
                <w:szCs w:val="21"/>
                <w:lang w:eastAsia="zh-CN" w:bidi="en-US"/>
              </w:rPr>
              <w:t>。</w:t>
            </w:r>
          </w:p>
        </w:tc>
        <w:tc>
          <w:tcPr>
            <w:tcW w:w="0" w:type="auto"/>
            <w:vAlign w:val="center"/>
          </w:tcPr>
          <w:p w14:paraId="3AE67215">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符合</w:t>
            </w:r>
          </w:p>
        </w:tc>
      </w:tr>
    </w:tbl>
    <w:p w14:paraId="5B2F47E4">
      <w:pPr>
        <w:pStyle w:val="43"/>
        <w:bidi w:val="0"/>
        <w:rPr>
          <w:color w:val="auto"/>
        </w:rPr>
      </w:pPr>
      <w:r>
        <w:rPr>
          <w:rFonts w:hint="eastAsia"/>
          <w:color w:val="auto"/>
        </w:rPr>
        <w:t>表</w:t>
      </w:r>
      <w:r>
        <w:rPr>
          <w:rFonts w:hint="eastAsia"/>
          <w:color w:val="auto"/>
          <w:lang w:val="en-US" w:eastAsia="zh-CN"/>
        </w:rPr>
        <w:t>1.3-5</w:t>
      </w:r>
      <w:r>
        <w:rPr>
          <w:rFonts w:hint="eastAsia"/>
          <w:color w:val="auto"/>
        </w:rPr>
        <w:t xml:space="preserve"> </w:t>
      </w:r>
      <w:r>
        <w:rPr>
          <w:color w:val="auto"/>
        </w:rPr>
        <w:t xml:space="preserve"> </w:t>
      </w:r>
      <w:r>
        <w:rPr>
          <w:rFonts w:hint="eastAsia"/>
          <w:color w:val="auto"/>
          <w:lang w:eastAsia="zh-CN"/>
        </w:rPr>
        <w:t>本工程</w:t>
      </w:r>
      <w:r>
        <w:rPr>
          <w:rFonts w:hint="eastAsia"/>
          <w:color w:val="auto"/>
        </w:rPr>
        <w:t>与《陆上石油天然气开采业绿色矿山建设规范》的相符性分析</w:t>
      </w:r>
    </w:p>
    <w:tbl>
      <w:tblPr>
        <w:tblStyle w:val="27"/>
        <w:tblW w:w="5143"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3386"/>
        <w:gridCol w:w="3656"/>
        <w:gridCol w:w="868"/>
      </w:tblGrid>
      <w:tr w14:paraId="7C45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noWrap w:val="0"/>
            <w:tcMar>
              <w:left w:w="0" w:type="dxa"/>
              <w:right w:w="0" w:type="dxa"/>
            </w:tcMar>
            <w:vAlign w:val="center"/>
          </w:tcPr>
          <w:p w14:paraId="2E8A0318">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序号</w:t>
            </w:r>
          </w:p>
        </w:tc>
        <w:tc>
          <w:tcPr>
            <w:tcW w:w="1978" w:type="pct"/>
            <w:noWrap w:val="0"/>
            <w:tcMar>
              <w:left w:w="0" w:type="dxa"/>
              <w:right w:w="0" w:type="dxa"/>
            </w:tcMar>
            <w:vAlign w:val="center"/>
          </w:tcPr>
          <w:p w14:paraId="4A0D8372">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《规范》中相关规定</w:t>
            </w:r>
          </w:p>
        </w:tc>
        <w:tc>
          <w:tcPr>
            <w:tcW w:w="2136" w:type="pct"/>
            <w:noWrap w:val="0"/>
            <w:tcMar>
              <w:left w:w="0" w:type="dxa"/>
              <w:right w:w="0" w:type="dxa"/>
            </w:tcMar>
            <w:vAlign w:val="center"/>
          </w:tcPr>
          <w:p w14:paraId="5F956F85">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拟采取的相关措施</w:t>
            </w:r>
          </w:p>
        </w:tc>
        <w:tc>
          <w:tcPr>
            <w:tcW w:w="507" w:type="pct"/>
            <w:noWrap w:val="0"/>
            <w:tcMar>
              <w:left w:w="0" w:type="dxa"/>
              <w:right w:w="0" w:type="dxa"/>
            </w:tcMar>
            <w:vAlign w:val="center"/>
          </w:tcPr>
          <w:p w14:paraId="4F0FFBAF">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相符性分析</w:t>
            </w:r>
          </w:p>
        </w:tc>
      </w:tr>
      <w:tr w14:paraId="1298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2" w:hRule="atLeast"/>
        </w:trPr>
        <w:tc>
          <w:tcPr>
            <w:tcW w:w="376" w:type="pct"/>
            <w:noWrap w:val="0"/>
            <w:tcMar>
              <w:left w:w="0" w:type="dxa"/>
              <w:right w:w="0" w:type="dxa"/>
            </w:tcMar>
            <w:vAlign w:val="center"/>
          </w:tcPr>
          <w:p w14:paraId="68D86BE8">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1</w:t>
            </w:r>
          </w:p>
        </w:tc>
        <w:tc>
          <w:tcPr>
            <w:tcW w:w="1978" w:type="pct"/>
            <w:noWrap w:val="0"/>
            <w:tcMar>
              <w:left w:w="0" w:type="dxa"/>
              <w:right w:w="0" w:type="dxa"/>
            </w:tcMar>
            <w:vAlign w:val="center"/>
          </w:tcPr>
          <w:p w14:paraId="1678A70A">
            <w:pPr>
              <w:keepNext w:val="0"/>
              <w:keepLines w:val="0"/>
              <w:pageBreakBefore w:val="0"/>
              <w:widowControl w:val="0"/>
              <w:kinsoku/>
              <w:wordWrap/>
              <w:overflowPunct/>
              <w:topLinePunct w:val="0"/>
              <w:autoSpaceDE/>
              <w:autoSpaceDN/>
              <w:bidi w:val="0"/>
              <w:adjustRightInd/>
              <w:snapToGrid/>
              <w:jc w:val="both"/>
              <w:textAlignment w:val="auto"/>
              <w:rPr>
                <w:rFonts w:hint="eastAsia"/>
                <w:color w:val="auto"/>
                <w:sz w:val="21"/>
                <w:szCs w:val="21"/>
                <w:lang w:eastAsia="zh-CN"/>
              </w:rPr>
            </w:pPr>
            <w:r>
              <w:rPr>
                <w:rFonts w:hint="eastAsia"/>
                <w:color w:val="auto"/>
                <w:sz w:val="21"/>
                <w:szCs w:val="21"/>
              </w:rPr>
              <w:t>资源开发应与环境保护、资源保护、城乡建设相协调，最大限度减少对自然环境的扰动和破坏，选择资源节约型、环境友好型开发方式</w:t>
            </w:r>
            <w:r>
              <w:rPr>
                <w:rFonts w:hint="eastAsia"/>
                <w:color w:val="auto"/>
                <w:sz w:val="21"/>
                <w:szCs w:val="21"/>
                <w:lang w:eastAsia="zh-CN"/>
              </w:rPr>
              <w:t>。</w:t>
            </w:r>
          </w:p>
          <w:p w14:paraId="4F0CDB20">
            <w:pPr>
              <w:keepNext w:val="0"/>
              <w:keepLines w:val="0"/>
              <w:pageBreakBefore w:val="0"/>
              <w:widowControl w:val="0"/>
              <w:kinsoku/>
              <w:wordWrap/>
              <w:overflowPunct/>
              <w:topLinePunct w:val="0"/>
              <w:autoSpaceDE/>
              <w:autoSpaceDN/>
              <w:bidi w:val="0"/>
              <w:adjustRightInd/>
              <w:snapToGrid/>
              <w:jc w:val="both"/>
              <w:textAlignment w:val="auto"/>
              <w:rPr>
                <w:rFonts w:hint="eastAsia"/>
                <w:color w:val="auto"/>
                <w:sz w:val="21"/>
                <w:szCs w:val="21"/>
                <w:lang w:eastAsia="zh-CN"/>
              </w:rPr>
            </w:pPr>
            <w:r>
              <w:rPr>
                <w:rFonts w:hint="eastAsia"/>
                <w:color w:val="auto"/>
                <w:sz w:val="21"/>
                <w:szCs w:val="21"/>
              </w:rPr>
              <w:t>因矿制宜选择开采工艺和装备，符合清洁生产要求</w:t>
            </w:r>
            <w:r>
              <w:rPr>
                <w:rFonts w:hint="eastAsia"/>
                <w:color w:val="auto"/>
                <w:sz w:val="21"/>
                <w:szCs w:val="21"/>
                <w:lang w:eastAsia="zh-CN"/>
              </w:rPr>
              <w:t>。</w:t>
            </w:r>
          </w:p>
          <w:p w14:paraId="6511B5D7">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sz w:val="21"/>
                <w:szCs w:val="21"/>
                <w:lang w:val="en-US" w:eastAsia="zh-CN"/>
              </w:rPr>
            </w:pPr>
            <w:r>
              <w:rPr>
                <w:rFonts w:hint="eastAsia"/>
                <w:color w:val="auto"/>
                <w:sz w:val="21"/>
                <w:szCs w:val="21"/>
              </w:rPr>
              <w:t>应贯彻“边开采、边治理、边恢复”的原则，及时治理恢复矿区地质环境，复垦矿区压占和损毁土地</w:t>
            </w:r>
            <w:r>
              <w:rPr>
                <w:rFonts w:hint="eastAsia"/>
                <w:color w:val="auto"/>
                <w:sz w:val="21"/>
                <w:szCs w:val="21"/>
                <w:lang w:eastAsia="zh-CN"/>
              </w:rPr>
              <w:t>。</w:t>
            </w:r>
          </w:p>
        </w:tc>
        <w:tc>
          <w:tcPr>
            <w:tcW w:w="2136" w:type="pct"/>
            <w:noWrap w:val="0"/>
            <w:tcMar>
              <w:left w:w="0" w:type="dxa"/>
              <w:right w:w="0" w:type="dxa"/>
            </w:tcMar>
            <w:vAlign w:val="center"/>
          </w:tcPr>
          <w:p w14:paraId="376AFD62">
            <w:pPr>
              <w:keepNext w:val="0"/>
              <w:keepLines w:val="0"/>
              <w:pageBreakBefore w:val="0"/>
              <w:widowControl w:val="0"/>
              <w:kinsoku/>
              <w:wordWrap/>
              <w:overflowPunct/>
              <w:topLinePunct w:val="0"/>
              <w:autoSpaceDE/>
              <w:autoSpaceDN/>
              <w:bidi w:val="0"/>
              <w:adjustRightInd/>
              <w:snapToGrid/>
              <w:jc w:val="both"/>
              <w:textAlignment w:val="auto"/>
              <w:rPr>
                <w:color w:val="auto"/>
                <w:sz w:val="21"/>
                <w:szCs w:val="21"/>
              </w:rPr>
            </w:pPr>
            <w:r>
              <w:rPr>
                <w:rFonts w:hint="eastAsia"/>
                <w:color w:val="auto"/>
                <w:sz w:val="21"/>
                <w:szCs w:val="21"/>
              </w:rPr>
              <w:t>建设符合相关规划，符合区域“三线一单”中空间布局约束、污染物排放管控、环境风险防控、资源利用效率相关要求；按照规定对占地进行补偿，施工结束后临时占地要及时恢复，边开采、边恢复，退役期要及时释放永久占地。</w:t>
            </w:r>
          </w:p>
        </w:tc>
        <w:tc>
          <w:tcPr>
            <w:tcW w:w="507" w:type="pct"/>
            <w:noWrap w:val="0"/>
            <w:tcMar>
              <w:left w:w="0" w:type="dxa"/>
              <w:right w:w="0" w:type="dxa"/>
            </w:tcMar>
            <w:vAlign w:val="center"/>
          </w:tcPr>
          <w:p w14:paraId="58B856A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14:paraId="2991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6" w:hRule="atLeast"/>
        </w:trPr>
        <w:tc>
          <w:tcPr>
            <w:tcW w:w="376" w:type="pct"/>
            <w:shd w:val="clear" w:color="auto" w:fill="auto"/>
            <w:noWrap w:val="0"/>
            <w:tcMar>
              <w:left w:w="0" w:type="dxa"/>
              <w:right w:w="0" w:type="dxa"/>
            </w:tcMar>
            <w:vAlign w:val="center"/>
          </w:tcPr>
          <w:p w14:paraId="22B4FA4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w:t>
            </w:r>
          </w:p>
        </w:tc>
        <w:tc>
          <w:tcPr>
            <w:tcW w:w="1978" w:type="pct"/>
            <w:noWrap w:val="0"/>
            <w:tcMar>
              <w:left w:w="0" w:type="dxa"/>
              <w:right w:w="0" w:type="dxa"/>
            </w:tcMar>
            <w:vAlign w:val="center"/>
          </w:tcPr>
          <w:p w14:paraId="2A18BF11">
            <w:pPr>
              <w:keepNext w:val="0"/>
              <w:keepLines w:val="0"/>
              <w:pageBreakBefore w:val="0"/>
              <w:widowControl w:val="0"/>
              <w:kinsoku/>
              <w:wordWrap/>
              <w:overflowPunct/>
              <w:topLinePunct w:val="0"/>
              <w:autoSpaceDE/>
              <w:autoSpaceDN/>
              <w:bidi w:val="0"/>
              <w:adjustRightInd/>
              <w:snapToGrid/>
              <w:jc w:val="both"/>
              <w:textAlignment w:val="auto"/>
              <w:rPr>
                <w:rFonts w:hint="eastAsia"/>
                <w:color w:val="auto"/>
                <w:sz w:val="21"/>
                <w:szCs w:val="21"/>
                <w:lang w:eastAsia="zh-CN"/>
              </w:rPr>
            </w:pPr>
            <w:r>
              <w:rPr>
                <w:rFonts w:hint="eastAsia"/>
                <w:color w:val="auto"/>
                <w:sz w:val="21"/>
                <w:szCs w:val="21"/>
              </w:rPr>
              <w:t>应遵循矿区油气资源赋存状况、生态环境特征等条件，科学合理确定开发方案，选择与油气藏类型相适应的先进开采技术和工艺，推广使用成熟、先进的技术装备，严禁使用国家明文规定的限制和淘汰的技术工艺及装备</w:t>
            </w:r>
            <w:r>
              <w:rPr>
                <w:rFonts w:hint="eastAsia"/>
                <w:color w:val="auto"/>
                <w:sz w:val="21"/>
                <w:szCs w:val="21"/>
                <w:lang w:eastAsia="zh-CN"/>
              </w:rPr>
              <w:t>。</w:t>
            </w:r>
          </w:p>
          <w:p w14:paraId="16F3D79B">
            <w:pPr>
              <w:keepNext w:val="0"/>
              <w:keepLines w:val="0"/>
              <w:pageBreakBefore w:val="0"/>
              <w:widowControl w:val="0"/>
              <w:kinsoku/>
              <w:wordWrap/>
              <w:overflowPunct/>
              <w:topLinePunct w:val="0"/>
              <w:autoSpaceDE/>
              <w:autoSpaceDN/>
              <w:bidi w:val="0"/>
              <w:adjustRightInd/>
              <w:snapToGrid/>
              <w:jc w:val="both"/>
              <w:textAlignment w:val="auto"/>
              <w:rPr>
                <w:rFonts w:hint="eastAsia"/>
                <w:color w:val="auto"/>
                <w:sz w:val="21"/>
                <w:szCs w:val="21"/>
              </w:rPr>
            </w:pPr>
            <w:r>
              <w:rPr>
                <w:rFonts w:hint="eastAsia"/>
                <w:color w:val="auto"/>
                <w:sz w:val="21"/>
                <w:szCs w:val="21"/>
              </w:rPr>
              <w:t>集约节约利用土地资源，土地利用符合用地指标政策。合理确定站址、场址、管网、路网建设占地规模</w:t>
            </w:r>
            <w:r>
              <w:rPr>
                <w:rFonts w:hint="eastAsia"/>
                <w:color w:val="auto"/>
                <w:sz w:val="21"/>
                <w:szCs w:val="21"/>
                <w:lang w:eastAsia="zh-CN"/>
              </w:rPr>
              <w:t>。</w:t>
            </w:r>
          </w:p>
        </w:tc>
        <w:tc>
          <w:tcPr>
            <w:tcW w:w="2136" w:type="pct"/>
            <w:noWrap w:val="0"/>
            <w:tcMar>
              <w:left w:w="0" w:type="dxa"/>
              <w:right w:w="0" w:type="dxa"/>
            </w:tcMar>
            <w:vAlign w:val="center"/>
          </w:tcPr>
          <w:p w14:paraId="250595DD">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sz w:val="21"/>
                <w:szCs w:val="21"/>
                <w:lang w:eastAsia="zh-CN"/>
              </w:rPr>
            </w:pPr>
            <w:r>
              <w:rPr>
                <w:rFonts w:hint="eastAsia"/>
                <w:color w:val="auto"/>
                <w:sz w:val="21"/>
                <w:szCs w:val="21"/>
              </w:rPr>
              <w:t>井下作业及采油过程均符合清洁生产要求，油气采用密闭集输工艺；</w:t>
            </w:r>
            <w:r>
              <w:rPr>
                <w:rFonts w:hint="eastAsia"/>
                <w:color w:val="auto"/>
                <w:sz w:val="21"/>
                <w:szCs w:val="21"/>
                <w:lang w:val="en-US" w:eastAsia="zh-CN"/>
              </w:rPr>
              <w:t>未使用淘汰的技术工艺及装备；</w:t>
            </w:r>
            <w:r>
              <w:rPr>
                <w:rFonts w:hint="eastAsia"/>
                <w:color w:val="auto"/>
                <w:sz w:val="21"/>
                <w:szCs w:val="21"/>
              </w:rPr>
              <w:t>严格控制井场、站场、管线、道路和输电线路等工程施工作业带宽度</w:t>
            </w:r>
            <w:r>
              <w:rPr>
                <w:rFonts w:hint="eastAsia"/>
                <w:color w:val="auto"/>
                <w:sz w:val="21"/>
                <w:szCs w:val="21"/>
                <w:lang w:eastAsia="zh-CN"/>
              </w:rPr>
              <w:t>。</w:t>
            </w:r>
          </w:p>
        </w:tc>
        <w:tc>
          <w:tcPr>
            <w:tcW w:w="507" w:type="pct"/>
            <w:noWrap w:val="0"/>
            <w:tcMar>
              <w:left w:w="0" w:type="dxa"/>
              <w:right w:w="0" w:type="dxa"/>
            </w:tcMar>
            <w:vAlign w:val="center"/>
          </w:tcPr>
          <w:p w14:paraId="3647820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符合</w:t>
            </w:r>
          </w:p>
        </w:tc>
      </w:tr>
      <w:tr w14:paraId="6D93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shd w:val="clear" w:color="auto" w:fill="auto"/>
            <w:noWrap w:val="0"/>
            <w:tcMar>
              <w:left w:w="0" w:type="dxa"/>
              <w:right w:w="0" w:type="dxa"/>
            </w:tcMar>
            <w:vAlign w:val="center"/>
          </w:tcPr>
          <w:p w14:paraId="72DE1EA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3</w:t>
            </w:r>
          </w:p>
        </w:tc>
        <w:tc>
          <w:tcPr>
            <w:tcW w:w="1978" w:type="pct"/>
            <w:shd w:val="clear" w:color="auto" w:fill="auto"/>
            <w:noWrap w:val="0"/>
            <w:tcMar>
              <w:left w:w="0" w:type="dxa"/>
              <w:right w:w="0" w:type="dxa"/>
            </w:tcMar>
            <w:vAlign w:val="center"/>
          </w:tcPr>
          <w:p w14:paraId="1DE8620C">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油气开发全过程应采取措施防止地下水污染，建立动态监测评估、处理及报告机制</w:t>
            </w:r>
            <w:r>
              <w:rPr>
                <w:rFonts w:hint="eastAsia"/>
                <w:color w:val="auto"/>
                <w:sz w:val="21"/>
                <w:szCs w:val="21"/>
                <w:lang w:eastAsia="zh-CN"/>
              </w:rPr>
              <w:t>。</w:t>
            </w:r>
          </w:p>
        </w:tc>
        <w:tc>
          <w:tcPr>
            <w:tcW w:w="2136" w:type="pct"/>
            <w:shd w:val="clear" w:color="auto" w:fill="auto"/>
            <w:noWrap w:val="0"/>
            <w:tcMar>
              <w:left w:w="0" w:type="dxa"/>
              <w:right w:w="0" w:type="dxa"/>
            </w:tcMar>
            <w:vAlign w:val="center"/>
          </w:tcPr>
          <w:p w14:paraId="71F6CF2D">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运营期利用区域已有地下水</w:t>
            </w:r>
            <w:r>
              <w:rPr>
                <w:rFonts w:hint="eastAsia"/>
                <w:color w:val="auto"/>
                <w:sz w:val="21"/>
                <w:szCs w:val="21"/>
                <w:lang w:val="en-US" w:eastAsia="zh-CN"/>
              </w:rPr>
              <w:t>监测</w:t>
            </w:r>
            <w:r>
              <w:rPr>
                <w:rFonts w:hint="eastAsia"/>
                <w:color w:val="auto"/>
                <w:sz w:val="21"/>
                <w:szCs w:val="21"/>
              </w:rPr>
              <w:t>井落实地下水监测计划。</w:t>
            </w:r>
          </w:p>
        </w:tc>
        <w:tc>
          <w:tcPr>
            <w:tcW w:w="507" w:type="pct"/>
            <w:noWrap w:val="0"/>
            <w:tcMar>
              <w:left w:w="0" w:type="dxa"/>
              <w:right w:w="0" w:type="dxa"/>
            </w:tcMar>
            <w:vAlign w:val="center"/>
          </w:tcPr>
          <w:p w14:paraId="671C8282">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14:paraId="0A56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shd w:val="clear" w:color="auto" w:fill="auto"/>
            <w:noWrap w:val="0"/>
            <w:tcMar>
              <w:left w:w="0" w:type="dxa"/>
              <w:right w:w="0" w:type="dxa"/>
            </w:tcMar>
            <w:vAlign w:val="center"/>
          </w:tcPr>
          <w:p w14:paraId="358DA49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4</w:t>
            </w:r>
          </w:p>
        </w:tc>
        <w:tc>
          <w:tcPr>
            <w:tcW w:w="1978" w:type="pct"/>
            <w:noWrap w:val="0"/>
            <w:tcMar>
              <w:left w:w="0" w:type="dxa"/>
              <w:right w:w="0" w:type="dxa"/>
            </w:tcMar>
            <w:vAlign w:val="center"/>
          </w:tcPr>
          <w:p w14:paraId="2A59620F">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sz w:val="21"/>
                <w:szCs w:val="21"/>
                <w:lang w:eastAsia="zh-CN"/>
              </w:rPr>
            </w:pPr>
            <w:r>
              <w:rPr>
                <w:rFonts w:ascii="宋体" w:hAnsi="宋体" w:eastAsia="宋体" w:cs="宋体"/>
                <w:color w:val="auto"/>
                <w:sz w:val="21"/>
                <w:szCs w:val="21"/>
              </w:rPr>
              <w:t>对伴生有硫化氢气体的油气藏，硫化氢气体含量未达到工业综合利用要求的，应采取有效的处置方案</w:t>
            </w:r>
            <w:r>
              <w:rPr>
                <w:rFonts w:hint="eastAsia" w:ascii="宋体" w:hAnsi="宋体" w:eastAsia="宋体" w:cs="宋体"/>
                <w:color w:val="auto"/>
                <w:sz w:val="21"/>
                <w:szCs w:val="21"/>
                <w:lang w:eastAsia="zh-CN"/>
              </w:rPr>
              <w:t>。</w:t>
            </w:r>
          </w:p>
        </w:tc>
        <w:tc>
          <w:tcPr>
            <w:tcW w:w="2136" w:type="pct"/>
            <w:noWrap w:val="0"/>
            <w:tcMar>
              <w:left w:w="0" w:type="dxa"/>
              <w:right w:w="0" w:type="dxa"/>
            </w:tcMar>
            <w:vAlign w:val="center"/>
          </w:tcPr>
          <w:p w14:paraId="770F75C7">
            <w:pPr>
              <w:keepNext w:val="0"/>
              <w:keepLines w:val="0"/>
              <w:pageBreakBefore w:val="0"/>
              <w:widowControl w:val="0"/>
              <w:kinsoku/>
              <w:wordWrap/>
              <w:overflowPunct/>
              <w:topLinePunct w:val="0"/>
              <w:autoSpaceDE/>
              <w:autoSpaceDN/>
              <w:bidi w:val="0"/>
              <w:adjustRightInd/>
              <w:snapToGrid/>
              <w:jc w:val="both"/>
              <w:textAlignment w:val="auto"/>
              <w:rPr>
                <w:rFonts w:hint="default" w:eastAsia="宋体"/>
                <w:color w:val="auto"/>
                <w:sz w:val="21"/>
                <w:szCs w:val="21"/>
                <w:lang w:val="en-US" w:eastAsia="zh-CN"/>
              </w:rPr>
            </w:pPr>
            <w:r>
              <w:rPr>
                <w:rFonts w:hint="eastAsia"/>
                <w:color w:val="auto"/>
                <w:sz w:val="21"/>
                <w:szCs w:val="21"/>
                <w:lang w:val="en-US" w:eastAsia="zh-CN"/>
              </w:rPr>
              <w:t>本工程伴生气进处理站处理达标后用于油田原油加热及外输。</w:t>
            </w:r>
          </w:p>
        </w:tc>
        <w:tc>
          <w:tcPr>
            <w:tcW w:w="507" w:type="pct"/>
            <w:noWrap w:val="0"/>
            <w:tcMar>
              <w:left w:w="0" w:type="dxa"/>
              <w:right w:w="0" w:type="dxa"/>
            </w:tcMar>
            <w:vAlign w:val="center"/>
          </w:tcPr>
          <w:p w14:paraId="0B8AE4F3">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14:paraId="5203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shd w:val="clear" w:color="auto" w:fill="auto"/>
            <w:noWrap w:val="0"/>
            <w:tcMar>
              <w:left w:w="0" w:type="dxa"/>
              <w:right w:w="0" w:type="dxa"/>
            </w:tcMar>
            <w:vAlign w:val="center"/>
          </w:tcPr>
          <w:p w14:paraId="08E17B0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5</w:t>
            </w:r>
          </w:p>
        </w:tc>
        <w:tc>
          <w:tcPr>
            <w:tcW w:w="1978" w:type="pct"/>
            <w:noWrap w:val="0"/>
            <w:tcMar>
              <w:left w:w="0" w:type="dxa"/>
              <w:right w:w="0" w:type="dxa"/>
            </w:tcMar>
            <w:vAlign w:val="center"/>
          </w:tcPr>
          <w:p w14:paraId="21990919">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sz w:val="21"/>
                <w:szCs w:val="21"/>
                <w:lang w:eastAsia="zh-CN"/>
              </w:rPr>
            </w:pPr>
            <w:r>
              <w:rPr>
                <w:rFonts w:hint="eastAsia"/>
                <w:color w:val="auto"/>
                <w:sz w:val="21"/>
                <w:szCs w:val="21"/>
              </w:rPr>
              <w:t>防止油气生产、储存、转运过程中发生渗漏、泄漏，防止对矿区生态环境造成污染和破坏；应制定突发环境事件应急预案，配备相应的应急物资</w:t>
            </w:r>
            <w:r>
              <w:rPr>
                <w:rFonts w:hint="eastAsia"/>
                <w:color w:val="auto"/>
                <w:sz w:val="21"/>
                <w:szCs w:val="21"/>
                <w:lang w:eastAsia="zh-CN"/>
              </w:rPr>
              <w:t>。</w:t>
            </w:r>
          </w:p>
        </w:tc>
        <w:tc>
          <w:tcPr>
            <w:tcW w:w="2136" w:type="pct"/>
            <w:noWrap w:val="0"/>
            <w:tcMar>
              <w:left w:w="0" w:type="dxa"/>
              <w:right w:w="0" w:type="dxa"/>
            </w:tcMar>
            <w:vAlign w:val="center"/>
          </w:tcPr>
          <w:p w14:paraId="76AF21F5">
            <w:pPr>
              <w:keepNext w:val="0"/>
              <w:keepLines w:val="0"/>
              <w:pageBreakBefore w:val="0"/>
              <w:widowControl w:val="0"/>
              <w:kinsoku/>
              <w:wordWrap/>
              <w:overflowPunct/>
              <w:topLinePunct w:val="0"/>
              <w:autoSpaceDE/>
              <w:autoSpaceDN/>
              <w:bidi w:val="0"/>
              <w:adjustRightInd/>
              <w:snapToGrid/>
              <w:jc w:val="both"/>
              <w:textAlignment w:val="auto"/>
              <w:rPr>
                <w:rFonts w:hint="eastAsia"/>
                <w:color w:val="auto"/>
                <w:sz w:val="21"/>
                <w:szCs w:val="21"/>
              </w:rPr>
            </w:pPr>
            <w:r>
              <w:rPr>
                <w:rFonts w:hint="eastAsia"/>
                <w:color w:val="auto"/>
                <w:sz w:val="21"/>
                <w:szCs w:val="21"/>
              </w:rPr>
              <w:t>项目实施后由</w:t>
            </w:r>
            <w:r>
              <w:rPr>
                <w:rFonts w:hint="eastAsia"/>
                <w:color w:val="auto"/>
                <w:sz w:val="21"/>
                <w:szCs w:val="21"/>
                <w:lang w:val="en-US" w:eastAsia="zh-CN"/>
              </w:rPr>
              <w:t>建设单位</w:t>
            </w:r>
            <w:r>
              <w:rPr>
                <w:rFonts w:hint="eastAsia"/>
                <w:color w:val="auto"/>
                <w:sz w:val="21"/>
                <w:szCs w:val="21"/>
              </w:rPr>
              <w:t>运营管理，本次环评要求建设单位对突发环境事件应急预案进行修编，将项目实施区域纳入应急预案体系中。</w:t>
            </w:r>
          </w:p>
        </w:tc>
        <w:tc>
          <w:tcPr>
            <w:tcW w:w="507" w:type="pct"/>
            <w:noWrap w:val="0"/>
            <w:tcMar>
              <w:left w:w="0" w:type="dxa"/>
              <w:right w:w="0" w:type="dxa"/>
            </w:tcMar>
            <w:vAlign w:val="center"/>
          </w:tcPr>
          <w:p w14:paraId="5A2143D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14:paraId="1A41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noWrap w:val="0"/>
            <w:tcMar>
              <w:left w:w="0" w:type="dxa"/>
              <w:right w:w="0" w:type="dxa"/>
            </w:tcMar>
            <w:vAlign w:val="center"/>
          </w:tcPr>
          <w:p w14:paraId="2579E2B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color w:val="auto"/>
                <w:sz w:val="21"/>
                <w:szCs w:val="21"/>
                <w:lang w:val="en-US" w:eastAsia="zh-CN"/>
              </w:rPr>
              <w:t>6</w:t>
            </w:r>
          </w:p>
        </w:tc>
        <w:tc>
          <w:tcPr>
            <w:tcW w:w="1978" w:type="pct"/>
            <w:noWrap w:val="0"/>
            <w:tcMar>
              <w:left w:w="0" w:type="dxa"/>
              <w:right w:w="0" w:type="dxa"/>
            </w:tcMar>
            <w:vAlign w:val="center"/>
          </w:tcPr>
          <w:p w14:paraId="4B6F2BAE">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sz w:val="21"/>
                <w:szCs w:val="21"/>
                <w:lang w:eastAsia="zh-CN"/>
              </w:rPr>
            </w:pPr>
            <w:r>
              <w:rPr>
                <w:rFonts w:hint="eastAsia"/>
                <w:color w:val="auto"/>
                <w:sz w:val="21"/>
                <w:szCs w:val="21"/>
              </w:rPr>
              <w:t>按照减量化、资源化、再利用的原则，综合开发利用油气藏共伴生资源，综合利用固体废弃物、废水等，发展循环经济</w:t>
            </w:r>
            <w:r>
              <w:rPr>
                <w:rFonts w:hint="eastAsia"/>
                <w:color w:val="auto"/>
                <w:sz w:val="21"/>
                <w:szCs w:val="21"/>
                <w:lang w:eastAsia="zh-CN"/>
              </w:rPr>
              <w:t>。</w:t>
            </w:r>
          </w:p>
        </w:tc>
        <w:tc>
          <w:tcPr>
            <w:tcW w:w="2136" w:type="pct"/>
            <w:noWrap w:val="0"/>
            <w:tcMar>
              <w:left w:w="0" w:type="dxa"/>
              <w:right w:w="0" w:type="dxa"/>
            </w:tcMar>
            <w:vAlign w:val="center"/>
          </w:tcPr>
          <w:p w14:paraId="2DB00DE9">
            <w:pPr>
              <w:keepNext w:val="0"/>
              <w:keepLines w:val="0"/>
              <w:pageBreakBefore w:val="0"/>
              <w:widowControl w:val="0"/>
              <w:kinsoku/>
              <w:wordWrap/>
              <w:overflowPunct/>
              <w:topLinePunct w:val="0"/>
              <w:autoSpaceDE/>
              <w:autoSpaceDN/>
              <w:bidi w:val="0"/>
              <w:adjustRightInd/>
              <w:snapToGrid/>
              <w:jc w:val="both"/>
              <w:textAlignment w:val="auto"/>
              <w:rPr>
                <w:rFonts w:hint="default" w:eastAsia="宋体"/>
                <w:color w:val="auto"/>
                <w:sz w:val="21"/>
                <w:szCs w:val="21"/>
                <w:lang w:val="en-US" w:eastAsia="zh-CN"/>
              </w:rPr>
            </w:pPr>
            <w:r>
              <w:rPr>
                <w:rFonts w:hint="eastAsia"/>
                <w:color w:val="auto"/>
                <w:sz w:val="21"/>
                <w:szCs w:val="21"/>
                <w:lang w:val="en-US" w:eastAsia="zh-CN"/>
              </w:rPr>
              <w:t>采出水、井下作业废水处理达标后回注；危险废物交有资质的单位处置，伴生气进处理站处理达标后作为原油加热炉燃料及外输。</w:t>
            </w:r>
          </w:p>
        </w:tc>
        <w:tc>
          <w:tcPr>
            <w:tcW w:w="507" w:type="pct"/>
            <w:noWrap w:val="0"/>
            <w:tcMar>
              <w:left w:w="0" w:type="dxa"/>
              <w:right w:w="0" w:type="dxa"/>
            </w:tcMar>
            <w:vAlign w:val="center"/>
          </w:tcPr>
          <w:p w14:paraId="1D906DE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14:paraId="2552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noWrap w:val="0"/>
            <w:tcMar>
              <w:left w:w="0" w:type="dxa"/>
              <w:right w:w="0" w:type="dxa"/>
            </w:tcMar>
            <w:vAlign w:val="center"/>
          </w:tcPr>
          <w:p w14:paraId="71FE69FF">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7</w:t>
            </w:r>
          </w:p>
        </w:tc>
        <w:tc>
          <w:tcPr>
            <w:tcW w:w="1978" w:type="pct"/>
            <w:noWrap w:val="0"/>
            <w:tcMar>
              <w:left w:w="0" w:type="dxa"/>
              <w:right w:w="0" w:type="dxa"/>
            </w:tcMar>
            <w:vAlign w:val="center"/>
          </w:tcPr>
          <w:p w14:paraId="246CF510">
            <w:pPr>
              <w:keepNext w:val="0"/>
              <w:keepLines w:val="0"/>
              <w:pageBreakBefore w:val="0"/>
              <w:widowControl w:val="0"/>
              <w:kinsoku/>
              <w:wordWrap/>
              <w:overflowPunct/>
              <w:topLinePunct w:val="0"/>
              <w:autoSpaceDE/>
              <w:autoSpaceDN/>
              <w:bidi w:val="0"/>
              <w:adjustRightInd/>
              <w:snapToGrid/>
              <w:jc w:val="both"/>
              <w:textAlignment w:val="auto"/>
              <w:rPr>
                <w:rFonts w:hint="default" w:eastAsia="宋体"/>
                <w:color w:val="auto"/>
                <w:sz w:val="21"/>
                <w:szCs w:val="21"/>
                <w:lang w:val="en-US" w:eastAsia="zh-CN"/>
              </w:rPr>
            </w:pPr>
            <w:r>
              <w:rPr>
                <w:rFonts w:hint="eastAsia"/>
                <w:color w:val="auto"/>
                <w:sz w:val="21"/>
                <w:szCs w:val="21"/>
                <w:lang w:val="en-US" w:eastAsia="zh-CN"/>
              </w:rPr>
              <w:t>建立油气田生产全过程能耗核算体系，通过采取节能减排措施，控制并减少单位产品能耗、物耗、水耗，减少“三废”排放。</w:t>
            </w:r>
          </w:p>
        </w:tc>
        <w:tc>
          <w:tcPr>
            <w:tcW w:w="2136" w:type="pct"/>
            <w:noWrap w:val="0"/>
            <w:tcMar>
              <w:left w:w="0" w:type="dxa"/>
              <w:right w:w="0" w:type="dxa"/>
            </w:tcMar>
            <w:vAlign w:val="center"/>
          </w:tcPr>
          <w:p w14:paraId="322F9BD5">
            <w:pPr>
              <w:keepNext w:val="0"/>
              <w:keepLines w:val="0"/>
              <w:pageBreakBefore w:val="0"/>
              <w:widowControl w:val="0"/>
              <w:kinsoku/>
              <w:wordWrap/>
              <w:overflowPunct/>
              <w:topLinePunct w:val="0"/>
              <w:autoSpaceDE/>
              <w:autoSpaceDN/>
              <w:bidi w:val="0"/>
              <w:adjustRightInd/>
              <w:snapToGrid/>
              <w:jc w:val="both"/>
              <w:textAlignment w:val="auto"/>
              <w:rPr>
                <w:rFonts w:hint="default"/>
                <w:color w:val="auto"/>
                <w:sz w:val="21"/>
                <w:szCs w:val="21"/>
                <w:lang w:val="en-US" w:eastAsia="zh-CN"/>
              </w:rPr>
            </w:pPr>
            <w:r>
              <w:rPr>
                <w:rFonts w:hint="eastAsia"/>
                <w:color w:val="auto"/>
                <w:sz w:val="21"/>
                <w:szCs w:val="21"/>
                <w:lang w:val="en-US" w:eastAsia="zh-CN"/>
              </w:rPr>
              <w:t>建设单位定期进行清洁生产，生产过程中进行能耗核算，产生的“三废”符合环保要求。</w:t>
            </w:r>
          </w:p>
        </w:tc>
        <w:tc>
          <w:tcPr>
            <w:tcW w:w="507" w:type="pct"/>
            <w:noWrap w:val="0"/>
            <w:tcMar>
              <w:left w:w="0" w:type="dxa"/>
              <w:right w:w="0" w:type="dxa"/>
            </w:tcMar>
            <w:vAlign w:val="center"/>
          </w:tcPr>
          <w:p w14:paraId="146DD9A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bl>
    <w:p w14:paraId="01FCB516">
      <w:pPr>
        <w:pStyle w:val="43"/>
        <w:bidi w:val="0"/>
        <w:rPr>
          <w:rFonts w:hint="default"/>
          <w:color w:val="auto"/>
          <w:lang w:val="en-US" w:eastAsia="zh-CN"/>
        </w:rPr>
      </w:pPr>
      <w:bookmarkStart w:id="37" w:name="_Toc31134"/>
      <w:bookmarkStart w:id="38" w:name="_Toc10367"/>
      <w:r>
        <w:rPr>
          <w:rFonts w:hint="default"/>
          <w:color w:val="auto"/>
          <w:lang w:val="en-US" w:eastAsia="zh-CN"/>
        </w:rPr>
        <w:t>表1.3-</w:t>
      </w:r>
      <w:r>
        <w:rPr>
          <w:rFonts w:hint="eastAsia"/>
          <w:color w:val="auto"/>
          <w:lang w:val="en-US" w:eastAsia="zh-CN"/>
        </w:rPr>
        <w:t>6</w:t>
      </w:r>
      <w:r>
        <w:rPr>
          <w:rFonts w:hint="default"/>
          <w:color w:val="auto"/>
          <w:lang w:val="en-US" w:eastAsia="zh-CN"/>
        </w:rPr>
        <w:t xml:space="preserve">  </w:t>
      </w:r>
      <w:r>
        <w:rPr>
          <w:rFonts w:hint="eastAsia"/>
          <w:color w:val="auto"/>
          <w:lang w:val="en-US" w:eastAsia="zh-CN"/>
        </w:rPr>
        <w:t>本工程</w:t>
      </w:r>
      <w:r>
        <w:rPr>
          <w:rFonts w:hint="default"/>
          <w:color w:val="auto"/>
          <w:lang w:val="en-US" w:eastAsia="zh-CN"/>
        </w:rPr>
        <w:t>与《关于加强沙区建设项目环境影响评价工作的通知》</w:t>
      </w:r>
    </w:p>
    <w:p w14:paraId="0B1944DA">
      <w:pPr>
        <w:pStyle w:val="43"/>
        <w:bidi w:val="0"/>
        <w:rPr>
          <w:rFonts w:hint="default"/>
          <w:color w:val="auto"/>
          <w:lang w:val="en-US" w:eastAsia="zh-CN"/>
        </w:rPr>
      </w:pPr>
      <w:r>
        <w:rPr>
          <w:rFonts w:hint="default"/>
          <w:color w:val="auto"/>
          <w:lang w:val="en-US" w:eastAsia="zh-CN"/>
        </w:rPr>
        <w:t>（新环环评发〔2020〕138号）的符合性分析</w:t>
      </w:r>
    </w:p>
    <w:tbl>
      <w:tblPr>
        <w:tblStyle w:val="27"/>
        <w:tblW w:w="5143"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3832"/>
        <w:gridCol w:w="3264"/>
        <w:gridCol w:w="813"/>
      </w:tblGrid>
      <w:tr w14:paraId="63E0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noWrap w:val="0"/>
            <w:tcMar>
              <w:left w:w="0" w:type="dxa"/>
              <w:right w:w="0" w:type="dxa"/>
            </w:tcMar>
            <w:vAlign w:val="center"/>
          </w:tcPr>
          <w:p w14:paraId="66DFA098">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序号</w:t>
            </w:r>
          </w:p>
        </w:tc>
        <w:tc>
          <w:tcPr>
            <w:tcW w:w="2239" w:type="pct"/>
            <w:noWrap w:val="0"/>
            <w:tcMar>
              <w:left w:w="0" w:type="dxa"/>
              <w:right w:w="0" w:type="dxa"/>
            </w:tcMar>
            <w:vAlign w:val="center"/>
          </w:tcPr>
          <w:p w14:paraId="11B22B1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auto"/>
                <w:sz w:val="21"/>
                <w:szCs w:val="21"/>
                <w:lang w:eastAsia="zh-CN"/>
              </w:rPr>
            </w:pPr>
            <w:r>
              <w:rPr>
                <w:rFonts w:hint="eastAsia"/>
                <w:b/>
                <w:bCs/>
                <w:color w:val="auto"/>
                <w:sz w:val="21"/>
                <w:szCs w:val="21"/>
                <w:lang w:val="en-US" w:eastAsia="zh-CN"/>
              </w:rPr>
              <w:t>要求</w:t>
            </w:r>
          </w:p>
        </w:tc>
        <w:tc>
          <w:tcPr>
            <w:tcW w:w="1907" w:type="pct"/>
            <w:noWrap w:val="0"/>
            <w:tcMar>
              <w:left w:w="0" w:type="dxa"/>
              <w:right w:w="0" w:type="dxa"/>
            </w:tcMar>
            <w:vAlign w:val="center"/>
          </w:tcPr>
          <w:p w14:paraId="4AA96BE4">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拟采取的相关措施</w:t>
            </w:r>
          </w:p>
        </w:tc>
        <w:tc>
          <w:tcPr>
            <w:tcW w:w="475" w:type="pct"/>
            <w:noWrap w:val="0"/>
            <w:tcMar>
              <w:left w:w="0" w:type="dxa"/>
              <w:right w:w="0" w:type="dxa"/>
            </w:tcMar>
            <w:vAlign w:val="center"/>
          </w:tcPr>
          <w:p w14:paraId="05796399">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相符性分析</w:t>
            </w:r>
          </w:p>
        </w:tc>
      </w:tr>
      <w:tr w14:paraId="77B7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noWrap w:val="0"/>
            <w:tcMar>
              <w:left w:w="0" w:type="dxa"/>
              <w:right w:w="0" w:type="dxa"/>
            </w:tcMar>
            <w:vAlign w:val="center"/>
          </w:tcPr>
          <w:p w14:paraId="731AD38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bCs w:val="0"/>
                <w:color w:val="auto"/>
                <w:sz w:val="21"/>
                <w:szCs w:val="21"/>
                <w:lang w:val="en-US" w:eastAsia="zh-CN"/>
              </w:rPr>
            </w:pPr>
            <w:r>
              <w:rPr>
                <w:rFonts w:hint="eastAsia"/>
                <w:b w:val="0"/>
                <w:bCs w:val="0"/>
                <w:color w:val="auto"/>
                <w:sz w:val="21"/>
                <w:szCs w:val="21"/>
                <w:lang w:val="en-US" w:eastAsia="zh-CN"/>
              </w:rPr>
              <w:t>1</w:t>
            </w:r>
          </w:p>
        </w:tc>
        <w:tc>
          <w:tcPr>
            <w:tcW w:w="2239" w:type="pct"/>
            <w:noWrap w:val="0"/>
            <w:tcMar>
              <w:left w:w="0" w:type="dxa"/>
              <w:right w:w="0" w:type="dxa"/>
            </w:tcMar>
            <w:vAlign w:val="center"/>
          </w:tcPr>
          <w:p w14:paraId="5334039A">
            <w:pPr>
              <w:keepNext w:val="0"/>
              <w:keepLines w:val="0"/>
              <w:widowControl/>
              <w:suppressLineNumbers w:val="0"/>
              <w:jc w:val="left"/>
              <w:rPr>
                <w:rFonts w:hint="eastAsia"/>
                <w:b/>
                <w:bCs/>
                <w:color w:val="auto"/>
                <w:sz w:val="21"/>
                <w:szCs w:val="21"/>
                <w:lang w:val="en-US" w:eastAsia="zh-CN"/>
              </w:rPr>
            </w:pPr>
            <w:r>
              <w:rPr>
                <w:rFonts w:hint="eastAsia" w:ascii="宋体" w:hAnsi="宋体" w:eastAsia="宋体" w:cs="宋体"/>
                <w:color w:val="auto"/>
                <w:kern w:val="0"/>
                <w:sz w:val="21"/>
                <w:szCs w:val="21"/>
                <w:lang w:val="en-US" w:eastAsia="zh-CN" w:bidi="ar"/>
              </w:rPr>
              <w:t>按照《中华人民共和国防沙治沙法》要求，加强涉及沙区的建设项目环评文件受理审查，对于没有防沙治沙内容的建设项目环评文件不予受理。</w:t>
            </w:r>
          </w:p>
        </w:tc>
        <w:tc>
          <w:tcPr>
            <w:tcW w:w="1907" w:type="pct"/>
            <w:noWrap w:val="0"/>
            <w:tcMar>
              <w:left w:w="0" w:type="dxa"/>
              <w:right w:w="0" w:type="dxa"/>
            </w:tcMar>
            <w:vAlign w:val="center"/>
          </w:tcPr>
          <w:p w14:paraId="59B458DA">
            <w:pPr>
              <w:keepNext w:val="0"/>
              <w:keepLines w:val="0"/>
              <w:widowControl/>
              <w:suppressLineNumbers w:val="0"/>
              <w:jc w:val="left"/>
              <w:rPr>
                <w:rFonts w:hint="eastAsia"/>
                <w:b/>
                <w:bCs/>
                <w:color w:val="auto"/>
                <w:sz w:val="21"/>
                <w:szCs w:val="21"/>
              </w:rPr>
            </w:pPr>
            <w:r>
              <w:rPr>
                <w:rFonts w:hint="eastAsia" w:ascii="宋体" w:hAnsi="宋体" w:cs="宋体"/>
                <w:color w:val="auto"/>
                <w:kern w:val="0"/>
                <w:sz w:val="21"/>
                <w:szCs w:val="21"/>
                <w:lang w:val="en-US" w:eastAsia="zh-CN" w:bidi="ar"/>
              </w:rPr>
              <w:t>本工程</w:t>
            </w:r>
            <w:r>
              <w:rPr>
                <w:rFonts w:hint="eastAsia" w:ascii="宋体" w:hAnsi="宋体" w:eastAsia="宋体" w:cs="宋体"/>
                <w:color w:val="auto"/>
                <w:kern w:val="0"/>
                <w:sz w:val="21"/>
                <w:szCs w:val="21"/>
                <w:lang w:val="en-US" w:eastAsia="zh-CN" w:bidi="ar"/>
              </w:rPr>
              <w:t>土地沙化现状</w:t>
            </w:r>
            <w:r>
              <w:rPr>
                <w:rFonts w:hint="eastAsia" w:ascii="宋体" w:hAnsi="宋体" w:cs="宋体"/>
                <w:color w:val="auto"/>
                <w:kern w:val="0"/>
                <w:sz w:val="21"/>
                <w:szCs w:val="21"/>
                <w:lang w:val="en-US" w:eastAsia="zh-CN" w:bidi="ar"/>
              </w:rPr>
              <w:t>和</w:t>
            </w:r>
            <w:r>
              <w:rPr>
                <w:rFonts w:hint="eastAsia" w:ascii="宋体" w:hAnsi="宋体" w:eastAsia="宋体" w:cs="宋体"/>
                <w:color w:val="auto"/>
                <w:kern w:val="0"/>
                <w:sz w:val="21"/>
                <w:szCs w:val="21"/>
                <w:lang w:val="en-US" w:eastAsia="zh-CN" w:bidi="ar"/>
              </w:rPr>
              <w:t>水土流失现状见</w:t>
            </w:r>
            <w:r>
              <w:rPr>
                <w:rFonts w:hint="eastAsia" w:cs="Times New Roman"/>
                <w:color w:val="auto"/>
                <w:kern w:val="0"/>
                <w:sz w:val="21"/>
                <w:szCs w:val="21"/>
                <w:lang w:val="en-US" w:eastAsia="zh-CN" w:bidi="ar"/>
              </w:rPr>
              <w:t>4.2.6.5</w:t>
            </w:r>
            <w:r>
              <w:rPr>
                <w:rFonts w:hint="eastAsia" w:ascii="宋体" w:hAnsi="宋体" w:eastAsia="宋体" w:cs="宋体"/>
                <w:color w:val="auto"/>
                <w:kern w:val="0"/>
                <w:sz w:val="21"/>
                <w:szCs w:val="21"/>
                <w:lang w:val="en-US" w:eastAsia="zh-CN" w:bidi="ar"/>
              </w:rPr>
              <w:t>章节，防沙治沙措施见</w:t>
            </w:r>
            <w:r>
              <w:rPr>
                <w:rFonts w:hint="eastAsia" w:cs="Times New Roman"/>
                <w:color w:val="auto"/>
                <w:kern w:val="0"/>
                <w:sz w:val="21"/>
                <w:szCs w:val="21"/>
                <w:lang w:val="en-US" w:eastAsia="zh-CN" w:bidi="ar"/>
              </w:rPr>
              <w:t>6.1.6.6</w:t>
            </w:r>
            <w:r>
              <w:rPr>
                <w:rFonts w:hint="eastAsia" w:ascii="宋体" w:hAnsi="宋体" w:eastAsia="宋体" w:cs="宋体"/>
                <w:color w:val="auto"/>
                <w:kern w:val="0"/>
                <w:sz w:val="21"/>
                <w:szCs w:val="21"/>
                <w:lang w:val="en-US" w:eastAsia="zh-CN" w:bidi="ar"/>
              </w:rPr>
              <w:t>章节，水土流失防治措施见</w:t>
            </w:r>
            <w:r>
              <w:rPr>
                <w:rFonts w:hint="eastAsia" w:cs="Times New Roman"/>
                <w:color w:val="auto"/>
                <w:kern w:val="0"/>
                <w:sz w:val="21"/>
                <w:szCs w:val="21"/>
                <w:lang w:val="en-US" w:eastAsia="zh-CN" w:bidi="ar"/>
              </w:rPr>
              <w:t>6.1.6.5</w:t>
            </w:r>
            <w:r>
              <w:rPr>
                <w:rFonts w:hint="eastAsia" w:ascii="宋体" w:hAnsi="宋体" w:eastAsia="宋体" w:cs="宋体"/>
                <w:color w:val="auto"/>
                <w:kern w:val="0"/>
                <w:sz w:val="21"/>
                <w:szCs w:val="21"/>
                <w:lang w:val="en-US" w:eastAsia="zh-CN" w:bidi="ar"/>
              </w:rPr>
              <w:t>章节。</w:t>
            </w:r>
          </w:p>
        </w:tc>
        <w:tc>
          <w:tcPr>
            <w:tcW w:w="475" w:type="pct"/>
            <w:noWrap w:val="0"/>
            <w:tcMar>
              <w:left w:w="0" w:type="dxa"/>
              <w:right w:w="0" w:type="dxa"/>
            </w:tcMar>
            <w:vAlign w:val="center"/>
          </w:tcPr>
          <w:p w14:paraId="215C58D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auto"/>
                <w:sz w:val="21"/>
                <w:szCs w:val="21"/>
                <w:lang w:val="en-US" w:eastAsia="zh-CN"/>
              </w:rPr>
            </w:pPr>
            <w:r>
              <w:rPr>
                <w:rFonts w:hint="eastAsia"/>
                <w:b w:val="0"/>
                <w:bCs w:val="0"/>
                <w:color w:val="auto"/>
                <w:sz w:val="21"/>
                <w:szCs w:val="21"/>
                <w:lang w:val="en-US" w:eastAsia="zh-CN"/>
              </w:rPr>
              <w:t>符合</w:t>
            </w:r>
          </w:p>
        </w:tc>
      </w:tr>
      <w:tr w14:paraId="0235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noWrap w:val="0"/>
            <w:tcMar>
              <w:left w:w="0" w:type="dxa"/>
              <w:right w:w="0" w:type="dxa"/>
            </w:tcMar>
            <w:vAlign w:val="center"/>
          </w:tcPr>
          <w:p w14:paraId="2849ACF5">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bCs w:val="0"/>
                <w:color w:val="auto"/>
                <w:sz w:val="21"/>
                <w:szCs w:val="21"/>
                <w:lang w:val="en-US" w:eastAsia="zh-CN"/>
              </w:rPr>
            </w:pPr>
            <w:r>
              <w:rPr>
                <w:rFonts w:hint="eastAsia"/>
                <w:b w:val="0"/>
                <w:bCs w:val="0"/>
                <w:color w:val="auto"/>
                <w:sz w:val="21"/>
                <w:szCs w:val="21"/>
                <w:lang w:val="en-US" w:eastAsia="zh-CN"/>
              </w:rPr>
              <w:t>2</w:t>
            </w:r>
          </w:p>
        </w:tc>
        <w:tc>
          <w:tcPr>
            <w:tcW w:w="2239" w:type="pct"/>
            <w:noWrap w:val="0"/>
            <w:tcMar>
              <w:left w:w="0" w:type="dxa"/>
              <w:right w:w="0" w:type="dxa"/>
            </w:tcMar>
            <w:vAlign w:val="center"/>
          </w:tcPr>
          <w:p w14:paraId="7B524E05">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对于受理的涉及沙区的建设项目环评文件，严格按照《环境影响评价技术导则生态影响》要求，强化建设项目的环境可行性、环境影响分析预测评估的可靠性和防沙治沙生态环境保护措施的可行性、有效性评估。</w:t>
            </w:r>
          </w:p>
        </w:tc>
        <w:tc>
          <w:tcPr>
            <w:tcW w:w="1907" w:type="pct"/>
            <w:noWrap w:val="0"/>
            <w:tcMar>
              <w:left w:w="0" w:type="dxa"/>
              <w:right w:w="0" w:type="dxa"/>
            </w:tcMar>
            <w:vAlign w:val="center"/>
          </w:tcPr>
          <w:p w14:paraId="123C8889">
            <w:pPr>
              <w:keepNext w:val="0"/>
              <w:keepLines w:val="0"/>
              <w:widowControl/>
              <w:suppressLineNumbers w:val="0"/>
              <w:jc w:val="left"/>
              <w:rPr>
                <w:rFonts w:hint="eastAsia"/>
                <w:b/>
                <w:bCs/>
                <w:color w:val="auto"/>
                <w:sz w:val="21"/>
                <w:szCs w:val="21"/>
              </w:rPr>
            </w:pPr>
            <w:r>
              <w:rPr>
                <w:rFonts w:hint="eastAsia" w:ascii="宋体" w:hAnsi="宋体" w:cs="宋体"/>
                <w:color w:val="auto"/>
                <w:kern w:val="0"/>
                <w:sz w:val="21"/>
                <w:szCs w:val="21"/>
                <w:lang w:val="en-US" w:eastAsia="zh-CN" w:bidi="ar"/>
              </w:rPr>
              <w:t>本工程</w:t>
            </w:r>
            <w:r>
              <w:rPr>
                <w:rFonts w:hint="eastAsia" w:ascii="宋体" w:hAnsi="宋体" w:eastAsia="宋体" w:cs="宋体"/>
                <w:color w:val="auto"/>
                <w:kern w:val="0"/>
                <w:sz w:val="21"/>
                <w:szCs w:val="21"/>
                <w:lang w:val="en-US" w:eastAsia="zh-CN" w:bidi="ar"/>
              </w:rPr>
              <w:t>按照《环境影响评价技术导则 生态影响》（</w:t>
            </w:r>
            <w:r>
              <w:rPr>
                <w:rFonts w:hint="default" w:ascii="Times New Roman" w:hAnsi="Times New Roman" w:eastAsia="宋体" w:cs="Times New Roman"/>
                <w:color w:val="auto"/>
                <w:kern w:val="0"/>
                <w:sz w:val="21"/>
                <w:szCs w:val="21"/>
                <w:lang w:val="en-US" w:eastAsia="zh-CN" w:bidi="ar"/>
              </w:rPr>
              <w:t>HJ19-2022</w:t>
            </w:r>
            <w:r>
              <w:rPr>
                <w:rFonts w:hint="eastAsia" w:ascii="宋体" w:hAnsi="宋体" w:eastAsia="宋体" w:cs="宋体"/>
                <w:color w:val="auto"/>
                <w:kern w:val="0"/>
                <w:sz w:val="21"/>
                <w:szCs w:val="21"/>
                <w:lang w:val="en-US" w:eastAsia="zh-CN" w:bidi="ar"/>
              </w:rPr>
              <w:t>）要求进行生态环境影响分析和环境保护措施分析见</w:t>
            </w:r>
            <w:r>
              <w:rPr>
                <w:rFonts w:hint="eastAsia" w:cs="Times New Roman"/>
                <w:color w:val="auto"/>
                <w:kern w:val="0"/>
                <w:sz w:val="21"/>
                <w:szCs w:val="21"/>
                <w:lang w:val="en-US" w:eastAsia="zh-CN" w:bidi="ar"/>
              </w:rPr>
              <w:t>5.1.7、5.2.7</w:t>
            </w:r>
            <w:r>
              <w:rPr>
                <w:rFonts w:hint="eastAsia" w:ascii="宋体" w:hAnsi="宋体" w:eastAsia="宋体" w:cs="宋体"/>
                <w:color w:val="auto"/>
                <w:kern w:val="0"/>
                <w:sz w:val="21"/>
                <w:szCs w:val="21"/>
                <w:lang w:val="en-US" w:eastAsia="zh-CN" w:bidi="ar"/>
              </w:rPr>
              <w:t>章节和</w:t>
            </w:r>
            <w:r>
              <w:rPr>
                <w:rFonts w:hint="eastAsia" w:cs="Times New Roman"/>
                <w:color w:val="auto"/>
                <w:kern w:val="0"/>
                <w:sz w:val="21"/>
                <w:szCs w:val="21"/>
                <w:lang w:val="en-US" w:eastAsia="zh-CN" w:bidi="ar"/>
              </w:rPr>
              <w:t>6.1.6、6.2.6</w:t>
            </w:r>
            <w:r>
              <w:rPr>
                <w:rFonts w:hint="eastAsia" w:ascii="宋体" w:hAnsi="宋体" w:eastAsia="宋体" w:cs="宋体"/>
                <w:color w:val="auto"/>
                <w:kern w:val="0"/>
                <w:sz w:val="21"/>
                <w:szCs w:val="21"/>
                <w:lang w:val="en-US" w:eastAsia="zh-CN" w:bidi="ar"/>
              </w:rPr>
              <w:t>章节。</w:t>
            </w:r>
          </w:p>
        </w:tc>
        <w:tc>
          <w:tcPr>
            <w:tcW w:w="475" w:type="pct"/>
            <w:noWrap w:val="0"/>
            <w:tcMar>
              <w:left w:w="0" w:type="dxa"/>
              <w:right w:w="0" w:type="dxa"/>
            </w:tcMar>
            <w:vAlign w:val="center"/>
          </w:tcPr>
          <w:p w14:paraId="071FEE42">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 w:val="21"/>
                <w:szCs w:val="21"/>
              </w:rPr>
            </w:pPr>
            <w:r>
              <w:rPr>
                <w:rFonts w:hint="eastAsia"/>
                <w:b w:val="0"/>
                <w:bCs w:val="0"/>
                <w:color w:val="auto"/>
                <w:sz w:val="21"/>
                <w:szCs w:val="21"/>
                <w:lang w:val="en-US" w:eastAsia="zh-CN"/>
              </w:rPr>
              <w:t>符合</w:t>
            </w:r>
          </w:p>
        </w:tc>
      </w:tr>
      <w:tr w14:paraId="7239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noWrap w:val="0"/>
            <w:tcMar>
              <w:left w:w="0" w:type="dxa"/>
              <w:right w:w="0" w:type="dxa"/>
            </w:tcMar>
            <w:vAlign w:val="center"/>
          </w:tcPr>
          <w:p w14:paraId="113B6082">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bCs w:val="0"/>
                <w:color w:val="auto"/>
                <w:sz w:val="21"/>
                <w:szCs w:val="21"/>
                <w:lang w:val="en-US" w:eastAsia="zh-CN"/>
              </w:rPr>
            </w:pPr>
            <w:r>
              <w:rPr>
                <w:rFonts w:hint="eastAsia"/>
                <w:b w:val="0"/>
                <w:bCs w:val="0"/>
                <w:color w:val="auto"/>
                <w:sz w:val="21"/>
                <w:szCs w:val="21"/>
                <w:lang w:val="en-US" w:eastAsia="zh-CN"/>
              </w:rPr>
              <w:t>3</w:t>
            </w:r>
          </w:p>
        </w:tc>
        <w:tc>
          <w:tcPr>
            <w:tcW w:w="2239" w:type="pct"/>
            <w:noWrap w:val="0"/>
            <w:tcMar>
              <w:left w:w="0" w:type="dxa"/>
              <w:right w:w="0" w:type="dxa"/>
            </w:tcMar>
            <w:vAlign w:val="center"/>
          </w:tcPr>
          <w:p w14:paraId="595BCEDD">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对于位于沙化土地封禁保护区范围内或者超过生态环境承载能力或对沙区生态环境可能造成重大影响的建设项目，不予批准其环评文件，从源头预防环境污染和生态破坏。</w:t>
            </w:r>
          </w:p>
        </w:tc>
        <w:tc>
          <w:tcPr>
            <w:tcW w:w="1907" w:type="pct"/>
            <w:noWrap w:val="0"/>
            <w:tcMar>
              <w:left w:w="0" w:type="dxa"/>
              <w:right w:w="0" w:type="dxa"/>
            </w:tcMar>
            <w:vAlign w:val="center"/>
          </w:tcPr>
          <w:p w14:paraId="2E8DB273">
            <w:pPr>
              <w:keepNext w:val="0"/>
              <w:keepLines w:val="0"/>
              <w:widowControl/>
              <w:suppressLineNumbers w:val="0"/>
              <w:jc w:val="left"/>
              <w:rPr>
                <w:rFonts w:hint="eastAsia"/>
                <w:b/>
                <w:bCs/>
                <w:color w:val="auto"/>
                <w:sz w:val="21"/>
                <w:szCs w:val="21"/>
              </w:rPr>
            </w:pPr>
            <w:r>
              <w:rPr>
                <w:rFonts w:hint="eastAsia" w:ascii="宋体" w:hAnsi="宋体" w:cs="宋体"/>
                <w:color w:val="auto"/>
                <w:kern w:val="0"/>
                <w:sz w:val="21"/>
                <w:szCs w:val="21"/>
                <w:lang w:val="en-US" w:eastAsia="zh-CN" w:bidi="ar"/>
              </w:rPr>
              <w:t>本工程</w:t>
            </w:r>
            <w:r>
              <w:rPr>
                <w:rFonts w:hint="eastAsia" w:ascii="宋体" w:hAnsi="宋体" w:eastAsia="宋体" w:cs="宋体"/>
                <w:color w:val="auto"/>
                <w:kern w:val="0"/>
                <w:sz w:val="21"/>
                <w:szCs w:val="21"/>
                <w:lang w:val="en-US" w:eastAsia="zh-CN" w:bidi="ar"/>
              </w:rPr>
              <w:t>不涉及沙化土地封禁保护区。</w:t>
            </w:r>
          </w:p>
        </w:tc>
        <w:tc>
          <w:tcPr>
            <w:tcW w:w="475" w:type="pct"/>
            <w:noWrap w:val="0"/>
            <w:tcMar>
              <w:left w:w="0" w:type="dxa"/>
              <w:right w:w="0" w:type="dxa"/>
            </w:tcMar>
            <w:vAlign w:val="center"/>
          </w:tcPr>
          <w:p w14:paraId="273333C9">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 w:val="21"/>
                <w:szCs w:val="21"/>
              </w:rPr>
            </w:pPr>
            <w:r>
              <w:rPr>
                <w:rFonts w:hint="eastAsia"/>
                <w:b w:val="0"/>
                <w:bCs w:val="0"/>
                <w:color w:val="auto"/>
                <w:sz w:val="21"/>
                <w:szCs w:val="21"/>
                <w:lang w:val="en-US" w:eastAsia="zh-CN"/>
              </w:rPr>
              <w:t>符合</w:t>
            </w:r>
          </w:p>
        </w:tc>
      </w:tr>
    </w:tbl>
    <w:p w14:paraId="1C095C96">
      <w:pPr>
        <w:pStyle w:val="5"/>
        <w:bidi w:val="0"/>
        <w:rPr>
          <w:rFonts w:hint="default"/>
          <w:color w:val="auto"/>
          <w:lang w:val="en-US" w:eastAsia="zh-CN"/>
        </w:rPr>
      </w:pPr>
      <w:r>
        <w:rPr>
          <w:rFonts w:hint="eastAsia"/>
          <w:color w:val="auto"/>
          <w:lang w:val="en-US" w:eastAsia="zh-CN"/>
        </w:rPr>
        <w:t>1.3.3规划符合性分析</w:t>
      </w:r>
      <w:bookmarkEnd w:id="37"/>
      <w:bookmarkEnd w:id="38"/>
    </w:p>
    <w:p w14:paraId="0B3E555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color w:val="auto"/>
          <w:sz w:val="24"/>
          <w:szCs w:val="24"/>
        </w:rPr>
      </w:pPr>
      <w:r>
        <w:rPr>
          <w:rFonts w:hint="default" w:ascii="Times New Roman" w:hAnsi="Times New Roman" w:eastAsia="宋体" w:cs="Times New Roman"/>
          <w:b/>
          <w:bCs/>
          <w:color w:val="auto"/>
          <w:kern w:val="0"/>
          <w:sz w:val="24"/>
          <w:szCs w:val="24"/>
          <w:lang w:val="en-US" w:eastAsia="zh-CN" w:bidi="ar"/>
        </w:rPr>
        <w:t>（1）与《新疆维吾尔自治区国民经济和社会发展第十四个五年规划和2035年远景目标纲要》相符</w:t>
      </w:r>
      <w:r>
        <w:rPr>
          <w:rFonts w:hint="eastAsia" w:ascii="宋体" w:hAnsi="宋体" w:eastAsia="宋体" w:cs="宋体"/>
          <w:b/>
          <w:bCs/>
          <w:color w:val="auto"/>
          <w:kern w:val="0"/>
          <w:sz w:val="24"/>
          <w:szCs w:val="24"/>
          <w:lang w:val="en-US" w:eastAsia="zh-CN" w:bidi="ar"/>
        </w:rPr>
        <w:t>性分析</w:t>
      </w:r>
    </w:p>
    <w:p w14:paraId="23EFF0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val="0"/>
          <w:color w:val="auto"/>
          <w:sz w:val="24"/>
          <w:szCs w:val="24"/>
        </w:rPr>
      </w:pPr>
      <w:r>
        <w:rPr>
          <w:rFonts w:hint="eastAsia" w:ascii="宋体" w:hAnsi="宋体" w:eastAsia="宋体" w:cs="宋体"/>
          <w:b w:val="0"/>
          <w:bCs w:val="0"/>
          <w:color w:val="auto"/>
          <w:kern w:val="0"/>
          <w:sz w:val="24"/>
          <w:szCs w:val="24"/>
          <w:lang w:val="en-US" w:eastAsia="zh-CN" w:bidi="ar"/>
        </w:rPr>
        <w:t>《规划纲要》提出：“建设国家大型油气生产加工和储备基地。加大准噶尔、吐哈、塔里木三大盆地油气勘探开发力度，提高新疆在油气资源开发利用转化过程中的参与度，提高新疆</w:t>
      </w:r>
      <w:r>
        <w:rPr>
          <w:rFonts w:hint="eastAsia" w:ascii="宋体" w:hAnsi="宋体" w:cs="宋体"/>
          <w:b w:val="0"/>
          <w:bCs w:val="0"/>
          <w:color w:val="auto"/>
          <w:kern w:val="0"/>
          <w:sz w:val="24"/>
          <w:szCs w:val="24"/>
          <w:lang w:val="en-US" w:eastAsia="zh-CN" w:bidi="ar"/>
        </w:rPr>
        <w:t>在</w:t>
      </w:r>
      <w:r>
        <w:rPr>
          <w:rFonts w:hint="eastAsia" w:ascii="宋体" w:hAnsi="宋体" w:eastAsia="宋体" w:cs="宋体"/>
          <w:b w:val="0"/>
          <w:bCs w:val="0"/>
          <w:color w:val="auto"/>
          <w:kern w:val="0"/>
          <w:sz w:val="24"/>
          <w:szCs w:val="24"/>
          <w:lang w:val="en-US" w:eastAsia="zh-CN" w:bidi="ar"/>
        </w:rPr>
        <w:t>油气资源开发利用转化过程中的参与度。加快中石油玛湖、吉木萨尔、准噶尔盆地南缘以及中石化顺北等大型油气田建设，促进油气增储上产。加强成品油储备，提升油气供应保障能力。”</w:t>
      </w:r>
    </w:p>
    <w:p w14:paraId="06525B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val="0"/>
          <w:color w:val="auto"/>
          <w:sz w:val="24"/>
          <w:szCs w:val="24"/>
        </w:rPr>
      </w:pPr>
      <w:r>
        <w:rPr>
          <w:rFonts w:hint="eastAsia" w:ascii="宋体" w:hAnsi="宋体" w:cs="宋体"/>
          <w:b w:val="0"/>
          <w:bCs w:val="0"/>
          <w:color w:val="auto"/>
          <w:kern w:val="0"/>
          <w:sz w:val="24"/>
          <w:szCs w:val="24"/>
          <w:lang w:val="en-US" w:eastAsia="zh-CN" w:bidi="ar"/>
        </w:rPr>
        <w:t>本工程</w:t>
      </w:r>
      <w:r>
        <w:rPr>
          <w:rFonts w:hint="eastAsia" w:ascii="宋体" w:hAnsi="宋体" w:eastAsia="宋体" w:cs="宋体"/>
          <w:b w:val="0"/>
          <w:bCs w:val="0"/>
          <w:color w:val="auto"/>
          <w:kern w:val="0"/>
          <w:sz w:val="24"/>
          <w:szCs w:val="24"/>
          <w:lang w:val="en-US" w:eastAsia="zh-CN" w:bidi="ar"/>
        </w:rPr>
        <w:t>位于准噶尔盆地，符合自治区国民经济和社会发展第十四个五年规划和</w:t>
      </w:r>
      <w:r>
        <w:rPr>
          <w:rFonts w:hint="default" w:ascii="Times New Roman" w:hAnsi="Times New Roman" w:eastAsia="宋体" w:cs="Times New Roman"/>
          <w:b w:val="0"/>
          <w:bCs w:val="0"/>
          <w:color w:val="auto"/>
          <w:kern w:val="0"/>
          <w:sz w:val="24"/>
          <w:szCs w:val="24"/>
          <w:lang w:val="en-US" w:eastAsia="zh-CN" w:bidi="ar"/>
        </w:rPr>
        <w:t>2035</w:t>
      </w:r>
      <w:r>
        <w:rPr>
          <w:rFonts w:hint="eastAsia" w:ascii="宋体" w:hAnsi="宋体" w:eastAsia="宋体" w:cs="宋体"/>
          <w:b w:val="0"/>
          <w:bCs w:val="0"/>
          <w:color w:val="auto"/>
          <w:kern w:val="0"/>
          <w:sz w:val="24"/>
          <w:szCs w:val="24"/>
          <w:lang w:val="en-US" w:eastAsia="zh-CN" w:bidi="ar"/>
        </w:rPr>
        <w:t>年远景目标纲要要求。</w:t>
      </w:r>
    </w:p>
    <w:p w14:paraId="744AFF2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（2）</w:t>
      </w:r>
      <w:r>
        <w:rPr>
          <w:rFonts w:hint="eastAsia"/>
          <w:b/>
          <w:bCs/>
          <w:color w:val="auto"/>
          <w:sz w:val="24"/>
          <w:szCs w:val="28"/>
          <w:lang w:val="en-US" w:eastAsia="zh-CN"/>
        </w:rPr>
        <w:t>与《新疆生态环境保护“十四五”规划》相符性分析</w:t>
      </w:r>
    </w:p>
    <w:p w14:paraId="53411501">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与《新疆生态环境保护“十四五”规划》符合性分析见表1.3-7。</w:t>
      </w:r>
    </w:p>
    <w:p w14:paraId="0425E002">
      <w:pPr>
        <w:pStyle w:val="43"/>
        <w:bidi w:val="0"/>
        <w:rPr>
          <w:rFonts w:hint="default"/>
          <w:color w:val="auto"/>
          <w:lang w:val="en-US" w:eastAsia="zh-CN"/>
        </w:rPr>
      </w:pPr>
      <w:r>
        <w:rPr>
          <w:rFonts w:hint="eastAsia"/>
          <w:color w:val="auto"/>
          <w:lang w:val="en-US" w:eastAsia="zh-CN"/>
        </w:rPr>
        <w:t>表1.3-7  项目与《新疆生态环境保护“十四五”规划》符合性分析</w:t>
      </w:r>
    </w:p>
    <w:tbl>
      <w:tblPr>
        <w:tblStyle w:val="27"/>
        <w:tblW w:w="4981" w:type="pct"/>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4395"/>
        <w:gridCol w:w="2862"/>
        <w:gridCol w:w="858"/>
      </w:tblGrid>
      <w:tr w14:paraId="03DF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7AB5634C">
            <w:pPr>
              <w:pStyle w:val="39"/>
              <w:keepNext w:val="0"/>
              <w:keepLines w:val="0"/>
              <w:pageBreakBefore w:val="0"/>
              <w:widowControl w:val="0"/>
              <w:kinsoku/>
              <w:wordWrap/>
              <w:overflowPunct w:val="0"/>
              <w:topLinePunct w:val="0"/>
              <w:autoSpaceDE/>
              <w:autoSpaceDN/>
              <w:bidi w:val="0"/>
              <w:adjustRightInd w:val="0"/>
              <w:snapToGrid w:val="0"/>
              <w:ind w:left="0"/>
              <w:textAlignment w:val="auto"/>
              <w:rPr>
                <w:b/>
                <w:bCs/>
                <w:color w:val="auto"/>
                <w:sz w:val="21"/>
                <w:szCs w:val="21"/>
              </w:rPr>
            </w:pPr>
            <w:r>
              <w:rPr>
                <w:b/>
                <w:bCs/>
                <w:color w:val="auto"/>
                <w:sz w:val="21"/>
                <w:szCs w:val="21"/>
              </w:rPr>
              <w:t>序号</w:t>
            </w:r>
          </w:p>
        </w:tc>
        <w:tc>
          <w:tcPr>
            <w:tcW w:w="2588" w:type="pct"/>
            <w:tcBorders>
              <w:tl2br w:val="nil"/>
              <w:tr2bl w:val="nil"/>
            </w:tcBorders>
            <w:noWrap w:val="0"/>
            <w:vAlign w:val="center"/>
          </w:tcPr>
          <w:p w14:paraId="0CC3E2A9">
            <w:pPr>
              <w:pStyle w:val="39"/>
              <w:keepNext w:val="0"/>
              <w:keepLines w:val="0"/>
              <w:pageBreakBefore w:val="0"/>
              <w:widowControl w:val="0"/>
              <w:kinsoku/>
              <w:wordWrap/>
              <w:overflowPunct w:val="0"/>
              <w:topLinePunct w:val="0"/>
              <w:autoSpaceDE/>
              <w:autoSpaceDN/>
              <w:bidi w:val="0"/>
              <w:adjustRightInd w:val="0"/>
              <w:snapToGrid w:val="0"/>
              <w:ind w:left="0"/>
              <w:textAlignment w:val="auto"/>
              <w:rPr>
                <w:b/>
                <w:bCs/>
                <w:color w:val="auto"/>
                <w:sz w:val="21"/>
                <w:szCs w:val="21"/>
              </w:rPr>
            </w:pPr>
            <w:r>
              <w:rPr>
                <w:rFonts w:hint="eastAsia"/>
                <w:b/>
                <w:bCs/>
                <w:color w:val="auto"/>
                <w:sz w:val="21"/>
                <w:szCs w:val="21"/>
                <w:lang w:val="en-US" w:eastAsia="zh-CN"/>
              </w:rPr>
              <w:t>规划中的相关</w:t>
            </w:r>
            <w:r>
              <w:rPr>
                <w:b/>
                <w:bCs/>
                <w:color w:val="auto"/>
                <w:sz w:val="21"/>
                <w:szCs w:val="21"/>
              </w:rPr>
              <w:t>要求</w:t>
            </w:r>
          </w:p>
        </w:tc>
        <w:tc>
          <w:tcPr>
            <w:tcW w:w="1685" w:type="pct"/>
            <w:tcBorders>
              <w:tl2br w:val="nil"/>
              <w:tr2bl w:val="nil"/>
            </w:tcBorders>
            <w:noWrap w:val="0"/>
            <w:vAlign w:val="center"/>
          </w:tcPr>
          <w:p w14:paraId="30C72489">
            <w:pPr>
              <w:pStyle w:val="39"/>
              <w:keepNext w:val="0"/>
              <w:keepLines w:val="0"/>
              <w:pageBreakBefore w:val="0"/>
              <w:widowControl w:val="0"/>
              <w:kinsoku/>
              <w:wordWrap/>
              <w:overflowPunct w:val="0"/>
              <w:topLinePunct w:val="0"/>
              <w:autoSpaceDE/>
              <w:autoSpaceDN/>
              <w:bidi w:val="0"/>
              <w:adjustRightInd w:val="0"/>
              <w:snapToGrid w:val="0"/>
              <w:ind w:left="0"/>
              <w:textAlignment w:val="auto"/>
              <w:rPr>
                <w:rFonts w:hint="default" w:eastAsia="宋体"/>
                <w:b/>
                <w:bCs/>
                <w:color w:val="auto"/>
                <w:sz w:val="21"/>
                <w:szCs w:val="21"/>
                <w:lang w:val="en-US" w:eastAsia="zh-CN"/>
              </w:rPr>
            </w:pPr>
            <w:r>
              <w:rPr>
                <w:rFonts w:hint="eastAsia"/>
                <w:b/>
                <w:bCs/>
                <w:color w:val="auto"/>
                <w:sz w:val="21"/>
                <w:szCs w:val="21"/>
                <w:lang w:eastAsia="zh-CN"/>
              </w:rPr>
              <w:t>本工程</w:t>
            </w:r>
            <w:r>
              <w:rPr>
                <w:rFonts w:hint="eastAsia"/>
                <w:b/>
                <w:bCs/>
                <w:color w:val="auto"/>
                <w:sz w:val="21"/>
                <w:szCs w:val="21"/>
                <w:lang w:val="en-US" w:eastAsia="zh-CN"/>
              </w:rPr>
              <w:t>拟采取的措施</w:t>
            </w:r>
          </w:p>
        </w:tc>
        <w:tc>
          <w:tcPr>
            <w:tcW w:w="505" w:type="pct"/>
            <w:tcBorders>
              <w:tl2br w:val="nil"/>
              <w:tr2bl w:val="nil"/>
            </w:tcBorders>
            <w:noWrap w:val="0"/>
            <w:vAlign w:val="center"/>
          </w:tcPr>
          <w:p w14:paraId="24FBF2A4">
            <w:pPr>
              <w:pStyle w:val="39"/>
              <w:keepNext w:val="0"/>
              <w:keepLines w:val="0"/>
              <w:pageBreakBefore w:val="0"/>
              <w:widowControl w:val="0"/>
              <w:kinsoku/>
              <w:wordWrap/>
              <w:overflowPunct w:val="0"/>
              <w:topLinePunct w:val="0"/>
              <w:autoSpaceDE/>
              <w:autoSpaceDN/>
              <w:bidi w:val="0"/>
              <w:adjustRightInd w:val="0"/>
              <w:snapToGrid w:val="0"/>
              <w:ind w:left="0"/>
              <w:textAlignment w:val="auto"/>
              <w:rPr>
                <w:b/>
                <w:bCs/>
                <w:color w:val="auto"/>
                <w:sz w:val="21"/>
                <w:szCs w:val="21"/>
              </w:rPr>
            </w:pPr>
            <w:r>
              <w:rPr>
                <w:b/>
                <w:bCs/>
                <w:color w:val="auto"/>
                <w:sz w:val="21"/>
                <w:szCs w:val="21"/>
              </w:rPr>
              <w:t>相符性</w:t>
            </w:r>
          </w:p>
        </w:tc>
      </w:tr>
      <w:tr w14:paraId="0634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67EA1513">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w:t>
            </w:r>
          </w:p>
        </w:tc>
        <w:tc>
          <w:tcPr>
            <w:tcW w:w="2588" w:type="pct"/>
            <w:tcBorders>
              <w:tl2br w:val="nil"/>
              <w:tr2bl w:val="nil"/>
            </w:tcBorders>
            <w:noWrap w:val="0"/>
            <w:vAlign w:val="center"/>
          </w:tcPr>
          <w:p w14:paraId="5D61CF6E">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685" w:type="pct"/>
            <w:tcBorders>
              <w:tl2br w:val="nil"/>
              <w:tr2bl w:val="nil"/>
            </w:tcBorders>
            <w:noWrap w:val="0"/>
            <w:vAlign w:val="center"/>
          </w:tcPr>
          <w:p w14:paraId="468E5862">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bidi="ar-SA"/>
              </w:rPr>
            </w:pPr>
            <w:r>
              <w:rPr>
                <w:rFonts w:hint="eastAsia" w:cs="Times New Roman"/>
                <w:color w:val="auto"/>
                <w:sz w:val="21"/>
                <w:szCs w:val="21"/>
                <w:lang w:eastAsia="zh-CN"/>
              </w:rPr>
              <w:t>本工程</w:t>
            </w:r>
            <w:r>
              <w:rPr>
                <w:rFonts w:hint="default" w:ascii="Times New Roman" w:hAnsi="Times New Roman" w:eastAsia="宋体" w:cs="Times New Roman"/>
                <w:color w:val="auto"/>
                <w:sz w:val="21"/>
                <w:szCs w:val="21"/>
              </w:rPr>
              <w:t>不属于</w:t>
            </w:r>
            <w:r>
              <w:rPr>
                <w:rFonts w:hint="eastAsia" w:ascii="宋体" w:hAnsi="宋体" w:eastAsia="宋体" w:cs="宋体"/>
                <w:color w:val="auto"/>
                <w:sz w:val="21"/>
                <w:szCs w:val="21"/>
              </w:rPr>
              <w:t>“高污染、高环境风险产品”项</w:t>
            </w:r>
            <w:r>
              <w:rPr>
                <w:rFonts w:hint="default" w:ascii="Times New Roman" w:hAnsi="Times New Roman" w:eastAsia="宋体" w:cs="Times New Roman"/>
                <w:color w:val="auto"/>
                <w:sz w:val="21"/>
                <w:szCs w:val="21"/>
              </w:rPr>
              <w:t>目；位于一般管控单元，不涉及生态红线；废气、噪声均可实现达标排放，废水和固体废物均得到妥善处置，不会突破区域环境质量底线；施工期和运营期会消耗少量的电能和水，工程资源消耗量相对区域资源利用总量较少，符合资源利用上线要求；</w:t>
            </w:r>
            <w:r>
              <w:rPr>
                <w:rFonts w:hint="eastAsia" w:ascii="宋体" w:hAnsi="宋体" w:eastAsia="宋体" w:cs="宋体"/>
                <w:color w:val="auto"/>
                <w:sz w:val="21"/>
                <w:szCs w:val="21"/>
              </w:rPr>
              <w:t>符合“三线一单”的</w:t>
            </w:r>
            <w:r>
              <w:rPr>
                <w:rFonts w:hint="default" w:ascii="Times New Roman" w:hAnsi="Times New Roman" w:eastAsia="宋体" w:cs="Times New Roman"/>
                <w:color w:val="auto"/>
                <w:sz w:val="21"/>
                <w:szCs w:val="21"/>
              </w:rPr>
              <w:t>要求。</w:t>
            </w:r>
          </w:p>
        </w:tc>
        <w:tc>
          <w:tcPr>
            <w:tcW w:w="505" w:type="pct"/>
            <w:tcBorders>
              <w:tl2br w:val="nil"/>
              <w:tr2bl w:val="nil"/>
            </w:tcBorders>
            <w:noWrap w:val="0"/>
            <w:vAlign w:val="center"/>
          </w:tcPr>
          <w:p w14:paraId="7DA2B49B">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符合</w:t>
            </w:r>
          </w:p>
        </w:tc>
      </w:tr>
      <w:tr w14:paraId="3D5F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vAlign w:val="center"/>
          </w:tcPr>
          <w:p w14:paraId="32C2FF30">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2</w:t>
            </w:r>
          </w:p>
        </w:tc>
        <w:tc>
          <w:tcPr>
            <w:tcW w:w="0" w:type="auto"/>
            <w:vAlign w:val="center"/>
          </w:tcPr>
          <w:p w14:paraId="656BD5D4">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ascii="Times New Roman" w:hAnsi="Times New Roman" w:eastAsia="宋体" w:cs="Times New Roman"/>
                <w:b w:val="0"/>
                <w:color w:val="auto"/>
                <w:sz w:val="21"/>
                <w:szCs w:val="21"/>
                <w:lang w:val="en-US" w:eastAsia="zh-CN" w:bidi="ar-SA"/>
              </w:rPr>
            </w:pPr>
            <w:r>
              <w:rPr>
                <w:rFonts w:hint="default" w:ascii="Times New Roman" w:hAnsi="Times New Roman" w:eastAsia="宋体" w:cs="Times New Roman"/>
                <w:color w:val="auto"/>
                <w:sz w:val="21"/>
                <w:szCs w:val="21"/>
              </w:rPr>
              <w:t>积极引导重点产废企业自建危险废物利用设施，支持大型企业集团内部共享危险废物利用处置设施，推进工业废盐、废催化剂、煤焦油、电解铝大修渣等利用处置设施建设，适度发展水泥窑协同处置危险废物，引导推进有害废物处理处置能力建设，引导推进含油污泥处置、废矿物油回收利用能力过剩问题化解和布局优化。坚持兵地统筹、区域协同规划和建设危险废物利用处置设施，实现疆内危险废物处置能力与产废情况总体匹配。深入推进油气田开采历史遗留含油污泥、磺化泥浆、黄金选矿行业氰化尾渣、铜冶炼行业砷渣以及石棉矿选矿废渣等调查和污染治理。</w:t>
            </w:r>
          </w:p>
        </w:tc>
        <w:tc>
          <w:tcPr>
            <w:tcW w:w="0" w:type="auto"/>
            <w:vAlign w:val="center"/>
          </w:tcPr>
          <w:p w14:paraId="1ED8425B">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运营期产生的危险废物暂存在</w:t>
            </w:r>
            <w:r>
              <w:rPr>
                <w:rFonts w:hint="eastAsia" w:eastAsia="宋体" w:cs="Times New Roman"/>
                <w:b w:val="0"/>
                <w:bCs w:val="0"/>
                <w:color w:val="auto"/>
                <w:sz w:val="21"/>
                <w:szCs w:val="21"/>
                <w:lang w:val="en-US" w:eastAsia="zh-CN"/>
              </w:rPr>
              <w:t>百口泉采油厂</w:t>
            </w:r>
            <w:r>
              <w:rPr>
                <w:rFonts w:hint="default" w:ascii="Times New Roman" w:hAnsi="Times New Roman" w:eastAsia="宋体" w:cs="Times New Roman"/>
                <w:b w:val="0"/>
                <w:bCs w:val="0"/>
                <w:color w:val="auto"/>
                <w:sz w:val="21"/>
                <w:szCs w:val="21"/>
                <w:lang w:val="en-US" w:eastAsia="zh-CN"/>
              </w:rPr>
              <w:t>危险废物</w:t>
            </w:r>
            <w:r>
              <w:rPr>
                <w:rFonts w:hint="eastAsia" w:cs="Times New Roman"/>
                <w:b w:val="0"/>
                <w:bCs w:val="0"/>
                <w:color w:val="auto"/>
                <w:sz w:val="21"/>
                <w:szCs w:val="21"/>
                <w:lang w:val="en-US" w:eastAsia="zh-CN"/>
              </w:rPr>
              <w:t>贮存场</w:t>
            </w:r>
            <w:r>
              <w:rPr>
                <w:rFonts w:hint="default" w:ascii="Times New Roman" w:hAnsi="Times New Roman" w:eastAsia="宋体" w:cs="Times New Roman"/>
                <w:b w:val="0"/>
                <w:bCs w:val="0"/>
                <w:color w:val="auto"/>
                <w:sz w:val="21"/>
                <w:szCs w:val="21"/>
                <w:lang w:val="en-US" w:eastAsia="zh-CN"/>
              </w:rPr>
              <w:t>，定期交由有资质的单位处置。</w:t>
            </w:r>
          </w:p>
        </w:tc>
        <w:tc>
          <w:tcPr>
            <w:tcW w:w="0" w:type="auto"/>
            <w:vAlign w:val="center"/>
          </w:tcPr>
          <w:p w14:paraId="34B37EBC">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符合</w:t>
            </w:r>
          </w:p>
        </w:tc>
      </w:tr>
      <w:tr w14:paraId="7F95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vAlign w:val="center"/>
          </w:tcPr>
          <w:p w14:paraId="697DB682">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w:t>
            </w:r>
          </w:p>
        </w:tc>
        <w:tc>
          <w:tcPr>
            <w:tcW w:w="0" w:type="auto"/>
            <w:vAlign w:val="center"/>
          </w:tcPr>
          <w:p w14:paraId="2D5C5890">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ascii="Times New Roman" w:hAnsi="Times New Roman" w:eastAsia="宋体" w:cs="Times New Roman"/>
                <w:b w:val="0"/>
                <w:color w:val="auto"/>
                <w:sz w:val="21"/>
                <w:szCs w:val="21"/>
                <w:lang w:val="en-US" w:eastAsia="zh-CN" w:bidi="ar-SA"/>
              </w:rPr>
            </w:pPr>
            <w:r>
              <w:rPr>
                <w:rFonts w:hint="default" w:ascii="Times New Roman" w:hAnsi="Times New Roman" w:eastAsia="宋体" w:cs="Times New Roman"/>
                <w:color w:val="auto"/>
                <w:sz w:val="21"/>
                <w:szCs w:val="21"/>
              </w:rPr>
              <w:t>强化危险废物全过程环境监管。督促各类危险废物产生单位和经营单位依法申报危险废物产生处置情况，报备管理计划，做好信息公开工作，规范运行危险废物转移联单。</w:t>
            </w:r>
          </w:p>
        </w:tc>
        <w:tc>
          <w:tcPr>
            <w:tcW w:w="0" w:type="auto"/>
            <w:vAlign w:val="center"/>
          </w:tcPr>
          <w:p w14:paraId="65400201">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建设单位定期申报危险废物的产生处置情况，并制定有危险废物管理计划，危险废物转移时执行危险废物转移联单制度</w:t>
            </w:r>
            <w:r>
              <w:rPr>
                <w:rFonts w:hint="eastAsia" w:ascii="Times New Roman" w:hAnsi="Times New Roman" w:eastAsia="宋体" w:cs="Times New Roman"/>
                <w:b w:val="0"/>
                <w:bCs w:val="0"/>
                <w:color w:val="auto"/>
                <w:sz w:val="21"/>
                <w:szCs w:val="21"/>
                <w:lang w:val="en-US" w:eastAsia="zh-CN"/>
              </w:rPr>
              <w:t>。</w:t>
            </w:r>
          </w:p>
        </w:tc>
        <w:tc>
          <w:tcPr>
            <w:tcW w:w="0" w:type="auto"/>
            <w:vAlign w:val="center"/>
          </w:tcPr>
          <w:p w14:paraId="79CA83FD">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符合</w:t>
            </w:r>
          </w:p>
        </w:tc>
      </w:tr>
      <w:tr w14:paraId="2980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vAlign w:val="center"/>
          </w:tcPr>
          <w:p w14:paraId="77BE2ABB">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4</w:t>
            </w:r>
          </w:p>
        </w:tc>
        <w:tc>
          <w:tcPr>
            <w:tcW w:w="0" w:type="auto"/>
            <w:vAlign w:val="center"/>
          </w:tcPr>
          <w:p w14:paraId="1209F325">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eastAsia" w:ascii="Times New Roman" w:hAnsi="Times New Roman" w:eastAsia="宋体" w:cs="Times New Roman"/>
                <w:b w:val="0"/>
                <w:color w:val="auto"/>
                <w:sz w:val="21"/>
                <w:szCs w:val="21"/>
                <w:lang w:val="en-US" w:eastAsia="zh-CN" w:bidi="ar-SA"/>
              </w:rPr>
            </w:pPr>
            <w:r>
              <w:rPr>
                <w:rFonts w:hint="default" w:ascii="Times New Roman" w:hAnsi="Times New Roman" w:eastAsia="宋体" w:cs="Times New Roman"/>
                <w:color w:val="auto"/>
                <w:sz w:val="21"/>
                <w:szCs w:val="21"/>
              </w:rPr>
              <w:t>加强应急监测装备配置，定期开展应急演练，增强实战能力。</w:t>
            </w:r>
          </w:p>
        </w:tc>
        <w:tc>
          <w:tcPr>
            <w:tcW w:w="0" w:type="auto"/>
            <w:vAlign w:val="center"/>
          </w:tcPr>
          <w:p w14:paraId="439412DD">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建设单位制定有突发环境事件应急预案，后期进行修编并将</w:t>
            </w:r>
            <w:r>
              <w:rPr>
                <w:rFonts w:hint="eastAsia" w:cs="Times New Roman"/>
                <w:b w:val="0"/>
                <w:bCs w:val="0"/>
                <w:color w:val="auto"/>
                <w:sz w:val="21"/>
                <w:szCs w:val="21"/>
                <w:lang w:val="en-US" w:eastAsia="zh-CN"/>
              </w:rPr>
              <w:t>本工程</w:t>
            </w:r>
            <w:r>
              <w:rPr>
                <w:rFonts w:hint="default" w:ascii="Times New Roman" w:hAnsi="Times New Roman" w:eastAsia="宋体" w:cs="Times New Roman"/>
                <w:b w:val="0"/>
                <w:bCs w:val="0"/>
                <w:color w:val="auto"/>
                <w:sz w:val="21"/>
                <w:szCs w:val="21"/>
                <w:lang w:val="en-US" w:eastAsia="zh-CN"/>
              </w:rPr>
              <w:t>纳入应急预案体系中</w:t>
            </w:r>
            <w:r>
              <w:rPr>
                <w:rFonts w:hint="eastAsia" w:ascii="Times New Roman" w:hAnsi="Times New Roman" w:eastAsia="宋体" w:cs="Times New Roman"/>
                <w:b w:val="0"/>
                <w:bCs w:val="0"/>
                <w:color w:val="auto"/>
                <w:sz w:val="21"/>
                <w:szCs w:val="21"/>
                <w:lang w:val="en-US" w:eastAsia="zh-CN"/>
              </w:rPr>
              <w:t>。</w:t>
            </w:r>
          </w:p>
        </w:tc>
        <w:tc>
          <w:tcPr>
            <w:tcW w:w="0" w:type="auto"/>
            <w:vAlign w:val="center"/>
          </w:tcPr>
          <w:p w14:paraId="027A94FC">
            <w:pPr>
              <w:pStyle w:val="39"/>
              <w:keepNext w:val="0"/>
              <w:keepLines w:val="0"/>
              <w:pageBreakBefore w:val="0"/>
              <w:widowControl w:val="0"/>
              <w:kinsoku/>
              <w:wordWrap/>
              <w:overflowPunct w:val="0"/>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符合</w:t>
            </w:r>
          </w:p>
        </w:tc>
      </w:tr>
    </w:tbl>
    <w:p w14:paraId="4D2B23D8">
      <w:pPr>
        <w:pStyle w:val="11"/>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default" w:eastAsia="宋体"/>
          <w:b/>
          <w:bCs/>
          <w:color w:val="auto"/>
          <w:sz w:val="24"/>
          <w:szCs w:val="28"/>
          <w:lang w:val="en-US" w:eastAsia="zh-CN"/>
        </w:rPr>
      </w:pPr>
      <w:r>
        <w:rPr>
          <w:rFonts w:hint="eastAsia"/>
          <w:b/>
          <w:bCs/>
          <w:color w:val="auto"/>
          <w:sz w:val="24"/>
          <w:szCs w:val="28"/>
          <w:lang w:eastAsia="zh-CN"/>
        </w:rPr>
        <w:t>（</w:t>
      </w:r>
      <w:r>
        <w:rPr>
          <w:rFonts w:hint="eastAsia"/>
          <w:b/>
          <w:bCs/>
          <w:color w:val="auto"/>
          <w:sz w:val="24"/>
          <w:szCs w:val="28"/>
          <w:lang w:val="en-US" w:eastAsia="zh-CN"/>
        </w:rPr>
        <w:t>3</w:t>
      </w:r>
      <w:r>
        <w:rPr>
          <w:rFonts w:hint="eastAsia"/>
          <w:b/>
          <w:bCs/>
          <w:color w:val="auto"/>
          <w:sz w:val="24"/>
          <w:szCs w:val="28"/>
          <w:lang w:eastAsia="zh-CN"/>
        </w:rPr>
        <w:t>）</w:t>
      </w:r>
      <w:r>
        <w:rPr>
          <w:rFonts w:hint="eastAsia"/>
          <w:b/>
          <w:bCs/>
          <w:color w:val="auto"/>
          <w:sz w:val="24"/>
          <w:szCs w:val="28"/>
          <w:lang w:val="en-US" w:eastAsia="zh-CN"/>
        </w:rPr>
        <w:t>与《新疆维吾尔自治区主体功能区规划》相符性分析</w:t>
      </w:r>
    </w:p>
    <w:p w14:paraId="50FFCC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rPr>
      </w:pPr>
      <w:r>
        <w:rPr>
          <w:rFonts w:hint="eastAsia" w:ascii="宋体" w:hAnsi="宋体" w:eastAsia="宋体" w:cs="宋体"/>
          <w:color w:val="auto"/>
          <w:kern w:val="0"/>
          <w:sz w:val="24"/>
          <w:szCs w:val="24"/>
          <w:lang w:val="en-US" w:eastAsia="zh-CN" w:bidi="ar"/>
        </w:rPr>
        <w:t>根据《新疆维吾尔自治区主体功能区划》，将新疆分为以下主体功能区：按开发方式，分为优化开发区域、重点开发区域、限制开发区域和禁止开发区域四类；按开发内容，分为城市化地区、农产品主产区和重点生态功能区三类；按层级，分为国家和省级两个层面。</w:t>
      </w:r>
      <w:r>
        <w:rPr>
          <w:rFonts w:hint="eastAsia" w:ascii="宋体" w:hAnsi="宋体" w:cs="宋体"/>
          <w:color w:val="auto"/>
          <w:kern w:val="0"/>
          <w:sz w:val="24"/>
          <w:szCs w:val="24"/>
          <w:lang w:val="en-US" w:eastAsia="zh-CN" w:bidi="ar"/>
        </w:rPr>
        <w:t>本工程</w:t>
      </w:r>
      <w:r>
        <w:rPr>
          <w:rFonts w:hint="eastAsia" w:ascii="宋体" w:hAnsi="宋体" w:eastAsia="宋体" w:cs="宋体"/>
          <w:color w:val="auto"/>
          <w:kern w:val="0"/>
          <w:sz w:val="24"/>
          <w:szCs w:val="24"/>
          <w:lang w:val="en-US" w:eastAsia="zh-CN" w:bidi="ar"/>
        </w:rPr>
        <w:t>建设地点位于新疆维吾尔自治区克拉玛依市乌尔禾区、塔城地区和布克赛尔蒙古自治县。</w:t>
      </w:r>
      <w:r>
        <w:rPr>
          <w:rFonts w:hint="eastAsia" w:ascii="宋体" w:hAnsi="宋体" w:cs="宋体"/>
          <w:color w:val="auto"/>
          <w:kern w:val="0"/>
          <w:sz w:val="24"/>
          <w:szCs w:val="24"/>
          <w:lang w:val="en-US" w:eastAsia="zh-CN" w:bidi="ar"/>
        </w:rPr>
        <w:t>与新疆主体功能区划见附</w:t>
      </w:r>
      <w:r>
        <w:rPr>
          <w:rFonts w:hint="default" w:ascii="Times New Roman" w:hAnsi="Times New Roman" w:cs="Times New Roman"/>
          <w:color w:val="auto"/>
          <w:kern w:val="0"/>
          <w:sz w:val="24"/>
          <w:szCs w:val="24"/>
          <w:lang w:val="en-US" w:eastAsia="zh-CN" w:bidi="ar"/>
        </w:rPr>
        <w:t>图2。</w:t>
      </w:r>
    </w:p>
    <w:p w14:paraId="678BD0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克拉玛依市乌尔禾区属于城市化地区中的天山北坡地区，天山北坡地区涉及</w:t>
      </w:r>
      <w:r>
        <w:rPr>
          <w:rFonts w:hint="default" w:ascii="Times New Roman" w:hAnsi="Times New Roman" w:eastAsia="宋体" w:cs="Times New Roman"/>
          <w:color w:val="auto"/>
          <w:kern w:val="0"/>
          <w:sz w:val="24"/>
          <w:szCs w:val="24"/>
          <w:lang w:val="en-US" w:eastAsia="zh-CN" w:bidi="ar"/>
        </w:rPr>
        <w:t>23</w:t>
      </w:r>
      <w:r>
        <w:rPr>
          <w:rFonts w:hint="eastAsia" w:ascii="宋体" w:hAnsi="宋体" w:eastAsia="宋体" w:cs="宋体"/>
          <w:color w:val="auto"/>
          <w:kern w:val="0"/>
          <w:sz w:val="24"/>
          <w:szCs w:val="24"/>
          <w:lang w:val="en-US" w:eastAsia="zh-CN" w:bidi="ar"/>
        </w:rPr>
        <w:t>个县市，这些天山北坡城市或城区以及县市城关镇和重要工业园区属于国家层面重点开发区，该区域的功能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本工程属于石油天然气开采行业，符合自治区对该区域的功能定位要求。</w:t>
      </w:r>
    </w:p>
    <w:p w14:paraId="223347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塔城地区和布克赛尔蒙古自治县属于重点生态功能区中的准噶尔西部荒漠草原生态功能区。准噶尔西部荒漠草原生态功能区是自治区级的重点生态功能区，属于限制开发区。其功能定位是：保障国家及自治区生态安全的主体区域，全疆乃至全国重要的生态功能区，人与自然和谐相处的生态文明区；发展方向为：植树造林、退耕还草，加强以草原为主的生态建设，防治草场退化、禁止毁草开荒，保护珍稀野生物种；开发管制原则为：对各类开发活动严格控制，尽可能减少对生态系统的干扰，不得损害生态系统的稳定和完整性；开发矿产资源、发展适宜产业和建设基础设施，都要控制在尽可能小的空间范围之内，做到天然草地、林地、水库水域、河流水面、湖泊水面等绿色生态空间面积不减少；根据资源环境承载能力合理布局能源基地和矿产基地，尽可能减少对农业空间、生态空间的占用并同步修复生态环境。</w:t>
      </w:r>
    </w:p>
    <w:p w14:paraId="049E03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cs="宋体"/>
          <w:color w:val="auto"/>
          <w:kern w:val="0"/>
          <w:sz w:val="24"/>
          <w:szCs w:val="24"/>
          <w:lang w:val="en-US" w:eastAsia="zh-CN" w:bidi="ar"/>
        </w:rPr>
        <w:t>本工程</w:t>
      </w:r>
      <w:r>
        <w:rPr>
          <w:rFonts w:hint="eastAsia" w:ascii="宋体" w:hAnsi="宋体" w:eastAsia="宋体" w:cs="宋体"/>
          <w:color w:val="auto"/>
          <w:kern w:val="0"/>
          <w:sz w:val="24"/>
          <w:szCs w:val="24"/>
          <w:lang w:val="en-US" w:eastAsia="zh-CN" w:bidi="ar"/>
        </w:rPr>
        <w:t>属于石油天然气开采业，属于百口泉采油厂管辖，项目所在区域不在生态红线内，项目对开发活动严格控制，尽可能减少对生态系统的干扰，因此，本工程的建设符合《新疆维吾尔自治区主体功能区划》对项目所在区域的开发管制原则。</w:t>
      </w:r>
    </w:p>
    <w:p w14:paraId="2E13E979">
      <w:pPr>
        <w:pStyle w:val="11"/>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default"/>
          <w:b/>
          <w:bCs/>
          <w:color w:val="auto"/>
          <w:sz w:val="24"/>
          <w:szCs w:val="28"/>
          <w:lang w:val="en-US" w:eastAsia="zh-CN"/>
        </w:rPr>
      </w:pPr>
      <w:r>
        <w:rPr>
          <w:rFonts w:hint="eastAsia"/>
          <w:b/>
          <w:bCs/>
          <w:color w:val="auto"/>
          <w:sz w:val="24"/>
          <w:szCs w:val="28"/>
          <w:lang w:eastAsia="zh-CN"/>
        </w:rPr>
        <w:t>（</w:t>
      </w:r>
      <w:r>
        <w:rPr>
          <w:rFonts w:hint="eastAsia"/>
          <w:b/>
          <w:bCs/>
          <w:color w:val="auto"/>
          <w:sz w:val="24"/>
          <w:szCs w:val="28"/>
          <w:lang w:val="en-US" w:eastAsia="zh-CN"/>
        </w:rPr>
        <w:t>4</w:t>
      </w:r>
      <w:r>
        <w:rPr>
          <w:rFonts w:hint="eastAsia"/>
          <w:b/>
          <w:bCs/>
          <w:color w:val="auto"/>
          <w:sz w:val="24"/>
          <w:szCs w:val="28"/>
          <w:lang w:eastAsia="zh-CN"/>
        </w:rPr>
        <w:t>）</w:t>
      </w:r>
      <w:r>
        <w:rPr>
          <w:rFonts w:hint="eastAsia"/>
          <w:b/>
          <w:bCs/>
          <w:color w:val="auto"/>
          <w:sz w:val="24"/>
          <w:szCs w:val="28"/>
          <w:lang w:val="en-US" w:eastAsia="zh-CN"/>
        </w:rPr>
        <w:t>与《克拉玛依市“十四五”生态环境保护规划》符合性分析</w:t>
      </w:r>
    </w:p>
    <w:p w14:paraId="2E53B6FA">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本工程与《克拉玛依市“十四五”生态环境保护规划》的符合性见表1.3-8。</w:t>
      </w:r>
    </w:p>
    <w:p w14:paraId="123C67B1">
      <w:pPr>
        <w:pStyle w:val="43"/>
        <w:bidi w:val="0"/>
        <w:rPr>
          <w:rFonts w:hint="default" w:eastAsia="宋体"/>
          <w:color w:val="auto"/>
          <w:lang w:val="en-US" w:eastAsia="zh-CN"/>
        </w:rPr>
      </w:pPr>
      <w:r>
        <w:rPr>
          <w:rFonts w:hint="eastAsia" w:eastAsia="宋体"/>
          <w:color w:val="auto"/>
          <w:lang w:val="en-US" w:eastAsia="zh-CN"/>
        </w:rPr>
        <w:t>表1.3-</w:t>
      </w:r>
      <w:r>
        <w:rPr>
          <w:rFonts w:hint="eastAsia"/>
          <w:color w:val="auto"/>
          <w:lang w:val="en-US" w:eastAsia="zh-CN"/>
        </w:rPr>
        <w:t>8</w:t>
      </w:r>
      <w:r>
        <w:rPr>
          <w:rFonts w:hint="eastAsia" w:eastAsia="宋体"/>
          <w:color w:val="auto"/>
          <w:lang w:val="en-US" w:eastAsia="zh-CN"/>
        </w:rPr>
        <w:t xml:space="preserve">  项目与《克拉玛依市“十四五”生态环境保护规划》符合性分析</w:t>
      </w:r>
    </w:p>
    <w:tbl>
      <w:tblPr>
        <w:tblStyle w:val="27"/>
        <w:tblW w:w="4981" w:type="pct"/>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4395"/>
        <w:gridCol w:w="2862"/>
        <w:gridCol w:w="858"/>
      </w:tblGrid>
      <w:tr w14:paraId="3A5B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68B6CC51">
            <w:pPr>
              <w:pStyle w:val="34"/>
              <w:bidi w:val="0"/>
              <w:rPr>
                <w:b/>
                <w:bCs/>
                <w:color w:val="auto"/>
              </w:rPr>
            </w:pPr>
            <w:r>
              <w:rPr>
                <w:b/>
                <w:bCs/>
                <w:color w:val="auto"/>
              </w:rPr>
              <w:t>序号</w:t>
            </w:r>
          </w:p>
        </w:tc>
        <w:tc>
          <w:tcPr>
            <w:tcW w:w="2588" w:type="pct"/>
            <w:tcBorders>
              <w:tl2br w:val="nil"/>
              <w:tr2bl w:val="nil"/>
            </w:tcBorders>
            <w:noWrap w:val="0"/>
            <w:vAlign w:val="center"/>
          </w:tcPr>
          <w:p w14:paraId="0E9C6440">
            <w:pPr>
              <w:pStyle w:val="34"/>
              <w:bidi w:val="0"/>
              <w:rPr>
                <w:b/>
                <w:bCs/>
                <w:color w:val="auto"/>
              </w:rPr>
            </w:pPr>
            <w:r>
              <w:rPr>
                <w:rFonts w:hint="eastAsia"/>
                <w:b/>
                <w:bCs/>
                <w:color w:val="auto"/>
                <w:lang w:val="en-US" w:eastAsia="zh-CN"/>
              </w:rPr>
              <w:t>规划中的相关</w:t>
            </w:r>
            <w:r>
              <w:rPr>
                <w:b/>
                <w:bCs/>
                <w:color w:val="auto"/>
              </w:rPr>
              <w:t>要求</w:t>
            </w:r>
          </w:p>
        </w:tc>
        <w:tc>
          <w:tcPr>
            <w:tcW w:w="1685" w:type="pct"/>
            <w:tcBorders>
              <w:tl2br w:val="nil"/>
              <w:tr2bl w:val="nil"/>
            </w:tcBorders>
            <w:noWrap w:val="0"/>
            <w:vAlign w:val="center"/>
          </w:tcPr>
          <w:p w14:paraId="5F33B735">
            <w:pPr>
              <w:pStyle w:val="34"/>
              <w:bidi w:val="0"/>
              <w:rPr>
                <w:rFonts w:hint="eastAsia"/>
                <w:b/>
                <w:bCs/>
                <w:color w:val="auto"/>
                <w:lang w:val="en-US" w:eastAsia="zh-CN"/>
              </w:rPr>
            </w:pPr>
            <w:r>
              <w:rPr>
                <w:rFonts w:hint="eastAsia"/>
                <w:b/>
                <w:bCs/>
                <w:color w:val="auto"/>
                <w:lang w:eastAsia="zh-CN"/>
              </w:rPr>
              <w:t>本工程</w:t>
            </w:r>
            <w:r>
              <w:rPr>
                <w:rFonts w:hint="eastAsia"/>
                <w:b/>
                <w:bCs/>
                <w:color w:val="auto"/>
                <w:lang w:val="en-US" w:eastAsia="zh-CN"/>
              </w:rPr>
              <w:t>情况</w:t>
            </w:r>
          </w:p>
        </w:tc>
        <w:tc>
          <w:tcPr>
            <w:tcW w:w="505" w:type="pct"/>
            <w:tcBorders>
              <w:tl2br w:val="nil"/>
              <w:tr2bl w:val="nil"/>
            </w:tcBorders>
            <w:noWrap w:val="0"/>
            <w:vAlign w:val="center"/>
          </w:tcPr>
          <w:p w14:paraId="4D72621A">
            <w:pPr>
              <w:pStyle w:val="34"/>
              <w:bidi w:val="0"/>
              <w:rPr>
                <w:b/>
                <w:bCs/>
                <w:color w:val="auto"/>
              </w:rPr>
            </w:pPr>
            <w:r>
              <w:rPr>
                <w:b/>
                <w:bCs/>
                <w:color w:val="auto"/>
              </w:rPr>
              <w:t>相符性</w:t>
            </w:r>
          </w:p>
        </w:tc>
      </w:tr>
      <w:tr w14:paraId="5892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32F1DAF4">
            <w:pPr>
              <w:pStyle w:val="34"/>
              <w:bidi w:val="0"/>
              <w:rPr>
                <w:rFonts w:hint="eastAsia"/>
                <w:color w:val="auto"/>
                <w:lang w:val="en-US" w:eastAsia="zh-CN"/>
              </w:rPr>
            </w:pPr>
            <w:r>
              <w:rPr>
                <w:rFonts w:hint="eastAsia"/>
                <w:color w:val="auto"/>
                <w:lang w:val="en-US" w:eastAsia="zh-CN"/>
              </w:rPr>
              <w:t>1</w:t>
            </w:r>
          </w:p>
        </w:tc>
        <w:tc>
          <w:tcPr>
            <w:tcW w:w="2588" w:type="pct"/>
            <w:tcBorders>
              <w:tl2br w:val="nil"/>
              <w:tr2bl w:val="nil"/>
            </w:tcBorders>
            <w:noWrap w:val="0"/>
            <w:vAlign w:val="center"/>
          </w:tcPr>
          <w:p w14:paraId="1A4B610C">
            <w:pPr>
              <w:pStyle w:val="34"/>
              <w:bidi w:val="0"/>
              <w:rPr>
                <w:rFonts w:hint="default"/>
                <w:color w:val="auto"/>
                <w:lang w:val="en-US" w:eastAsia="zh-CN"/>
              </w:rPr>
            </w:pPr>
            <w:r>
              <w:rPr>
                <w:rFonts w:hint="eastAsia"/>
                <w:color w:val="auto"/>
                <w:lang w:val="en-US" w:eastAsia="zh-CN"/>
              </w:rPr>
              <w:t>持续优化产业结构。严格落实环境准入，严禁“三高”项目落地克拉玛依，强化源头管理，落实“三线一单”硬约束。加强能耗“双控”管理，重点控制化石能源消费，进一步挖掘重点领域节能的潜力，推进煤炭消费减量替代和清洁高效利用。严格执行国家绿色产业指导目录，落实环境准入要求，实施环境准入负面清单。加大落后产能淘汰力度，优化产业布局，加快调整优化重点产业结构。</w:t>
            </w:r>
          </w:p>
        </w:tc>
        <w:tc>
          <w:tcPr>
            <w:tcW w:w="1685" w:type="pct"/>
            <w:tcBorders>
              <w:tl2br w:val="nil"/>
              <w:tr2bl w:val="nil"/>
            </w:tcBorders>
            <w:noWrap w:val="0"/>
            <w:vAlign w:val="center"/>
          </w:tcPr>
          <w:p w14:paraId="76689BF8">
            <w:pPr>
              <w:pStyle w:val="34"/>
              <w:bidi w:val="0"/>
              <w:rPr>
                <w:rFonts w:hint="default"/>
                <w:color w:val="auto"/>
                <w:lang w:val="en-US" w:eastAsia="zh-CN"/>
              </w:rPr>
            </w:pPr>
            <w:r>
              <w:rPr>
                <w:rFonts w:hint="eastAsia"/>
                <w:color w:val="auto"/>
                <w:lang w:val="en-US" w:eastAsia="zh-CN"/>
              </w:rPr>
              <w:t>项目不属于“三高”行业，符合“三线一单”管控要求。</w:t>
            </w:r>
          </w:p>
        </w:tc>
        <w:tc>
          <w:tcPr>
            <w:tcW w:w="505" w:type="pct"/>
            <w:tcBorders>
              <w:tl2br w:val="nil"/>
              <w:tr2bl w:val="nil"/>
            </w:tcBorders>
            <w:noWrap w:val="0"/>
            <w:vAlign w:val="center"/>
          </w:tcPr>
          <w:p w14:paraId="1959D509">
            <w:pPr>
              <w:pStyle w:val="34"/>
              <w:bidi w:val="0"/>
              <w:rPr>
                <w:rFonts w:hint="eastAsia"/>
                <w:color w:val="auto"/>
                <w:lang w:val="en-US" w:eastAsia="zh-CN"/>
              </w:rPr>
            </w:pPr>
            <w:r>
              <w:rPr>
                <w:rFonts w:hint="eastAsia"/>
                <w:color w:val="auto"/>
                <w:lang w:val="en-US" w:eastAsia="zh-CN"/>
              </w:rPr>
              <w:t>符合</w:t>
            </w:r>
          </w:p>
        </w:tc>
      </w:tr>
      <w:tr w14:paraId="1BE2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7A77DF07">
            <w:pPr>
              <w:pStyle w:val="34"/>
              <w:bidi w:val="0"/>
              <w:rPr>
                <w:rFonts w:hint="eastAsia"/>
                <w:color w:val="auto"/>
                <w:lang w:val="en-US" w:eastAsia="zh-CN"/>
              </w:rPr>
            </w:pPr>
            <w:r>
              <w:rPr>
                <w:rFonts w:hint="eastAsia"/>
                <w:color w:val="auto"/>
                <w:lang w:val="en-US" w:eastAsia="zh-CN"/>
              </w:rPr>
              <w:t>2</w:t>
            </w:r>
          </w:p>
        </w:tc>
        <w:tc>
          <w:tcPr>
            <w:tcW w:w="2588" w:type="pct"/>
            <w:tcBorders>
              <w:tl2br w:val="nil"/>
              <w:tr2bl w:val="nil"/>
            </w:tcBorders>
            <w:noWrap w:val="0"/>
            <w:vAlign w:val="center"/>
          </w:tcPr>
          <w:p w14:paraId="2D1AA33F">
            <w:pPr>
              <w:pStyle w:val="34"/>
              <w:bidi w:val="0"/>
              <w:rPr>
                <w:rFonts w:hint="default"/>
                <w:color w:val="auto"/>
                <w:lang w:val="en-US" w:eastAsia="zh-CN"/>
              </w:rPr>
            </w:pPr>
            <w:r>
              <w:rPr>
                <w:rFonts w:hint="eastAsia"/>
                <w:color w:val="auto"/>
                <w:lang w:val="en-US" w:eastAsia="zh-CN"/>
              </w:rPr>
              <w:t>提升重点行业领域能效水平。加强高耗能行业企业的能效管理，提高能源利用效率；不断提高油气开采行业放空天然气回收利用效率，实现放空天然气高效再利用。</w:t>
            </w:r>
          </w:p>
        </w:tc>
        <w:tc>
          <w:tcPr>
            <w:tcW w:w="1685" w:type="pct"/>
            <w:tcBorders>
              <w:tl2br w:val="nil"/>
              <w:tr2bl w:val="nil"/>
            </w:tcBorders>
            <w:noWrap w:val="0"/>
            <w:vAlign w:val="center"/>
          </w:tcPr>
          <w:p w14:paraId="1A5BF13F">
            <w:pPr>
              <w:pStyle w:val="34"/>
              <w:bidi w:val="0"/>
              <w:rPr>
                <w:rFonts w:hint="default"/>
                <w:color w:val="auto"/>
                <w:lang w:val="en-US" w:eastAsia="zh-CN"/>
              </w:rPr>
            </w:pPr>
            <w:r>
              <w:rPr>
                <w:rFonts w:hint="eastAsia"/>
                <w:color w:val="auto"/>
                <w:sz w:val="21"/>
                <w:szCs w:val="21"/>
                <w:lang w:val="en-US" w:eastAsia="zh-CN"/>
              </w:rPr>
              <w:t>本工程伴生气进处理站处理达标后用于油田原油加热及外输</w:t>
            </w:r>
            <w:r>
              <w:rPr>
                <w:rFonts w:hint="eastAsia"/>
                <w:color w:val="auto"/>
                <w:lang w:val="en-US" w:eastAsia="zh-CN"/>
              </w:rPr>
              <w:t>，正常情况下不放空。</w:t>
            </w:r>
          </w:p>
        </w:tc>
        <w:tc>
          <w:tcPr>
            <w:tcW w:w="505" w:type="pct"/>
            <w:tcBorders>
              <w:tl2br w:val="nil"/>
              <w:tr2bl w:val="nil"/>
            </w:tcBorders>
            <w:noWrap w:val="0"/>
            <w:vAlign w:val="center"/>
          </w:tcPr>
          <w:p w14:paraId="1DFCBB66">
            <w:pPr>
              <w:pStyle w:val="34"/>
              <w:bidi w:val="0"/>
              <w:rPr>
                <w:rFonts w:hint="eastAsia"/>
                <w:color w:val="auto"/>
                <w:lang w:val="en-US" w:eastAsia="zh-CN"/>
              </w:rPr>
            </w:pPr>
            <w:r>
              <w:rPr>
                <w:rFonts w:hint="eastAsia"/>
                <w:color w:val="auto"/>
                <w:lang w:val="en-US" w:eastAsia="zh-CN"/>
              </w:rPr>
              <w:t>符合</w:t>
            </w:r>
          </w:p>
        </w:tc>
      </w:tr>
      <w:tr w14:paraId="13C8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60B12429">
            <w:pPr>
              <w:pStyle w:val="34"/>
              <w:bidi w:val="0"/>
              <w:rPr>
                <w:rFonts w:hint="eastAsia"/>
                <w:color w:val="auto"/>
                <w:lang w:val="en-US" w:eastAsia="zh-CN"/>
              </w:rPr>
            </w:pPr>
            <w:r>
              <w:rPr>
                <w:rFonts w:hint="eastAsia"/>
                <w:color w:val="auto"/>
                <w:lang w:val="en-US" w:eastAsia="zh-CN"/>
              </w:rPr>
              <w:t>3</w:t>
            </w:r>
          </w:p>
        </w:tc>
        <w:tc>
          <w:tcPr>
            <w:tcW w:w="2588" w:type="pct"/>
            <w:tcBorders>
              <w:tl2br w:val="nil"/>
              <w:tr2bl w:val="nil"/>
            </w:tcBorders>
            <w:noWrap w:val="0"/>
            <w:vAlign w:val="center"/>
          </w:tcPr>
          <w:p w14:paraId="4917FF4A">
            <w:pPr>
              <w:pStyle w:val="34"/>
              <w:bidi w:val="0"/>
              <w:rPr>
                <w:rFonts w:hint="eastAsia"/>
                <w:color w:val="auto"/>
                <w:lang w:val="en-US" w:eastAsia="zh-CN"/>
              </w:rPr>
            </w:pPr>
            <w:r>
              <w:rPr>
                <w:rFonts w:hint="eastAsia"/>
                <w:color w:val="auto"/>
                <w:lang w:val="en-US" w:eastAsia="zh-CN"/>
              </w:rPr>
              <w:t>持续深化工业污染防治。一是加强挥发性有机物（VOCs）污染治理，抓好VOCs和氮氧化物协同治理。重点推进石油开采、石油炼化、包装印刷、工业涂装等重点行业VOCs污染防治，完成VOCs减排任务。开展VOCs整治行动，严厉打击违法排污行为，对治理效果差、技术服务能力弱、运营管理水平低的治理单位，公布名单，实行联合惩戒，扶持培育VOCs治理和服务专业化规模化龙头企业。</w:t>
            </w:r>
          </w:p>
        </w:tc>
        <w:tc>
          <w:tcPr>
            <w:tcW w:w="1685" w:type="pct"/>
            <w:tcBorders>
              <w:tl2br w:val="nil"/>
              <w:tr2bl w:val="nil"/>
            </w:tcBorders>
            <w:noWrap w:val="0"/>
            <w:vAlign w:val="center"/>
          </w:tcPr>
          <w:p w14:paraId="5CB3F449">
            <w:pPr>
              <w:pStyle w:val="34"/>
              <w:bidi w:val="0"/>
              <w:rPr>
                <w:color w:val="auto"/>
              </w:rPr>
            </w:pPr>
            <w:r>
              <w:rPr>
                <w:rFonts w:hint="eastAsia"/>
                <w:color w:val="auto"/>
                <w:lang w:eastAsia="zh-CN"/>
              </w:rPr>
              <w:t>本工程</w:t>
            </w:r>
            <w:r>
              <w:rPr>
                <w:rFonts w:hint="default"/>
                <w:color w:val="auto"/>
              </w:rPr>
              <w:t>属于油气开采项目，项目采用密闭集输工艺，</w:t>
            </w:r>
            <w:r>
              <w:rPr>
                <w:rFonts w:hint="eastAsia"/>
                <w:color w:val="auto"/>
                <w:lang w:eastAsia="zh-CN"/>
              </w:rPr>
              <w:t>运营</w:t>
            </w:r>
            <w:r>
              <w:rPr>
                <w:rFonts w:hint="default"/>
                <w:color w:val="auto"/>
              </w:rPr>
              <w:t>期</w:t>
            </w:r>
            <w:r>
              <w:rPr>
                <w:rFonts w:hint="eastAsia"/>
                <w:color w:val="auto"/>
                <w:lang w:val="en-US" w:eastAsia="zh-CN"/>
              </w:rPr>
              <w:t>建设</w:t>
            </w:r>
            <w:r>
              <w:rPr>
                <w:rFonts w:hint="default"/>
                <w:color w:val="auto"/>
              </w:rPr>
              <w:t>单位会定期对井场、管线、站场、阀门等进行检查</w:t>
            </w:r>
            <w:r>
              <w:rPr>
                <w:rFonts w:hint="default"/>
                <w:color w:val="auto"/>
                <w:lang w:eastAsia="zh-CN"/>
              </w:rPr>
              <w:t>，</w:t>
            </w:r>
            <w:r>
              <w:rPr>
                <w:rFonts w:hint="default"/>
                <w:color w:val="auto"/>
              </w:rPr>
              <w:t>项目区无组织VOCs满足《陆上石油天然气开采工业大气污染物排放标准》（GB39728-2020）</w:t>
            </w:r>
            <w:r>
              <w:rPr>
                <w:rFonts w:hint="default"/>
                <w:color w:val="auto"/>
                <w:lang w:eastAsia="zh-CN"/>
              </w:rPr>
              <w:t>。</w:t>
            </w:r>
          </w:p>
        </w:tc>
        <w:tc>
          <w:tcPr>
            <w:tcW w:w="505" w:type="pct"/>
            <w:tcBorders>
              <w:tl2br w:val="nil"/>
              <w:tr2bl w:val="nil"/>
            </w:tcBorders>
            <w:noWrap w:val="0"/>
            <w:vAlign w:val="center"/>
          </w:tcPr>
          <w:p w14:paraId="123F364C">
            <w:pPr>
              <w:pStyle w:val="34"/>
              <w:bidi w:val="0"/>
              <w:rPr>
                <w:rFonts w:hint="eastAsia"/>
                <w:color w:val="auto"/>
                <w:lang w:val="en-US" w:eastAsia="zh-CN"/>
              </w:rPr>
            </w:pPr>
            <w:r>
              <w:rPr>
                <w:rFonts w:hint="eastAsia"/>
                <w:color w:val="auto"/>
                <w:lang w:val="en-US" w:eastAsia="zh-CN"/>
              </w:rPr>
              <w:t>符合</w:t>
            </w:r>
          </w:p>
        </w:tc>
      </w:tr>
      <w:tr w14:paraId="59AF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198CB840">
            <w:pPr>
              <w:pStyle w:val="34"/>
              <w:bidi w:val="0"/>
              <w:rPr>
                <w:rFonts w:hint="default"/>
                <w:color w:val="auto"/>
                <w:lang w:val="en-US" w:eastAsia="zh-CN"/>
              </w:rPr>
            </w:pPr>
            <w:r>
              <w:rPr>
                <w:rFonts w:hint="eastAsia"/>
                <w:color w:val="auto"/>
                <w:lang w:val="en-US" w:eastAsia="zh-CN"/>
              </w:rPr>
              <w:t>4</w:t>
            </w:r>
          </w:p>
        </w:tc>
        <w:tc>
          <w:tcPr>
            <w:tcW w:w="2588" w:type="pct"/>
            <w:tcBorders>
              <w:tl2br w:val="nil"/>
              <w:tr2bl w:val="nil"/>
            </w:tcBorders>
            <w:noWrap w:val="0"/>
            <w:vAlign w:val="center"/>
          </w:tcPr>
          <w:p w14:paraId="09F294C1">
            <w:pPr>
              <w:pStyle w:val="34"/>
              <w:bidi w:val="0"/>
              <w:rPr>
                <w:rFonts w:hint="eastAsia"/>
                <w:color w:val="auto"/>
                <w:lang w:val="en-US" w:eastAsia="zh-CN"/>
              </w:rPr>
            </w:pPr>
            <w:r>
              <w:rPr>
                <w:rFonts w:hint="eastAsia"/>
                <w:color w:val="auto"/>
                <w:lang w:val="en-US" w:eastAsia="zh-CN"/>
              </w:rPr>
              <w:t>加强油（气）资源开发集中区域土壤环境风险管控。以克拉玛依油田为重点，加强油气田废弃物的无害化处理和资源化利用。</w:t>
            </w:r>
          </w:p>
        </w:tc>
        <w:tc>
          <w:tcPr>
            <w:tcW w:w="1685" w:type="pct"/>
            <w:tcBorders>
              <w:tl2br w:val="nil"/>
              <w:tr2bl w:val="nil"/>
            </w:tcBorders>
            <w:noWrap w:val="0"/>
            <w:vAlign w:val="center"/>
          </w:tcPr>
          <w:p w14:paraId="36D90307">
            <w:pPr>
              <w:pStyle w:val="34"/>
              <w:bidi w:val="0"/>
              <w:rPr>
                <w:rFonts w:hint="default"/>
                <w:color w:val="auto"/>
                <w:lang w:val="en-US" w:eastAsia="zh-CN"/>
              </w:rPr>
            </w:pPr>
            <w:r>
              <w:rPr>
                <w:rFonts w:hint="eastAsia"/>
                <w:color w:val="auto"/>
                <w:lang w:val="en-US" w:eastAsia="zh-CN"/>
              </w:rPr>
              <w:t>项目产生的危险废物委托有资质的单位处置，并制定有危险废物管理计划，危险废物转移时执行危险废物转移联单制度。</w:t>
            </w:r>
          </w:p>
        </w:tc>
        <w:tc>
          <w:tcPr>
            <w:tcW w:w="505" w:type="pct"/>
            <w:tcBorders>
              <w:tl2br w:val="nil"/>
              <w:tr2bl w:val="nil"/>
            </w:tcBorders>
            <w:noWrap w:val="0"/>
            <w:vAlign w:val="center"/>
          </w:tcPr>
          <w:p w14:paraId="2494B56B">
            <w:pPr>
              <w:pStyle w:val="34"/>
              <w:bidi w:val="0"/>
              <w:rPr>
                <w:rFonts w:hint="default"/>
                <w:color w:val="auto"/>
                <w:lang w:val="en-US" w:eastAsia="zh-CN"/>
              </w:rPr>
            </w:pPr>
            <w:r>
              <w:rPr>
                <w:rFonts w:hint="eastAsia"/>
                <w:color w:val="auto"/>
                <w:lang w:val="en-US" w:eastAsia="zh-CN"/>
              </w:rPr>
              <w:t>符合</w:t>
            </w:r>
          </w:p>
        </w:tc>
      </w:tr>
      <w:tr w14:paraId="055A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6C1C6E3C">
            <w:pPr>
              <w:pStyle w:val="34"/>
              <w:bidi w:val="0"/>
              <w:rPr>
                <w:rFonts w:hint="default"/>
                <w:color w:val="auto"/>
                <w:lang w:val="en-US" w:eastAsia="zh-CN"/>
              </w:rPr>
            </w:pPr>
            <w:r>
              <w:rPr>
                <w:rFonts w:hint="eastAsia"/>
                <w:color w:val="auto"/>
                <w:lang w:val="en-US" w:eastAsia="zh-CN"/>
              </w:rPr>
              <w:t>5</w:t>
            </w:r>
          </w:p>
        </w:tc>
        <w:tc>
          <w:tcPr>
            <w:tcW w:w="2588" w:type="pct"/>
            <w:tcBorders>
              <w:tl2br w:val="nil"/>
              <w:tr2bl w:val="nil"/>
            </w:tcBorders>
            <w:noWrap w:val="0"/>
            <w:vAlign w:val="center"/>
          </w:tcPr>
          <w:p w14:paraId="70068020">
            <w:pPr>
              <w:pStyle w:val="34"/>
              <w:bidi w:val="0"/>
              <w:rPr>
                <w:rFonts w:hint="default"/>
                <w:color w:val="auto"/>
                <w:lang w:val="en-US" w:eastAsia="zh-CN"/>
              </w:rPr>
            </w:pPr>
            <w:r>
              <w:rPr>
                <w:rFonts w:hint="eastAsia"/>
                <w:color w:val="auto"/>
                <w:lang w:val="en-US" w:eastAsia="zh-CN"/>
              </w:rPr>
              <w:t>加强应急预案备案。严格按照应急预案管理规定，督促企业修编应急预案，不断强化企事业单位应急预案管理。</w:t>
            </w:r>
          </w:p>
        </w:tc>
        <w:tc>
          <w:tcPr>
            <w:tcW w:w="1685" w:type="pct"/>
            <w:tcBorders>
              <w:tl2br w:val="nil"/>
              <w:tr2bl w:val="nil"/>
            </w:tcBorders>
            <w:noWrap w:val="0"/>
            <w:vAlign w:val="center"/>
          </w:tcPr>
          <w:p w14:paraId="58C9FC68">
            <w:pPr>
              <w:pStyle w:val="34"/>
              <w:bidi w:val="0"/>
              <w:rPr>
                <w:color w:val="auto"/>
              </w:rPr>
            </w:pPr>
            <w:r>
              <w:rPr>
                <w:rFonts w:hint="default"/>
                <w:color w:val="auto"/>
                <w:lang w:val="en-US" w:eastAsia="zh-CN"/>
              </w:rPr>
              <w:t>建设单位制定有突发环境事件应急预案，后期进行修编并将</w:t>
            </w:r>
            <w:r>
              <w:rPr>
                <w:rFonts w:hint="eastAsia"/>
                <w:color w:val="auto"/>
                <w:lang w:val="en-US" w:eastAsia="zh-CN"/>
              </w:rPr>
              <w:t>本工程</w:t>
            </w:r>
            <w:r>
              <w:rPr>
                <w:rFonts w:hint="default"/>
                <w:color w:val="auto"/>
                <w:lang w:val="en-US" w:eastAsia="zh-CN"/>
              </w:rPr>
              <w:t>纳入应急预案体系中</w:t>
            </w:r>
            <w:r>
              <w:rPr>
                <w:rFonts w:hint="eastAsia"/>
                <w:color w:val="auto"/>
                <w:lang w:val="en-US" w:eastAsia="zh-CN"/>
              </w:rPr>
              <w:t>。</w:t>
            </w:r>
          </w:p>
        </w:tc>
        <w:tc>
          <w:tcPr>
            <w:tcW w:w="505" w:type="pct"/>
            <w:tcBorders>
              <w:tl2br w:val="nil"/>
              <w:tr2bl w:val="nil"/>
            </w:tcBorders>
            <w:noWrap w:val="0"/>
            <w:vAlign w:val="center"/>
          </w:tcPr>
          <w:p w14:paraId="6C41D2ED">
            <w:pPr>
              <w:pStyle w:val="34"/>
              <w:bidi w:val="0"/>
              <w:rPr>
                <w:rFonts w:hint="eastAsia"/>
                <w:color w:val="auto"/>
                <w:lang w:val="en-US" w:eastAsia="zh-CN"/>
              </w:rPr>
            </w:pPr>
            <w:r>
              <w:rPr>
                <w:rFonts w:hint="eastAsia"/>
                <w:color w:val="auto"/>
                <w:lang w:val="en-US" w:eastAsia="zh-CN"/>
              </w:rPr>
              <w:t>符合</w:t>
            </w:r>
          </w:p>
        </w:tc>
      </w:tr>
    </w:tbl>
    <w:p w14:paraId="0E6487E3">
      <w:pPr>
        <w:pStyle w:val="11"/>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eastAsia="宋体"/>
          <w:b/>
          <w:bCs/>
          <w:color w:val="auto"/>
          <w:sz w:val="24"/>
          <w:szCs w:val="24"/>
          <w:lang w:val="en-US" w:eastAsia="zh-CN"/>
        </w:rPr>
      </w:pPr>
      <w:r>
        <w:rPr>
          <w:rFonts w:hint="eastAsia" w:eastAsia="宋体"/>
          <w:b/>
          <w:bCs/>
          <w:color w:val="auto"/>
          <w:sz w:val="24"/>
          <w:szCs w:val="24"/>
          <w:lang w:val="en-US" w:eastAsia="zh-CN"/>
        </w:rPr>
        <w:t>（5）与《塔城地区生态环境保护“十四五”规划》符合性分析</w:t>
      </w:r>
    </w:p>
    <w:p w14:paraId="7CE0A1F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项目建设符合《塔城地区生态环境保护“十四五”规划》中相关要求，相符性分析详见表1.3-</w:t>
      </w:r>
      <w:r>
        <w:rPr>
          <w:rFonts w:hint="eastAsia"/>
          <w:color w:val="auto"/>
          <w:sz w:val="24"/>
          <w:szCs w:val="24"/>
          <w:lang w:val="en-US" w:eastAsia="zh-CN"/>
        </w:rPr>
        <w:t>9</w:t>
      </w:r>
      <w:r>
        <w:rPr>
          <w:rFonts w:hint="eastAsia" w:ascii="Times New Roman" w:hAnsi="Times New Roman" w:eastAsia="宋体"/>
          <w:color w:val="auto"/>
          <w:sz w:val="24"/>
          <w:szCs w:val="24"/>
          <w:lang w:val="en-US" w:eastAsia="zh-CN"/>
        </w:rPr>
        <w:t>。</w:t>
      </w:r>
    </w:p>
    <w:p w14:paraId="7DFBC3F1">
      <w:pPr>
        <w:pStyle w:val="43"/>
        <w:bidi w:val="0"/>
        <w:rPr>
          <w:rFonts w:hint="default"/>
          <w:color w:val="auto"/>
          <w:lang w:val="en-US" w:eastAsia="zh-CN"/>
        </w:rPr>
      </w:pPr>
      <w:r>
        <w:rPr>
          <w:rFonts w:hint="eastAsia"/>
          <w:color w:val="auto"/>
          <w:lang w:val="en-US" w:eastAsia="zh-CN"/>
        </w:rPr>
        <w:t>表1.3-9  项目与《塔城地区生态环境保护“十四五”规划》符合性分析</w:t>
      </w:r>
    </w:p>
    <w:tbl>
      <w:tblPr>
        <w:tblStyle w:val="27"/>
        <w:tblW w:w="4981" w:type="pct"/>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3900"/>
        <w:gridCol w:w="3357"/>
        <w:gridCol w:w="858"/>
      </w:tblGrid>
      <w:tr w14:paraId="05DF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0D693924">
            <w:pPr>
              <w:pStyle w:val="34"/>
              <w:bidi w:val="0"/>
              <w:rPr>
                <w:b/>
                <w:bCs/>
                <w:color w:val="auto"/>
              </w:rPr>
            </w:pPr>
            <w:r>
              <w:rPr>
                <w:b/>
                <w:bCs/>
                <w:color w:val="auto"/>
              </w:rPr>
              <w:t>序号</w:t>
            </w:r>
          </w:p>
        </w:tc>
        <w:tc>
          <w:tcPr>
            <w:tcW w:w="2296" w:type="pct"/>
            <w:tcBorders>
              <w:tl2br w:val="nil"/>
              <w:tr2bl w:val="nil"/>
            </w:tcBorders>
            <w:noWrap w:val="0"/>
            <w:vAlign w:val="center"/>
          </w:tcPr>
          <w:p w14:paraId="579F434A">
            <w:pPr>
              <w:pStyle w:val="34"/>
              <w:bidi w:val="0"/>
              <w:rPr>
                <w:b/>
                <w:bCs/>
                <w:color w:val="auto"/>
              </w:rPr>
            </w:pPr>
            <w:r>
              <w:rPr>
                <w:rFonts w:hint="eastAsia"/>
                <w:b/>
                <w:bCs/>
                <w:color w:val="auto"/>
                <w:lang w:val="en-US" w:eastAsia="zh-CN"/>
              </w:rPr>
              <w:t>规划中的相关</w:t>
            </w:r>
            <w:r>
              <w:rPr>
                <w:b/>
                <w:bCs/>
                <w:color w:val="auto"/>
              </w:rPr>
              <w:t>要求</w:t>
            </w:r>
          </w:p>
        </w:tc>
        <w:tc>
          <w:tcPr>
            <w:tcW w:w="1977" w:type="pct"/>
            <w:tcBorders>
              <w:tl2br w:val="nil"/>
              <w:tr2bl w:val="nil"/>
            </w:tcBorders>
            <w:noWrap w:val="0"/>
            <w:vAlign w:val="center"/>
          </w:tcPr>
          <w:p w14:paraId="057D2E38">
            <w:pPr>
              <w:pStyle w:val="34"/>
              <w:bidi w:val="0"/>
              <w:rPr>
                <w:rFonts w:hint="eastAsia"/>
                <w:b/>
                <w:bCs/>
                <w:color w:val="auto"/>
                <w:lang w:val="en-US" w:eastAsia="zh-CN"/>
              </w:rPr>
            </w:pPr>
            <w:r>
              <w:rPr>
                <w:rFonts w:hint="eastAsia"/>
                <w:b/>
                <w:bCs/>
                <w:color w:val="auto"/>
                <w:lang w:eastAsia="zh-CN"/>
              </w:rPr>
              <w:t>本工程</w:t>
            </w:r>
            <w:r>
              <w:rPr>
                <w:rFonts w:hint="eastAsia"/>
                <w:b/>
                <w:bCs/>
                <w:color w:val="auto"/>
                <w:lang w:val="en-US" w:eastAsia="zh-CN"/>
              </w:rPr>
              <w:t>情况</w:t>
            </w:r>
          </w:p>
        </w:tc>
        <w:tc>
          <w:tcPr>
            <w:tcW w:w="505" w:type="pct"/>
            <w:tcBorders>
              <w:tl2br w:val="nil"/>
              <w:tr2bl w:val="nil"/>
            </w:tcBorders>
            <w:noWrap w:val="0"/>
            <w:vAlign w:val="center"/>
          </w:tcPr>
          <w:p w14:paraId="05CEE72D">
            <w:pPr>
              <w:pStyle w:val="34"/>
              <w:bidi w:val="0"/>
              <w:rPr>
                <w:b/>
                <w:bCs/>
                <w:color w:val="auto"/>
              </w:rPr>
            </w:pPr>
            <w:r>
              <w:rPr>
                <w:b/>
                <w:bCs/>
                <w:color w:val="auto"/>
              </w:rPr>
              <w:t>相符性</w:t>
            </w:r>
          </w:p>
        </w:tc>
      </w:tr>
      <w:tr w14:paraId="0A9D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3A126EBD">
            <w:pPr>
              <w:pStyle w:val="34"/>
              <w:bidi w:val="0"/>
              <w:rPr>
                <w:rFonts w:hint="eastAsia"/>
                <w:color w:val="auto"/>
                <w:lang w:val="en-US" w:eastAsia="zh-CN"/>
              </w:rPr>
            </w:pPr>
            <w:r>
              <w:rPr>
                <w:rFonts w:hint="eastAsia"/>
                <w:color w:val="auto"/>
                <w:lang w:val="en-US" w:eastAsia="zh-CN"/>
              </w:rPr>
              <w:t>1</w:t>
            </w:r>
          </w:p>
        </w:tc>
        <w:tc>
          <w:tcPr>
            <w:tcW w:w="2296" w:type="pct"/>
            <w:tcBorders>
              <w:tl2br w:val="nil"/>
              <w:tr2bl w:val="nil"/>
            </w:tcBorders>
            <w:noWrap w:val="0"/>
            <w:vAlign w:val="center"/>
          </w:tcPr>
          <w:p w14:paraId="57F43643">
            <w:pPr>
              <w:pStyle w:val="34"/>
              <w:bidi w:val="0"/>
              <w:rPr>
                <w:rFonts w:hint="eastAsia"/>
                <w:color w:val="auto"/>
                <w:lang w:val="en-US" w:eastAsia="zh-CN"/>
              </w:rPr>
            </w:pPr>
            <w:r>
              <w:rPr>
                <w:rFonts w:hint="eastAsia"/>
                <w:color w:val="auto"/>
                <w:lang w:val="en-US" w:eastAsia="zh-CN"/>
              </w:rPr>
              <w:t>严格环境准入要求。坚决遏制“两高”项目盲目发展，新改扩建项目实施更严格的污染物排放总量控制要求，所需二氧化硫、氮氧化物和</w:t>
            </w:r>
            <w:r>
              <w:rPr>
                <w:rFonts w:hint="default"/>
                <w:color w:val="auto"/>
                <w:lang w:val="en-US" w:eastAsia="zh-CN"/>
              </w:rPr>
              <w:t>VOCs</w:t>
            </w:r>
            <w:r>
              <w:rPr>
                <w:rFonts w:hint="eastAsia"/>
                <w:color w:val="auto"/>
                <w:lang w:val="en-US" w:eastAsia="zh-CN"/>
              </w:rPr>
              <w:t>排放指标进行减量替代，涉及大宗物料运输的，采用清洁运输方式。</w:t>
            </w:r>
          </w:p>
        </w:tc>
        <w:tc>
          <w:tcPr>
            <w:tcW w:w="1977" w:type="pct"/>
            <w:tcBorders>
              <w:tl2br w:val="nil"/>
              <w:tr2bl w:val="nil"/>
            </w:tcBorders>
            <w:noWrap w:val="0"/>
            <w:vAlign w:val="center"/>
          </w:tcPr>
          <w:p w14:paraId="7C6C25F1">
            <w:pPr>
              <w:pStyle w:val="34"/>
              <w:bidi w:val="0"/>
              <w:rPr>
                <w:color w:val="auto"/>
              </w:rPr>
            </w:pPr>
            <w:r>
              <w:rPr>
                <w:rFonts w:hint="eastAsia"/>
                <w:color w:val="auto"/>
                <w:lang w:val="en-US" w:eastAsia="zh-CN"/>
              </w:rPr>
              <w:t>本工程不属于“高污染、高环境风险产品”的工业项目；不涉及二氧化硫、氮氧化物排放指标和大宗物料运输，新鲜水消耗较少，不会突破区域资源利用上线，符合塔城地区和布克赛尔蒙古自治县生态环境一般管控单元管控要求。</w:t>
            </w:r>
          </w:p>
        </w:tc>
        <w:tc>
          <w:tcPr>
            <w:tcW w:w="505" w:type="pct"/>
            <w:tcBorders>
              <w:tl2br w:val="nil"/>
              <w:tr2bl w:val="nil"/>
            </w:tcBorders>
            <w:noWrap w:val="0"/>
            <w:vAlign w:val="center"/>
          </w:tcPr>
          <w:p w14:paraId="5426A457">
            <w:pPr>
              <w:pStyle w:val="34"/>
              <w:bidi w:val="0"/>
              <w:rPr>
                <w:rFonts w:hint="eastAsia"/>
                <w:color w:val="auto"/>
                <w:lang w:val="en-US" w:eastAsia="zh-CN"/>
              </w:rPr>
            </w:pPr>
            <w:r>
              <w:rPr>
                <w:rFonts w:hint="eastAsia"/>
                <w:color w:val="auto"/>
                <w:lang w:val="en-US" w:eastAsia="zh-CN"/>
              </w:rPr>
              <w:t>符合</w:t>
            </w:r>
          </w:p>
        </w:tc>
      </w:tr>
      <w:tr w14:paraId="4FB9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0F1DBAE8">
            <w:pPr>
              <w:pStyle w:val="34"/>
              <w:bidi w:val="0"/>
              <w:rPr>
                <w:rFonts w:hint="default"/>
                <w:color w:val="auto"/>
                <w:lang w:val="en-US" w:eastAsia="zh-CN"/>
              </w:rPr>
            </w:pPr>
            <w:r>
              <w:rPr>
                <w:rFonts w:hint="eastAsia"/>
                <w:color w:val="auto"/>
                <w:lang w:val="en-US" w:eastAsia="zh-CN"/>
              </w:rPr>
              <w:t>2</w:t>
            </w:r>
          </w:p>
        </w:tc>
        <w:tc>
          <w:tcPr>
            <w:tcW w:w="2296" w:type="pct"/>
            <w:tcBorders>
              <w:tl2br w:val="nil"/>
              <w:tr2bl w:val="nil"/>
            </w:tcBorders>
            <w:noWrap w:val="0"/>
            <w:vAlign w:val="center"/>
          </w:tcPr>
          <w:p w14:paraId="171C8F29">
            <w:pPr>
              <w:pStyle w:val="34"/>
              <w:bidi w:val="0"/>
              <w:rPr>
                <w:rFonts w:hint="eastAsia"/>
                <w:color w:val="auto"/>
                <w:lang w:val="en-US" w:eastAsia="zh-CN"/>
              </w:rPr>
            </w:pPr>
            <w:r>
              <w:rPr>
                <w:rFonts w:hint="eastAsia"/>
                <w:color w:val="auto"/>
                <w:lang w:val="en-US" w:eastAsia="zh-CN"/>
              </w:rPr>
              <w:t>新（改、扩）建涉及有毒有害物质可能造成土壤污染的建设项目，提出并落实土壤和地下水污染防治要求。</w:t>
            </w:r>
          </w:p>
        </w:tc>
        <w:tc>
          <w:tcPr>
            <w:tcW w:w="1977" w:type="pct"/>
            <w:tcBorders>
              <w:tl2br w:val="nil"/>
              <w:tr2bl w:val="nil"/>
            </w:tcBorders>
            <w:noWrap w:val="0"/>
            <w:vAlign w:val="center"/>
          </w:tcPr>
          <w:p w14:paraId="717C3A96">
            <w:pPr>
              <w:pStyle w:val="34"/>
              <w:bidi w:val="0"/>
              <w:rPr>
                <w:color w:val="auto"/>
              </w:rPr>
            </w:pPr>
            <w:r>
              <w:rPr>
                <w:rFonts w:hint="eastAsia"/>
                <w:color w:val="auto"/>
                <w:lang w:val="en-US" w:eastAsia="zh-CN"/>
              </w:rPr>
              <w:t>施工期各类废水、固体废物均得到妥善处置；运营期废气、噪声可实现达标排放，废水、固体废物均得到妥善处置。</w:t>
            </w:r>
          </w:p>
          <w:p w14:paraId="5FF00C59">
            <w:pPr>
              <w:pStyle w:val="34"/>
              <w:bidi w:val="0"/>
              <w:rPr>
                <w:color w:val="auto"/>
              </w:rPr>
            </w:pPr>
            <w:r>
              <w:rPr>
                <w:rFonts w:hint="eastAsia"/>
                <w:color w:val="auto"/>
                <w:lang w:val="en-US" w:eastAsia="zh-CN"/>
              </w:rPr>
              <w:t>正常工况下，不会向土壤排放有毒有害物质及含量超标的污水、污泥。</w:t>
            </w:r>
          </w:p>
        </w:tc>
        <w:tc>
          <w:tcPr>
            <w:tcW w:w="505" w:type="pct"/>
            <w:tcBorders>
              <w:tl2br w:val="nil"/>
              <w:tr2bl w:val="nil"/>
            </w:tcBorders>
            <w:noWrap w:val="0"/>
            <w:vAlign w:val="center"/>
          </w:tcPr>
          <w:p w14:paraId="4E92EC48">
            <w:pPr>
              <w:pStyle w:val="34"/>
              <w:bidi w:val="0"/>
              <w:rPr>
                <w:color w:val="auto"/>
              </w:rPr>
            </w:pPr>
            <w:r>
              <w:rPr>
                <w:rFonts w:hint="eastAsia"/>
                <w:color w:val="auto"/>
                <w:lang w:val="en-US" w:eastAsia="zh-CN"/>
              </w:rPr>
              <w:t>符合</w:t>
            </w:r>
          </w:p>
        </w:tc>
      </w:tr>
      <w:tr w14:paraId="04F3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525EF764">
            <w:pPr>
              <w:pStyle w:val="34"/>
              <w:bidi w:val="0"/>
              <w:rPr>
                <w:rFonts w:hint="default"/>
                <w:color w:val="auto"/>
                <w:lang w:val="en-US" w:eastAsia="zh-CN"/>
              </w:rPr>
            </w:pPr>
            <w:r>
              <w:rPr>
                <w:rFonts w:hint="eastAsia"/>
                <w:color w:val="auto"/>
                <w:lang w:val="en-US" w:eastAsia="zh-CN"/>
              </w:rPr>
              <w:t>3</w:t>
            </w:r>
          </w:p>
        </w:tc>
        <w:tc>
          <w:tcPr>
            <w:tcW w:w="2296" w:type="pct"/>
            <w:tcBorders>
              <w:tl2br w:val="nil"/>
              <w:tr2bl w:val="nil"/>
            </w:tcBorders>
            <w:noWrap w:val="0"/>
            <w:vAlign w:val="center"/>
          </w:tcPr>
          <w:p w14:paraId="39660F8E">
            <w:pPr>
              <w:pStyle w:val="34"/>
              <w:bidi w:val="0"/>
              <w:rPr>
                <w:rFonts w:hint="eastAsia"/>
                <w:color w:val="auto"/>
                <w:lang w:val="en-US" w:eastAsia="zh-CN"/>
              </w:rPr>
            </w:pPr>
            <w:r>
              <w:rPr>
                <w:rFonts w:hint="eastAsia"/>
                <w:color w:val="auto"/>
                <w:lang w:val="en-US" w:eastAsia="zh-CN"/>
              </w:rPr>
              <w:t>持续推进最严格水资源管理制度落实，严守水资源开发利用总量控制、用水效率控制和水功能区限制纳污“三条红线”。</w:t>
            </w:r>
          </w:p>
        </w:tc>
        <w:tc>
          <w:tcPr>
            <w:tcW w:w="1977" w:type="pct"/>
            <w:tcBorders>
              <w:tl2br w:val="nil"/>
              <w:tr2bl w:val="nil"/>
            </w:tcBorders>
            <w:noWrap w:val="0"/>
            <w:vAlign w:val="center"/>
          </w:tcPr>
          <w:p w14:paraId="485AC926">
            <w:pPr>
              <w:pStyle w:val="34"/>
              <w:bidi w:val="0"/>
              <w:rPr>
                <w:color w:val="auto"/>
              </w:rPr>
            </w:pPr>
            <w:r>
              <w:rPr>
                <w:rFonts w:hint="eastAsia"/>
                <w:color w:val="auto"/>
                <w:lang w:val="en-US" w:eastAsia="zh-CN"/>
              </w:rPr>
              <w:t>施工期仅消耗少量新鲜水，用量在区域可承受范围内，不会突破区域资源利用上线。</w:t>
            </w:r>
          </w:p>
        </w:tc>
        <w:tc>
          <w:tcPr>
            <w:tcW w:w="505" w:type="pct"/>
            <w:tcBorders>
              <w:tl2br w:val="nil"/>
              <w:tr2bl w:val="nil"/>
            </w:tcBorders>
            <w:noWrap w:val="0"/>
            <w:vAlign w:val="center"/>
          </w:tcPr>
          <w:p w14:paraId="65EBBC98">
            <w:pPr>
              <w:pStyle w:val="34"/>
              <w:bidi w:val="0"/>
              <w:rPr>
                <w:color w:val="auto"/>
              </w:rPr>
            </w:pPr>
            <w:r>
              <w:rPr>
                <w:rFonts w:hint="eastAsia"/>
                <w:color w:val="auto"/>
                <w:lang w:val="en-US" w:eastAsia="zh-CN"/>
              </w:rPr>
              <w:t>符合</w:t>
            </w:r>
          </w:p>
        </w:tc>
      </w:tr>
      <w:tr w14:paraId="075D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17924039">
            <w:pPr>
              <w:pStyle w:val="34"/>
              <w:bidi w:val="0"/>
              <w:rPr>
                <w:rFonts w:hint="default"/>
                <w:color w:val="auto"/>
                <w:lang w:val="en-US" w:eastAsia="zh-CN"/>
              </w:rPr>
            </w:pPr>
            <w:r>
              <w:rPr>
                <w:rFonts w:hint="eastAsia"/>
                <w:color w:val="auto"/>
                <w:lang w:val="en-US" w:eastAsia="zh-CN"/>
              </w:rPr>
              <w:t>4</w:t>
            </w:r>
          </w:p>
        </w:tc>
        <w:tc>
          <w:tcPr>
            <w:tcW w:w="2296" w:type="pct"/>
            <w:tcBorders>
              <w:tl2br w:val="nil"/>
              <w:tr2bl w:val="nil"/>
            </w:tcBorders>
            <w:noWrap w:val="0"/>
            <w:vAlign w:val="center"/>
          </w:tcPr>
          <w:p w14:paraId="3C26822D">
            <w:pPr>
              <w:pStyle w:val="34"/>
              <w:bidi w:val="0"/>
              <w:rPr>
                <w:rFonts w:hint="eastAsia"/>
                <w:color w:val="auto"/>
                <w:lang w:val="en-US" w:eastAsia="zh-CN"/>
              </w:rPr>
            </w:pPr>
            <w:r>
              <w:rPr>
                <w:rFonts w:hint="eastAsia"/>
                <w:color w:val="auto"/>
                <w:lang w:val="en-US" w:eastAsia="zh-CN"/>
              </w:rPr>
              <w:t>以水资源承载能力和“三条红线”控制指标为约束，统筹考虑“三生”用水，优化配置水资源，保障重要河湖生态用水。对塔城盆地地下水超采区域，严格控制取用水总量，实施退地还水，从严加强各类规划和建设项目的水资源论证报告审批和跟踪、地下水开发利用以及取水许可的监督管理，逐步修复水生态。</w:t>
            </w:r>
          </w:p>
        </w:tc>
        <w:tc>
          <w:tcPr>
            <w:tcW w:w="1977" w:type="pct"/>
            <w:tcBorders>
              <w:tl2br w:val="nil"/>
              <w:tr2bl w:val="nil"/>
            </w:tcBorders>
            <w:noWrap w:val="0"/>
            <w:vAlign w:val="center"/>
          </w:tcPr>
          <w:p w14:paraId="62023831">
            <w:pPr>
              <w:pStyle w:val="34"/>
              <w:bidi w:val="0"/>
              <w:rPr>
                <w:color w:val="auto"/>
              </w:rPr>
            </w:pPr>
            <w:r>
              <w:rPr>
                <w:rFonts w:hint="eastAsia"/>
                <w:color w:val="auto"/>
                <w:lang w:val="en-US" w:eastAsia="zh-CN"/>
              </w:rPr>
              <w:t>施工期使用的新鲜水由罐车从市区拉运至项目区，不开采地下水。</w:t>
            </w:r>
          </w:p>
          <w:p w14:paraId="1F4BA9AE">
            <w:pPr>
              <w:pStyle w:val="34"/>
              <w:bidi w:val="0"/>
              <w:rPr>
                <w:color w:val="auto"/>
              </w:rPr>
            </w:pPr>
            <w:r>
              <w:rPr>
                <w:rFonts w:hint="eastAsia"/>
                <w:color w:val="auto"/>
                <w:lang w:val="en-US" w:eastAsia="zh-CN"/>
              </w:rPr>
              <w:t>运营期无废水产生，管线输送介质为油水混合物，正常情况下不会对地下水环境产生不利影响。</w:t>
            </w:r>
          </w:p>
        </w:tc>
        <w:tc>
          <w:tcPr>
            <w:tcW w:w="505" w:type="pct"/>
            <w:tcBorders>
              <w:tl2br w:val="nil"/>
              <w:tr2bl w:val="nil"/>
            </w:tcBorders>
            <w:noWrap w:val="0"/>
            <w:vAlign w:val="center"/>
          </w:tcPr>
          <w:p w14:paraId="3762EC19">
            <w:pPr>
              <w:pStyle w:val="34"/>
              <w:bidi w:val="0"/>
              <w:rPr>
                <w:color w:val="auto"/>
              </w:rPr>
            </w:pPr>
            <w:r>
              <w:rPr>
                <w:rFonts w:hint="eastAsia"/>
                <w:color w:val="auto"/>
                <w:lang w:val="en-US" w:eastAsia="zh-CN"/>
              </w:rPr>
              <w:t>符合</w:t>
            </w:r>
          </w:p>
        </w:tc>
      </w:tr>
    </w:tbl>
    <w:p w14:paraId="0449FEB7">
      <w:pPr>
        <w:pStyle w:val="11"/>
        <w:keepNext w:val="0"/>
        <w:keepLines w:val="0"/>
        <w:pageBreakBefore w:val="0"/>
        <w:widowControl/>
        <w:kinsoku/>
        <w:wordWrap/>
        <w:overflowPunct/>
        <w:topLinePunct w:val="0"/>
        <w:autoSpaceDE/>
        <w:autoSpaceDN/>
        <w:bidi w:val="0"/>
        <w:adjustRightInd/>
        <w:snapToGrid/>
        <w:spacing w:line="360" w:lineRule="auto"/>
        <w:textAlignment w:val="auto"/>
        <w:rPr>
          <w:b/>
          <w:bCs/>
          <w:color w:val="auto"/>
          <w:sz w:val="24"/>
          <w:szCs w:val="24"/>
        </w:rPr>
      </w:pPr>
      <w:r>
        <w:rPr>
          <w:rFonts w:hint="eastAsia"/>
          <w:b/>
          <w:bCs/>
          <w:color w:val="auto"/>
          <w:sz w:val="24"/>
          <w:szCs w:val="28"/>
          <w:lang w:eastAsia="zh-CN"/>
        </w:rPr>
        <w:t>（</w:t>
      </w:r>
      <w:r>
        <w:rPr>
          <w:rFonts w:hint="eastAsia"/>
          <w:b/>
          <w:bCs/>
          <w:color w:val="auto"/>
          <w:sz w:val="24"/>
          <w:szCs w:val="28"/>
          <w:lang w:val="en-US" w:eastAsia="zh-CN"/>
        </w:rPr>
        <w:t>6</w:t>
      </w:r>
      <w:r>
        <w:rPr>
          <w:rFonts w:hint="eastAsia"/>
          <w:b/>
          <w:bCs/>
          <w:color w:val="auto"/>
          <w:sz w:val="24"/>
          <w:szCs w:val="28"/>
          <w:lang w:eastAsia="zh-CN"/>
        </w:rPr>
        <w:t>）</w:t>
      </w:r>
      <w:r>
        <w:rPr>
          <w:rFonts w:hint="eastAsia"/>
          <w:b/>
          <w:bCs/>
          <w:color w:val="auto"/>
          <w:sz w:val="24"/>
          <w:szCs w:val="28"/>
          <w:lang w:val="en-US" w:eastAsia="zh-CN"/>
        </w:rPr>
        <w:t>与《新疆油田公司“十四五”发展规划》及规划环评符合性分析</w:t>
      </w:r>
    </w:p>
    <w:p w14:paraId="7A161944">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①与《新疆油田公司“十四五”发展规划》符合性分析</w:t>
      </w:r>
    </w:p>
    <w:p w14:paraId="4CF2E1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为满足油气田产能建设和重大开发试验需求，满足已建系统安全平稳运行、提质增效需求，促进传统生产向精益生产转变，助力安全、环保、节能上台阶，中国石油新疆油田分公司于2020年11月编制了《新疆油田公</w:t>
      </w:r>
      <w:r>
        <w:rPr>
          <w:rFonts w:hint="eastAsia" w:ascii="宋体" w:hAnsi="宋体" w:eastAsia="宋体" w:cs="宋体"/>
          <w:color w:val="auto"/>
          <w:sz w:val="24"/>
          <w:szCs w:val="28"/>
        </w:rPr>
        <w:t>司“十四五”</w:t>
      </w:r>
      <w:r>
        <w:rPr>
          <w:color w:val="auto"/>
          <w:sz w:val="24"/>
          <w:szCs w:val="28"/>
        </w:rPr>
        <w:t>地面工程发展规划》。规划总体部署包括五大重点工程：玛湖500万吨上产工程、吉木萨尔页岩油建产工程、南缘建产工程、老区千万吨稳产工程（稠油400万吨稳产工程、常规稀油稳产工程）和天然气加快发展工程。</w:t>
      </w:r>
      <w:r>
        <w:rPr>
          <w:rFonts w:hint="eastAsia"/>
          <w:color w:val="auto"/>
          <w:sz w:val="24"/>
          <w:szCs w:val="28"/>
          <w:lang w:eastAsia="zh-CN"/>
        </w:rPr>
        <w:t>本工程</w:t>
      </w:r>
      <w:r>
        <w:rPr>
          <w:color w:val="auto"/>
          <w:sz w:val="24"/>
          <w:szCs w:val="28"/>
        </w:rPr>
        <w:t>属于</w:t>
      </w:r>
      <w:r>
        <w:rPr>
          <w:rFonts w:hint="eastAsia"/>
          <w:color w:val="auto"/>
          <w:sz w:val="24"/>
          <w:szCs w:val="28"/>
          <w:lang w:val="en-US" w:eastAsia="zh-CN"/>
        </w:rPr>
        <w:t>稠油老区稳产</w:t>
      </w:r>
      <w:r>
        <w:rPr>
          <w:color w:val="auto"/>
          <w:sz w:val="24"/>
          <w:szCs w:val="28"/>
        </w:rPr>
        <w:t>工程</w:t>
      </w:r>
      <w:r>
        <w:rPr>
          <w:rFonts w:hint="eastAsia"/>
          <w:color w:val="auto"/>
          <w:sz w:val="24"/>
          <w:szCs w:val="28"/>
          <w:lang w:eastAsia="zh-CN"/>
        </w:rPr>
        <w:t>，</w:t>
      </w:r>
      <w:r>
        <w:rPr>
          <w:rFonts w:hint="eastAsia"/>
          <w:color w:val="auto"/>
          <w:sz w:val="24"/>
          <w:szCs w:val="28"/>
          <w:lang w:val="en-US" w:eastAsia="zh-CN"/>
        </w:rPr>
        <w:t>符合规划要求</w:t>
      </w:r>
      <w:r>
        <w:rPr>
          <w:color w:val="auto"/>
          <w:sz w:val="24"/>
          <w:szCs w:val="28"/>
        </w:rPr>
        <w:t>。</w:t>
      </w:r>
    </w:p>
    <w:p w14:paraId="21B430B5">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②与《新疆油田公司“十四五”发展规划环境影响报告书》审查意见的符合性分析</w:t>
      </w:r>
    </w:p>
    <w:p w14:paraId="61343A7A">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olor w:val="auto"/>
          <w:sz w:val="24"/>
          <w:szCs w:val="28"/>
          <w:lang w:val="en-US" w:eastAsia="zh-CN"/>
        </w:rPr>
        <w:t>《新疆油田公司“十四五”发展规划环境影响报告书》于2022年12月1日取得新疆维吾尔自治区生态环境厅的审查意</w:t>
      </w:r>
      <w:r>
        <w:rPr>
          <w:rFonts w:hint="default" w:ascii="Times New Roman" w:hAnsi="Times New Roman" w:cs="Times New Roman"/>
          <w:color w:val="auto"/>
          <w:sz w:val="24"/>
          <w:szCs w:val="28"/>
          <w:lang w:val="en-US" w:eastAsia="zh-CN"/>
        </w:rPr>
        <w:t>见（新环审</w:t>
      </w:r>
      <w:r>
        <w:rPr>
          <w:rFonts w:hint="default" w:ascii="Times New Roman" w:hAnsi="Times New Roman" w:eastAsia="宋体" w:cs="Times New Roman"/>
          <w:color w:val="auto"/>
          <w:sz w:val="24"/>
          <w:szCs w:val="28"/>
          <w:lang w:val="en-US" w:eastAsia="zh-CN"/>
        </w:rPr>
        <w:t>〔2022〕252号</w:t>
      </w:r>
      <w:r>
        <w:rPr>
          <w:rFonts w:hint="default" w:ascii="Times New Roman" w:hAnsi="Times New Roman" w:cs="Times New Roman"/>
          <w:color w:val="auto"/>
          <w:sz w:val="24"/>
          <w:szCs w:val="28"/>
          <w:lang w:val="en-US" w:eastAsia="zh-CN"/>
        </w:rPr>
        <w:t>）</w:t>
      </w:r>
      <w:r>
        <w:rPr>
          <w:rFonts w:hint="eastAsia" w:ascii="Times New Roman" w:hAnsi="Times New Roman" w:cs="Times New Roman"/>
          <w:color w:val="auto"/>
          <w:sz w:val="24"/>
          <w:szCs w:val="28"/>
          <w:lang w:val="en-US" w:eastAsia="zh-CN"/>
        </w:rPr>
        <w:t>。项目与</w:t>
      </w:r>
      <w:r>
        <w:rPr>
          <w:rFonts w:hint="default" w:ascii="Times New Roman" w:hAnsi="Times New Roman" w:cs="Times New Roman"/>
          <w:color w:val="auto"/>
          <w:sz w:val="24"/>
          <w:szCs w:val="28"/>
          <w:lang w:val="en-US" w:eastAsia="zh-CN"/>
        </w:rPr>
        <w:t>审查意见的符合性分析</w:t>
      </w:r>
      <w:r>
        <w:rPr>
          <w:rFonts w:hint="eastAsia" w:ascii="Times New Roman" w:hAnsi="Times New Roman" w:cs="Times New Roman"/>
          <w:color w:val="auto"/>
          <w:sz w:val="24"/>
          <w:szCs w:val="28"/>
          <w:lang w:val="en-US" w:eastAsia="zh-CN"/>
        </w:rPr>
        <w:t>见表</w:t>
      </w:r>
      <w:r>
        <w:rPr>
          <w:rFonts w:hint="eastAsia" w:cs="Times New Roman"/>
          <w:color w:val="auto"/>
          <w:sz w:val="24"/>
          <w:szCs w:val="28"/>
          <w:lang w:val="en-US" w:eastAsia="zh-CN"/>
        </w:rPr>
        <w:t>1.3</w:t>
      </w:r>
      <w:r>
        <w:rPr>
          <w:rFonts w:hint="eastAsia" w:ascii="Times New Roman" w:hAnsi="Times New Roman" w:cs="Times New Roman"/>
          <w:color w:val="auto"/>
          <w:sz w:val="24"/>
          <w:szCs w:val="28"/>
          <w:lang w:val="en-US" w:eastAsia="zh-CN"/>
        </w:rPr>
        <w:t>-</w:t>
      </w:r>
      <w:r>
        <w:rPr>
          <w:rFonts w:hint="eastAsia" w:cs="Times New Roman"/>
          <w:color w:val="auto"/>
          <w:sz w:val="24"/>
          <w:szCs w:val="28"/>
          <w:lang w:val="en-US" w:eastAsia="zh-CN"/>
        </w:rPr>
        <w:t>10</w:t>
      </w:r>
      <w:r>
        <w:rPr>
          <w:rFonts w:hint="eastAsia" w:ascii="Times New Roman" w:hAnsi="Times New Roman" w:cs="Times New Roman"/>
          <w:color w:val="auto"/>
          <w:sz w:val="24"/>
          <w:szCs w:val="28"/>
          <w:lang w:val="en-US" w:eastAsia="zh-CN"/>
        </w:rPr>
        <w:t>。</w:t>
      </w:r>
    </w:p>
    <w:p w14:paraId="5D1C810E">
      <w:pPr>
        <w:pStyle w:val="43"/>
        <w:bidi w:val="0"/>
        <w:rPr>
          <w:rFonts w:hint="default" w:eastAsia="宋体"/>
          <w:color w:val="auto"/>
          <w:lang w:val="en-US" w:eastAsia="zh-CN"/>
        </w:rPr>
      </w:pPr>
      <w:r>
        <w:rPr>
          <w:rFonts w:hint="eastAsia" w:eastAsia="宋体"/>
          <w:color w:val="auto"/>
          <w:lang w:val="en-US" w:eastAsia="zh-CN"/>
        </w:rPr>
        <w:t>表1.3-1</w:t>
      </w:r>
      <w:r>
        <w:rPr>
          <w:rFonts w:hint="eastAsia"/>
          <w:color w:val="auto"/>
          <w:lang w:val="en-US" w:eastAsia="zh-CN"/>
        </w:rPr>
        <w:t>0</w:t>
      </w:r>
      <w:r>
        <w:rPr>
          <w:rFonts w:hint="eastAsia" w:eastAsia="宋体"/>
          <w:color w:val="auto"/>
          <w:lang w:val="en-US" w:eastAsia="zh-CN"/>
        </w:rPr>
        <w:t xml:space="preserve">  与《新疆油田公司“十四五”发展规划环境影响报告书》审查意见的符合性分析表</w:t>
      </w:r>
    </w:p>
    <w:tbl>
      <w:tblPr>
        <w:tblStyle w:val="27"/>
        <w:tblW w:w="4981" w:type="pct"/>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5160"/>
        <w:gridCol w:w="2097"/>
        <w:gridCol w:w="858"/>
      </w:tblGrid>
      <w:tr w14:paraId="73C1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1B4FE8B0">
            <w:pPr>
              <w:pStyle w:val="34"/>
              <w:bidi w:val="0"/>
              <w:rPr>
                <w:b/>
                <w:bCs/>
                <w:color w:val="auto"/>
              </w:rPr>
            </w:pPr>
            <w:r>
              <w:rPr>
                <w:b/>
                <w:bCs/>
                <w:color w:val="auto"/>
              </w:rPr>
              <w:t>序号</w:t>
            </w:r>
          </w:p>
        </w:tc>
        <w:tc>
          <w:tcPr>
            <w:tcW w:w="3038" w:type="pct"/>
            <w:tcBorders>
              <w:tl2br w:val="nil"/>
              <w:tr2bl w:val="nil"/>
            </w:tcBorders>
            <w:noWrap w:val="0"/>
            <w:vAlign w:val="center"/>
          </w:tcPr>
          <w:p w14:paraId="624929B0">
            <w:pPr>
              <w:pStyle w:val="34"/>
              <w:bidi w:val="0"/>
              <w:rPr>
                <w:b/>
                <w:bCs/>
                <w:color w:val="auto"/>
              </w:rPr>
            </w:pPr>
            <w:r>
              <w:rPr>
                <w:rFonts w:hint="eastAsia"/>
                <w:b/>
                <w:bCs/>
                <w:color w:val="auto"/>
                <w:lang w:val="en-US" w:eastAsia="zh-CN"/>
              </w:rPr>
              <w:t>规划中的相关</w:t>
            </w:r>
            <w:r>
              <w:rPr>
                <w:b/>
                <w:bCs/>
                <w:color w:val="auto"/>
              </w:rPr>
              <w:t>要求</w:t>
            </w:r>
          </w:p>
        </w:tc>
        <w:tc>
          <w:tcPr>
            <w:tcW w:w="1234" w:type="pct"/>
            <w:tcBorders>
              <w:tl2br w:val="nil"/>
              <w:tr2bl w:val="nil"/>
            </w:tcBorders>
            <w:noWrap w:val="0"/>
            <w:vAlign w:val="center"/>
          </w:tcPr>
          <w:p w14:paraId="6ED9E09A">
            <w:pPr>
              <w:pStyle w:val="34"/>
              <w:bidi w:val="0"/>
              <w:rPr>
                <w:rFonts w:hint="eastAsia"/>
                <w:b/>
                <w:bCs/>
                <w:color w:val="auto"/>
                <w:lang w:val="en-US" w:eastAsia="zh-CN"/>
              </w:rPr>
            </w:pPr>
            <w:r>
              <w:rPr>
                <w:rFonts w:hint="eastAsia"/>
                <w:b/>
                <w:bCs/>
                <w:color w:val="auto"/>
                <w:lang w:eastAsia="zh-CN"/>
              </w:rPr>
              <w:t>本工程</w:t>
            </w:r>
            <w:r>
              <w:rPr>
                <w:rFonts w:hint="eastAsia"/>
                <w:b/>
                <w:bCs/>
                <w:color w:val="auto"/>
                <w:lang w:val="en-US" w:eastAsia="zh-CN"/>
              </w:rPr>
              <w:t>情况</w:t>
            </w:r>
          </w:p>
        </w:tc>
        <w:tc>
          <w:tcPr>
            <w:tcW w:w="505" w:type="pct"/>
            <w:tcBorders>
              <w:tl2br w:val="nil"/>
              <w:tr2bl w:val="nil"/>
            </w:tcBorders>
            <w:noWrap w:val="0"/>
            <w:vAlign w:val="center"/>
          </w:tcPr>
          <w:p w14:paraId="1F04834A">
            <w:pPr>
              <w:pStyle w:val="34"/>
              <w:bidi w:val="0"/>
              <w:rPr>
                <w:b/>
                <w:bCs/>
                <w:color w:val="auto"/>
              </w:rPr>
            </w:pPr>
            <w:r>
              <w:rPr>
                <w:b/>
                <w:bCs/>
                <w:color w:val="auto"/>
              </w:rPr>
              <w:t>相符性</w:t>
            </w:r>
          </w:p>
        </w:tc>
      </w:tr>
      <w:tr w14:paraId="52C1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5FCC4CEB">
            <w:pPr>
              <w:pStyle w:val="34"/>
              <w:bidi w:val="0"/>
              <w:rPr>
                <w:rFonts w:hint="eastAsia"/>
                <w:color w:val="auto"/>
                <w:lang w:val="en-US" w:eastAsia="zh-CN"/>
              </w:rPr>
            </w:pPr>
            <w:r>
              <w:rPr>
                <w:rFonts w:hint="eastAsia"/>
                <w:color w:val="auto"/>
                <w:lang w:val="en-US" w:eastAsia="zh-CN"/>
              </w:rPr>
              <w:t>1</w:t>
            </w:r>
          </w:p>
        </w:tc>
        <w:tc>
          <w:tcPr>
            <w:tcW w:w="3038" w:type="pct"/>
            <w:tcBorders>
              <w:tl2br w:val="nil"/>
              <w:tr2bl w:val="nil"/>
            </w:tcBorders>
            <w:noWrap w:val="0"/>
            <w:vAlign w:val="center"/>
          </w:tcPr>
          <w:p w14:paraId="69D90FB8">
            <w:pPr>
              <w:pStyle w:val="34"/>
              <w:bidi w:val="0"/>
              <w:rPr>
                <w:rFonts w:hint="eastAsia"/>
                <w:color w:val="auto"/>
                <w:lang w:val="en-US" w:eastAsia="zh-CN"/>
              </w:rPr>
            </w:pPr>
            <w:r>
              <w:rPr>
                <w:color w:val="auto"/>
              </w:rPr>
              <w:t>严守生态保护红线，加强空间管控。坚持以习近平生态文明思想为指导，严守生态保护红线，严格维护区域主导生态功能，积极推动绿色发展，促进人与自然和谐共生。主动对接国土空间规划，进一步做好与“三线一单”生态环境分区管控方案、主体功能区划、生态功能区划等有关要求的有序衔接和细化分解严格落实各项生态环境保护要求，协同推进石油天然气开发和生态环境保护相协调，切实维护区域生态系统的完整性和稳定性。加强规划区内环境敏感区和重要环境保护目标的生态环境保护工作，开展项目环评时应将油气开发对环境敏感区影响作为重点评价内容，并采取合理、有效的保护措施，确保规划涉及环境敏感区和重要环境保护目标不因油气开发而造成环境污染和生态破坏。</w:t>
            </w:r>
          </w:p>
        </w:tc>
        <w:tc>
          <w:tcPr>
            <w:tcW w:w="1234" w:type="pct"/>
            <w:tcBorders>
              <w:tl2br w:val="nil"/>
              <w:tr2bl w:val="nil"/>
            </w:tcBorders>
            <w:noWrap w:val="0"/>
            <w:vAlign w:val="center"/>
          </w:tcPr>
          <w:p w14:paraId="618085B1">
            <w:pPr>
              <w:pStyle w:val="34"/>
              <w:bidi w:val="0"/>
              <w:rPr>
                <w:color w:val="auto"/>
                <w:lang w:val="en-US" w:eastAsia="zh-CN"/>
              </w:rPr>
            </w:pPr>
            <w:r>
              <w:rPr>
                <w:rFonts w:hint="eastAsia"/>
                <w:color w:val="auto"/>
                <w:lang w:eastAsia="zh-CN"/>
              </w:rPr>
              <w:t>本工程</w:t>
            </w:r>
            <w:r>
              <w:rPr>
                <w:color w:val="auto"/>
              </w:rPr>
              <w:t>建设不在生态保护红线内，符合“三线一单”生态环境分区管控方案的管控要求。本报告</w:t>
            </w:r>
            <w:r>
              <w:rPr>
                <w:rFonts w:hint="eastAsia"/>
                <w:color w:val="auto"/>
                <w:lang w:eastAsia="zh-CN"/>
              </w:rPr>
              <w:t>对</w:t>
            </w:r>
            <w:r>
              <w:rPr>
                <w:color w:val="auto"/>
              </w:rPr>
              <w:t>项目占地已提出了保护措施及恢复要求。</w:t>
            </w:r>
          </w:p>
        </w:tc>
        <w:tc>
          <w:tcPr>
            <w:tcW w:w="505" w:type="pct"/>
            <w:tcBorders>
              <w:tl2br w:val="nil"/>
              <w:tr2bl w:val="nil"/>
            </w:tcBorders>
            <w:noWrap w:val="0"/>
            <w:vAlign w:val="center"/>
          </w:tcPr>
          <w:p w14:paraId="6BCE991C">
            <w:pPr>
              <w:pStyle w:val="34"/>
              <w:bidi w:val="0"/>
              <w:rPr>
                <w:color w:val="auto"/>
                <w:lang w:val="en-US" w:eastAsia="zh-CN"/>
              </w:rPr>
            </w:pPr>
            <w:r>
              <w:rPr>
                <w:rFonts w:hint="eastAsia"/>
                <w:color w:val="auto"/>
                <w:lang w:val="en-US" w:eastAsia="zh-CN"/>
              </w:rPr>
              <w:t>符合</w:t>
            </w:r>
          </w:p>
        </w:tc>
      </w:tr>
      <w:tr w14:paraId="53E1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49CAFE6E">
            <w:pPr>
              <w:pStyle w:val="34"/>
              <w:bidi w:val="0"/>
              <w:rPr>
                <w:rFonts w:hint="eastAsia"/>
                <w:color w:val="auto"/>
                <w:lang w:val="en-US" w:eastAsia="zh-CN"/>
              </w:rPr>
            </w:pPr>
            <w:r>
              <w:rPr>
                <w:rFonts w:hint="eastAsia"/>
                <w:color w:val="auto"/>
                <w:lang w:val="en-US" w:eastAsia="zh-CN"/>
              </w:rPr>
              <w:t>2</w:t>
            </w:r>
          </w:p>
        </w:tc>
        <w:tc>
          <w:tcPr>
            <w:tcW w:w="3038" w:type="pct"/>
            <w:tcBorders>
              <w:tl2br w:val="nil"/>
              <w:tr2bl w:val="nil"/>
            </w:tcBorders>
            <w:noWrap w:val="0"/>
            <w:vAlign w:val="center"/>
          </w:tcPr>
          <w:p w14:paraId="7B8D6238">
            <w:pPr>
              <w:pStyle w:val="34"/>
              <w:bidi w:val="0"/>
              <w:rPr>
                <w:rFonts w:hint="eastAsia"/>
                <w:color w:val="auto"/>
                <w:lang w:val="en-US" w:eastAsia="zh-CN"/>
              </w:rPr>
            </w:pPr>
            <w:r>
              <w:rPr>
                <w:color w:val="auto"/>
              </w:rPr>
              <w:t>合理确定开发方案，优化开发布局。根据区域主体功能定位，结合区域资源环境特征、生态保护红线等相关管控要求，依据生态环境影响评价结果，从穿越位置、穿越方式、施工场地设置、管线工艺设计、环境风险防范等方面对规划建设油气长输管道工程及油气田内部集输管道工程选址选线提出要求，进一步优化石油天然气开采规模、开发布局和建设时序，优先避让环境敏感区，远离沿线居民。总结石油天然气开发过程对生态环境影响和保护经验，及时进行优化调整。</w:t>
            </w:r>
          </w:p>
        </w:tc>
        <w:tc>
          <w:tcPr>
            <w:tcW w:w="1234" w:type="pct"/>
            <w:tcBorders>
              <w:tl2br w:val="nil"/>
              <w:tr2bl w:val="nil"/>
            </w:tcBorders>
            <w:noWrap w:val="0"/>
            <w:vAlign w:val="center"/>
          </w:tcPr>
          <w:p w14:paraId="0BB57F83">
            <w:pPr>
              <w:pStyle w:val="34"/>
              <w:bidi w:val="0"/>
              <w:rPr>
                <w:rFonts w:hint="eastAsia"/>
                <w:color w:val="auto"/>
                <w:lang w:val="en-US" w:eastAsia="zh-CN"/>
              </w:rPr>
            </w:pPr>
            <w:r>
              <w:rPr>
                <w:rFonts w:hint="eastAsia"/>
                <w:color w:val="auto"/>
                <w:lang w:eastAsia="zh-CN"/>
              </w:rPr>
              <w:t>本工程</w:t>
            </w:r>
            <w:r>
              <w:rPr>
                <w:color w:val="auto"/>
              </w:rPr>
              <w:t>对选址选线进行了合理性分析</w:t>
            </w:r>
            <w:r>
              <w:rPr>
                <w:rFonts w:hint="eastAsia"/>
                <w:color w:val="auto"/>
                <w:lang w:eastAsia="zh-CN"/>
              </w:rPr>
              <w:t>。</w:t>
            </w:r>
          </w:p>
        </w:tc>
        <w:tc>
          <w:tcPr>
            <w:tcW w:w="505" w:type="pct"/>
            <w:tcBorders>
              <w:tl2br w:val="nil"/>
              <w:tr2bl w:val="nil"/>
            </w:tcBorders>
            <w:noWrap w:val="0"/>
            <w:vAlign w:val="center"/>
          </w:tcPr>
          <w:p w14:paraId="6BAE3BB7">
            <w:pPr>
              <w:pStyle w:val="34"/>
              <w:bidi w:val="0"/>
              <w:rPr>
                <w:color w:val="auto"/>
                <w:lang w:val="en-US" w:eastAsia="zh-CN"/>
              </w:rPr>
            </w:pPr>
            <w:r>
              <w:rPr>
                <w:rFonts w:hint="eastAsia"/>
                <w:color w:val="auto"/>
                <w:lang w:val="en-US" w:eastAsia="zh-CN"/>
              </w:rPr>
              <w:t>符合</w:t>
            </w:r>
          </w:p>
        </w:tc>
      </w:tr>
      <w:tr w14:paraId="3003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20" w:type="pct"/>
            <w:tcBorders>
              <w:tl2br w:val="nil"/>
              <w:tr2bl w:val="nil"/>
            </w:tcBorders>
            <w:noWrap w:val="0"/>
            <w:vAlign w:val="center"/>
          </w:tcPr>
          <w:p w14:paraId="7A11DA89">
            <w:pPr>
              <w:pStyle w:val="34"/>
              <w:bidi w:val="0"/>
              <w:rPr>
                <w:rFonts w:hint="eastAsia"/>
                <w:color w:val="auto"/>
                <w:lang w:val="en-US" w:eastAsia="zh-CN"/>
              </w:rPr>
            </w:pPr>
            <w:r>
              <w:rPr>
                <w:rFonts w:hint="eastAsia"/>
                <w:color w:val="auto"/>
                <w:lang w:val="en-US" w:eastAsia="zh-CN"/>
              </w:rPr>
              <w:t>3</w:t>
            </w:r>
          </w:p>
        </w:tc>
        <w:tc>
          <w:tcPr>
            <w:tcW w:w="3038" w:type="pct"/>
            <w:tcBorders>
              <w:tl2br w:val="nil"/>
              <w:tr2bl w:val="nil"/>
            </w:tcBorders>
            <w:noWrap w:val="0"/>
            <w:vAlign w:val="center"/>
          </w:tcPr>
          <w:p w14:paraId="408F3D7D">
            <w:pPr>
              <w:pStyle w:val="34"/>
              <w:bidi w:val="0"/>
              <w:rPr>
                <w:rFonts w:hint="eastAsia"/>
                <w:color w:val="auto"/>
                <w:lang w:val="en-US" w:eastAsia="zh-CN"/>
              </w:rPr>
            </w:pPr>
            <w:r>
              <w:rPr>
                <w:color w:val="auto"/>
              </w:rPr>
              <w:t>严格生态环境保护，强化各类污染物防治。针对规划实施可能出现的累积性、长期性生态环境问题，采取积极有效的生态复垦和生态恢复措施，确保实现《报告书》提出的各项生态恢复治理要求，有效减缓规划区生态环境退化趋势。根据油气开采产业政策和生态环境保护政策要求，严格落实资源环境指标要求，进一步控制污染物排放以及能源消耗水平，对油气开采产生的废弃油基泥浆、含油钻屑及其他固体废物，提出减量化的源头控制措施、资源化的利用路径、无害化的处理要求，按照国家和地方有关固体废物的管理规定进行处置，提高废弃油基泥浆和含油钻屑及其处理产物的综合利用率。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w:t>
            </w:r>
            <w:r>
              <w:rPr>
                <w:rFonts w:hint="default"/>
                <w:color w:val="auto"/>
              </w:rPr>
              <w:t>的应经处理满足《碎屑岩油藏注水水质指标及分析方法》（SY/T5329）等</w:t>
            </w:r>
            <w:r>
              <w:rPr>
                <w:color w:val="auto"/>
              </w:rPr>
              <w:t>相关标准要求，采取切实可行的地下水污染防治和监控措施，防止造成地下水污染。油气开采过程中产生的固体废物，应当遵循减量化、资源化、无害化原则，合规处置。加强伴生气、落地油、采出水等回收利用，提高综合利用水平</w:t>
            </w:r>
            <w:r>
              <w:rPr>
                <w:rFonts w:hint="eastAsia"/>
                <w:color w:val="auto"/>
                <w:lang w:eastAsia="zh-CN"/>
              </w:rPr>
              <w:t>。</w:t>
            </w:r>
          </w:p>
        </w:tc>
        <w:tc>
          <w:tcPr>
            <w:tcW w:w="1234" w:type="pct"/>
            <w:tcBorders>
              <w:tl2br w:val="nil"/>
              <w:tr2bl w:val="nil"/>
            </w:tcBorders>
            <w:noWrap w:val="0"/>
            <w:vAlign w:val="center"/>
          </w:tcPr>
          <w:p w14:paraId="1FD7DD69">
            <w:pPr>
              <w:pStyle w:val="34"/>
              <w:bidi w:val="0"/>
              <w:rPr>
                <w:color w:val="auto"/>
                <w:lang w:val="en-US" w:eastAsia="zh-CN"/>
              </w:rPr>
            </w:pPr>
            <w:r>
              <w:rPr>
                <w:color w:val="auto"/>
              </w:rPr>
              <w:t>运营期井下作业废水、采出水进处理站处理达标后</w:t>
            </w:r>
            <w:r>
              <w:rPr>
                <w:rFonts w:hint="eastAsia"/>
                <w:color w:val="auto"/>
                <w:lang w:val="en-US" w:eastAsia="zh-CN"/>
              </w:rPr>
              <w:t>回注</w:t>
            </w:r>
            <w:r>
              <w:rPr>
                <w:color w:val="auto"/>
              </w:rPr>
              <w:t>，不外排；落地</w:t>
            </w:r>
            <w:r>
              <w:rPr>
                <w:rFonts w:hint="default"/>
                <w:color w:val="auto"/>
              </w:rPr>
              <w:t>油100%</w:t>
            </w:r>
            <w:r>
              <w:rPr>
                <w:color w:val="auto"/>
              </w:rPr>
              <w:t>回收</w:t>
            </w:r>
            <w:r>
              <w:rPr>
                <w:rFonts w:hint="eastAsia"/>
                <w:color w:val="auto"/>
                <w:lang w:eastAsia="zh-CN"/>
              </w:rPr>
              <w:t>，</w:t>
            </w:r>
            <w:r>
              <w:rPr>
                <w:rFonts w:hint="eastAsia"/>
                <w:color w:val="auto"/>
                <w:lang w:val="en-US" w:eastAsia="zh-CN"/>
              </w:rPr>
              <w:t>伴生气进站处理后综合利用</w:t>
            </w:r>
            <w:r>
              <w:rPr>
                <w:color w:val="auto"/>
              </w:rPr>
              <w:t>。</w:t>
            </w:r>
          </w:p>
        </w:tc>
        <w:tc>
          <w:tcPr>
            <w:tcW w:w="505" w:type="pct"/>
            <w:tcBorders>
              <w:tl2br w:val="nil"/>
              <w:tr2bl w:val="nil"/>
            </w:tcBorders>
            <w:noWrap w:val="0"/>
            <w:vAlign w:val="center"/>
          </w:tcPr>
          <w:p w14:paraId="0589FBEC">
            <w:pPr>
              <w:pStyle w:val="34"/>
              <w:bidi w:val="0"/>
              <w:rPr>
                <w:color w:val="auto"/>
                <w:lang w:val="en-US" w:eastAsia="zh-CN"/>
              </w:rPr>
            </w:pPr>
            <w:r>
              <w:rPr>
                <w:rFonts w:hint="eastAsia"/>
                <w:color w:val="auto"/>
                <w:lang w:val="en-US" w:eastAsia="zh-CN"/>
              </w:rPr>
              <w:t>符合</w:t>
            </w:r>
          </w:p>
        </w:tc>
      </w:tr>
      <w:tr w14:paraId="71A2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vAlign w:val="center"/>
          </w:tcPr>
          <w:p w14:paraId="20010FBB">
            <w:pPr>
              <w:pStyle w:val="34"/>
              <w:bidi w:val="0"/>
              <w:rPr>
                <w:rFonts w:hint="eastAsia"/>
                <w:color w:val="auto"/>
                <w:lang w:val="en-US" w:eastAsia="zh-CN"/>
              </w:rPr>
            </w:pPr>
            <w:r>
              <w:rPr>
                <w:rFonts w:hint="eastAsia"/>
                <w:color w:val="auto"/>
                <w:lang w:val="en-US" w:eastAsia="zh-CN"/>
              </w:rPr>
              <w:t>4</w:t>
            </w:r>
          </w:p>
        </w:tc>
        <w:tc>
          <w:tcPr>
            <w:tcW w:w="3038" w:type="pct"/>
            <w:vAlign w:val="center"/>
          </w:tcPr>
          <w:p w14:paraId="00E5B040">
            <w:pPr>
              <w:pStyle w:val="34"/>
              <w:bidi w:val="0"/>
              <w:rPr>
                <w:rFonts w:hint="eastAsia"/>
                <w:color w:val="auto"/>
                <w:lang w:val="en-US" w:eastAsia="zh-CN"/>
              </w:rPr>
            </w:pPr>
            <w:r>
              <w:rPr>
                <w:color w:val="auto"/>
              </w:rPr>
              <w:t>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落实生态保护和修复方案，综合考虑防沙治沙等相关要求，因地制宜开展生态恢复治理工作。</w:t>
            </w:r>
          </w:p>
        </w:tc>
        <w:tc>
          <w:tcPr>
            <w:tcW w:w="1234" w:type="pct"/>
            <w:vAlign w:val="center"/>
          </w:tcPr>
          <w:p w14:paraId="45B18CF5">
            <w:pPr>
              <w:pStyle w:val="34"/>
              <w:bidi w:val="0"/>
              <w:rPr>
                <w:rFonts w:hint="eastAsia"/>
                <w:color w:val="auto"/>
                <w:lang w:val="en-US" w:eastAsia="zh-CN"/>
              </w:rPr>
            </w:pPr>
            <w:r>
              <w:rPr>
                <w:color w:val="auto"/>
              </w:rPr>
              <w:t>本报告提出了生态保护及恢复措施</w:t>
            </w:r>
            <w:r>
              <w:rPr>
                <w:rFonts w:hint="eastAsia"/>
                <w:color w:val="auto"/>
                <w:lang w:eastAsia="zh-CN"/>
              </w:rPr>
              <w:t>。</w:t>
            </w:r>
          </w:p>
        </w:tc>
        <w:tc>
          <w:tcPr>
            <w:tcW w:w="0" w:type="auto"/>
            <w:vAlign w:val="center"/>
          </w:tcPr>
          <w:p w14:paraId="33927600">
            <w:pPr>
              <w:pStyle w:val="34"/>
              <w:bidi w:val="0"/>
              <w:rPr>
                <w:color w:val="auto"/>
                <w:lang w:val="en-US" w:eastAsia="zh-CN"/>
              </w:rPr>
            </w:pPr>
            <w:r>
              <w:rPr>
                <w:rFonts w:hint="eastAsia"/>
                <w:color w:val="auto"/>
                <w:lang w:val="en-US" w:eastAsia="zh-CN"/>
              </w:rPr>
              <w:t>符合</w:t>
            </w:r>
          </w:p>
        </w:tc>
      </w:tr>
      <w:tr w14:paraId="5E2E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0" w:type="auto"/>
            <w:vAlign w:val="center"/>
          </w:tcPr>
          <w:p w14:paraId="0059B0B1">
            <w:pPr>
              <w:pStyle w:val="34"/>
              <w:bidi w:val="0"/>
              <w:rPr>
                <w:rFonts w:hint="eastAsia"/>
                <w:color w:val="auto"/>
                <w:lang w:val="en-US" w:eastAsia="zh-CN"/>
              </w:rPr>
            </w:pPr>
            <w:r>
              <w:rPr>
                <w:rFonts w:hint="eastAsia"/>
                <w:color w:val="auto"/>
                <w:lang w:val="en-US" w:eastAsia="zh-CN"/>
              </w:rPr>
              <w:t>5</w:t>
            </w:r>
          </w:p>
        </w:tc>
        <w:tc>
          <w:tcPr>
            <w:tcW w:w="3038" w:type="pct"/>
            <w:vAlign w:val="center"/>
          </w:tcPr>
          <w:p w14:paraId="5D991016">
            <w:pPr>
              <w:pStyle w:val="34"/>
              <w:bidi w:val="0"/>
              <w:rPr>
                <w:rFonts w:hint="eastAsia"/>
                <w:color w:val="auto"/>
                <w:lang w:val="en-US" w:eastAsia="zh-CN"/>
              </w:rPr>
            </w:pPr>
            <w:r>
              <w:rPr>
                <w:color w:val="auto"/>
              </w:rPr>
              <w:t>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的生态环境保护措施。</w:t>
            </w:r>
          </w:p>
        </w:tc>
        <w:tc>
          <w:tcPr>
            <w:tcW w:w="1234" w:type="pct"/>
            <w:vAlign w:val="center"/>
          </w:tcPr>
          <w:p w14:paraId="6A8D59B7">
            <w:pPr>
              <w:pStyle w:val="34"/>
              <w:bidi w:val="0"/>
              <w:rPr>
                <w:color w:val="auto"/>
                <w:lang w:val="en-US" w:eastAsia="zh-CN"/>
              </w:rPr>
            </w:pPr>
            <w:r>
              <w:rPr>
                <w:color w:val="auto"/>
              </w:rPr>
              <w:t>本报告已提出跟踪监测计划。</w:t>
            </w:r>
          </w:p>
        </w:tc>
        <w:tc>
          <w:tcPr>
            <w:tcW w:w="0" w:type="auto"/>
            <w:vAlign w:val="center"/>
          </w:tcPr>
          <w:p w14:paraId="45027B8C">
            <w:pPr>
              <w:pStyle w:val="34"/>
              <w:bidi w:val="0"/>
              <w:rPr>
                <w:rFonts w:hint="default"/>
                <w:color w:val="auto"/>
                <w:lang w:val="en-US" w:eastAsia="zh-CN"/>
              </w:rPr>
            </w:pPr>
            <w:r>
              <w:rPr>
                <w:rFonts w:hint="eastAsia"/>
                <w:color w:val="auto"/>
                <w:lang w:val="en-US" w:eastAsia="zh-CN"/>
              </w:rPr>
              <w:t>符合</w:t>
            </w:r>
          </w:p>
        </w:tc>
      </w:tr>
    </w:tbl>
    <w:p w14:paraId="6F92423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7</w:t>
      </w:r>
      <w:r>
        <w:rPr>
          <w:rFonts w:hint="eastAsia"/>
          <w:b/>
          <w:bCs/>
          <w:color w:val="auto"/>
          <w:sz w:val="24"/>
          <w:szCs w:val="24"/>
          <w:lang w:eastAsia="zh-CN"/>
        </w:rPr>
        <w:t>）</w:t>
      </w:r>
      <w:r>
        <w:rPr>
          <w:rFonts w:hint="eastAsia" w:ascii="宋体" w:hAnsi="宋体" w:eastAsia="宋体" w:cs="宋体"/>
          <w:b/>
          <w:bCs/>
          <w:color w:val="auto"/>
          <w:kern w:val="0"/>
          <w:sz w:val="24"/>
          <w:szCs w:val="24"/>
          <w:lang w:val="en-US" w:eastAsia="zh-CN" w:bidi="ar"/>
        </w:rPr>
        <w:t>与《新疆维吾尔自治区水土保持规划（</w:t>
      </w:r>
      <w:r>
        <w:rPr>
          <w:rFonts w:hint="default" w:ascii="Times New Roman" w:hAnsi="Times New Roman" w:eastAsia="宋体" w:cs="Times New Roman"/>
          <w:b/>
          <w:bCs/>
          <w:color w:val="auto"/>
          <w:kern w:val="0"/>
          <w:sz w:val="24"/>
          <w:szCs w:val="24"/>
          <w:lang w:val="en-US" w:eastAsia="zh-CN" w:bidi="ar"/>
        </w:rPr>
        <w:t>2018-2030</w:t>
      </w:r>
      <w:r>
        <w:rPr>
          <w:rFonts w:hint="eastAsia" w:ascii="宋体" w:hAnsi="宋体" w:eastAsia="宋体" w:cs="宋体"/>
          <w:b/>
          <w:bCs/>
          <w:color w:val="auto"/>
          <w:kern w:val="0"/>
          <w:sz w:val="24"/>
          <w:szCs w:val="24"/>
          <w:lang w:val="en-US" w:eastAsia="zh-CN" w:bidi="ar"/>
        </w:rPr>
        <w:t>年）》符合性分析</w:t>
      </w:r>
    </w:p>
    <w:p w14:paraId="330CC0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本工程位于克拉玛依市乌尔禾区和塔城地区和布克赛尔蒙古自治县，和布克赛尔蒙古自治县地处准噶尔盆地腹部，水土流失类型为风力侵蚀为主，受风沙危害大，风蚀强烈，属于新疆七个三级区中的准噶尔盆地北部水源涵养生态维护区。</w:t>
      </w:r>
    </w:p>
    <w:p w14:paraId="5907AC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根据《新疆维吾尔自治区水土保持规划（</w:t>
      </w:r>
      <w:r>
        <w:rPr>
          <w:rFonts w:hint="default" w:ascii="Times New Roman" w:hAnsi="Times New Roman" w:eastAsia="宋体" w:cs="Times New Roman"/>
          <w:color w:val="auto"/>
          <w:kern w:val="0"/>
          <w:sz w:val="24"/>
          <w:szCs w:val="24"/>
          <w:lang w:val="en-US" w:eastAsia="zh-CN" w:bidi="ar"/>
        </w:rPr>
        <w:t>2018-2030</w:t>
      </w:r>
      <w:r>
        <w:rPr>
          <w:rFonts w:hint="eastAsia" w:ascii="宋体" w:hAnsi="宋体" w:eastAsia="宋体" w:cs="宋体"/>
          <w:color w:val="auto"/>
          <w:kern w:val="0"/>
          <w:sz w:val="24"/>
          <w:szCs w:val="24"/>
          <w:lang w:val="en-US" w:eastAsia="zh-CN" w:bidi="ar"/>
        </w:rPr>
        <w:t>年）》，本工程涉及的和布克赛尔蒙古自治县，属于自治区级水土流失重点治理区</w:t>
      </w:r>
      <w:r>
        <w:rPr>
          <w:rFonts w:hint="default" w:ascii="Times New Roman" w:hAnsi="Times New Roman" w:eastAsia="宋体" w:cs="Times New Roman"/>
          <w:color w:val="auto"/>
          <w:kern w:val="0"/>
          <w:sz w:val="24"/>
          <w:szCs w:val="24"/>
          <w:lang w:val="en-US" w:eastAsia="zh-CN" w:bidi="ar"/>
        </w:rPr>
        <w:t>Ⅱ</w:t>
      </w:r>
      <w:r>
        <w:rPr>
          <w:rFonts w:hint="default" w:ascii="Times New Roman" w:hAnsi="Times New Roman" w:eastAsia="宋体" w:cs="Times New Roman"/>
          <w:color w:val="auto"/>
          <w:kern w:val="0"/>
          <w:sz w:val="24"/>
          <w:szCs w:val="24"/>
          <w:vertAlign w:val="subscript"/>
          <w:lang w:val="en-US" w:eastAsia="zh-CN" w:bidi="ar"/>
        </w:rPr>
        <w:t>2</w:t>
      </w:r>
      <w:r>
        <w:rPr>
          <w:rFonts w:hint="eastAsia" w:ascii="宋体" w:hAnsi="宋体" w:eastAsia="宋体" w:cs="宋体"/>
          <w:color w:val="auto"/>
          <w:kern w:val="0"/>
          <w:sz w:val="24"/>
          <w:szCs w:val="24"/>
          <w:lang w:val="en-US" w:eastAsia="zh-CN" w:bidi="ar"/>
        </w:rPr>
        <w:t>天山北坡诸小河流域重点治理区。在水土流失地区，应开展以小流域为单元的综合治理，加强绿洲内部、绿洲</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荒漠过渡带以及重点开发区域的水土流失治理工作，其主要管理要求为：</w:t>
      </w:r>
    </w:p>
    <w:p w14:paraId="290462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cs="宋体"/>
          <w:color w:val="auto"/>
          <w:kern w:val="0"/>
          <w:sz w:val="24"/>
          <w:szCs w:val="24"/>
          <w:lang w:val="en-US" w:eastAsia="zh-CN" w:bidi="ar"/>
        </w:rPr>
        <w:t>①</w:t>
      </w:r>
      <w:r>
        <w:rPr>
          <w:rFonts w:hint="eastAsia" w:ascii="宋体" w:hAnsi="宋体" w:eastAsia="宋体" w:cs="宋体"/>
          <w:color w:val="auto"/>
          <w:kern w:val="0"/>
          <w:sz w:val="24"/>
          <w:szCs w:val="24"/>
          <w:lang w:val="en-US" w:eastAsia="zh-CN" w:bidi="ar"/>
        </w:rPr>
        <w:t>施退耕还草，对水土流失重点治理区实施修复工程，加强开发建设活动的水土流失监管，对矿山、水利水电、交通运输等项目区进行生态修复与治理。开展矿山环境综合整治。加强对能源和矿产资源开发及建设项目的监管，加大矿区环境整治修复力度，继续实施石漠化综合治理、沙化土地治理、地质灾害综合治理工程，“三化”草地得到有效控制，最大限度地减少人为因素造成新的水土流失。</w:t>
      </w:r>
    </w:p>
    <w:p w14:paraId="1144A9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cs="宋体"/>
          <w:color w:val="auto"/>
          <w:kern w:val="0"/>
          <w:sz w:val="24"/>
          <w:szCs w:val="24"/>
          <w:lang w:val="en-US" w:eastAsia="zh-CN" w:bidi="ar"/>
        </w:rPr>
        <w:t>②</w:t>
      </w:r>
      <w:r>
        <w:rPr>
          <w:rFonts w:hint="eastAsia" w:ascii="宋体" w:hAnsi="宋体" w:eastAsia="宋体" w:cs="宋体"/>
          <w:color w:val="auto"/>
          <w:kern w:val="0"/>
          <w:sz w:val="24"/>
          <w:szCs w:val="24"/>
          <w:lang w:val="en-US" w:eastAsia="zh-CN" w:bidi="ar"/>
        </w:rPr>
        <w:t xml:space="preserve">该区内和布克赛尔镇为重点开发区域，由于该区生态环境脆弱，禁止高耗能高污染行业入驻，主要发展农牧业及农牧产品加工行业，以健康绿色食品为主线发展农牧产品，严格管理和处理农牧产品加工行业产生的污染物，防止区域环境污染。该区开发建设中，不得改变工程占地以外的地貌和破坏植被，不得堵塞冲沟、改变地表径流，不得破坏水文地质环境和引发滑坡、崩塌、泥石流等地质灾害，不得向冲沟及外环境排放工业废水。 </w:t>
      </w:r>
    </w:p>
    <w:p w14:paraId="1E536A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cs="宋体"/>
          <w:color w:val="auto"/>
          <w:kern w:val="0"/>
          <w:sz w:val="24"/>
          <w:szCs w:val="24"/>
          <w:lang w:val="en-US" w:eastAsia="zh-CN" w:bidi="ar"/>
        </w:rPr>
        <w:t>③</w:t>
      </w:r>
      <w:r>
        <w:rPr>
          <w:rFonts w:hint="eastAsia" w:ascii="宋体" w:hAnsi="宋体" w:eastAsia="宋体" w:cs="宋体"/>
          <w:color w:val="auto"/>
          <w:kern w:val="0"/>
          <w:sz w:val="24"/>
          <w:szCs w:val="24"/>
          <w:lang w:val="en-US" w:eastAsia="zh-CN" w:bidi="ar"/>
        </w:rPr>
        <w:t>重点治理项目包括和布克赛尔蒙古自治县煤矿、和布克赛尔蒙古自治县石油、天然气开采区、砂砾石料场、和布克赛尔蒙古自治县工业园区、垃圾转运站及填埋场。</w:t>
      </w:r>
    </w:p>
    <w:p w14:paraId="464C8E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本工程属于石油天然气开采项目，不属于高耗能高污染项目。本工程水土流失防治将执行风沙区建设类项目一级标准，并适当提高防治目标值。工程主体</w:t>
      </w:r>
      <w:r>
        <w:rPr>
          <w:rFonts w:hint="eastAsia" w:ascii="宋体" w:hAnsi="宋体" w:cs="宋体"/>
          <w:color w:val="auto"/>
          <w:kern w:val="0"/>
          <w:sz w:val="24"/>
          <w:szCs w:val="24"/>
          <w:lang w:val="en-US" w:eastAsia="zh-CN" w:bidi="ar"/>
        </w:rPr>
        <w:t>设计</w:t>
      </w:r>
      <w:r>
        <w:rPr>
          <w:rFonts w:hint="eastAsia" w:ascii="宋体" w:hAnsi="宋体" w:eastAsia="宋体" w:cs="宋体"/>
          <w:color w:val="auto"/>
          <w:kern w:val="0"/>
          <w:sz w:val="24"/>
          <w:szCs w:val="24"/>
          <w:lang w:val="en-US" w:eastAsia="zh-CN" w:bidi="ar"/>
        </w:rPr>
        <w:t>中应进一步优化施工工艺，如优化施工组织，分段施工、避免大风天气施工，加强防治措施以减小因工程建设带来的不利影响，防治水土流失。本工程应按照水土保持方案的要求，严格执行各项水土保持措施。</w:t>
      </w:r>
    </w:p>
    <w:p w14:paraId="24BEFAA4">
      <w:pPr>
        <w:pStyle w:val="11"/>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（8）</w:t>
      </w:r>
      <w:r>
        <w:rPr>
          <w:rFonts w:hint="eastAsia" w:ascii="Times New Roman" w:hAnsi="Times New Roman" w:cs="Times New Roman"/>
          <w:b/>
          <w:bCs/>
          <w:color w:val="auto"/>
          <w:kern w:val="0"/>
          <w:sz w:val="24"/>
          <w:szCs w:val="24"/>
          <w:lang w:val="en-US" w:eastAsia="zh-CN" w:bidi="ar"/>
        </w:rPr>
        <w:t>与《和布克赛尔蒙古自治县矿产资源总体规划（2021-2025年）》符合性分析</w:t>
      </w:r>
    </w:p>
    <w:p w14:paraId="7C2F4E27">
      <w:pPr>
        <w:pStyle w:val="11"/>
        <w:rPr>
          <w:rFonts w:hint="eastAsia"/>
          <w:color w:val="auto"/>
          <w:lang w:val="en-US" w:eastAsia="zh-CN"/>
        </w:rPr>
      </w:pPr>
      <w:r>
        <w:rPr>
          <w:rFonts w:hint="eastAsia"/>
          <w:color w:val="auto"/>
        </w:rPr>
        <w:t>《</w:t>
      </w:r>
      <w:r>
        <w:rPr>
          <w:rFonts w:hint="eastAsia"/>
          <w:color w:val="auto"/>
          <w:lang w:val="en-US" w:eastAsia="zh-CN"/>
        </w:rPr>
        <w:t>和布克赛尔蒙古自治县</w:t>
      </w:r>
      <w:r>
        <w:rPr>
          <w:color w:val="auto"/>
        </w:rPr>
        <w:t>矿产资源</w:t>
      </w:r>
      <w:r>
        <w:rPr>
          <w:rFonts w:hint="eastAsia"/>
          <w:color w:val="auto"/>
        </w:rPr>
        <w:t>总体</w:t>
      </w:r>
      <w:r>
        <w:rPr>
          <w:color w:val="auto"/>
        </w:rPr>
        <w:t>规划（2021－2025年）</w:t>
      </w:r>
      <w:r>
        <w:rPr>
          <w:rFonts w:hint="eastAsia"/>
          <w:color w:val="auto"/>
        </w:rPr>
        <w:t>》指出，将石油天然气列为重点勘查开采矿种，并指出要加快玛湖、</w:t>
      </w:r>
      <w:r>
        <w:rPr>
          <w:rFonts w:hint="eastAsia"/>
          <w:color w:val="auto"/>
          <w:lang w:val="en-US" w:eastAsia="zh-CN"/>
        </w:rPr>
        <w:t>陆梁</w:t>
      </w:r>
      <w:r>
        <w:rPr>
          <w:rFonts w:hint="eastAsia"/>
          <w:color w:val="auto"/>
        </w:rPr>
        <w:t>、</w:t>
      </w:r>
      <w:r>
        <w:rPr>
          <w:rFonts w:hint="eastAsia"/>
          <w:color w:val="auto"/>
          <w:lang w:val="en-US" w:eastAsia="zh-CN"/>
        </w:rPr>
        <w:t>石西、夏孜街、金龙、阿拉德等</w:t>
      </w:r>
      <w:r>
        <w:rPr>
          <w:rFonts w:hint="eastAsia"/>
          <w:color w:val="auto"/>
        </w:rPr>
        <w:t>油气田建设，促进增储上产，针对新设油气勘查开采区块，抓住国家鼓励民营资本进入油气开发领域机遇，提升地方参与石油资源勘探开发利用程度，抓住玛湖油田大开发的建设机遇，逐步建立地方石油化工产业体系。大力开展页岩气、油砂、油页岩等非常规能源调查评价，推进新疆远山矿业阿拉德赛油砂矿勘查开发力度，推动油砂、油页岩等加工利用示范项目建设，为打造石油化工基地提供资源保障，支撑克拉玛依油气能源基地建设。另外在油气国家规划矿区周边部署开采所需的压裂石英砂矿勘查开采区块，保障石油开采资源需求。</w:t>
      </w:r>
      <w:r>
        <w:rPr>
          <w:rFonts w:hint="eastAsia"/>
          <w:color w:val="auto"/>
          <w:lang w:val="en-US" w:eastAsia="zh-CN"/>
        </w:rPr>
        <w:t>本工程属于陆地石油开采，位于</w:t>
      </w:r>
      <w:r>
        <w:rPr>
          <w:rFonts w:hint="eastAsia"/>
          <w:color w:val="auto"/>
        </w:rPr>
        <w:t>《</w:t>
      </w:r>
      <w:r>
        <w:rPr>
          <w:rFonts w:hint="eastAsia"/>
          <w:color w:val="auto"/>
          <w:lang w:val="en-US" w:eastAsia="zh-CN"/>
        </w:rPr>
        <w:t>和布克赛尔蒙古自治县</w:t>
      </w:r>
      <w:r>
        <w:rPr>
          <w:color w:val="auto"/>
        </w:rPr>
        <w:t>矿产资源</w:t>
      </w:r>
      <w:r>
        <w:rPr>
          <w:rFonts w:hint="eastAsia"/>
          <w:color w:val="auto"/>
        </w:rPr>
        <w:t>总体</w:t>
      </w:r>
      <w:r>
        <w:rPr>
          <w:color w:val="auto"/>
        </w:rPr>
        <w:t>规划（2021－2025年）</w:t>
      </w:r>
      <w:r>
        <w:rPr>
          <w:rFonts w:hint="eastAsia"/>
          <w:color w:val="auto"/>
        </w:rPr>
        <w:t>》</w:t>
      </w:r>
      <w:r>
        <w:rPr>
          <w:rFonts w:hint="eastAsia"/>
          <w:color w:val="auto"/>
          <w:lang w:val="en-US" w:eastAsia="zh-CN"/>
        </w:rPr>
        <w:t>中重点发展区域，符合规划要求。</w:t>
      </w:r>
    </w:p>
    <w:p w14:paraId="1F3EE3EF">
      <w:pPr>
        <w:pStyle w:val="11"/>
        <w:rPr>
          <w:rFonts w:hint="default"/>
          <w:b/>
          <w:bCs/>
          <w:color w:val="auto"/>
          <w:lang w:val="en-US" w:eastAsia="zh-CN"/>
        </w:rPr>
      </w:pPr>
      <w:r>
        <w:rPr>
          <w:rFonts w:hint="eastAsia"/>
          <w:b/>
          <w:bCs/>
          <w:color w:val="auto"/>
          <w:lang w:val="en-US" w:eastAsia="zh-CN"/>
        </w:rPr>
        <w:t>（9）与《新疆维吾尔自治区克拉玛依市矿产资源总体规划（2021~2025年）》符合性分析</w:t>
      </w:r>
    </w:p>
    <w:p w14:paraId="46A19C4C">
      <w:pPr>
        <w:pStyle w:val="11"/>
        <w:rPr>
          <w:rFonts w:hint="default" w:ascii="Times New Roman" w:hAnsi="Times New Roman" w:eastAsia="宋体"/>
          <w:color w:val="auto"/>
          <w:lang w:val="en-US" w:eastAsia="zh-CN"/>
        </w:rPr>
      </w:pPr>
      <w:r>
        <w:rPr>
          <w:rFonts w:hint="eastAsia"/>
          <w:b w:val="0"/>
          <w:bCs w:val="0"/>
          <w:color w:val="auto"/>
          <w:lang w:val="en-US" w:eastAsia="zh-CN"/>
        </w:rPr>
        <w:t>《新疆</w:t>
      </w:r>
      <w:r>
        <w:rPr>
          <w:rFonts w:hint="eastAsia" w:ascii="Times New Roman" w:hAnsi="Times New Roman" w:eastAsia="宋体"/>
          <w:color w:val="auto"/>
          <w:lang w:val="en-US" w:eastAsia="zh-CN"/>
        </w:rPr>
        <w:t>维吾尔自治区克拉玛依市矿产资源总体规划（2021~2025年）》</w:t>
      </w:r>
      <w:r>
        <w:rPr>
          <w:rFonts w:hint="eastAsia" w:ascii="Times New Roman" w:hAnsi="Times New Roman" w:eastAsia="宋体"/>
          <w:color w:val="auto"/>
        </w:rPr>
        <w:t>指出，将石油天然气列为重点勘查开采矿种，</w:t>
      </w:r>
      <w:r>
        <w:rPr>
          <w:rFonts w:hint="eastAsia" w:ascii="Times New Roman" w:hAnsi="Times New Roman" w:eastAsia="宋体"/>
          <w:color w:val="auto"/>
          <w:lang w:val="en-US" w:eastAsia="zh-CN"/>
        </w:rPr>
        <w:t>并指出</w:t>
      </w:r>
      <w:r>
        <w:rPr>
          <w:rFonts w:hint="eastAsia" w:ascii="Times New Roman" w:hAnsi="Times New Roman" w:eastAsia="宋体"/>
          <w:color w:val="auto"/>
        </w:rPr>
        <w:t>克拉玛依市位于环准噶尔能源资源勘查开发区，西准噶尔能源有色金属勘查开发区，是我国重要的能源基地。克拉玛依市已发现非油气矿产资源种类较少，勘查程度低，非油气矿业经济优势不明显，全市矿产资源勘查开发仍以石油、天然气为重点，兼顾油砂矿勘查开发，非油气矿产重点发展砂石土资源，以保障城市、能源基地建设。</w:t>
      </w:r>
      <w:r>
        <w:rPr>
          <w:rFonts w:hint="eastAsia"/>
          <w:color w:val="auto"/>
          <w:lang w:val="en-US" w:eastAsia="zh-CN"/>
        </w:rPr>
        <w:t>本工程</w:t>
      </w:r>
      <w:r>
        <w:rPr>
          <w:rFonts w:hint="eastAsia" w:ascii="Times New Roman" w:hAnsi="Times New Roman" w:eastAsia="宋体"/>
          <w:color w:val="auto"/>
          <w:lang w:val="en-US" w:eastAsia="zh-CN"/>
        </w:rPr>
        <w:t>属于陆地石油开采，仍属于矿产资源产业重点发展区域，符合</w:t>
      </w:r>
      <w:r>
        <w:rPr>
          <w:rFonts w:hint="eastAsia"/>
          <w:b w:val="0"/>
          <w:bCs w:val="0"/>
          <w:color w:val="auto"/>
          <w:lang w:val="en-US" w:eastAsia="zh-CN"/>
        </w:rPr>
        <w:t>《新疆</w:t>
      </w:r>
      <w:r>
        <w:rPr>
          <w:rFonts w:hint="eastAsia" w:ascii="Times New Roman" w:hAnsi="Times New Roman" w:eastAsia="宋体"/>
          <w:color w:val="auto"/>
          <w:lang w:val="en-US" w:eastAsia="zh-CN"/>
        </w:rPr>
        <w:t>维吾尔自治区克拉玛依市矿产资源总体规划（2021~2025年）》要求。</w:t>
      </w:r>
    </w:p>
    <w:p w14:paraId="3756840E">
      <w:pPr>
        <w:pStyle w:val="5"/>
        <w:bidi w:val="0"/>
        <w:rPr>
          <w:rFonts w:hint="eastAsia" w:ascii="Times New Roman" w:hAnsi="Times New Roman"/>
          <w:color w:val="auto"/>
          <w:lang w:val="en-US" w:eastAsia="zh-CN"/>
        </w:rPr>
      </w:pPr>
      <w:r>
        <w:rPr>
          <w:rFonts w:hint="eastAsia" w:ascii="Times New Roman" w:hAnsi="Times New Roman"/>
          <w:color w:val="auto"/>
          <w:lang w:val="en-US" w:eastAsia="zh-CN"/>
        </w:rPr>
        <w:t>1.3.4与生态环境分区管控方案符合性分析</w:t>
      </w:r>
    </w:p>
    <w:p w14:paraId="0F17E3F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（1）生态保护红线</w:t>
      </w:r>
    </w:p>
    <w:p w14:paraId="4763DD9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color w:val="auto"/>
          <w:sz w:val="24"/>
          <w:szCs w:val="24"/>
          <w:lang w:val="en-US" w:eastAsia="zh-CN"/>
        </w:rPr>
        <w:t>本工程</w:t>
      </w:r>
      <w:r>
        <w:rPr>
          <w:rFonts w:hint="eastAsia" w:ascii="Times New Roman" w:hAnsi="Times New Roman" w:eastAsia="宋体"/>
          <w:color w:val="auto"/>
          <w:sz w:val="24"/>
          <w:szCs w:val="24"/>
          <w:lang w:val="en-US" w:eastAsia="zh-CN"/>
        </w:rPr>
        <w:t>位于克拉玛依市乌尔禾区和塔城地区和布克赛尔蒙古自治县，评价范围内无国家公园、自然保护区、风景名胜区、世界文化和自然遗产地和饮用水水源保护区，也无永久基本农田、基本草原、森林公园、地质公园、重要湿地、天然林，重点野生保护动物栖息地，重点保护野生植物生长繁殖地。项目区位于水土流失重点预防区，根据《新疆维吾尔自治区生态环境分区管控动态更新成果》（新环环评发〔2024〕157号）和《塔城地区“三线一单”生态环境分区管控方案》（2023版）、《克拉玛依市“三线一单”生态环境分区管控方案（2023版）》，项目区位于一般管控单元，不涉及生态红线。</w:t>
      </w:r>
    </w:p>
    <w:p w14:paraId="798E0C4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（2）环境质量底线</w:t>
      </w:r>
    </w:p>
    <w:p w14:paraId="3D46EFA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环境质量底线是国家和地方设置的大气、水和土壤环境质量目标，也是改善环境质量的基准线。油田开发产生的污染物主要包括非甲烷总烃、生产废水、固体废物、噪声，针对各类污染物已采取了相应的治理和处置措施，污染物能够达标排放，且根据现状监测数据可知，各类污染物排放均能满足相应标准要求，符合环境质量底线的要求。</w:t>
      </w:r>
    </w:p>
    <w:p w14:paraId="0C33BD8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（3）资源利用上线</w:t>
      </w:r>
    </w:p>
    <w:p w14:paraId="73F741F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本工程油气田开发过程中的生产废水进行综合利用，节约了水资源；能源利用均在区域供电负荷范围内，消耗未超出区域负荷上限。本工程占地类型为采矿用地、灌木林地、其他草地、裸土地、盐碱地</w:t>
      </w:r>
      <w:r>
        <w:rPr>
          <w:rFonts w:hint="eastAsia"/>
          <w:color w:val="auto"/>
          <w:sz w:val="24"/>
          <w:szCs w:val="24"/>
          <w:lang w:val="en-US" w:eastAsia="zh-CN"/>
        </w:rPr>
        <w:t>等</w:t>
      </w:r>
      <w:r>
        <w:rPr>
          <w:rFonts w:hint="eastAsia" w:ascii="Times New Roman" w:hAnsi="Times New Roman" w:eastAsia="宋体"/>
          <w:color w:val="auto"/>
          <w:sz w:val="24"/>
          <w:szCs w:val="24"/>
          <w:lang w:val="en-US" w:eastAsia="zh-CN"/>
        </w:rPr>
        <w:t>，井区开发所用征地办理了用地手续，并进行了占地及植被补偿。不会对当地的资源产生明显的影响，不会触及当地资源分配的上线，符合资源利用上线的要求。</w:t>
      </w:r>
    </w:p>
    <w:p w14:paraId="12FCA8A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（4）生态环境准入清单</w:t>
      </w:r>
    </w:p>
    <w:p w14:paraId="322B266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本工程</w:t>
      </w:r>
      <w:r>
        <w:rPr>
          <w:rFonts w:hint="eastAsia" w:ascii="Times New Roman" w:hAnsi="Times New Roman" w:eastAsia="宋体"/>
          <w:color w:val="auto"/>
          <w:sz w:val="24"/>
          <w:szCs w:val="24"/>
          <w:lang w:val="en-US" w:eastAsia="zh-CN"/>
        </w:rPr>
        <w:t>与生态环境准入清单符合性分析见表1.3-1</w:t>
      </w:r>
      <w:r>
        <w:rPr>
          <w:rFonts w:hint="eastAsia"/>
          <w:color w:val="auto"/>
          <w:sz w:val="24"/>
          <w:szCs w:val="24"/>
          <w:lang w:val="en-US" w:eastAsia="zh-CN"/>
        </w:rPr>
        <w:t>1</w:t>
      </w:r>
      <w:r>
        <w:rPr>
          <w:rFonts w:hint="eastAsia" w:ascii="Times New Roman" w:hAnsi="Times New Roman" w:eastAsia="宋体"/>
          <w:color w:val="auto"/>
          <w:sz w:val="24"/>
          <w:szCs w:val="24"/>
          <w:lang w:val="en-US" w:eastAsia="zh-CN"/>
        </w:rPr>
        <w:t>。</w:t>
      </w:r>
      <w:r>
        <w:rPr>
          <w:color w:val="auto"/>
        </w:rPr>
        <w:t>项目与生态环境管控单元分布示意图</w:t>
      </w:r>
      <w:r>
        <w:rPr>
          <w:rFonts w:hint="eastAsia"/>
          <w:color w:val="auto"/>
          <w:lang w:val="en-US" w:eastAsia="zh-CN"/>
        </w:rPr>
        <w:t>见附图3。</w:t>
      </w:r>
    </w:p>
    <w:p w14:paraId="3887D642">
      <w:pPr>
        <w:pStyle w:val="43"/>
        <w:bidi w:val="0"/>
        <w:rPr>
          <w:rFonts w:hint="default"/>
          <w:color w:val="auto"/>
          <w:lang w:val="en-US" w:eastAsia="zh-CN"/>
        </w:rPr>
      </w:pPr>
      <w:r>
        <w:rPr>
          <w:rFonts w:hint="eastAsia"/>
          <w:color w:val="auto"/>
          <w:lang w:val="en-US" w:eastAsia="zh-CN"/>
        </w:rPr>
        <w:t>表1.3-11  项目与生态环境准入清单符合性分析</w:t>
      </w:r>
      <w:r>
        <w:rPr>
          <w:rFonts w:hint="default"/>
          <w:color w:val="auto"/>
          <w:lang w:val="en-US" w:eastAsia="zh-CN"/>
        </w:rPr>
        <w:t>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5136"/>
        <w:gridCol w:w="2537"/>
      </w:tblGrid>
      <w:tr w14:paraId="45E4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noWrap w:val="0"/>
            <w:vAlign w:val="center"/>
          </w:tcPr>
          <w:p w14:paraId="338010BA">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管控类别</w:t>
            </w:r>
          </w:p>
        </w:tc>
        <w:tc>
          <w:tcPr>
            <w:tcW w:w="3015" w:type="pct"/>
            <w:noWrap w:val="0"/>
            <w:vAlign w:val="center"/>
          </w:tcPr>
          <w:p w14:paraId="74796550">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1487" w:type="pct"/>
            <w:noWrap w:val="0"/>
            <w:vAlign w:val="center"/>
          </w:tcPr>
          <w:p w14:paraId="3CD69650">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项目符合性</w:t>
            </w:r>
          </w:p>
        </w:tc>
      </w:tr>
      <w:tr w14:paraId="3106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000" w:type="pct"/>
            <w:gridSpan w:val="3"/>
            <w:noWrap w:val="0"/>
            <w:vAlign w:val="center"/>
          </w:tcPr>
          <w:p w14:paraId="2971A076">
            <w:pPr>
              <w:autoSpaceDE w:val="0"/>
              <w:autoSpaceDN w:val="0"/>
              <w:adjustRightInd w:val="0"/>
              <w:snapToGrid w:val="0"/>
              <w:jc w:val="center"/>
              <w:rPr>
                <w:rFonts w:hint="eastAsia" w:ascii="Times New Roman" w:hAnsi="Times New Roman" w:eastAsia="仿宋_GB2312" w:cs="Times New Roman"/>
                <w:b w:val="0"/>
                <w:bCs w:val="0"/>
                <w:color w:val="auto"/>
                <w:sz w:val="21"/>
                <w:szCs w:val="21"/>
                <w:lang w:eastAsia="zh-CN"/>
              </w:rPr>
            </w:pPr>
            <w:r>
              <w:rPr>
                <w:rFonts w:hint="default" w:ascii="Times New Roman" w:hAnsi="Times New Roman" w:eastAsia="宋体" w:cs="Times New Roman"/>
                <w:b/>
                <w:bCs w:val="0"/>
                <w:color w:val="auto"/>
                <w:sz w:val="21"/>
                <w:szCs w:val="21"/>
                <w:lang w:bidi="en-US"/>
              </w:rPr>
              <w:t>乌尔禾区环境一般管控单元03</w:t>
            </w:r>
            <w:r>
              <w:rPr>
                <w:rFonts w:hint="default" w:ascii="Times New Roman" w:hAnsi="Times New Roman" w:eastAsia="宋体" w:cs="Times New Roman"/>
                <w:b/>
                <w:bCs w:val="0"/>
                <w:color w:val="auto"/>
                <w:sz w:val="21"/>
                <w:szCs w:val="21"/>
                <w:lang w:eastAsia="zh-CN" w:bidi="en-US"/>
              </w:rPr>
              <w:t>（</w:t>
            </w:r>
            <w:r>
              <w:rPr>
                <w:rFonts w:hint="default" w:ascii="Times New Roman" w:hAnsi="Times New Roman" w:eastAsia="宋体" w:cs="Times New Roman"/>
                <w:b/>
                <w:bCs w:val="0"/>
                <w:color w:val="auto"/>
                <w:sz w:val="21"/>
                <w:szCs w:val="21"/>
                <w:lang w:bidi="en-US"/>
              </w:rPr>
              <w:t>ZH65020530003</w:t>
            </w:r>
            <w:r>
              <w:rPr>
                <w:rFonts w:hint="default" w:ascii="Times New Roman" w:hAnsi="Times New Roman" w:eastAsia="宋体" w:cs="Times New Roman"/>
                <w:b/>
                <w:bCs w:val="0"/>
                <w:color w:val="auto"/>
                <w:sz w:val="21"/>
                <w:szCs w:val="21"/>
                <w:lang w:eastAsia="zh-CN" w:bidi="en-US"/>
              </w:rPr>
              <w:t>）</w:t>
            </w:r>
          </w:p>
        </w:tc>
      </w:tr>
      <w:tr w14:paraId="4CEA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noWrap w:val="0"/>
            <w:vAlign w:val="center"/>
          </w:tcPr>
          <w:p w14:paraId="3901308E">
            <w:pPr>
              <w:autoSpaceDE w:val="0"/>
              <w:autoSpaceDN w:val="0"/>
              <w:adjustRightInd w:val="0"/>
              <w:snapToGrid w:val="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一</w:t>
            </w:r>
            <w:r>
              <w:rPr>
                <w:rFonts w:hint="eastAsia" w:cs="Times New Roman"/>
                <w:b w:val="0"/>
                <w:bCs w:val="0"/>
                <w:color w:val="auto"/>
                <w:sz w:val="21"/>
                <w:szCs w:val="21"/>
                <w:lang w:eastAsia="zh-CN"/>
              </w:rPr>
              <w:t>）</w:t>
            </w:r>
          </w:p>
        </w:tc>
        <w:tc>
          <w:tcPr>
            <w:tcW w:w="4503" w:type="pct"/>
            <w:gridSpan w:val="2"/>
            <w:noWrap w:val="0"/>
            <w:vAlign w:val="center"/>
          </w:tcPr>
          <w:p w14:paraId="3C19EEC1">
            <w:pPr>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空间布局约束</w:t>
            </w:r>
          </w:p>
        </w:tc>
      </w:tr>
      <w:tr w14:paraId="4E0A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restart"/>
            <w:noWrap w:val="0"/>
            <w:vAlign w:val="center"/>
          </w:tcPr>
          <w:p w14:paraId="2B434C0F">
            <w:pPr>
              <w:autoSpaceDE w:val="0"/>
              <w:autoSpaceDN w:val="0"/>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克拉玛依市总体管控要求</w:t>
            </w:r>
          </w:p>
        </w:tc>
        <w:tc>
          <w:tcPr>
            <w:tcW w:w="3015" w:type="pct"/>
            <w:shd w:val="clear" w:color="auto" w:fill="auto"/>
            <w:noWrap w:val="0"/>
            <w:vAlign w:val="center"/>
          </w:tcPr>
          <w:p w14:paraId="03417B98">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 禁止新建、扩建《产业结构调整指导目录（2024年本）》中淘汰类项目。禁止引入《市场准入负面清单（2022年版）》禁止准入类事项。严禁新建自治区《禁止、控制和限制危险化学品目录》中淘汰类、禁止类危险化学品化工项目。坚决遏制“两高”项目盲目发展，石化、现代煤化工项目应纳入国家产业规划。</w:t>
            </w:r>
          </w:p>
          <w:p w14:paraId="7F9FD70D">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化行业：新建炼油及扩建一次炼油项目须纳入国家批准的相关规划，未列入国家批准的相关规划的新建炼油及扩建一次炼油项目，禁止建设。严控尿素、磷铵、电石、烧碱、聚氯乙烯、纯碱、黄磷等行业建设新增产能项目，对符合政策要求的先进工艺改造提升项目应实行等量或减量置换。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w:t>
            </w:r>
          </w:p>
          <w:p w14:paraId="0EBDA5F2">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焦化行业：焦化项目应布设在依法合规设立的产业园区，符合生态环境分区管控要求，推进新改扩建（含搬迁）焦化项目按超低排放水平建设。</w:t>
            </w:r>
          </w:p>
          <w:p w14:paraId="303BDDB2">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建材行业：禁止建设新增产能的水泥生产项目（含粉磨站）；禁止新建普通浮法玻璃生产项目；禁止新建0.3万立方米/年以下饰面石材（荒料）开采项目（稀有品种矿山除外）。</w:t>
            </w:r>
          </w:p>
          <w:p w14:paraId="3D79906C">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火电行业：禁止建设单机容量30万千瓦及以下的常规燃煤火电机组；禁止建设湿冷发电机组。</w:t>
            </w:r>
          </w:p>
          <w:p w14:paraId="27E23127">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装备行业：铸造工业不得新建烧结工序，现有铸造工业企业的烧结工序应当依法依规淘汰或关停。</w:t>
            </w:r>
          </w:p>
          <w:p w14:paraId="64BEE476">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纺织服装行业：禁止新建或扩建棉浆粕生产项目；禁止在《关于促进新疆纺织服装产业健康可持续发展的指导意见》（新政发〔2017〕155号）布局要求以外建设印染项目；禁止新建使用禁用的直接染料进行棉印染精加工的印染项目。</w:t>
            </w:r>
          </w:p>
          <w:p w14:paraId="60E1DCB7">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工行业：禁止新建单条化学木浆（草浆、苇浆）30万吨/年以下、化学机械木浆10万吨/年以下的纸浆生产项目，禁止新建新闻纸、铜版纸生产线；禁止新建日处理甜菜3000吨以下的制糖项目；禁止新建成品皮革项目（环保型固定皮革涂饰层及非致害性染料染色工艺除外）和聚氯乙烯普通人造革生产项目。</w:t>
            </w:r>
          </w:p>
          <w:p w14:paraId="5493566A">
            <w:pPr>
              <w:autoSpaceDE w:val="0"/>
              <w:autoSpaceDN w:val="0"/>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电子制造业：禁止建设工业硅新增产能项目；禁止建设泡生法生产的单个晶体小于100公斤、综合电耗高于25000度/100公斤的蓝宝石项目。</w:t>
            </w:r>
          </w:p>
        </w:tc>
        <w:tc>
          <w:tcPr>
            <w:tcW w:w="1487" w:type="pct"/>
            <w:noWrap w:val="0"/>
            <w:vAlign w:val="center"/>
          </w:tcPr>
          <w:p w14:paraId="007F2B44">
            <w:pPr>
              <w:autoSpaceDE w:val="0"/>
              <w:autoSpaceDN w:val="0"/>
              <w:adjustRightInd w:val="0"/>
              <w:snapToGrid w:val="0"/>
              <w:jc w:val="center"/>
              <w:rPr>
                <w:rFonts w:hint="default" w:ascii="Times New Roman" w:hAnsi="Times New Roman" w:eastAsia="宋体" w:cs="Times New Roman"/>
                <w:b w:val="0"/>
                <w:bCs w:val="0"/>
                <w:color w:val="auto"/>
                <w:sz w:val="21"/>
                <w:szCs w:val="21"/>
              </w:rPr>
            </w:pPr>
            <w:r>
              <w:rPr>
                <w:rFonts w:hint="eastAsia" w:cs="Times New Roman"/>
                <w:color w:val="auto"/>
                <w:sz w:val="21"/>
                <w:szCs w:val="21"/>
                <w:lang w:eastAsia="zh-CN"/>
              </w:rPr>
              <w:t>本工程</w:t>
            </w:r>
            <w:r>
              <w:rPr>
                <w:rFonts w:hint="eastAsia" w:cs="Times New Roman"/>
                <w:color w:val="auto"/>
                <w:sz w:val="21"/>
                <w:szCs w:val="21"/>
                <w:lang w:val="en-US" w:eastAsia="zh-CN"/>
              </w:rPr>
              <w:t>不属于</w:t>
            </w:r>
            <w:r>
              <w:rPr>
                <w:rFonts w:hint="default" w:ascii="Times New Roman" w:hAnsi="Times New Roman" w:eastAsia="宋体" w:cs="Times New Roman"/>
                <w:color w:val="auto"/>
                <w:sz w:val="21"/>
                <w:szCs w:val="21"/>
              </w:rPr>
              <w:t>《产业结构调整指导目录（2024年本）》中淘汰类项目</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属于鼓励类项目；未引入</w:t>
            </w:r>
            <w:r>
              <w:rPr>
                <w:rFonts w:hint="default" w:ascii="Times New Roman" w:hAnsi="Times New Roman" w:eastAsia="宋体" w:cs="Times New Roman"/>
                <w:color w:val="auto"/>
                <w:sz w:val="21"/>
                <w:szCs w:val="21"/>
              </w:rPr>
              <w:t>《市场准入负面清单》禁止准入类事项</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不属于</w:t>
            </w:r>
            <w:r>
              <w:rPr>
                <w:rFonts w:hint="default" w:ascii="Times New Roman" w:hAnsi="Times New Roman" w:eastAsia="宋体" w:cs="Times New Roman"/>
                <w:color w:val="auto"/>
                <w:sz w:val="21"/>
                <w:szCs w:val="21"/>
              </w:rPr>
              <w:t>自治区《禁止、控制和限制危险化学品目录》中淘汰类、禁止类危险化学品化工项目</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不属于“两高”项目</w:t>
            </w:r>
            <w:r>
              <w:rPr>
                <w:rFonts w:hint="eastAsia" w:cs="Times New Roman"/>
                <w:color w:val="auto"/>
                <w:sz w:val="21"/>
                <w:szCs w:val="21"/>
                <w:lang w:eastAsia="zh-CN"/>
              </w:rPr>
              <w:t>，</w:t>
            </w:r>
            <w:r>
              <w:rPr>
                <w:rFonts w:hint="eastAsia" w:cs="Times New Roman"/>
                <w:color w:val="auto"/>
                <w:sz w:val="21"/>
                <w:szCs w:val="21"/>
                <w:lang w:val="en-US" w:eastAsia="zh-CN"/>
              </w:rPr>
              <w:t>本工程属于陆地石油开采行业，不属于石化行业、建材行业、火电行业、纺织服装行业、轻工行业、电子制造业等行业，因此本工程符合要求</w:t>
            </w:r>
            <w:r>
              <w:rPr>
                <w:rFonts w:hint="default" w:ascii="Times New Roman" w:hAnsi="Times New Roman" w:eastAsia="宋体" w:cs="Times New Roman"/>
                <w:color w:val="auto"/>
                <w:sz w:val="21"/>
                <w:szCs w:val="21"/>
              </w:rPr>
              <w:t>。</w:t>
            </w:r>
          </w:p>
        </w:tc>
      </w:tr>
      <w:tr w14:paraId="5302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noWrap w:val="0"/>
            <w:vAlign w:val="center"/>
          </w:tcPr>
          <w:p w14:paraId="089FC17C">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noWrap w:val="0"/>
            <w:vAlign w:val="center"/>
          </w:tcPr>
          <w:p w14:paraId="56344F4D">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1.2</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坚决遏制高耗能、高排放、低水平项目盲目发展，严格落实国家产业规划、产业政策，</w:t>
            </w:r>
            <w:r>
              <w:rPr>
                <w:rFonts w:hint="eastAsia" w:ascii="宋体" w:hAnsi="宋体" w:eastAsia="宋体" w:cs="宋体"/>
                <w:color w:val="auto"/>
                <w:sz w:val="21"/>
                <w:szCs w:val="21"/>
              </w:rPr>
              <w:t>“三线一单”</w:t>
            </w:r>
            <w:r>
              <w:rPr>
                <w:rFonts w:hint="default" w:ascii="Times New Roman" w:hAnsi="Times New Roman" w:eastAsia="宋体" w:cs="Times New Roman"/>
                <w:color w:val="auto"/>
                <w:sz w:val="21"/>
                <w:szCs w:val="21"/>
              </w:rPr>
              <w:t>、规划环评，以及产能置换、煤炭消费减量替代、区域污染物削减等要求，坚决叫停不符合要求的高耗能、高排放、低水平项目。依法依规退出重点行业落后产能，严格执行《产业结构调整指导目录》，将大气污染物排放强度高、治理难度大的工艺和装备纳入淘汰类或限制类名单。</w:t>
            </w:r>
          </w:p>
        </w:tc>
        <w:tc>
          <w:tcPr>
            <w:tcW w:w="1487" w:type="pct"/>
            <w:shd w:val="clear" w:color="auto" w:fill="auto"/>
            <w:noWrap w:val="0"/>
            <w:vAlign w:val="center"/>
          </w:tcPr>
          <w:p w14:paraId="5CFC5195">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eastAsia="zh-CN"/>
              </w:rPr>
              <w:t>本工程</w:t>
            </w:r>
            <w:r>
              <w:rPr>
                <w:rFonts w:hint="default" w:ascii="Times New Roman" w:hAnsi="Times New Roman" w:eastAsia="宋体" w:cs="Times New Roman"/>
                <w:color w:val="auto"/>
                <w:sz w:val="21"/>
                <w:szCs w:val="21"/>
              </w:rPr>
              <w:t>不属于高耗能、高排放、低水平项目盲目发展项目</w:t>
            </w:r>
            <w:r>
              <w:rPr>
                <w:rFonts w:hint="eastAsia" w:cs="Times New Roman"/>
                <w:color w:val="auto"/>
                <w:sz w:val="21"/>
                <w:szCs w:val="21"/>
                <w:lang w:eastAsia="zh-CN"/>
              </w:rPr>
              <w:t>；</w:t>
            </w:r>
            <w:r>
              <w:rPr>
                <w:rFonts w:hint="eastAsia" w:cs="Times New Roman"/>
                <w:color w:val="auto"/>
                <w:sz w:val="21"/>
                <w:szCs w:val="21"/>
                <w:lang w:val="en-US" w:eastAsia="zh-CN"/>
              </w:rPr>
              <w:t>符合</w:t>
            </w:r>
            <w:r>
              <w:rPr>
                <w:rFonts w:hint="default" w:ascii="Times New Roman" w:hAnsi="Times New Roman" w:eastAsia="宋体" w:cs="Times New Roman"/>
                <w:color w:val="auto"/>
                <w:sz w:val="21"/>
                <w:szCs w:val="21"/>
              </w:rPr>
              <w:t>国家产业规划、产业政策，</w:t>
            </w:r>
            <w:r>
              <w:rPr>
                <w:rFonts w:hint="eastAsia" w:ascii="Times New Roman" w:hAnsi="Times New Roman" w:cs="Times New Roman"/>
                <w:color w:val="auto"/>
                <w:sz w:val="21"/>
                <w:szCs w:val="21"/>
                <w:lang w:val="en-US" w:eastAsia="zh-CN"/>
              </w:rPr>
              <w:t>及</w:t>
            </w:r>
            <w:r>
              <w:rPr>
                <w:rFonts w:hint="eastAsia" w:ascii="宋体" w:hAnsi="宋体" w:eastAsia="宋体" w:cs="宋体"/>
                <w:color w:val="auto"/>
                <w:sz w:val="21"/>
                <w:szCs w:val="21"/>
              </w:rPr>
              <w:t>“三线一单”</w:t>
            </w:r>
            <w:r>
              <w:rPr>
                <w:rFonts w:hint="eastAsia" w:ascii="宋体" w:hAnsi="宋体" w:eastAsia="宋体" w:cs="宋体"/>
                <w:color w:val="auto"/>
                <w:sz w:val="21"/>
                <w:szCs w:val="21"/>
                <w:lang w:val="en-US" w:eastAsia="zh-CN"/>
              </w:rPr>
              <w:t>政</w:t>
            </w:r>
            <w:r>
              <w:rPr>
                <w:rFonts w:hint="eastAsia" w:ascii="Times New Roman" w:hAnsi="Times New Roman" w:cs="Times New Roman"/>
                <w:color w:val="auto"/>
                <w:sz w:val="21"/>
                <w:szCs w:val="21"/>
                <w:lang w:val="en-US" w:eastAsia="zh-CN"/>
              </w:rPr>
              <w:t>策</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不</w:t>
            </w:r>
            <w:r>
              <w:rPr>
                <w:rFonts w:hint="eastAsia" w:cs="Times New Roman"/>
                <w:color w:val="auto"/>
                <w:sz w:val="21"/>
                <w:szCs w:val="21"/>
                <w:lang w:val="en-US" w:eastAsia="zh-CN"/>
              </w:rPr>
              <w:t>涉及</w:t>
            </w:r>
            <w:r>
              <w:rPr>
                <w:rFonts w:hint="default" w:ascii="Times New Roman" w:hAnsi="Times New Roman" w:eastAsia="宋体" w:cs="Times New Roman"/>
                <w:color w:val="auto"/>
                <w:sz w:val="21"/>
                <w:szCs w:val="21"/>
              </w:rPr>
              <w:t>将大气污染物排放强度高、治理难度大的工艺和装备</w:t>
            </w:r>
            <w:r>
              <w:rPr>
                <w:rFonts w:hint="default"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因此</w:t>
            </w:r>
            <w:r>
              <w:rPr>
                <w:rFonts w:hint="eastAsia" w:cs="Times New Roman"/>
                <w:bCs/>
                <w:color w:val="auto"/>
                <w:sz w:val="21"/>
                <w:szCs w:val="21"/>
                <w:lang w:val="en-US" w:eastAsia="zh-CN"/>
              </w:rPr>
              <w:t>本工程</w:t>
            </w:r>
            <w:r>
              <w:rPr>
                <w:rFonts w:hint="default" w:ascii="Times New Roman" w:hAnsi="Times New Roman" w:eastAsia="宋体" w:cs="Times New Roman"/>
                <w:color w:val="auto"/>
                <w:sz w:val="21"/>
                <w:szCs w:val="21"/>
              </w:rPr>
              <w:t>符合要求。</w:t>
            </w:r>
          </w:p>
        </w:tc>
      </w:tr>
      <w:tr w14:paraId="16C5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39C0C0D6">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6299D5F0">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1.3</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新建、改建、扩建</w:t>
            </w:r>
            <w:r>
              <w:rPr>
                <w:rFonts w:hint="eastAsia" w:ascii="宋体" w:hAnsi="宋体" w:eastAsia="宋体" w:cs="宋体"/>
                <w:color w:val="auto"/>
                <w:sz w:val="21"/>
                <w:szCs w:val="21"/>
              </w:rPr>
              <w:t>“两高”项目</w:t>
            </w:r>
            <w:r>
              <w:rPr>
                <w:rFonts w:hint="default" w:ascii="Times New Roman" w:hAnsi="Times New Roman" w:eastAsia="宋体" w:cs="Times New Roman"/>
                <w:color w:val="auto"/>
                <w:sz w:val="21"/>
                <w:szCs w:val="21"/>
              </w:rPr>
              <w:t>须符合生态环境保护法律法规和相关法定规划，满足重点污染物排放总量控制、碳排放达峰目标、生态环境准入清单、相关规划环评和相应行业建设项目环境准入条件、环评文件审批原则要求。</w:t>
            </w:r>
          </w:p>
        </w:tc>
        <w:tc>
          <w:tcPr>
            <w:tcW w:w="0" w:type="auto"/>
            <w:shd w:val="clear" w:color="auto" w:fill="auto"/>
            <w:vAlign w:val="center"/>
          </w:tcPr>
          <w:p w14:paraId="753E1F17">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eastAsia="zh-CN"/>
              </w:rPr>
              <w:t>本工程</w:t>
            </w:r>
            <w:r>
              <w:rPr>
                <w:rFonts w:hint="eastAsia" w:cs="Times New Roman"/>
                <w:color w:val="auto"/>
                <w:sz w:val="21"/>
                <w:szCs w:val="21"/>
                <w:lang w:val="en-US" w:eastAsia="zh-CN"/>
              </w:rPr>
              <w:t>不属</w:t>
            </w:r>
            <w:r>
              <w:rPr>
                <w:rFonts w:hint="eastAsia" w:ascii="宋体" w:hAnsi="宋体" w:eastAsia="宋体" w:cs="宋体"/>
                <w:color w:val="auto"/>
                <w:sz w:val="21"/>
                <w:szCs w:val="21"/>
                <w:lang w:val="en-US" w:eastAsia="zh-CN"/>
              </w:rPr>
              <w:t>于</w:t>
            </w:r>
            <w:r>
              <w:rPr>
                <w:rFonts w:hint="eastAsia" w:ascii="宋体" w:hAnsi="宋体" w:eastAsia="宋体" w:cs="宋体"/>
                <w:color w:val="auto"/>
                <w:sz w:val="21"/>
                <w:szCs w:val="21"/>
              </w:rPr>
              <w:t>“两高”</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建设符合生态环境保护法律法规和相关法定规划以及满足《新疆维吾尔自治区重点行业生态环境准入条件（2024年）》中陆地石油天然气开发行业要求，因此</w:t>
            </w:r>
            <w:r>
              <w:rPr>
                <w:rFonts w:hint="eastAsia" w:cs="Times New Roman"/>
                <w:color w:val="auto"/>
                <w:sz w:val="21"/>
                <w:szCs w:val="21"/>
                <w:lang w:val="en-US" w:eastAsia="zh-CN"/>
              </w:rPr>
              <w:t>本工程</w:t>
            </w:r>
            <w:r>
              <w:rPr>
                <w:rFonts w:hint="default" w:ascii="Times New Roman" w:hAnsi="Times New Roman" w:eastAsia="宋体" w:cs="Times New Roman"/>
                <w:color w:val="auto"/>
                <w:sz w:val="21"/>
                <w:szCs w:val="21"/>
              </w:rPr>
              <w:t>符合要求。</w:t>
            </w:r>
          </w:p>
        </w:tc>
      </w:tr>
      <w:tr w14:paraId="43CB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08597B55">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7DA8998A">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1.4 独山子区建成区淘汰65蒸吨/小时以下的燃煤锅炉，其他区建成区淘汰35蒸吨/小时及以下的燃煤锅炉。推进供热管网建设，充分释放和提高供热能力，淘汰管网覆盖范围内的燃煤锅炉。</w:t>
            </w:r>
          </w:p>
        </w:tc>
        <w:tc>
          <w:tcPr>
            <w:tcW w:w="0" w:type="auto"/>
            <w:shd w:val="clear" w:color="auto" w:fill="auto"/>
            <w:vAlign w:val="center"/>
          </w:tcPr>
          <w:p w14:paraId="3AFFCDF2">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本工程</w:t>
            </w:r>
            <w:r>
              <w:rPr>
                <w:rFonts w:hint="eastAsia" w:ascii="Times New Roman" w:hAnsi="Times New Roman" w:eastAsia="宋体" w:cs="Times New Roman"/>
                <w:color w:val="auto"/>
                <w:sz w:val="21"/>
                <w:szCs w:val="21"/>
                <w:vertAlign w:val="baseline"/>
                <w:lang w:val="en-US" w:eastAsia="zh-CN"/>
              </w:rPr>
              <w:t>位于克拉玛依市乌尔禾区且</w:t>
            </w:r>
            <w:r>
              <w:rPr>
                <w:rFonts w:hint="default" w:ascii="Times New Roman" w:hAnsi="Times New Roman" w:eastAsia="宋体" w:cs="Times New Roman"/>
                <w:color w:val="auto"/>
                <w:sz w:val="21"/>
                <w:szCs w:val="21"/>
                <w:vertAlign w:val="baseline"/>
                <w:lang w:val="en-US" w:eastAsia="zh-CN"/>
              </w:rPr>
              <w:t>不</w:t>
            </w:r>
            <w:r>
              <w:rPr>
                <w:rFonts w:hint="eastAsia" w:ascii="Times New Roman" w:hAnsi="Times New Roman" w:eastAsia="宋体" w:cs="Times New Roman"/>
                <w:color w:val="auto"/>
                <w:sz w:val="21"/>
                <w:szCs w:val="21"/>
                <w:vertAlign w:val="baseline"/>
                <w:lang w:val="en-US" w:eastAsia="zh-CN"/>
              </w:rPr>
              <w:t>涉及</w:t>
            </w:r>
            <w:r>
              <w:rPr>
                <w:rFonts w:hint="default" w:ascii="Times New Roman" w:hAnsi="Times New Roman" w:eastAsia="宋体" w:cs="Times New Roman"/>
                <w:color w:val="auto"/>
                <w:sz w:val="21"/>
                <w:szCs w:val="21"/>
                <w:vertAlign w:val="baseline"/>
                <w:lang w:val="en-US" w:eastAsia="zh-CN"/>
              </w:rPr>
              <w:t>新建燃煤锅炉，</w:t>
            </w:r>
            <w:r>
              <w:rPr>
                <w:rFonts w:hint="eastAsia" w:ascii="Times New Roman" w:hAnsi="Times New Roman" w:eastAsia="宋体" w:cs="Times New Roman"/>
                <w:color w:val="auto"/>
                <w:sz w:val="21"/>
                <w:szCs w:val="21"/>
                <w:vertAlign w:val="baseline"/>
                <w:lang w:val="en-US" w:eastAsia="zh-CN"/>
              </w:rPr>
              <w:t>因此</w:t>
            </w:r>
            <w:r>
              <w:rPr>
                <w:rFonts w:hint="eastAsia" w:cs="Times New Roman"/>
                <w:color w:val="auto"/>
                <w:sz w:val="21"/>
                <w:szCs w:val="21"/>
                <w:vertAlign w:val="baseline"/>
                <w:lang w:val="en-US" w:eastAsia="zh-CN"/>
              </w:rPr>
              <w:t>本工程</w:t>
            </w:r>
            <w:r>
              <w:rPr>
                <w:rFonts w:hint="default" w:ascii="Times New Roman" w:hAnsi="Times New Roman" w:eastAsia="宋体" w:cs="Times New Roman"/>
                <w:color w:val="auto"/>
                <w:sz w:val="21"/>
                <w:szCs w:val="21"/>
                <w:vertAlign w:val="baseline"/>
                <w:lang w:val="en-US" w:eastAsia="zh-CN"/>
              </w:rPr>
              <w:t>符合要求。</w:t>
            </w:r>
          </w:p>
        </w:tc>
      </w:tr>
      <w:tr w14:paraId="7921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2B44EC4E">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1DF3F7A5">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1.5 在城市城区及其近郊禁止新建、扩建钢铁、有色、石化、水泥、化工等重污染企业。</w:t>
            </w:r>
          </w:p>
        </w:tc>
        <w:tc>
          <w:tcPr>
            <w:tcW w:w="0" w:type="auto"/>
            <w:shd w:val="clear" w:color="auto" w:fill="auto"/>
            <w:vAlign w:val="center"/>
          </w:tcPr>
          <w:p w14:paraId="2B92B956">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本工程位于克拉玛依市乌尔禾区，属于陆地石油开采，不属于钢铁、有色、石化、水泥、化工等重污染企业</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因此项目</w:t>
            </w:r>
            <w:r>
              <w:rPr>
                <w:rFonts w:hint="default" w:ascii="Times New Roman" w:hAnsi="Times New Roman" w:eastAsia="宋体" w:cs="Times New Roman"/>
                <w:color w:val="auto"/>
                <w:sz w:val="21"/>
                <w:szCs w:val="21"/>
              </w:rPr>
              <w:t>符合要求。</w:t>
            </w:r>
          </w:p>
        </w:tc>
      </w:tr>
      <w:tr w14:paraId="7998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4411ED01">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7ED7F2E0">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1.6 严格建成区施工扬尘监管，建立扬尘控制责任制度。加强道路扬尘综合整治，严格渣土运输车辆规范化管理。加强露天矿山综合治理。加强农业大气氨污染防治。</w:t>
            </w:r>
          </w:p>
        </w:tc>
        <w:tc>
          <w:tcPr>
            <w:tcW w:w="0" w:type="auto"/>
            <w:shd w:val="clear" w:color="auto" w:fill="auto"/>
            <w:vAlign w:val="center"/>
          </w:tcPr>
          <w:p w14:paraId="47FCC626">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eastAsia="zh-CN"/>
              </w:rPr>
              <w:t>本工程</w:t>
            </w:r>
            <w:r>
              <w:rPr>
                <w:rFonts w:hint="eastAsia" w:ascii="Times New Roman" w:hAnsi="Times New Roman" w:eastAsia="宋体" w:cs="Times New Roman"/>
                <w:color w:val="auto"/>
                <w:sz w:val="21"/>
                <w:szCs w:val="21"/>
                <w:lang w:val="en-US" w:eastAsia="zh-CN"/>
              </w:rPr>
              <w:t>施工过程中</w:t>
            </w:r>
            <w:r>
              <w:rPr>
                <w:rFonts w:hint="eastAsia" w:cs="Times New Roman"/>
                <w:color w:val="auto"/>
                <w:sz w:val="21"/>
                <w:szCs w:val="21"/>
                <w:lang w:val="en-US" w:eastAsia="zh-CN"/>
              </w:rPr>
              <w:t>严格落实施工扬尘监管，施工车辆行驶过程中控制车速降低道路扬尘起尘量，因此项目符合要求</w:t>
            </w:r>
            <w:r>
              <w:rPr>
                <w:rFonts w:hint="default" w:ascii="Times New Roman" w:hAnsi="Times New Roman" w:eastAsia="宋体" w:cs="Times New Roman"/>
                <w:color w:val="auto"/>
                <w:sz w:val="21"/>
                <w:szCs w:val="21"/>
              </w:rPr>
              <w:t>。</w:t>
            </w:r>
          </w:p>
        </w:tc>
      </w:tr>
      <w:tr w14:paraId="63B4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7A324B65">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7EC6E7AA">
            <w:pPr>
              <w:autoSpaceDE w:val="0"/>
              <w:autoSpaceDN w:val="0"/>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lang w:bidi="en-US"/>
              </w:rPr>
              <w:t>1.</w:t>
            </w:r>
            <w:r>
              <w:rPr>
                <w:rFonts w:hint="default" w:ascii="Times New Roman" w:hAnsi="Times New Roman" w:eastAsia="宋体" w:cs="Times New Roman"/>
                <w:bCs w:val="0"/>
                <w:color w:val="auto"/>
                <w:sz w:val="21"/>
                <w:szCs w:val="21"/>
                <w:lang w:val="en-US" w:eastAsia="zh-CN" w:bidi="en-US"/>
              </w:rPr>
              <w:t>7</w:t>
            </w:r>
            <w:r>
              <w:rPr>
                <w:rFonts w:hint="default" w:ascii="Times New Roman" w:hAnsi="Times New Roman" w:eastAsia="宋体" w:cs="Times New Roman"/>
                <w:bCs w:val="0"/>
                <w:color w:val="auto"/>
                <w:sz w:val="21"/>
                <w:szCs w:val="21"/>
                <w:lang w:bidi="en-US"/>
              </w:rPr>
              <w:t xml:space="preserve"> 禁止任何单位和个人在基本农田保护区内建窑、建房、建坟、挖砂、采石、采矿、取土、堆放固体废弃物或者进行其他破坏基本农田的活动；禁止任何单位和个人占用基本农田发展林果业和挖塘养鱼。</w:t>
            </w:r>
          </w:p>
        </w:tc>
        <w:tc>
          <w:tcPr>
            <w:tcW w:w="0" w:type="auto"/>
            <w:shd w:val="clear" w:color="auto" w:fill="auto"/>
            <w:vAlign w:val="center"/>
          </w:tcPr>
          <w:p w14:paraId="2D9F9198">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本工程位于乌尔禾区，根据永久基本农田查询平台，项目不占用基本农田，因此项目符合要求。</w:t>
            </w:r>
          </w:p>
        </w:tc>
      </w:tr>
      <w:tr w14:paraId="34F7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73FED8C6">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61DE8365">
            <w:pPr>
              <w:autoSpaceDE w:val="0"/>
              <w:autoSpaceDN w:val="0"/>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lang w:bidi="en-US"/>
              </w:rPr>
              <w:t>1.</w:t>
            </w:r>
            <w:r>
              <w:rPr>
                <w:rFonts w:hint="default" w:ascii="Times New Roman" w:hAnsi="Times New Roman" w:eastAsia="宋体" w:cs="Times New Roman"/>
                <w:bCs w:val="0"/>
                <w:color w:val="auto"/>
                <w:sz w:val="21"/>
                <w:szCs w:val="21"/>
                <w:lang w:val="en-US" w:eastAsia="zh-CN" w:bidi="en-US"/>
              </w:rPr>
              <w:t>8</w:t>
            </w:r>
            <w:r>
              <w:rPr>
                <w:rFonts w:hint="default" w:ascii="Times New Roman" w:hAnsi="Times New Roman" w:eastAsia="宋体" w:cs="Times New Roman"/>
                <w:bCs w:val="0"/>
                <w:color w:val="auto"/>
                <w:sz w:val="21"/>
                <w:szCs w:val="21"/>
                <w:lang w:bidi="en-US"/>
              </w:rPr>
              <w:t xml:space="preserve"> </w:t>
            </w:r>
            <w:r>
              <w:rPr>
                <w:rFonts w:hint="default" w:ascii="Times New Roman" w:hAnsi="Times New Roman" w:eastAsia="宋体" w:cs="Times New Roman"/>
                <w:bCs w:val="0"/>
                <w:color w:val="auto"/>
                <w:sz w:val="21"/>
                <w:szCs w:val="21"/>
                <w:lang w:val="en-US" w:eastAsia="zh-CN" w:bidi="en-US"/>
              </w:rPr>
              <w:t>严禁</w:t>
            </w:r>
            <w:r>
              <w:rPr>
                <w:rFonts w:hint="default" w:ascii="Times New Roman" w:hAnsi="Times New Roman" w:eastAsia="宋体" w:cs="Times New Roman"/>
                <w:bCs w:val="0"/>
                <w:color w:val="auto"/>
                <w:sz w:val="21"/>
                <w:szCs w:val="21"/>
                <w:lang w:bidi="en-US"/>
              </w:rPr>
              <w:t>在优先保护类耕地集中区域新建有色金属冶炼、石油加工、化工、焦化、电镀、制革等行业企业，现有相关行业企业要采用新技术、新工艺，加快提标升级改造步伐。</w:t>
            </w:r>
          </w:p>
        </w:tc>
        <w:tc>
          <w:tcPr>
            <w:tcW w:w="0" w:type="auto"/>
            <w:shd w:val="clear" w:color="auto" w:fill="auto"/>
            <w:vAlign w:val="center"/>
          </w:tcPr>
          <w:p w14:paraId="62E5364F">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本工程位于乌尔禾区，所属区域主要用于采矿，不属于优先保护类耕地，建设内容不属于</w:t>
            </w:r>
            <w:r>
              <w:rPr>
                <w:rFonts w:hint="default" w:ascii="Times New Roman" w:hAnsi="Times New Roman" w:eastAsia="宋体" w:cs="Times New Roman"/>
                <w:bCs w:val="0"/>
                <w:color w:val="auto"/>
                <w:sz w:val="21"/>
                <w:szCs w:val="21"/>
                <w:lang w:bidi="en-US"/>
              </w:rPr>
              <w:t>有色金属冶炼、石油加工、化工、焦化、电镀、制革等行业企业</w:t>
            </w:r>
            <w:r>
              <w:rPr>
                <w:rFonts w:hint="eastAsia" w:ascii="Times New Roman" w:hAnsi="Times New Roman" w:cs="Times New Roman"/>
                <w:bCs w:val="0"/>
                <w:color w:val="auto"/>
                <w:sz w:val="21"/>
                <w:szCs w:val="21"/>
                <w:lang w:eastAsia="zh-CN" w:bidi="en-US"/>
              </w:rPr>
              <w:t>，</w:t>
            </w:r>
            <w:r>
              <w:rPr>
                <w:rFonts w:hint="eastAsia" w:cs="Times New Roman"/>
                <w:bCs w:val="0"/>
                <w:color w:val="auto"/>
                <w:sz w:val="21"/>
                <w:szCs w:val="21"/>
                <w:lang w:val="en-US" w:eastAsia="zh-CN" w:bidi="en-US"/>
              </w:rPr>
              <w:t>因此项目</w:t>
            </w:r>
            <w:r>
              <w:rPr>
                <w:rFonts w:hint="eastAsia" w:ascii="Times New Roman" w:hAnsi="Times New Roman" w:cs="Times New Roman"/>
                <w:bCs w:val="0"/>
                <w:color w:val="auto"/>
                <w:sz w:val="21"/>
                <w:szCs w:val="21"/>
                <w:lang w:val="en-US" w:eastAsia="zh-CN" w:bidi="en-US"/>
              </w:rPr>
              <w:t>符合要求。</w:t>
            </w:r>
          </w:p>
        </w:tc>
      </w:tr>
      <w:tr w14:paraId="1706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573F3E14">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1BBFD5AA">
            <w:pPr>
              <w:autoSpaceDE w:val="0"/>
              <w:autoSpaceDN w:val="0"/>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rPr>
              <w:t>1.</w:t>
            </w:r>
            <w:r>
              <w:rPr>
                <w:rFonts w:hint="default" w:ascii="Times New Roman" w:hAnsi="Times New Roman" w:eastAsia="宋体" w:cs="Times New Roman"/>
                <w:bCs w:val="0"/>
                <w:color w:val="auto"/>
                <w:sz w:val="21"/>
                <w:szCs w:val="21"/>
                <w:lang w:val="en-US" w:eastAsia="zh-CN"/>
              </w:rPr>
              <w:t>9</w:t>
            </w:r>
            <w:r>
              <w:rPr>
                <w:rFonts w:hint="default" w:ascii="Times New Roman" w:hAnsi="Times New Roman" w:eastAsia="宋体" w:cs="Times New Roman"/>
                <w:bCs w:val="0"/>
                <w:color w:val="auto"/>
                <w:sz w:val="21"/>
                <w:szCs w:val="21"/>
              </w:rPr>
              <w:t xml:space="preserve"> 制定优先保护类耕地保护办法或相关管理制度，进一步强化保护力度。依法将符合条件的优先保护类耕地划为永久基础农田，实施严格保护，确保其面积不减少、土壤环境质量不下降，除法律规定的重点建设项目确实无法避让外，不得新建任何项目占用。到2025年，全市优先保护类耕地面积与2020年相对保持稳定。</w:t>
            </w:r>
          </w:p>
        </w:tc>
        <w:tc>
          <w:tcPr>
            <w:tcW w:w="0" w:type="auto"/>
            <w:shd w:val="clear" w:color="auto" w:fill="auto"/>
            <w:vAlign w:val="center"/>
          </w:tcPr>
          <w:p w14:paraId="62B8E695">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本工程不占用</w:t>
            </w:r>
            <w:r>
              <w:rPr>
                <w:rFonts w:hint="default" w:ascii="Times New Roman" w:hAnsi="Times New Roman" w:eastAsia="宋体" w:cs="Times New Roman"/>
                <w:bCs w:val="0"/>
                <w:color w:val="auto"/>
                <w:sz w:val="21"/>
                <w:szCs w:val="21"/>
              </w:rPr>
              <w:t>保护类耕地</w:t>
            </w:r>
            <w:r>
              <w:rPr>
                <w:rFonts w:hint="eastAsia" w:ascii="Times New Roman" w:hAnsi="Times New Roman" w:cs="Times New Roman"/>
                <w:bCs w:val="0"/>
                <w:color w:val="auto"/>
                <w:sz w:val="21"/>
                <w:szCs w:val="21"/>
                <w:lang w:eastAsia="zh-CN"/>
              </w:rPr>
              <w:t>，</w:t>
            </w:r>
            <w:r>
              <w:rPr>
                <w:rFonts w:hint="eastAsia" w:cs="Times New Roman"/>
                <w:color w:val="auto"/>
                <w:sz w:val="21"/>
                <w:szCs w:val="21"/>
                <w:lang w:val="en-US" w:eastAsia="zh-CN"/>
              </w:rPr>
              <w:t>根据永久基本农田查询平台，项目占地不属于基本农田，因此项目</w:t>
            </w:r>
            <w:r>
              <w:rPr>
                <w:rFonts w:hint="eastAsia" w:ascii="Times New Roman" w:hAnsi="Times New Roman" w:cs="Times New Roman"/>
                <w:bCs w:val="0"/>
                <w:color w:val="auto"/>
                <w:sz w:val="21"/>
                <w:szCs w:val="21"/>
                <w:lang w:val="en-US" w:eastAsia="zh-CN"/>
              </w:rPr>
              <w:t>符合要求。</w:t>
            </w:r>
          </w:p>
        </w:tc>
      </w:tr>
      <w:tr w14:paraId="39BF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4F6C5292">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39ED782A">
            <w:pPr>
              <w:autoSpaceDE w:val="0"/>
              <w:autoSpaceDN w:val="0"/>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rPr>
              <w:t>1.</w:t>
            </w:r>
            <w:r>
              <w:rPr>
                <w:rFonts w:hint="default" w:ascii="Times New Roman" w:hAnsi="Times New Roman" w:eastAsia="宋体" w:cs="Times New Roman"/>
                <w:bCs w:val="0"/>
                <w:color w:val="auto"/>
                <w:sz w:val="21"/>
                <w:szCs w:val="21"/>
                <w:lang w:val="en-US" w:eastAsia="zh-CN"/>
              </w:rPr>
              <w:t>10</w:t>
            </w:r>
            <w:r>
              <w:rPr>
                <w:rFonts w:hint="default" w:ascii="Times New Roman" w:hAnsi="Times New Roman" w:eastAsia="宋体" w:cs="Times New Roman"/>
                <w:bCs w:val="0"/>
                <w:color w:val="auto"/>
                <w:sz w:val="21"/>
                <w:szCs w:val="21"/>
              </w:rPr>
              <w:t xml:space="preserve"> 将建设用地土壤环境管理要求与国土空间规划等相关规划衔接，在制定相关规划时，应充分考虑建设用地土壤环境风险，合理确定土地用途。全市要结合土壤污染状况详查情况，以及用途拟变更为居住和商业、学校、医疗、养老机构等的石油、石化、垃圾填埋场、污泥处置等相关用地开展土壤环境状况调查评估，按照</w:t>
            </w:r>
            <w:r>
              <w:rPr>
                <w:rFonts w:hint="eastAsia" w:ascii="宋体" w:hAnsi="宋体" w:eastAsia="宋体" w:cs="宋体"/>
                <w:bCs w:val="0"/>
                <w:color w:val="auto"/>
                <w:sz w:val="21"/>
                <w:szCs w:val="21"/>
              </w:rPr>
              <w:t>“谁污染、谁治理，谁使用，谁负责”的</w:t>
            </w:r>
            <w:r>
              <w:rPr>
                <w:rFonts w:hint="default" w:ascii="Times New Roman" w:hAnsi="Times New Roman" w:eastAsia="宋体" w:cs="Times New Roman"/>
                <w:bCs w:val="0"/>
                <w:color w:val="auto"/>
                <w:sz w:val="21"/>
                <w:szCs w:val="21"/>
              </w:rPr>
              <w:t>原则，土地储备、出让、收回、续期前，应由土地使用权人负责开展调查评估；已经收回的，由市、区两级人民政府负责开展调查评估。</w:t>
            </w:r>
          </w:p>
        </w:tc>
        <w:tc>
          <w:tcPr>
            <w:tcW w:w="0" w:type="auto"/>
            <w:shd w:val="clear" w:color="auto" w:fill="auto"/>
            <w:vAlign w:val="center"/>
          </w:tcPr>
          <w:p w14:paraId="4A98FFA4">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根据收集到的资料，区域在开展环境影响评价时均对土壤环境进行了评价，</w:t>
            </w:r>
            <w:r>
              <w:rPr>
                <w:rFonts w:hint="default" w:ascii="Times New Roman" w:hAnsi="Times New Roman" w:eastAsia="宋体" w:cs="Times New Roman"/>
                <w:color w:val="auto"/>
                <w:sz w:val="21"/>
                <w:szCs w:val="21"/>
                <w:lang w:eastAsia="zh-CN"/>
              </w:rPr>
              <w:t>本次</w:t>
            </w:r>
            <w:r>
              <w:rPr>
                <w:rFonts w:hint="default" w:ascii="Times New Roman" w:hAnsi="Times New Roman" w:eastAsia="宋体" w:cs="Times New Roman"/>
                <w:color w:val="auto"/>
                <w:sz w:val="21"/>
                <w:szCs w:val="21"/>
              </w:rPr>
              <w:t>报告中提出了相应的防范土壤污染的具体措施，</w:t>
            </w:r>
            <w:r>
              <w:rPr>
                <w:rFonts w:hint="eastAsia" w:cs="Times New Roman"/>
                <w:color w:val="auto"/>
                <w:sz w:val="21"/>
                <w:szCs w:val="21"/>
                <w:lang w:val="en-US" w:eastAsia="zh-CN"/>
              </w:rPr>
              <w:t>本工程</w:t>
            </w:r>
            <w:r>
              <w:rPr>
                <w:rFonts w:hint="eastAsia" w:ascii="Times New Roman" w:hAnsi="Times New Roman" w:eastAsia="宋体" w:cs="Times New Roman"/>
                <w:color w:val="auto"/>
                <w:sz w:val="21"/>
                <w:szCs w:val="21"/>
                <w:lang w:val="en-US" w:eastAsia="zh-CN"/>
              </w:rPr>
              <w:t>不涉及用途变更情况，因此项目</w:t>
            </w:r>
            <w:r>
              <w:rPr>
                <w:rFonts w:hint="default" w:ascii="Times New Roman" w:hAnsi="Times New Roman" w:eastAsia="宋体" w:cs="Times New Roman"/>
                <w:color w:val="auto"/>
                <w:sz w:val="21"/>
                <w:szCs w:val="21"/>
              </w:rPr>
              <w:t>符合要求。</w:t>
            </w:r>
          </w:p>
        </w:tc>
      </w:tr>
      <w:tr w14:paraId="5C6A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61847B7F">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510275CF">
            <w:pPr>
              <w:autoSpaceDE w:val="0"/>
              <w:autoSpaceDN w:val="0"/>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1.1</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 xml:space="preserve"> </w:t>
            </w:r>
            <w:r>
              <w:rPr>
                <w:rFonts w:hint="eastAsia" w:ascii="宋体" w:hAnsi="宋体" w:eastAsia="宋体" w:cs="宋体"/>
                <w:color w:val="auto"/>
                <w:sz w:val="21"/>
                <w:szCs w:val="21"/>
              </w:rPr>
              <w:t>采取“净土收储”的模式</w:t>
            </w:r>
            <w:r>
              <w:rPr>
                <w:rFonts w:hint="default" w:ascii="Times New Roman" w:hAnsi="Times New Roman" w:eastAsia="宋体" w:cs="Times New Roman"/>
                <w:color w:val="auto"/>
                <w:sz w:val="21"/>
                <w:szCs w:val="21"/>
              </w:rPr>
              <w:t>，严格污染地块用途管制，落实准入管理要求。列入建设用地土壤污染风险管控和修复名录的地块，对暂不开发利用的污染地块，实施以防止污染扩散为目的的风险管控。对拟开发利用为居住用地和商业、学校、医疗、养老机构等公共设施用地的污染地块，实施以安全利用为目的的风险管控和修复措施，未达到土壤污染风险评估报告确定的风险管控、修复目标的建设</w:t>
            </w:r>
            <w:r>
              <w:rPr>
                <w:rFonts w:hint="default" w:ascii="Times New Roman" w:hAnsi="Times New Roman" w:eastAsia="宋体" w:cs="Times New Roman"/>
                <w:color w:val="auto"/>
                <w:spacing w:val="0"/>
                <w:sz w:val="21"/>
                <w:szCs w:val="21"/>
              </w:rPr>
              <w:t>用地地块，禁止开工建设任何与风险管控、修复无关的项目。</w:t>
            </w:r>
          </w:p>
        </w:tc>
        <w:tc>
          <w:tcPr>
            <w:tcW w:w="0" w:type="auto"/>
            <w:shd w:val="clear" w:color="auto" w:fill="auto"/>
            <w:vAlign w:val="center"/>
          </w:tcPr>
          <w:p w14:paraId="4C848171">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根据调查，项目占地不属于建设用地土壤污染风险管控和修复名录的地块，本工程正常情况下不会造成土壤污染，因此符合要求。</w:t>
            </w:r>
          </w:p>
        </w:tc>
      </w:tr>
      <w:tr w14:paraId="3468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shd w:val="clear" w:color="auto" w:fill="auto"/>
            <w:vAlign w:val="center"/>
          </w:tcPr>
          <w:p w14:paraId="324D90CD">
            <w:pPr>
              <w:autoSpaceDE w:val="0"/>
              <w:autoSpaceDN w:val="0"/>
              <w:adjustRightInd w:val="0"/>
              <w:snapToGrid w:val="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克拉玛依市</w:t>
            </w:r>
            <w:r>
              <w:rPr>
                <w:rFonts w:hint="eastAsia" w:ascii="Times New Roman" w:hAnsi="Times New Roman" w:eastAsia="宋体" w:cs="Times New Roman"/>
                <w:b/>
                <w:bCs/>
                <w:color w:val="auto"/>
                <w:sz w:val="21"/>
                <w:szCs w:val="21"/>
                <w:lang w:val="en-US" w:eastAsia="zh-CN"/>
              </w:rPr>
              <w:t>一般</w:t>
            </w:r>
            <w:r>
              <w:rPr>
                <w:rFonts w:hint="default" w:ascii="Times New Roman" w:hAnsi="Times New Roman" w:eastAsia="宋体" w:cs="Times New Roman"/>
                <w:b/>
                <w:bCs/>
                <w:color w:val="auto"/>
                <w:sz w:val="21"/>
                <w:szCs w:val="21"/>
              </w:rPr>
              <w:t>管控单元分类管控要求</w:t>
            </w:r>
          </w:p>
        </w:tc>
        <w:tc>
          <w:tcPr>
            <w:tcW w:w="3015" w:type="pct"/>
            <w:shd w:val="clear" w:color="auto" w:fill="auto"/>
            <w:vAlign w:val="center"/>
          </w:tcPr>
          <w:p w14:paraId="765DD2BC">
            <w:pPr>
              <w:pStyle w:val="24"/>
              <w:spacing w:before="312" w:after="156"/>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C1-1】建立集镇居住商业区、耕地保护区与工业功能区等集聚区块之间的防护带。严格执行畜禽养殖禁养区规定，根据区域用地和消纳水平，合理确定养殖规模。加强基本农田保护，严格限制非农项目占用耕地。</w:t>
            </w:r>
          </w:p>
        </w:tc>
        <w:tc>
          <w:tcPr>
            <w:tcW w:w="0" w:type="auto"/>
            <w:shd w:val="clear" w:color="auto" w:fill="auto"/>
            <w:vAlign w:val="center"/>
          </w:tcPr>
          <w:p w14:paraId="63CD766C">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本工程不占用</w:t>
            </w:r>
            <w:r>
              <w:rPr>
                <w:rFonts w:hint="default" w:ascii="Times New Roman" w:hAnsi="Times New Roman" w:eastAsia="宋体" w:cs="Times New Roman"/>
                <w:bCs w:val="0"/>
                <w:color w:val="auto"/>
                <w:sz w:val="21"/>
                <w:szCs w:val="21"/>
              </w:rPr>
              <w:t>保护类耕地</w:t>
            </w:r>
            <w:r>
              <w:rPr>
                <w:rFonts w:hint="eastAsia" w:ascii="Times New Roman" w:hAnsi="Times New Roman" w:cs="Times New Roman"/>
                <w:bCs w:val="0"/>
                <w:color w:val="auto"/>
                <w:sz w:val="21"/>
                <w:szCs w:val="21"/>
                <w:lang w:eastAsia="zh-CN"/>
              </w:rPr>
              <w:t>，</w:t>
            </w:r>
            <w:r>
              <w:rPr>
                <w:rFonts w:hint="eastAsia" w:cs="Times New Roman"/>
                <w:color w:val="auto"/>
                <w:sz w:val="21"/>
                <w:szCs w:val="21"/>
                <w:lang w:val="en-US" w:eastAsia="zh-CN"/>
              </w:rPr>
              <w:t>根据永久基本农田查询平台，项目占地不属于基本农田，项目属于陆地石油开采行业，不涉及畜禽养殖</w:t>
            </w:r>
            <w:r>
              <w:rPr>
                <w:rFonts w:hint="eastAsia" w:ascii="Times New Roman" w:hAnsi="Times New Roman" w:cs="Times New Roman"/>
                <w:bCs w:val="0"/>
                <w:color w:val="auto"/>
                <w:kern w:val="2"/>
                <w:sz w:val="21"/>
                <w:szCs w:val="21"/>
                <w:lang w:eastAsia="zh-CN"/>
              </w:rPr>
              <w:t>，</w:t>
            </w:r>
            <w:r>
              <w:rPr>
                <w:rFonts w:hint="eastAsia" w:ascii="Times New Roman" w:hAnsi="Times New Roman" w:cs="Times New Roman"/>
                <w:bCs w:val="0"/>
                <w:color w:val="auto"/>
                <w:kern w:val="2"/>
                <w:sz w:val="21"/>
                <w:szCs w:val="21"/>
                <w:lang w:val="en-US" w:eastAsia="zh-CN"/>
              </w:rPr>
              <w:t>因此项目符合要求。</w:t>
            </w:r>
          </w:p>
        </w:tc>
      </w:tr>
      <w:tr w14:paraId="55C8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 w:type="pct"/>
            <w:shd w:val="clear" w:color="auto" w:fill="auto"/>
            <w:vAlign w:val="center"/>
          </w:tcPr>
          <w:p w14:paraId="3E1397F6">
            <w:pPr>
              <w:autoSpaceDE w:val="0"/>
              <w:autoSpaceDN w:val="0"/>
              <w:adjustRightInd w:val="0"/>
              <w:snapToGrid w:val="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二</w:t>
            </w:r>
            <w:r>
              <w:rPr>
                <w:rFonts w:hint="eastAsia" w:ascii="Times New Roman" w:hAnsi="Times New Roman" w:eastAsia="宋体" w:cs="Times New Roman"/>
                <w:b w:val="0"/>
                <w:bCs w:val="0"/>
                <w:color w:val="auto"/>
                <w:sz w:val="21"/>
                <w:szCs w:val="21"/>
                <w:lang w:eastAsia="zh-CN"/>
              </w:rPr>
              <w:t>）</w:t>
            </w:r>
          </w:p>
        </w:tc>
        <w:tc>
          <w:tcPr>
            <w:tcW w:w="4503" w:type="pct"/>
            <w:gridSpan w:val="2"/>
            <w:shd w:val="clear" w:color="auto" w:fill="auto"/>
            <w:vAlign w:val="center"/>
          </w:tcPr>
          <w:p w14:paraId="2DBAFFD5">
            <w:pPr>
              <w:autoSpaceDE w:val="0"/>
              <w:autoSpaceDN w:val="0"/>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污染物排放管控</w:t>
            </w:r>
          </w:p>
        </w:tc>
      </w:tr>
      <w:tr w14:paraId="6A75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restart"/>
            <w:shd w:val="clear" w:color="auto" w:fill="auto"/>
            <w:vAlign w:val="center"/>
          </w:tcPr>
          <w:p w14:paraId="10C6D61E">
            <w:pPr>
              <w:autoSpaceDE w:val="0"/>
              <w:autoSpaceDN w:val="0"/>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克拉玛依市总体管控要求</w:t>
            </w:r>
          </w:p>
        </w:tc>
        <w:tc>
          <w:tcPr>
            <w:tcW w:w="3015" w:type="pct"/>
            <w:shd w:val="clear" w:color="auto" w:fill="auto"/>
            <w:vAlign w:val="center"/>
          </w:tcPr>
          <w:p w14:paraId="58E3F1C6">
            <w:pPr>
              <w:adjustRightInd/>
              <w:snapToGrid/>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2.1 重点行业污染物排放管控</w:t>
            </w:r>
          </w:p>
          <w:p w14:paraId="7A04EA45">
            <w:pPr>
              <w:adjustRightInd/>
              <w:snapToGrid/>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石化行业：以等量或减量置换方式建设的电石项目，电石炉大气污染物排放必须符合《工业炉窑大气污染物排放标准》（GB9078）中“其它炉窑”的排放标准，内部污水处理单元排水标准须满足接纳污水处理设施的接管排水标准要求。炼焦化学项目大气污染物排放和废水排放须达到《炼焦化学工业污染物排放标准》（GB16171）要求。其他石化和化学工业行业项目主要污染物排放须达到相应石油炼制工业、石油化学工业、合成树脂工业、无机化学工业污染物排放标准要求。推进工业炉窑全面达标排放。已有行业排放标准的工业炉窑</w:t>
            </w:r>
            <w:r>
              <w:rPr>
                <w:rFonts w:hint="default" w:ascii="Times New Roman" w:hAnsi="Times New Roman" w:eastAsia="宋体" w:cs="Times New Roman"/>
                <w:bCs w:val="0"/>
                <w:color w:val="auto"/>
                <w:sz w:val="21"/>
                <w:szCs w:val="21"/>
                <w:lang w:eastAsia="zh-CN" w:bidi="en-US"/>
              </w:rPr>
              <w:t>，</w:t>
            </w:r>
            <w:r>
              <w:rPr>
                <w:rFonts w:hint="default" w:ascii="Times New Roman" w:hAnsi="Times New Roman" w:eastAsia="宋体" w:cs="Times New Roman"/>
                <w:bCs w:val="0"/>
                <w:color w:val="auto"/>
                <w:sz w:val="21"/>
                <w:szCs w:val="21"/>
                <w:lang w:bidi="en-US"/>
              </w:rPr>
              <w:t>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已制定更严格地方排放标准的地区，执行地方排放标准。全面加强无组织排放管理。严格控制工业炉窑生产工艺过程及相关物料储存、输送等无组织排放，在保障生产安全的前提下，采取密闭、封闭等有效措施，有效提高废气收集率，产尘点及车间不得有可见烟粉尘外逸。</w:t>
            </w:r>
          </w:p>
          <w:p w14:paraId="0726BD7F">
            <w:pPr>
              <w:adjustRightInd/>
              <w:snapToGrid/>
              <w:jc w:val="left"/>
              <w:rPr>
                <w:rFonts w:hint="default" w:ascii="Times New Roman" w:hAnsi="Times New Roman" w:eastAsia="宋体" w:cs="Times New Roman"/>
                <w:bCs w:val="0"/>
                <w:color w:val="auto"/>
                <w:sz w:val="21"/>
                <w:szCs w:val="21"/>
                <w:lang w:val="en-US" w:eastAsia="zh-CN" w:bidi="en-US"/>
              </w:rPr>
            </w:pPr>
            <w:r>
              <w:rPr>
                <w:rFonts w:hint="default" w:ascii="Times New Roman" w:hAnsi="Times New Roman" w:eastAsia="宋体" w:cs="Times New Roman"/>
                <w:bCs w:val="0"/>
                <w:color w:val="auto"/>
                <w:sz w:val="21"/>
                <w:szCs w:val="21"/>
                <w:lang w:val="en-US" w:eastAsia="zh-CN" w:bidi="en-US"/>
              </w:rPr>
              <w:t>焦化行业：鼓励焦炉采用分段（多段）燃烧、废气循环、负压装煤等源头控制措施。脱硫、脱硝、除尘等末端治理应采用成熟稳定的污染治理技术，通过建设备用设施或多仓室改造有效减少治理设施检修时污染物排放。无组织排放采用密闭、封闭等有效措施，按照“应收尽收”原则配置废气收集设施。安装煤气自动点火放散装置，避免直接放散。</w:t>
            </w:r>
          </w:p>
          <w:p w14:paraId="1FCA4A53">
            <w:pPr>
              <w:adjustRightInd/>
              <w:snapToGrid/>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火电行业：火电机组各项污染物排放浓度满足《火电厂大气污染物排放标准》（GB13223）和其他相关排放标准要求。</w:t>
            </w:r>
          </w:p>
          <w:p w14:paraId="071DE462">
            <w:pPr>
              <w:adjustRightInd/>
              <w:snapToGrid/>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装备行业：铸造生产过程中产生粉尘、烟尘和其他废气的部位均应配置大气污染物收集及净化装置，废气排放应符合《工业炉窑大气污染物排放标准》（GB9078）《大气污染物综合排放标准》（GB16297）《锅炉大气污染物排放标准》（GB13271）及所在地污染物排放标准的要求。铸造生产过程中产生的异味排放量应符合《恶臭污染物排放标准》（GB14554）。铸造企业废砂、废渣等固体废弃物应按照《一般工业固体废物贮存、处置场污染控制标准》（GB18599）贮存和处置，并符合国家和地方环保部门要求。铸造企业产生的危险废物应按照国家和自治区危险废物管理有关法律法规要求实施无害化处置。铸造企业严格执行《铸造工业大气污染物排放标准》（GB 39726）及地方排放标准，加强无组织排放控制，不能稳定达标排放的，限期完成设施升级改造，不具备改造条件及改造后仍不能达标的，依法依规进行淘汰。鼓励铸造用生铁企业参照钢铁行业超低排放改造要求开展有组织、无组织和清洁运输超低排放改造，支持行业协会公示进展情况。</w:t>
            </w:r>
          </w:p>
          <w:p w14:paraId="5C81DA7A">
            <w:pPr>
              <w:adjustRightInd/>
              <w:snapToGrid/>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纺织服装行业：印染项目废水排放须满足《纺织染整工业水污染物排放标准》（GB4287）要求，回用水须满足《纺织染整工业回用水水质》（FZ/T01107）要求。</w:t>
            </w:r>
          </w:p>
          <w:p w14:paraId="33539FC5">
            <w:pPr>
              <w:adjustRightInd/>
              <w:snapToGrid/>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lang w:bidi="en-US"/>
              </w:rPr>
              <w:t>轻工行业：人造革及合成革项目工艺废水和工艺废气污染物排放须满足《合成革与人造革工业污染物排放标准》（GB21902）要求。</w:t>
            </w:r>
          </w:p>
        </w:tc>
        <w:tc>
          <w:tcPr>
            <w:tcW w:w="0" w:type="auto"/>
            <w:shd w:val="clear" w:color="auto" w:fill="auto"/>
            <w:vAlign w:val="center"/>
          </w:tcPr>
          <w:p w14:paraId="743C8158">
            <w:pPr>
              <w:autoSpaceDE w:val="0"/>
              <w:autoSpaceDN w:val="0"/>
              <w:adjustRightInd w:val="0"/>
              <w:snapToGrid w:val="0"/>
              <w:jc w:val="both"/>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eastAsia="zh-CN"/>
              </w:rPr>
              <w:t>本工程</w:t>
            </w:r>
            <w:r>
              <w:rPr>
                <w:rFonts w:hint="eastAsia" w:ascii="Times New Roman" w:hAnsi="Times New Roman" w:eastAsia="宋体" w:cs="Times New Roman"/>
                <w:color w:val="auto"/>
                <w:sz w:val="21"/>
                <w:szCs w:val="21"/>
                <w:lang w:val="en-US" w:eastAsia="zh-CN"/>
              </w:rPr>
              <w:t>属于陆地石油开采行业，</w:t>
            </w:r>
            <w:r>
              <w:rPr>
                <w:rFonts w:hint="eastAsia" w:cs="Times New Roman"/>
                <w:color w:val="auto"/>
                <w:sz w:val="21"/>
                <w:szCs w:val="21"/>
                <w:lang w:val="en-US" w:eastAsia="zh-CN"/>
              </w:rPr>
              <w:t>不属于石化、焦化、火电、装备、纺织服装、轻工等重点行业</w:t>
            </w:r>
            <w:r>
              <w:rPr>
                <w:rFonts w:hint="eastAsia"/>
                <w:color w:val="auto"/>
                <w:lang w:eastAsia="zh-CN"/>
              </w:rPr>
              <w:t>，</w:t>
            </w:r>
            <w:r>
              <w:rPr>
                <w:rFonts w:hint="eastAsia"/>
                <w:color w:val="auto"/>
                <w:lang w:val="en-US" w:eastAsia="zh-CN"/>
              </w:rPr>
              <w:t>因此项目符合要求</w:t>
            </w:r>
            <w:r>
              <w:rPr>
                <w:rFonts w:hint="eastAsia" w:cs="Times New Roman"/>
                <w:color w:val="auto"/>
                <w:sz w:val="21"/>
                <w:szCs w:val="21"/>
                <w:lang w:eastAsia="zh-CN"/>
              </w:rPr>
              <w:t>。</w:t>
            </w:r>
          </w:p>
        </w:tc>
      </w:tr>
      <w:tr w14:paraId="2630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shd w:val="clear" w:color="auto" w:fill="auto"/>
            <w:vAlign w:val="center"/>
          </w:tcPr>
          <w:p w14:paraId="206962F8">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39CA562A">
            <w:pPr>
              <w:adjustRightInd/>
              <w:snapToGrid/>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lang w:val="en-US" w:eastAsia="zh-CN" w:bidi="en-US"/>
              </w:rPr>
              <w:t xml:space="preserve">2.2 </w:t>
            </w:r>
            <w:r>
              <w:rPr>
                <w:rFonts w:hint="default" w:ascii="Times New Roman" w:hAnsi="Times New Roman" w:eastAsia="宋体" w:cs="Times New Roman"/>
                <w:bCs w:val="0"/>
                <w:color w:val="auto"/>
                <w:sz w:val="21"/>
                <w:szCs w:val="21"/>
                <w:lang w:bidi="en-US"/>
              </w:rPr>
              <w:t>加强挥发性有机物（VOC</w:t>
            </w:r>
            <w:r>
              <w:rPr>
                <w:rFonts w:hint="eastAsia" w:ascii="Times New Roman" w:hAnsi="Times New Roman" w:eastAsia="宋体" w:cs="Times New Roman"/>
                <w:bCs w:val="0"/>
                <w:color w:val="auto"/>
                <w:sz w:val="21"/>
                <w:szCs w:val="21"/>
                <w:lang w:val="en-US" w:eastAsia="zh-CN" w:bidi="en-US"/>
              </w:rPr>
              <w:t>s</w:t>
            </w:r>
            <w:r>
              <w:rPr>
                <w:rFonts w:hint="default" w:ascii="Times New Roman" w:hAnsi="Times New Roman" w:eastAsia="宋体" w:cs="Times New Roman"/>
                <w:bCs w:val="0"/>
                <w:color w:val="auto"/>
                <w:sz w:val="21"/>
                <w:szCs w:val="21"/>
                <w:lang w:bidi="en-US"/>
              </w:rPr>
              <w:t>）污染治理，抓好VOC</w:t>
            </w:r>
            <w:r>
              <w:rPr>
                <w:rFonts w:hint="eastAsia" w:ascii="Times New Roman" w:hAnsi="Times New Roman" w:eastAsia="宋体" w:cs="Times New Roman"/>
                <w:bCs w:val="0"/>
                <w:color w:val="auto"/>
                <w:sz w:val="21"/>
                <w:szCs w:val="21"/>
                <w:lang w:val="en-US" w:eastAsia="zh-CN" w:bidi="en-US"/>
              </w:rPr>
              <w:t>s</w:t>
            </w:r>
            <w:r>
              <w:rPr>
                <w:rFonts w:hint="default" w:ascii="Times New Roman" w:hAnsi="Times New Roman" w:eastAsia="宋体" w:cs="Times New Roman"/>
                <w:bCs w:val="0"/>
                <w:color w:val="auto"/>
                <w:sz w:val="21"/>
                <w:szCs w:val="21"/>
                <w:lang w:bidi="en-US"/>
              </w:rPr>
              <w:t>和氮氧化物协同治理。重点推进石油开采、石油炼化、包装印刷、工业涂装等重点行业VOC</w:t>
            </w:r>
            <w:r>
              <w:rPr>
                <w:rFonts w:hint="eastAsia" w:ascii="Times New Roman" w:hAnsi="Times New Roman" w:eastAsia="宋体" w:cs="Times New Roman"/>
                <w:bCs w:val="0"/>
                <w:color w:val="auto"/>
                <w:sz w:val="21"/>
                <w:szCs w:val="21"/>
                <w:lang w:val="en-US" w:eastAsia="zh-CN" w:bidi="en-US"/>
              </w:rPr>
              <w:t>s</w:t>
            </w:r>
            <w:r>
              <w:rPr>
                <w:rFonts w:hint="default" w:ascii="Times New Roman" w:hAnsi="Times New Roman" w:eastAsia="宋体" w:cs="Times New Roman"/>
                <w:bCs w:val="0"/>
                <w:color w:val="auto"/>
                <w:sz w:val="21"/>
                <w:szCs w:val="21"/>
                <w:lang w:bidi="en-US"/>
              </w:rPr>
              <w:t>污染防治，完成VOC</w:t>
            </w:r>
            <w:r>
              <w:rPr>
                <w:rFonts w:hint="eastAsia" w:ascii="Times New Roman" w:hAnsi="Times New Roman" w:eastAsia="宋体" w:cs="Times New Roman"/>
                <w:bCs w:val="0"/>
                <w:color w:val="auto"/>
                <w:sz w:val="21"/>
                <w:szCs w:val="21"/>
                <w:lang w:val="en-US" w:eastAsia="zh-CN" w:bidi="en-US"/>
              </w:rPr>
              <w:t>s</w:t>
            </w:r>
            <w:r>
              <w:rPr>
                <w:rFonts w:hint="default" w:ascii="Times New Roman" w:hAnsi="Times New Roman" w:eastAsia="宋体" w:cs="Times New Roman"/>
                <w:bCs w:val="0"/>
                <w:color w:val="auto"/>
                <w:sz w:val="21"/>
                <w:szCs w:val="21"/>
                <w:lang w:bidi="en-US"/>
              </w:rPr>
              <w:t>减排任务。</w:t>
            </w:r>
          </w:p>
        </w:tc>
        <w:tc>
          <w:tcPr>
            <w:tcW w:w="0" w:type="auto"/>
            <w:shd w:val="clear" w:color="auto" w:fill="auto"/>
            <w:vAlign w:val="center"/>
          </w:tcPr>
          <w:p w14:paraId="7F9D07AA">
            <w:pPr>
              <w:autoSpaceDE w:val="0"/>
              <w:autoSpaceDN w:val="0"/>
              <w:adjustRightInd w:val="0"/>
              <w:snapToGrid w:val="0"/>
              <w:jc w:val="both"/>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eastAsia="zh-CN"/>
              </w:rPr>
              <w:t>本工程</w:t>
            </w:r>
            <w:r>
              <w:rPr>
                <w:rFonts w:hint="eastAsia" w:cs="Times New Roman"/>
                <w:color w:val="auto"/>
                <w:sz w:val="21"/>
                <w:szCs w:val="21"/>
                <w:lang w:val="en-US" w:eastAsia="zh-CN"/>
              </w:rPr>
              <w:t>运</w:t>
            </w:r>
            <w:r>
              <w:rPr>
                <w:rFonts w:hint="default" w:ascii="Times New Roman" w:hAnsi="Times New Roman" w:eastAsia="宋体" w:cs="Times New Roman"/>
                <w:color w:val="auto"/>
                <w:sz w:val="21"/>
                <w:szCs w:val="21"/>
              </w:rPr>
              <w:t>营期</w:t>
            </w:r>
            <w:r>
              <w:rPr>
                <w:rFonts w:hint="eastAsia" w:ascii="Times New Roman" w:hAnsi="Times New Roman" w:eastAsia="宋体" w:cs="Times New Roman"/>
                <w:color w:val="auto"/>
                <w:sz w:val="21"/>
                <w:szCs w:val="21"/>
                <w:lang w:val="en-US" w:eastAsia="zh-CN"/>
              </w:rPr>
              <w:t>在</w:t>
            </w:r>
            <w:r>
              <w:rPr>
                <w:rFonts w:hint="default" w:ascii="Times New Roman" w:hAnsi="Times New Roman" w:eastAsia="宋体" w:cs="Times New Roman"/>
                <w:color w:val="auto"/>
                <w:sz w:val="21"/>
                <w:szCs w:val="21"/>
              </w:rPr>
              <w:t>油气集输转运过程中</w:t>
            </w:r>
            <w:r>
              <w:rPr>
                <w:rFonts w:hint="eastAsia" w:ascii="Times New Roman" w:hAnsi="Times New Roman" w:eastAsia="宋体" w:cs="Times New Roman"/>
                <w:color w:val="auto"/>
                <w:sz w:val="21"/>
                <w:szCs w:val="21"/>
                <w:lang w:val="en-US" w:eastAsia="zh-CN"/>
              </w:rPr>
              <w:t>会产生</w:t>
            </w:r>
            <w:r>
              <w:rPr>
                <w:rFonts w:hint="default" w:ascii="Times New Roman" w:hAnsi="Times New Roman" w:eastAsia="宋体" w:cs="Times New Roman"/>
                <w:color w:val="auto"/>
                <w:sz w:val="21"/>
                <w:szCs w:val="21"/>
              </w:rPr>
              <w:t>无组织挥发烃类气体</w:t>
            </w:r>
            <w:r>
              <w:rPr>
                <w:rFonts w:hint="eastAsia" w:ascii="Times New Roman" w:hAnsi="Times New Roman" w:eastAsia="宋体" w:cs="Times New Roman"/>
                <w:color w:val="auto"/>
                <w:sz w:val="21"/>
                <w:szCs w:val="21"/>
                <w:lang w:val="en-US" w:eastAsia="zh-CN"/>
              </w:rPr>
              <w:t>，废气产生量较小</w:t>
            </w:r>
            <w:r>
              <w:rPr>
                <w:rFonts w:hint="eastAsia" w:ascii="Times New Roman" w:hAnsi="Times New Roman" w:eastAsia="宋体" w:cs="Times New Roman"/>
                <w:bCs w:val="0"/>
                <w:color w:val="auto"/>
                <w:sz w:val="21"/>
                <w:szCs w:val="21"/>
                <w:lang w:val="en-US" w:eastAsia="zh-CN" w:bidi="en-US"/>
              </w:rPr>
              <w:t>，采取密闭集输工艺，并对管线、设备、阀门等进行定期检查、检修，能够减少无组织</w:t>
            </w:r>
            <w:r>
              <w:rPr>
                <w:rFonts w:hint="default" w:ascii="Times New Roman" w:hAnsi="Times New Roman" w:eastAsia="宋体" w:cs="Times New Roman"/>
                <w:bCs w:val="0"/>
                <w:color w:val="auto"/>
                <w:sz w:val="21"/>
                <w:szCs w:val="21"/>
                <w:lang w:bidi="en-US"/>
              </w:rPr>
              <w:t>VOC</w:t>
            </w:r>
            <w:r>
              <w:rPr>
                <w:rFonts w:hint="eastAsia" w:ascii="Times New Roman" w:hAnsi="Times New Roman" w:eastAsia="宋体" w:cs="Times New Roman"/>
                <w:bCs w:val="0"/>
                <w:color w:val="auto"/>
                <w:sz w:val="21"/>
                <w:szCs w:val="21"/>
                <w:lang w:val="en-US" w:eastAsia="zh-CN" w:bidi="en-US"/>
              </w:rPr>
              <w:t>s排放，因此项目符合要求</w:t>
            </w:r>
            <w:r>
              <w:rPr>
                <w:rFonts w:hint="eastAsia" w:cs="Times New Roman"/>
                <w:color w:val="auto"/>
                <w:sz w:val="21"/>
                <w:szCs w:val="21"/>
                <w:lang w:eastAsia="zh-CN"/>
              </w:rPr>
              <w:t>。</w:t>
            </w:r>
          </w:p>
        </w:tc>
      </w:tr>
      <w:tr w14:paraId="100A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37034398">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7907E542">
            <w:pPr>
              <w:adjustRightInd/>
              <w:snapToGrid/>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lang w:bidi="en-US"/>
              </w:rPr>
              <w:t>2.</w:t>
            </w:r>
            <w:r>
              <w:rPr>
                <w:rFonts w:hint="default" w:ascii="Times New Roman" w:hAnsi="Times New Roman" w:eastAsia="宋体" w:cs="Times New Roman"/>
                <w:bCs w:val="0"/>
                <w:color w:val="auto"/>
                <w:sz w:val="21"/>
                <w:szCs w:val="21"/>
                <w:lang w:val="en-US" w:eastAsia="zh-CN" w:bidi="en-US"/>
              </w:rPr>
              <w:t>3</w:t>
            </w:r>
            <w:r>
              <w:rPr>
                <w:rFonts w:hint="default" w:ascii="Times New Roman" w:hAnsi="Times New Roman" w:eastAsia="宋体" w:cs="Times New Roman"/>
                <w:bCs w:val="0"/>
                <w:color w:val="auto"/>
                <w:sz w:val="21"/>
                <w:szCs w:val="21"/>
                <w:lang w:bidi="en-US"/>
              </w:rPr>
              <w:t xml:space="preserve"> 加快淘汰国三及以下排放标准的柴油货车、采用稀薄燃烧技术或“油改气”的老旧燃气车辆。加强非道路移动机械污染防治，严格管控高排放非道路移动机械。推进排放不达标工程机械清洁化改造和淘汰。积极推广新能源汽车。</w:t>
            </w:r>
          </w:p>
        </w:tc>
        <w:tc>
          <w:tcPr>
            <w:tcW w:w="0" w:type="auto"/>
            <w:shd w:val="clear" w:color="auto" w:fill="auto"/>
            <w:vAlign w:val="center"/>
          </w:tcPr>
          <w:p w14:paraId="04FF4946">
            <w:pPr>
              <w:autoSpaceDE w:val="0"/>
              <w:autoSpaceDN w:val="0"/>
              <w:adjustRightInd w:val="0"/>
              <w:snapToGrid w:val="0"/>
              <w:jc w:val="both"/>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eastAsia="zh-CN"/>
              </w:rPr>
              <w:t>本工程</w:t>
            </w:r>
            <w:r>
              <w:rPr>
                <w:rFonts w:hint="eastAsia" w:cs="Times New Roman"/>
                <w:color w:val="auto"/>
                <w:sz w:val="21"/>
                <w:szCs w:val="21"/>
                <w:lang w:val="en-US" w:eastAsia="zh-CN"/>
              </w:rPr>
              <w:t>机械和车辆使用符合国标的油品，定期对车辆及机械定期保养，因此项目符合要求</w:t>
            </w:r>
            <w:r>
              <w:rPr>
                <w:rFonts w:hint="default" w:ascii="Times New Roman" w:hAnsi="Times New Roman" w:eastAsia="宋体" w:cs="Times New Roman"/>
                <w:color w:val="auto"/>
                <w:sz w:val="21"/>
                <w:szCs w:val="21"/>
              </w:rPr>
              <w:t>。</w:t>
            </w:r>
          </w:p>
        </w:tc>
      </w:tr>
      <w:tr w14:paraId="1FAA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48817575">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33909560">
            <w:pPr>
              <w:adjustRightInd w:val="0"/>
              <w:snapToGrid w:val="0"/>
              <w:rPr>
                <w:rFonts w:hint="default" w:ascii="Times New Roman" w:hAnsi="Times New Roman" w:eastAsia="宋体" w:cs="Times New Roman"/>
                <w:bCs w:val="0"/>
                <w:color w:val="auto"/>
                <w:sz w:val="21"/>
                <w:szCs w:val="21"/>
                <w:lang w:val="en-US" w:eastAsia="zh-CN" w:bidi="en-US"/>
              </w:rPr>
            </w:pPr>
            <w:r>
              <w:rPr>
                <w:rFonts w:hint="default" w:ascii="Times New Roman" w:hAnsi="Times New Roman" w:eastAsia="宋体" w:cs="Times New Roman"/>
                <w:bCs w:val="0"/>
                <w:color w:val="auto"/>
                <w:sz w:val="21"/>
                <w:szCs w:val="21"/>
                <w:lang w:bidi="en-US"/>
              </w:rPr>
              <w:t>2.</w:t>
            </w:r>
            <w:r>
              <w:rPr>
                <w:rFonts w:hint="default" w:ascii="Times New Roman" w:hAnsi="Times New Roman" w:eastAsia="宋体" w:cs="Times New Roman"/>
                <w:bCs w:val="0"/>
                <w:color w:val="auto"/>
                <w:sz w:val="21"/>
                <w:szCs w:val="21"/>
                <w:lang w:val="en-US" w:eastAsia="zh-CN" w:bidi="en-US"/>
              </w:rPr>
              <w:t>4</w:t>
            </w:r>
            <w:r>
              <w:rPr>
                <w:rFonts w:hint="default" w:ascii="Times New Roman" w:hAnsi="Times New Roman" w:eastAsia="宋体" w:cs="Times New Roman"/>
                <w:bCs w:val="0"/>
                <w:color w:val="auto"/>
                <w:sz w:val="21"/>
                <w:szCs w:val="21"/>
                <w:lang w:bidi="en-US"/>
              </w:rPr>
              <w:t xml:space="preserve"> 完善污水收集体系。通过合理确定城镇排水设施标准、布局、建设时序，达到污水有效治理、处理和利用并举，改善城镇水环境。推进管网更新改造。实施管网混错接改造、管网更新、破损修复改造等工程，实施清污分流，全面提升现有设施效能。污水处理厂执行一级A排放标准，处理后的污水可用于戈壁荒漠的植被恢复和城区周边绿化灌溉。</w:t>
            </w:r>
          </w:p>
        </w:tc>
        <w:tc>
          <w:tcPr>
            <w:tcW w:w="0" w:type="auto"/>
            <w:shd w:val="clear" w:color="auto" w:fill="auto"/>
            <w:vAlign w:val="center"/>
          </w:tcPr>
          <w:p w14:paraId="54B5C865">
            <w:pPr>
              <w:autoSpaceDE w:val="0"/>
              <w:autoSpaceDN w:val="0"/>
              <w:adjustRightInd w:val="0"/>
              <w:snapToGrid w:val="0"/>
              <w:jc w:val="both"/>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eastAsia="zh-CN"/>
              </w:rPr>
              <w:t>本工程</w:t>
            </w:r>
            <w:r>
              <w:rPr>
                <w:rFonts w:hint="default" w:ascii="Times New Roman" w:hAnsi="Times New Roman" w:eastAsia="宋体" w:cs="Times New Roman"/>
                <w:color w:val="auto"/>
                <w:sz w:val="21"/>
                <w:szCs w:val="21"/>
              </w:rPr>
              <w:t>采出液分离出的废水经</w:t>
            </w:r>
            <w:r>
              <w:rPr>
                <w:rFonts w:hint="eastAsia" w:ascii="Times New Roman" w:hAnsi="Times New Roman" w:eastAsia="宋体" w:cs="Times New Roman"/>
                <w:color w:val="auto"/>
                <w:sz w:val="21"/>
                <w:szCs w:val="21"/>
                <w:lang w:val="en-US" w:eastAsia="zh-CN"/>
              </w:rPr>
              <w:t>百口泉注输联合站</w:t>
            </w:r>
            <w:r>
              <w:rPr>
                <w:rFonts w:hint="default" w:ascii="Times New Roman" w:hAnsi="Times New Roman" w:eastAsia="宋体" w:cs="Times New Roman"/>
                <w:color w:val="auto"/>
                <w:sz w:val="21"/>
                <w:szCs w:val="21"/>
              </w:rPr>
              <w:t>采出水处理系统处理达标后</w:t>
            </w:r>
            <w:r>
              <w:rPr>
                <w:rFonts w:hint="eastAsia" w:cs="Times New Roman"/>
                <w:color w:val="auto"/>
                <w:sz w:val="21"/>
                <w:szCs w:val="21"/>
                <w:lang w:val="en-US" w:eastAsia="zh-CN"/>
              </w:rPr>
              <w:t>回注</w:t>
            </w:r>
            <w:r>
              <w:rPr>
                <w:rFonts w:hint="eastAsia" w:ascii="Times New Roman" w:hAnsi="Times New Roman" w:eastAsia="宋体" w:cs="Times New Roman"/>
                <w:color w:val="auto"/>
                <w:sz w:val="21"/>
                <w:szCs w:val="21"/>
                <w:lang w:eastAsia="zh-CN"/>
              </w:rPr>
              <w:t>，井下作业废水采用专用罐</w:t>
            </w:r>
            <w:r>
              <w:rPr>
                <w:rFonts w:hint="eastAsia" w:cs="Times New Roman"/>
                <w:color w:val="auto"/>
                <w:sz w:val="21"/>
                <w:szCs w:val="21"/>
                <w:lang w:val="en-US" w:eastAsia="zh-CN"/>
              </w:rPr>
              <w:t>车</w:t>
            </w:r>
            <w:r>
              <w:rPr>
                <w:rFonts w:hint="eastAsia" w:ascii="Times New Roman" w:hAnsi="Times New Roman" w:eastAsia="宋体" w:cs="Times New Roman"/>
                <w:color w:val="auto"/>
                <w:sz w:val="21"/>
                <w:szCs w:val="21"/>
                <w:lang w:eastAsia="zh-CN"/>
              </w:rPr>
              <w:t>收集后拉运至</w:t>
            </w:r>
            <w:r>
              <w:rPr>
                <w:rFonts w:hint="eastAsia" w:ascii="Times New Roman" w:hAnsi="Times New Roman" w:eastAsia="宋体" w:cs="Times New Roman"/>
                <w:color w:val="auto"/>
                <w:sz w:val="21"/>
                <w:szCs w:val="21"/>
                <w:lang w:val="en-US" w:eastAsia="zh-CN"/>
              </w:rPr>
              <w:t>百口泉注输联合站</w:t>
            </w:r>
            <w:r>
              <w:rPr>
                <w:rFonts w:hint="eastAsia" w:ascii="Times New Roman" w:hAnsi="Times New Roman" w:eastAsia="宋体" w:cs="Times New Roman"/>
                <w:color w:val="auto"/>
                <w:sz w:val="21"/>
                <w:szCs w:val="21"/>
                <w:lang w:eastAsia="zh-CN"/>
              </w:rPr>
              <w:t>处理，不外排入环境</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符合要求。</w:t>
            </w:r>
          </w:p>
        </w:tc>
      </w:tr>
      <w:tr w14:paraId="3385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4864828C">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7E852D22">
            <w:pPr>
              <w:adjustRightInd/>
              <w:snapToGrid/>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rPr>
              <w:t>2</w:t>
            </w:r>
            <w:r>
              <w:rPr>
                <w:rFonts w:hint="default" w:ascii="Times New Roman" w:hAnsi="Times New Roman" w:eastAsia="宋体" w:cs="Times New Roman"/>
                <w:bCs w:val="0"/>
                <w:color w:val="auto"/>
                <w:sz w:val="21"/>
                <w:szCs w:val="21"/>
                <w:lang w:val="en-US" w:eastAsia="zh-CN"/>
              </w:rPr>
              <w:t>.5</w:t>
            </w:r>
            <w:r>
              <w:rPr>
                <w:rFonts w:hint="default" w:ascii="Times New Roman" w:hAnsi="Times New Roman" w:eastAsia="宋体" w:cs="Times New Roman"/>
                <w:bCs w:val="0"/>
                <w:color w:val="auto"/>
                <w:sz w:val="21"/>
                <w:szCs w:val="21"/>
              </w:rPr>
              <w:t xml:space="preserve"> 以克拉玛依油田为重点，加强油（气）田废弃物的无害化处理和资源化利用，严防油（气）田勘探、开发、运行过程以及事故排放产生的废弃物对土壤的污染。持续开展油（气）资源开发区历史遗留污染地块治理与修复工作。</w:t>
            </w:r>
          </w:p>
        </w:tc>
        <w:tc>
          <w:tcPr>
            <w:tcW w:w="0" w:type="auto"/>
            <w:shd w:val="clear" w:color="auto" w:fill="auto"/>
            <w:vAlign w:val="center"/>
          </w:tcPr>
          <w:p w14:paraId="253D5B9C">
            <w:pPr>
              <w:autoSpaceDE w:val="0"/>
              <w:autoSpaceDN w:val="0"/>
              <w:adjustRightInd w:val="0"/>
              <w:snapToGrid w:val="0"/>
              <w:jc w:val="both"/>
              <w:rPr>
                <w:rFonts w:hint="eastAsia" w:ascii="Times New Roman" w:hAnsi="Times New Roman" w:eastAsia="宋体" w:cs="Times New Roman"/>
                <w:color w:val="auto"/>
                <w:sz w:val="21"/>
                <w:szCs w:val="21"/>
                <w:lang w:val="en-US" w:eastAsia="zh-CN" w:bidi="ar-SA"/>
              </w:rPr>
            </w:pPr>
            <w:r>
              <w:rPr>
                <w:rFonts w:hint="eastAsia" w:cs="Times New Roman"/>
                <w:bCs/>
                <w:color w:val="auto"/>
                <w:kern w:val="2"/>
                <w:sz w:val="21"/>
                <w:szCs w:val="21"/>
                <w:lang w:val="en-US" w:eastAsia="zh-CN" w:bidi="ar-SA"/>
              </w:rPr>
              <w:t>本工程产生的油泥（砂）、沾油废物等委托有危险废物处置资质的单位处置，井下作业必须带罐（车）操作，落地油100%回收，固体废物妥善处置。因此项目</w:t>
            </w:r>
            <w:r>
              <w:rPr>
                <w:rFonts w:hint="eastAsia" w:ascii="Times New Roman" w:hAnsi="Times New Roman" w:cs="Times New Roman"/>
                <w:b w:val="0"/>
                <w:snapToGrid w:val="0"/>
                <w:color w:val="auto"/>
                <w:sz w:val="21"/>
                <w:szCs w:val="21"/>
                <w:lang w:val="en-US" w:eastAsia="zh-CN"/>
              </w:rPr>
              <w:t>符合要求</w:t>
            </w:r>
            <w:r>
              <w:rPr>
                <w:rFonts w:hint="default" w:ascii="Times New Roman" w:hAnsi="Times New Roman" w:eastAsia="宋体" w:cs="Times New Roman"/>
                <w:color w:val="auto"/>
                <w:sz w:val="21"/>
                <w:szCs w:val="21"/>
              </w:rPr>
              <w:t>。</w:t>
            </w:r>
          </w:p>
        </w:tc>
      </w:tr>
      <w:tr w14:paraId="0BBD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06D40CF0">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0162AC1B">
            <w:pPr>
              <w:adjustRightInd/>
              <w:snapToGrid/>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Cs w:val="0"/>
                <w:color w:val="auto"/>
                <w:sz w:val="21"/>
                <w:szCs w:val="21"/>
              </w:rPr>
              <w:t>2.</w:t>
            </w:r>
            <w:r>
              <w:rPr>
                <w:rFonts w:hint="default" w:ascii="Times New Roman" w:hAnsi="Times New Roman" w:eastAsia="宋体" w:cs="Times New Roman"/>
                <w:bCs w:val="0"/>
                <w:color w:val="auto"/>
                <w:sz w:val="21"/>
                <w:szCs w:val="21"/>
                <w:lang w:val="en-US" w:eastAsia="zh-CN"/>
              </w:rPr>
              <w:t>6</w:t>
            </w:r>
            <w:r>
              <w:rPr>
                <w:rFonts w:hint="default" w:ascii="Times New Roman" w:hAnsi="Times New Roman" w:eastAsia="宋体" w:cs="Times New Roman"/>
                <w:bCs w:val="0"/>
                <w:color w:val="auto"/>
                <w:sz w:val="21"/>
                <w:szCs w:val="21"/>
              </w:rPr>
              <w:t xml:space="preserve"> 持续做好涉镉等重金属企业排查整治，严格执行重金属污染物排放限值，加大涉重金属企业监督检查力度，确保全市涉重金属排放企业实现稳定达标排放。</w:t>
            </w:r>
          </w:p>
        </w:tc>
        <w:tc>
          <w:tcPr>
            <w:tcW w:w="0" w:type="auto"/>
            <w:shd w:val="clear" w:color="auto" w:fill="auto"/>
            <w:vAlign w:val="center"/>
          </w:tcPr>
          <w:p w14:paraId="74AAED92">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本工程不涉及</w:t>
            </w:r>
            <w:r>
              <w:rPr>
                <w:rFonts w:hint="default" w:ascii="Times New Roman" w:hAnsi="Times New Roman" w:eastAsia="宋体" w:cs="Times New Roman"/>
                <w:bCs w:val="0"/>
                <w:color w:val="auto"/>
                <w:sz w:val="21"/>
                <w:szCs w:val="21"/>
              </w:rPr>
              <w:t>镉等重金属污染物排放</w:t>
            </w:r>
            <w:r>
              <w:rPr>
                <w:rFonts w:hint="eastAsia" w:ascii="Times New Roman" w:hAnsi="Times New Roman" w:cs="Times New Roman"/>
                <w:bCs w:val="0"/>
                <w:color w:val="auto"/>
                <w:sz w:val="21"/>
                <w:szCs w:val="21"/>
                <w:lang w:eastAsia="zh-CN"/>
              </w:rPr>
              <w:t>，</w:t>
            </w:r>
            <w:r>
              <w:rPr>
                <w:rFonts w:hint="eastAsia" w:ascii="Times New Roman" w:hAnsi="Times New Roman" w:cs="Times New Roman"/>
                <w:bCs w:val="0"/>
                <w:color w:val="auto"/>
                <w:sz w:val="21"/>
                <w:szCs w:val="21"/>
                <w:lang w:val="en-US" w:eastAsia="zh-CN"/>
              </w:rPr>
              <w:t>因此项目符合要求。</w:t>
            </w:r>
          </w:p>
        </w:tc>
      </w:tr>
      <w:tr w14:paraId="09FB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5A9BD8EE">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20E839CF">
            <w:pPr>
              <w:adjustRightInd/>
              <w:snapToGrid/>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rPr>
              <w:t>2.</w:t>
            </w:r>
            <w:r>
              <w:rPr>
                <w:rFonts w:hint="default" w:ascii="Times New Roman" w:hAnsi="Times New Roman" w:eastAsia="宋体" w:cs="Times New Roman"/>
                <w:bCs w:val="0"/>
                <w:color w:val="auto"/>
                <w:sz w:val="21"/>
                <w:szCs w:val="21"/>
                <w:lang w:val="en-US" w:eastAsia="zh-CN"/>
              </w:rPr>
              <w:t>7</w:t>
            </w:r>
            <w:r>
              <w:rPr>
                <w:rFonts w:hint="default" w:ascii="Times New Roman" w:hAnsi="Times New Roman" w:eastAsia="宋体" w:cs="Times New Roman"/>
                <w:bCs w:val="0"/>
                <w:color w:val="auto"/>
                <w:sz w:val="21"/>
                <w:szCs w:val="21"/>
              </w:rPr>
              <w:t xml:space="preserve"> 严格控制高毒高风险农药使用</w:t>
            </w:r>
            <w:r>
              <w:rPr>
                <w:rFonts w:hint="default" w:ascii="Times New Roman" w:hAnsi="Times New Roman" w:eastAsia="宋体" w:cs="Times New Roman"/>
                <w:bCs w:val="0"/>
                <w:color w:val="auto"/>
                <w:sz w:val="21"/>
                <w:szCs w:val="21"/>
                <w:lang w:eastAsia="zh-CN"/>
              </w:rPr>
              <w:t>，</w:t>
            </w:r>
            <w:r>
              <w:rPr>
                <w:rFonts w:hint="default" w:ascii="Times New Roman" w:hAnsi="Times New Roman" w:eastAsia="宋体" w:cs="Times New Roman"/>
                <w:bCs w:val="0"/>
                <w:color w:val="auto"/>
                <w:sz w:val="21"/>
                <w:szCs w:val="21"/>
              </w:rPr>
              <w:t>加强农药包装废弃物回收处理</w:t>
            </w:r>
            <w:r>
              <w:rPr>
                <w:rFonts w:hint="default" w:ascii="Times New Roman" w:hAnsi="Times New Roman" w:eastAsia="宋体" w:cs="Times New Roman"/>
                <w:bCs w:val="0"/>
                <w:color w:val="auto"/>
                <w:sz w:val="21"/>
                <w:szCs w:val="21"/>
                <w:lang w:eastAsia="zh-CN"/>
              </w:rPr>
              <w:t>，</w:t>
            </w:r>
            <w:r>
              <w:rPr>
                <w:rFonts w:hint="default" w:ascii="Times New Roman" w:hAnsi="Times New Roman" w:eastAsia="宋体" w:cs="Times New Roman"/>
                <w:bCs w:val="0"/>
                <w:color w:val="auto"/>
                <w:sz w:val="21"/>
                <w:szCs w:val="21"/>
              </w:rPr>
              <w:t>加强废弃农膜回收利用。强化畜禽养殖污染防治。</w:t>
            </w:r>
          </w:p>
        </w:tc>
        <w:tc>
          <w:tcPr>
            <w:tcW w:w="0" w:type="auto"/>
            <w:shd w:val="clear" w:color="auto" w:fill="auto"/>
            <w:vAlign w:val="center"/>
          </w:tcPr>
          <w:p w14:paraId="50E5DB92">
            <w:pPr>
              <w:autoSpaceDE w:val="0"/>
              <w:autoSpaceDN w:val="0"/>
              <w:adjustRightInd w:val="0"/>
              <w:snapToGrid w:val="0"/>
              <w:jc w:val="both"/>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eastAsia="zh-CN"/>
              </w:rPr>
              <w:t>本工程</w:t>
            </w:r>
            <w:r>
              <w:rPr>
                <w:rFonts w:hint="eastAsia" w:cs="Times New Roman"/>
                <w:color w:val="auto"/>
                <w:sz w:val="21"/>
                <w:szCs w:val="21"/>
                <w:lang w:val="en-US" w:eastAsia="zh-CN"/>
              </w:rPr>
              <w:t>不涉及</w:t>
            </w:r>
            <w:r>
              <w:rPr>
                <w:rFonts w:hint="default" w:ascii="Times New Roman" w:hAnsi="Times New Roman" w:eastAsia="宋体" w:cs="Times New Roman"/>
                <w:bCs w:val="0"/>
                <w:color w:val="auto"/>
                <w:sz w:val="21"/>
                <w:szCs w:val="21"/>
              </w:rPr>
              <w:t>高毒高风险农药使用</w:t>
            </w:r>
            <w:r>
              <w:rPr>
                <w:rFonts w:hint="eastAsia" w:ascii="Times New Roman" w:hAnsi="Times New Roman" w:cs="Times New Roman"/>
                <w:bCs w:val="0"/>
                <w:color w:val="auto"/>
                <w:sz w:val="21"/>
                <w:szCs w:val="21"/>
                <w:lang w:eastAsia="zh-CN"/>
              </w:rPr>
              <w:t>，</w:t>
            </w:r>
            <w:r>
              <w:rPr>
                <w:rFonts w:hint="eastAsia" w:ascii="Times New Roman" w:hAnsi="Times New Roman" w:cs="Times New Roman"/>
                <w:bCs w:val="0"/>
                <w:color w:val="auto"/>
                <w:sz w:val="21"/>
                <w:szCs w:val="21"/>
                <w:lang w:val="en-US" w:eastAsia="zh-CN"/>
              </w:rPr>
              <w:t>不涉及</w:t>
            </w:r>
            <w:r>
              <w:rPr>
                <w:rFonts w:hint="default" w:ascii="Times New Roman" w:hAnsi="Times New Roman" w:eastAsia="宋体" w:cs="Times New Roman"/>
                <w:bCs w:val="0"/>
                <w:color w:val="auto"/>
                <w:sz w:val="21"/>
                <w:szCs w:val="21"/>
              </w:rPr>
              <w:t>畜禽养殖</w:t>
            </w:r>
            <w:r>
              <w:rPr>
                <w:rFonts w:hint="eastAsia" w:ascii="Times New Roman" w:hAnsi="Times New Roman" w:cs="Times New Roman"/>
                <w:bCs w:val="0"/>
                <w:color w:val="auto"/>
                <w:sz w:val="21"/>
                <w:szCs w:val="21"/>
                <w:lang w:eastAsia="zh-CN"/>
              </w:rPr>
              <w:t>，</w:t>
            </w:r>
            <w:r>
              <w:rPr>
                <w:rFonts w:hint="eastAsia" w:ascii="Times New Roman" w:hAnsi="Times New Roman" w:cs="Times New Roman"/>
                <w:bCs w:val="0"/>
                <w:color w:val="auto"/>
                <w:sz w:val="21"/>
                <w:szCs w:val="21"/>
                <w:lang w:val="en-US" w:eastAsia="zh-CN"/>
              </w:rPr>
              <w:t>因此项目符合要求</w:t>
            </w:r>
            <w:r>
              <w:rPr>
                <w:rFonts w:hint="default" w:ascii="Times New Roman" w:hAnsi="Times New Roman" w:eastAsia="宋体" w:cs="Times New Roman"/>
                <w:color w:val="auto"/>
                <w:sz w:val="21"/>
                <w:szCs w:val="21"/>
              </w:rPr>
              <w:t>。</w:t>
            </w:r>
          </w:p>
        </w:tc>
      </w:tr>
      <w:tr w14:paraId="1101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4DE61293">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5A60E7FD">
            <w:pPr>
              <w:adjustRightInd/>
              <w:snapToGrid/>
              <w:rPr>
                <w:rFonts w:hint="default" w:ascii="Times New Roman" w:hAnsi="Times New Roman" w:eastAsia="宋体" w:cs="Times New Roman"/>
                <w:bCs w:val="0"/>
                <w:color w:val="auto"/>
                <w:sz w:val="21"/>
                <w:szCs w:val="21"/>
                <w:lang w:val="en-US" w:eastAsia="zh-CN" w:bidi="ar-SA"/>
              </w:rPr>
            </w:pPr>
            <w:r>
              <w:rPr>
                <w:rFonts w:hint="default" w:ascii="Times New Roman" w:hAnsi="Times New Roman" w:eastAsia="宋体" w:cs="Times New Roman"/>
                <w:bCs w:val="0"/>
                <w:color w:val="auto"/>
                <w:sz w:val="21"/>
                <w:szCs w:val="21"/>
              </w:rPr>
              <w:t>2.</w:t>
            </w:r>
            <w:r>
              <w:rPr>
                <w:rFonts w:hint="default" w:ascii="Times New Roman" w:hAnsi="Times New Roman" w:eastAsia="宋体" w:cs="Times New Roman"/>
                <w:bCs w:val="0"/>
                <w:color w:val="auto"/>
                <w:sz w:val="21"/>
                <w:szCs w:val="21"/>
                <w:lang w:val="en-US" w:eastAsia="zh-CN"/>
              </w:rPr>
              <w:t>8</w:t>
            </w:r>
            <w:r>
              <w:rPr>
                <w:rFonts w:hint="default" w:ascii="Times New Roman" w:hAnsi="Times New Roman" w:eastAsia="宋体" w:cs="Times New Roman"/>
                <w:bCs w:val="0"/>
                <w:color w:val="auto"/>
                <w:sz w:val="21"/>
                <w:szCs w:val="21"/>
              </w:rPr>
              <w:t xml:space="preserve"> 积极开展碳达峰行动。探索实施二氧化碳排放强度和总量双控</w:t>
            </w:r>
            <w:r>
              <w:rPr>
                <w:rFonts w:hint="default" w:ascii="Times New Roman" w:hAnsi="Times New Roman" w:eastAsia="宋体" w:cs="Times New Roman"/>
                <w:bCs w:val="0"/>
                <w:color w:val="auto"/>
                <w:sz w:val="21"/>
                <w:szCs w:val="21"/>
                <w:lang w:eastAsia="zh-CN"/>
              </w:rPr>
              <w:t>，</w:t>
            </w:r>
            <w:r>
              <w:rPr>
                <w:rFonts w:hint="default" w:ascii="Times New Roman" w:hAnsi="Times New Roman" w:eastAsia="宋体" w:cs="Times New Roman"/>
                <w:bCs w:val="0"/>
                <w:color w:val="auto"/>
                <w:sz w:val="21"/>
                <w:szCs w:val="21"/>
              </w:rPr>
              <w:t>推动电力、石化、化工等重点行业制定达峰目标，鼓励大型企业制定碳达峰行动方案。推动重点行业企业开展碳排放强度对标活动。</w:t>
            </w:r>
          </w:p>
        </w:tc>
        <w:tc>
          <w:tcPr>
            <w:tcW w:w="0" w:type="auto"/>
            <w:shd w:val="clear" w:color="auto" w:fill="auto"/>
            <w:vAlign w:val="center"/>
          </w:tcPr>
          <w:p w14:paraId="590ECE6A">
            <w:pPr>
              <w:adjustRightInd/>
              <w:snapToGrid/>
              <w:rPr>
                <w:rFonts w:hint="eastAsia" w:ascii="Times New Roman" w:hAnsi="Times New Roman" w:eastAsia="宋体" w:cs="Times New Roman"/>
                <w:bCs w:val="0"/>
                <w:color w:val="auto"/>
                <w:sz w:val="21"/>
                <w:szCs w:val="21"/>
                <w:lang w:val="en-US" w:eastAsia="zh-CN" w:bidi="ar-SA"/>
              </w:rPr>
            </w:pPr>
            <w:r>
              <w:rPr>
                <w:rFonts w:hint="eastAsia" w:cs="Times New Roman"/>
                <w:bCs w:val="0"/>
                <w:color w:val="auto"/>
                <w:sz w:val="21"/>
                <w:szCs w:val="21"/>
                <w:lang w:val="en-US" w:eastAsia="zh-CN"/>
              </w:rPr>
              <w:t>本工程</w:t>
            </w:r>
            <w:r>
              <w:rPr>
                <w:rFonts w:hint="eastAsia" w:ascii="Times New Roman" w:hAnsi="Times New Roman" w:eastAsia="宋体" w:cs="Times New Roman"/>
                <w:bCs w:val="0"/>
                <w:color w:val="auto"/>
                <w:sz w:val="21"/>
                <w:szCs w:val="21"/>
                <w:lang w:val="en-US" w:eastAsia="zh-CN"/>
              </w:rPr>
              <w:t>属于陆地石油开采行业，不属于电力、石化、化工等重点行业，因此项目符合要求。</w:t>
            </w:r>
          </w:p>
        </w:tc>
      </w:tr>
      <w:tr w14:paraId="3391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32833415">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0AC03BD8">
            <w:pPr>
              <w:adjustRightInd/>
              <w:snapToGrid/>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rPr>
              <w:t>2.</w:t>
            </w:r>
            <w:r>
              <w:rPr>
                <w:rFonts w:hint="default" w:ascii="Times New Roman" w:hAnsi="Times New Roman" w:eastAsia="宋体" w:cs="Times New Roman"/>
                <w:bCs w:val="0"/>
                <w:color w:val="auto"/>
                <w:sz w:val="21"/>
                <w:szCs w:val="21"/>
                <w:lang w:val="en-US" w:eastAsia="zh-CN"/>
              </w:rPr>
              <w:t>9</w:t>
            </w:r>
            <w:r>
              <w:rPr>
                <w:rFonts w:hint="default" w:ascii="Times New Roman" w:hAnsi="Times New Roman" w:eastAsia="宋体" w:cs="Times New Roman"/>
                <w:bCs w:val="0"/>
                <w:color w:val="auto"/>
                <w:sz w:val="21"/>
                <w:szCs w:val="21"/>
              </w:rPr>
              <w:t xml:space="preserve"> 控制重点领域二氧化碳排放。控制工业过程温室气体排放，推动煤电、石油石化等行业开展二氧化碳捕集利用和封存等低碳技术的示范应用。提升参与碳市场能力。全面贯彻落实国家、自治区碳市场建设工作部署，组织重点行业企业开展温室气体排放核查，夯实碳配额分配和碳排放权交易数据基础。</w:t>
            </w:r>
          </w:p>
        </w:tc>
        <w:tc>
          <w:tcPr>
            <w:tcW w:w="0" w:type="auto"/>
            <w:shd w:val="clear" w:color="auto" w:fill="auto"/>
            <w:vAlign w:val="center"/>
          </w:tcPr>
          <w:p w14:paraId="57A54428">
            <w:pPr>
              <w:autoSpaceDE w:val="0"/>
              <w:autoSpaceDN w:val="0"/>
              <w:adjustRightInd w:val="0"/>
              <w:snapToGrid w:val="0"/>
              <w:jc w:val="both"/>
              <w:rPr>
                <w:rFonts w:hint="eastAsia" w:ascii="Times New Roman" w:hAnsi="Times New Roman" w:eastAsia="宋体" w:cs="Times New Roman"/>
                <w:color w:val="auto"/>
                <w:sz w:val="21"/>
                <w:szCs w:val="21"/>
                <w:lang w:val="en-US" w:eastAsia="zh-CN" w:bidi="ar-SA"/>
              </w:rPr>
            </w:pPr>
            <w:r>
              <w:rPr>
                <w:rFonts w:hint="eastAsia" w:cs="Times New Roman"/>
                <w:bCs w:val="0"/>
                <w:color w:val="auto"/>
                <w:sz w:val="21"/>
                <w:szCs w:val="21"/>
                <w:lang w:val="en-US" w:eastAsia="zh-CN"/>
              </w:rPr>
              <w:t>本工程</w:t>
            </w:r>
            <w:r>
              <w:rPr>
                <w:rFonts w:hint="eastAsia" w:ascii="Times New Roman" w:hAnsi="Times New Roman" w:eastAsia="宋体" w:cs="Times New Roman"/>
                <w:bCs w:val="0"/>
                <w:color w:val="auto"/>
                <w:sz w:val="21"/>
                <w:szCs w:val="21"/>
                <w:lang w:val="en-US" w:eastAsia="zh-CN"/>
              </w:rPr>
              <w:t>属于陆地石油开采行业，不属于电力、石化、化工等重点行业，因此项目符合要求。</w:t>
            </w:r>
          </w:p>
        </w:tc>
      </w:tr>
      <w:tr w14:paraId="1137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tcPr>
          <w:p w14:paraId="0F8CE9D1">
            <w:pPr>
              <w:autoSpaceDE w:val="0"/>
              <w:autoSpaceDN w:val="0"/>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克拉玛依市</w:t>
            </w:r>
            <w:r>
              <w:rPr>
                <w:rFonts w:hint="eastAsia" w:ascii="Times New Roman" w:hAnsi="Times New Roman" w:eastAsia="宋体" w:cs="Times New Roman"/>
                <w:b/>
                <w:bCs/>
                <w:color w:val="auto"/>
                <w:sz w:val="21"/>
                <w:szCs w:val="21"/>
                <w:lang w:val="en-US" w:eastAsia="zh-CN"/>
              </w:rPr>
              <w:t>一般</w:t>
            </w:r>
            <w:r>
              <w:rPr>
                <w:rFonts w:hint="default" w:ascii="Times New Roman" w:hAnsi="Times New Roman" w:eastAsia="宋体" w:cs="Times New Roman"/>
                <w:b/>
                <w:bCs/>
                <w:color w:val="auto"/>
                <w:sz w:val="21"/>
                <w:szCs w:val="21"/>
              </w:rPr>
              <w:t>管控单元分类管控要求</w:t>
            </w:r>
          </w:p>
        </w:tc>
        <w:tc>
          <w:tcPr>
            <w:tcW w:w="3015" w:type="pct"/>
            <w:shd w:val="clear" w:color="auto" w:fill="auto"/>
            <w:vAlign w:val="center"/>
          </w:tcPr>
          <w:p w14:paraId="68CE9B5F">
            <w:pPr>
              <w:widowControl/>
              <w:autoSpaceDE w:val="0"/>
              <w:autoSpaceDN w:val="0"/>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仿宋_GB2312" w:cs="Times New Roman"/>
                <w:bCs/>
                <w:color w:val="auto"/>
                <w:kern w:val="2"/>
                <w:sz w:val="21"/>
                <w:szCs w:val="21"/>
              </w:rPr>
              <w:t>【C2-1】</w:t>
            </w:r>
            <w:r>
              <w:rPr>
                <w:rFonts w:hint="default" w:ascii="Times New Roman" w:hAnsi="Times New Roman" w:eastAsia="宋体" w:cs="Times New Roman"/>
                <w:bCs w:val="0"/>
                <w:color w:val="auto"/>
                <w:sz w:val="21"/>
                <w:szCs w:val="21"/>
              </w:rPr>
              <w:t>加强农业面源污染治理，严格控制化肥农药施加量，逐步削减农业面源污染物排放量。</w:t>
            </w:r>
          </w:p>
        </w:tc>
        <w:tc>
          <w:tcPr>
            <w:tcW w:w="0" w:type="auto"/>
            <w:shd w:val="clear" w:color="auto" w:fill="auto"/>
            <w:vAlign w:val="center"/>
          </w:tcPr>
          <w:p w14:paraId="15A667EF">
            <w:pPr>
              <w:autoSpaceDE w:val="0"/>
              <w:autoSpaceDN w:val="0"/>
              <w:adjustRightInd w:val="0"/>
              <w:snapToGrid w:val="0"/>
              <w:jc w:val="both"/>
              <w:rPr>
                <w:rFonts w:hint="eastAsia" w:ascii="Times New Roman" w:hAnsi="Times New Roman" w:eastAsia="宋体" w:cs="Times New Roman"/>
                <w:color w:val="auto"/>
                <w:sz w:val="21"/>
                <w:szCs w:val="21"/>
                <w:lang w:val="en-US" w:eastAsia="zh-CN" w:bidi="ar-SA"/>
              </w:rPr>
            </w:pPr>
            <w:r>
              <w:rPr>
                <w:rFonts w:hint="eastAsia" w:cs="Times New Roman"/>
                <w:bCs w:val="0"/>
                <w:color w:val="auto"/>
                <w:sz w:val="21"/>
                <w:szCs w:val="21"/>
                <w:lang w:val="en-US" w:eastAsia="zh-CN"/>
              </w:rPr>
              <w:t>本工程</w:t>
            </w:r>
            <w:r>
              <w:rPr>
                <w:rFonts w:hint="eastAsia" w:ascii="Times New Roman" w:hAnsi="Times New Roman" w:eastAsia="宋体" w:cs="Times New Roman"/>
                <w:bCs w:val="0"/>
                <w:color w:val="auto"/>
                <w:sz w:val="21"/>
                <w:szCs w:val="21"/>
                <w:lang w:val="en-US" w:eastAsia="zh-CN"/>
              </w:rPr>
              <w:t>属于陆地石油开采行业，</w:t>
            </w:r>
            <w:r>
              <w:rPr>
                <w:rFonts w:hint="eastAsia" w:cs="Times New Roman"/>
                <w:color w:val="auto"/>
                <w:sz w:val="21"/>
                <w:szCs w:val="21"/>
                <w:lang w:val="en-US" w:eastAsia="zh-CN"/>
              </w:rPr>
              <w:t>不涉及化肥农药的投用，因此项目符合要求。</w:t>
            </w:r>
          </w:p>
        </w:tc>
      </w:tr>
      <w:tr w14:paraId="5CD0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Pr>
          <w:p w14:paraId="6B4E28AE">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三</w:t>
            </w:r>
            <w:r>
              <w:rPr>
                <w:rFonts w:hint="eastAsia" w:cs="Times New Roman"/>
                <w:b w:val="0"/>
                <w:bCs w:val="0"/>
                <w:color w:val="auto"/>
                <w:sz w:val="21"/>
                <w:szCs w:val="21"/>
                <w:lang w:eastAsia="zh-CN"/>
              </w:rPr>
              <w:t>）</w:t>
            </w:r>
          </w:p>
        </w:tc>
        <w:tc>
          <w:tcPr>
            <w:tcW w:w="4503" w:type="pct"/>
            <w:gridSpan w:val="2"/>
            <w:shd w:val="clear" w:color="auto" w:fill="auto"/>
            <w:vAlign w:val="center"/>
          </w:tcPr>
          <w:p w14:paraId="79C44515">
            <w:pPr>
              <w:autoSpaceDE w:val="0"/>
              <w:autoSpaceDN w:val="0"/>
              <w:adjustRightInd w:val="0"/>
              <w:snapToGrid w:val="0"/>
              <w:jc w:val="center"/>
              <w:rPr>
                <w:rFonts w:hint="eastAsia" w:ascii="Times New Roman" w:hAnsi="Times New Roman" w:eastAsia="宋体" w:cs="Times New Roman"/>
                <w:bCs w:val="0"/>
                <w:color w:val="auto"/>
                <w:sz w:val="21"/>
                <w:szCs w:val="21"/>
                <w:lang w:val="en-US" w:eastAsia="zh-CN"/>
              </w:rPr>
            </w:pPr>
            <w:r>
              <w:rPr>
                <w:rFonts w:hint="eastAsia" w:ascii="宋体" w:hAnsi="宋体" w:eastAsia="宋体" w:cs="宋体"/>
                <w:bCs/>
                <w:color w:val="auto"/>
                <w:kern w:val="2"/>
                <w:sz w:val="21"/>
                <w:szCs w:val="21"/>
                <w:lang w:val="en-US" w:eastAsia="zh-CN"/>
              </w:rPr>
              <w:t>环境风险防控</w:t>
            </w:r>
          </w:p>
        </w:tc>
      </w:tr>
      <w:tr w14:paraId="103A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restart"/>
            <w:vAlign w:val="center"/>
          </w:tcPr>
          <w:p w14:paraId="4AD4171F">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克拉玛依市总体管控要求</w:t>
            </w:r>
          </w:p>
        </w:tc>
        <w:tc>
          <w:tcPr>
            <w:tcW w:w="3015" w:type="pct"/>
            <w:shd w:val="clear" w:color="auto" w:fill="auto"/>
            <w:vAlign w:val="center"/>
          </w:tcPr>
          <w:p w14:paraId="5C0C63CC">
            <w:pPr>
              <w:widowControl/>
              <w:autoSpaceDE w:val="0"/>
              <w:autoSpaceDN w:val="0"/>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val="0"/>
                <w:color w:val="auto"/>
                <w:sz w:val="21"/>
                <w:szCs w:val="21"/>
              </w:rPr>
              <w:t>3.</w:t>
            </w:r>
            <w:r>
              <w:rPr>
                <w:rFonts w:hint="default" w:ascii="Times New Roman" w:hAnsi="Times New Roman" w:eastAsia="宋体" w:cs="Times New Roman"/>
                <w:bCs w:val="0"/>
                <w:color w:val="auto"/>
                <w:sz w:val="21"/>
                <w:szCs w:val="21"/>
                <w:lang w:val="en-US" w:eastAsia="zh-CN"/>
              </w:rPr>
              <w:t>1</w:t>
            </w:r>
            <w:r>
              <w:rPr>
                <w:rFonts w:hint="default" w:ascii="Times New Roman" w:hAnsi="Times New Roman" w:eastAsia="宋体" w:cs="Times New Roman"/>
                <w:bCs w:val="0"/>
                <w:color w:val="auto"/>
                <w:sz w:val="21"/>
                <w:szCs w:val="21"/>
              </w:rPr>
              <w:t xml:space="preserve"> 严格执行《集中式饮用水水源地规范化建设环境保护技术要求》</w:t>
            </w:r>
            <w:r>
              <w:rPr>
                <w:rFonts w:hint="default" w:ascii="Times New Roman" w:hAnsi="Times New Roman" w:eastAsia="宋体" w:cs="Times New Roman"/>
                <w:bCs w:val="0"/>
                <w:color w:val="auto"/>
                <w:sz w:val="21"/>
                <w:szCs w:val="21"/>
                <w:lang w:eastAsia="zh-CN"/>
              </w:rPr>
              <w:t>（</w:t>
            </w:r>
            <w:r>
              <w:rPr>
                <w:rFonts w:hint="default" w:ascii="Times New Roman" w:hAnsi="Times New Roman" w:eastAsia="宋体" w:cs="Times New Roman"/>
                <w:bCs w:val="0"/>
                <w:color w:val="auto"/>
                <w:sz w:val="21"/>
                <w:szCs w:val="21"/>
              </w:rPr>
              <w:t>HJ773-2015</w:t>
            </w:r>
            <w:r>
              <w:rPr>
                <w:rFonts w:hint="default" w:ascii="Times New Roman" w:hAnsi="Times New Roman" w:eastAsia="宋体" w:cs="Times New Roman"/>
                <w:bCs w:val="0"/>
                <w:color w:val="auto"/>
                <w:sz w:val="21"/>
                <w:szCs w:val="21"/>
                <w:lang w:eastAsia="zh-CN"/>
              </w:rPr>
              <w:t>）</w:t>
            </w:r>
            <w:r>
              <w:rPr>
                <w:rFonts w:hint="default" w:ascii="Times New Roman" w:hAnsi="Times New Roman" w:eastAsia="宋体" w:cs="Times New Roman"/>
                <w:bCs w:val="0"/>
                <w:color w:val="auto"/>
                <w:sz w:val="21"/>
                <w:szCs w:val="21"/>
              </w:rPr>
              <w:t>等标准规范。对已实施的隔离防护、视频监控、标识标牌、应急池设施定期巡检巡查，发现问题及时整改。进一步加强乡镇级饮用水水源地保护工作。加强对重点行业企业监管。加强应急预案审核备案，督促企业完善事故应急池建设，强化应急物资储备。定期开展水污染事故应急演练，健全联防联控应急机制，进一步提升应急处置能力。</w:t>
            </w:r>
          </w:p>
        </w:tc>
        <w:tc>
          <w:tcPr>
            <w:tcW w:w="0" w:type="auto"/>
            <w:shd w:val="clear" w:color="auto" w:fill="auto"/>
            <w:vAlign w:val="center"/>
          </w:tcPr>
          <w:p w14:paraId="6188A931">
            <w:pPr>
              <w:pStyle w:val="40"/>
              <w:ind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本工程位于乌尔禾区，占地不属于</w:t>
            </w:r>
            <w:r>
              <w:rPr>
                <w:rFonts w:hint="default" w:ascii="Times New Roman" w:hAnsi="Times New Roman" w:eastAsia="宋体" w:cs="Times New Roman"/>
                <w:bCs w:val="0"/>
                <w:color w:val="auto"/>
                <w:sz w:val="21"/>
                <w:szCs w:val="21"/>
              </w:rPr>
              <w:t>集中式饮用水水源地</w:t>
            </w:r>
            <w:r>
              <w:rPr>
                <w:rFonts w:hint="eastAsia" w:ascii="Times New Roman" w:hAnsi="Times New Roman" w:cs="Times New Roman"/>
                <w:bCs w:val="0"/>
                <w:color w:val="auto"/>
                <w:sz w:val="21"/>
                <w:szCs w:val="21"/>
                <w:lang w:eastAsia="zh-CN"/>
              </w:rPr>
              <w:t>，</w:t>
            </w:r>
            <w:r>
              <w:rPr>
                <w:rFonts w:hint="eastAsia" w:ascii="Times New Roman" w:hAnsi="Times New Roman" w:cs="Times New Roman"/>
                <w:bCs w:val="0"/>
                <w:color w:val="auto"/>
                <w:sz w:val="21"/>
                <w:szCs w:val="21"/>
                <w:lang w:val="en-US" w:eastAsia="zh-CN"/>
              </w:rPr>
              <w:t>因此项目符合要求。</w:t>
            </w:r>
          </w:p>
        </w:tc>
      </w:tr>
      <w:tr w14:paraId="471D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5A63CFAB">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6A591035">
            <w:pPr>
              <w:widowControl/>
              <w:autoSpaceDE w:val="0"/>
              <w:autoSpaceDN w:val="0"/>
              <w:adjustRightInd w:val="0"/>
              <w:snapToGrid w:val="0"/>
              <w:jc w:val="both"/>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Cs w:val="0"/>
                <w:color w:val="auto"/>
                <w:sz w:val="21"/>
                <w:szCs w:val="21"/>
                <w:lang w:bidi="en-US"/>
              </w:rPr>
              <w:t>3.2 健全保护区内危险化学品运输管理制度。保护区内有道路、桥梁穿越的，危险化学品运输采取限制运载重量和物资种类、限定行驶线路等管理措施，并完善应急处置设施。保护区内运输危险化学品车辆及其他穿越保护区的流动源，利用全球定位系统等设备实时监控。</w:t>
            </w:r>
          </w:p>
        </w:tc>
        <w:tc>
          <w:tcPr>
            <w:tcW w:w="0" w:type="auto"/>
            <w:shd w:val="clear" w:color="auto" w:fill="auto"/>
            <w:vAlign w:val="center"/>
          </w:tcPr>
          <w:p w14:paraId="2FDF610C">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bCs/>
                <w:color w:val="auto"/>
                <w:kern w:val="2"/>
                <w:sz w:val="21"/>
                <w:szCs w:val="21"/>
                <w:lang w:val="en-US" w:eastAsia="zh-CN" w:bidi="ar-SA"/>
              </w:rPr>
              <w:t>本工程产生的油泥（砂）、沾油废物等委托有危险废物处置资质的单位处置，井下作业必须带罐（车）操作，落地油100%回收。</w:t>
            </w:r>
            <w:r>
              <w:rPr>
                <w:rFonts w:hint="eastAsia" w:cs="Times New Roman"/>
                <w:color w:val="auto"/>
                <w:kern w:val="2"/>
                <w:sz w:val="21"/>
                <w:szCs w:val="21"/>
                <w:vertAlign w:val="baseline"/>
                <w:lang w:val="en-US" w:eastAsia="zh-CN" w:bidi="ar-SA"/>
              </w:rPr>
              <w:t>严格执行《危险废物转移管理办法》</w:t>
            </w:r>
            <w:r>
              <w:rPr>
                <w:rFonts w:hint="eastAsia" w:ascii="Times New Roman" w:hAnsi="Times New Roman" w:cs="Times New Roman"/>
                <w:bCs w:val="0"/>
                <w:color w:val="auto"/>
                <w:sz w:val="21"/>
                <w:szCs w:val="21"/>
                <w:lang w:eastAsia="zh-CN" w:bidi="en-US"/>
              </w:rPr>
              <w:t>，</w:t>
            </w:r>
            <w:r>
              <w:rPr>
                <w:rFonts w:hint="eastAsia" w:ascii="Times New Roman" w:hAnsi="Times New Roman" w:cs="Times New Roman"/>
                <w:bCs w:val="0"/>
                <w:color w:val="auto"/>
                <w:sz w:val="21"/>
                <w:szCs w:val="21"/>
                <w:lang w:val="en-US" w:eastAsia="zh-CN" w:bidi="en-US"/>
              </w:rPr>
              <w:t>因此项目符合要求。</w:t>
            </w:r>
          </w:p>
        </w:tc>
      </w:tr>
      <w:tr w14:paraId="66FA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259A362E">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591C02A6">
            <w:pPr>
              <w:widowControl/>
              <w:autoSpaceDE w:val="0"/>
              <w:autoSpaceDN w:val="0"/>
              <w:adjustRightInd w:val="0"/>
              <w:snapToGrid w:val="0"/>
              <w:jc w:val="both"/>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Cs w:val="0"/>
                <w:color w:val="auto"/>
                <w:sz w:val="21"/>
                <w:szCs w:val="21"/>
                <w:lang w:bidi="en-US"/>
              </w:rPr>
              <w:t>3.3 建设区域环境应急中心。加强石油石化行业和石化工业园区环境风险管理，强化企事业环境风险防范的主体责任，实现健康发展与环境安全。</w:t>
            </w:r>
          </w:p>
        </w:tc>
        <w:tc>
          <w:tcPr>
            <w:tcW w:w="0" w:type="auto"/>
            <w:shd w:val="clear" w:color="auto" w:fill="auto"/>
            <w:vAlign w:val="center"/>
          </w:tcPr>
          <w:p w14:paraId="044F5774">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建设单位已制定</w:t>
            </w:r>
            <w:r>
              <w:rPr>
                <w:rFonts w:hint="eastAsia" w:ascii="Times New Roman" w:hAnsi="Times New Roman" w:eastAsia="宋体" w:cs="Times New Roman"/>
                <w:color w:val="auto"/>
                <w:sz w:val="21"/>
                <w:szCs w:val="21"/>
                <w:vertAlign w:val="baseline"/>
                <w:lang w:val="en-US" w:eastAsia="zh-CN"/>
              </w:rPr>
              <w:t>突发环境事件</w:t>
            </w:r>
            <w:r>
              <w:rPr>
                <w:rFonts w:hint="default" w:ascii="Times New Roman" w:hAnsi="Times New Roman" w:eastAsia="宋体" w:cs="Times New Roman"/>
                <w:color w:val="auto"/>
                <w:sz w:val="21"/>
                <w:szCs w:val="21"/>
                <w:vertAlign w:val="baseline"/>
                <w:lang w:val="en-US" w:eastAsia="zh-CN"/>
              </w:rPr>
              <w:t>应急预案，并在克拉玛依市生态环境局乌尔禾区分局备案，</w:t>
            </w:r>
            <w:r>
              <w:rPr>
                <w:rFonts w:hint="eastAsia" w:ascii="Times New Roman" w:hAnsi="Times New Roman" w:eastAsia="宋体" w:cs="Times New Roman"/>
                <w:color w:val="auto"/>
                <w:sz w:val="21"/>
                <w:szCs w:val="21"/>
                <w:vertAlign w:val="baseline"/>
                <w:lang w:val="en-US" w:eastAsia="zh-CN"/>
              </w:rPr>
              <w:t>因此项目</w:t>
            </w:r>
            <w:r>
              <w:rPr>
                <w:rFonts w:hint="default" w:ascii="Times New Roman" w:hAnsi="Times New Roman" w:eastAsia="宋体" w:cs="Times New Roman"/>
                <w:color w:val="auto"/>
                <w:sz w:val="21"/>
                <w:szCs w:val="21"/>
                <w:vertAlign w:val="baseline"/>
                <w:lang w:val="en-US" w:eastAsia="zh-CN"/>
              </w:rPr>
              <w:t>符合要求。</w:t>
            </w:r>
          </w:p>
        </w:tc>
      </w:tr>
      <w:tr w14:paraId="2307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7863E7E0">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6F2E990D">
            <w:pPr>
              <w:widowControl/>
              <w:autoSpaceDE w:val="0"/>
              <w:autoSpaceDN w:val="0"/>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val="0"/>
                <w:color w:val="auto"/>
                <w:sz w:val="21"/>
                <w:szCs w:val="21"/>
              </w:rPr>
              <w:t>3.</w:t>
            </w:r>
            <w:r>
              <w:rPr>
                <w:rFonts w:hint="default" w:ascii="Times New Roman" w:hAnsi="Times New Roman" w:eastAsia="宋体" w:cs="Times New Roman"/>
                <w:bCs w:val="0"/>
                <w:color w:val="auto"/>
                <w:sz w:val="21"/>
                <w:szCs w:val="21"/>
                <w:lang w:val="en-US" w:eastAsia="zh-CN"/>
              </w:rPr>
              <w:t>4</w:t>
            </w:r>
            <w:r>
              <w:rPr>
                <w:rFonts w:hint="default" w:ascii="Times New Roman" w:hAnsi="Times New Roman" w:eastAsia="宋体" w:cs="Times New Roman"/>
                <w:bCs w:val="0"/>
                <w:color w:val="auto"/>
                <w:sz w:val="21"/>
                <w:szCs w:val="21"/>
              </w:rPr>
              <w:t xml:space="preserve"> 推进化学品环境风险管控，开展化学物质环境风险评估，加大对新污染物环境风险管控力度。加强石油石化行业和石化工业园区环境风险管控，强化企事业单位环境风险防范的主体责任，科学把握发展与安全关系，实现健康发展与环境安全。完善现有环境应急信息平台建设，实现环境应急信息共享，建立市、区两级环保部门、企业之间应急工作的实时沟通体系。依托克拉玛依的区位和资源优势，积极争取上级政策资金支持，推进辐射北疆西北部区域环境应急中心建设。</w:t>
            </w:r>
          </w:p>
        </w:tc>
        <w:tc>
          <w:tcPr>
            <w:tcW w:w="0" w:type="auto"/>
            <w:shd w:val="clear" w:color="auto" w:fill="auto"/>
            <w:vAlign w:val="center"/>
          </w:tcPr>
          <w:p w14:paraId="60A39B1B">
            <w:pPr>
              <w:autoSpaceDE w:val="0"/>
              <w:autoSpaceDN w:val="0"/>
              <w:adjustRightInd w:val="0"/>
              <w:snapToGrid w:val="0"/>
              <w:jc w:val="both"/>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本工程不贮存、产生化学品，且</w:t>
            </w:r>
            <w:r>
              <w:rPr>
                <w:rFonts w:hint="default" w:ascii="Times New Roman" w:hAnsi="Times New Roman" w:eastAsia="宋体" w:cs="Times New Roman"/>
                <w:color w:val="auto"/>
                <w:sz w:val="21"/>
                <w:szCs w:val="21"/>
                <w:vertAlign w:val="baseline"/>
                <w:lang w:val="en-US" w:eastAsia="zh-CN"/>
              </w:rPr>
              <w:t>建设单位已制定</w:t>
            </w:r>
            <w:r>
              <w:rPr>
                <w:rFonts w:hint="eastAsia" w:ascii="Times New Roman" w:hAnsi="Times New Roman" w:eastAsia="宋体" w:cs="Times New Roman"/>
                <w:color w:val="auto"/>
                <w:sz w:val="21"/>
                <w:szCs w:val="21"/>
                <w:vertAlign w:val="baseline"/>
                <w:lang w:val="en-US" w:eastAsia="zh-CN"/>
              </w:rPr>
              <w:t>突发环境事件</w:t>
            </w:r>
            <w:r>
              <w:rPr>
                <w:rFonts w:hint="default" w:ascii="Times New Roman" w:hAnsi="Times New Roman" w:eastAsia="宋体" w:cs="Times New Roman"/>
                <w:color w:val="auto"/>
                <w:sz w:val="21"/>
                <w:szCs w:val="21"/>
                <w:vertAlign w:val="baseline"/>
                <w:lang w:val="en-US" w:eastAsia="zh-CN"/>
              </w:rPr>
              <w:t>应急预案，并在克拉玛依市生态环境局乌尔禾区分局备案，</w:t>
            </w:r>
            <w:r>
              <w:rPr>
                <w:rFonts w:hint="eastAsia" w:ascii="Times New Roman" w:hAnsi="Times New Roman" w:eastAsia="宋体" w:cs="Times New Roman"/>
                <w:color w:val="auto"/>
                <w:sz w:val="21"/>
                <w:szCs w:val="21"/>
                <w:vertAlign w:val="baseline"/>
                <w:lang w:val="en-US" w:eastAsia="zh-CN"/>
              </w:rPr>
              <w:t>因此项目</w:t>
            </w:r>
            <w:r>
              <w:rPr>
                <w:rFonts w:hint="default" w:ascii="Times New Roman" w:hAnsi="Times New Roman" w:eastAsia="宋体" w:cs="Times New Roman"/>
                <w:color w:val="auto"/>
                <w:sz w:val="21"/>
                <w:szCs w:val="21"/>
                <w:vertAlign w:val="baseline"/>
                <w:lang w:val="en-US" w:eastAsia="zh-CN"/>
              </w:rPr>
              <w:t>符合要求。</w:t>
            </w:r>
          </w:p>
        </w:tc>
      </w:tr>
      <w:tr w14:paraId="42AE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7B053521">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4219EC50">
            <w:pPr>
              <w:widowControl/>
              <w:autoSpaceDE w:val="0"/>
              <w:autoSpaceDN w:val="0"/>
              <w:adjustRightInd w:val="0"/>
              <w:snapToGrid w:val="0"/>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Cs w:val="0"/>
                <w:color w:val="auto"/>
                <w:sz w:val="21"/>
                <w:szCs w:val="21"/>
              </w:rPr>
              <w:t>3.</w:t>
            </w:r>
            <w:r>
              <w:rPr>
                <w:rFonts w:hint="default" w:ascii="Times New Roman" w:hAnsi="Times New Roman" w:eastAsia="宋体" w:cs="Times New Roman"/>
                <w:bCs w:val="0"/>
                <w:color w:val="auto"/>
                <w:sz w:val="21"/>
                <w:szCs w:val="21"/>
                <w:lang w:val="en-US" w:eastAsia="zh-CN"/>
              </w:rPr>
              <w:t>5</w:t>
            </w:r>
            <w:r>
              <w:rPr>
                <w:rFonts w:hint="default" w:ascii="Times New Roman" w:hAnsi="Times New Roman" w:eastAsia="宋体" w:cs="Times New Roman"/>
                <w:bCs w:val="0"/>
                <w:color w:val="auto"/>
                <w:sz w:val="21"/>
                <w:szCs w:val="21"/>
              </w:rPr>
              <w:t xml:space="preserve"> 严格执行《集中式饮用水水源地规范化建设环境保护技术要求》</w:t>
            </w:r>
            <w:r>
              <w:rPr>
                <w:rFonts w:hint="default" w:ascii="Times New Roman" w:hAnsi="Times New Roman" w:eastAsia="宋体" w:cs="Times New Roman"/>
                <w:bCs w:val="0"/>
                <w:color w:val="auto"/>
                <w:sz w:val="21"/>
                <w:szCs w:val="21"/>
                <w:lang w:eastAsia="zh-CN"/>
              </w:rPr>
              <w:t>（</w:t>
            </w:r>
            <w:r>
              <w:rPr>
                <w:rFonts w:hint="default" w:ascii="Times New Roman" w:hAnsi="Times New Roman" w:eastAsia="宋体" w:cs="Times New Roman"/>
                <w:bCs w:val="0"/>
                <w:color w:val="auto"/>
                <w:sz w:val="21"/>
                <w:szCs w:val="21"/>
              </w:rPr>
              <w:t>HJ773-2015</w:t>
            </w:r>
            <w:r>
              <w:rPr>
                <w:rFonts w:hint="default" w:ascii="Times New Roman" w:hAnsi="Times New Roman" w:eastAsia="宋体" w:cs="Times New Roman"/>
                <w:bCs w:val="0"/>
                <w:color w:val="auto"/>
                <w:sz w:val="21"/>
                <w:szCs w:val="21"/>
                <w:lang w:eastAsia="zh-CN"/>
              </w:rPr>
              <w:t>）</w:t>
            </w:r>
            <w:r>
              <w:rPr>
                <w:rFonts w:hint="default" w:ascii="Times New Roman" w:hAnsi="Times New Roman" w:eastAsia="宋体" w:cs="Times New Roman"/>
                <w:bCs w:val="0"/>
                <w:color w:val="auto"/>
                <w:sz w:val="21"/>
                <w:szCs w:val="21"/>
              </w:rPr>
              <w:t>等标准规范。对已实施的隔离防护、视频监控、标识标牌、应急池设施定期巡检巡查，发现问题及时整改。进一步加强乡镇级饮用水水源地保护工作。加强对重点行业企业监管。加强应急预案审核备案，督促企业完善事故应急池建设，强化应急物资储备。定期开展水污染事故应急演练，健全联防联控应急机制，进一步提升应急处置能力。</w:t>
            </w:r>
          </w:p>
        </w:tc>
        <w:tc>
          <w:tcPr>
            <w:tcW w:w="0" w:type="auto"/>
            <w:shd w:val="clear" w:color="auto" w:fill="auto"/>
            <w:vAlign w:val="center"/>
          </w:tcPr>
          <w:p w14:paraId="04CEA9DA">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本工程不位于</w:t>
            </w:r>
            <w:r>
              <w:rPr>
                <w:rFonts w:hint="default" w:ascii="Times New Roman" w:hAnsi="Times New Roman" w:eastAsia="宋体" w:cs="Times New Roman"/>
                <w:bCs w:val="0"/>
                <w:color w:val="auto"/>
                <w:sz w:val="21"/>
                <w:szCs w:val="21"/>
              </w:rPr>
              <w:t>集中式饮用水水源地</w:t>
            </w:r>
            <w:r>
              <w:rPr>
                <w:rFonts w:hint="eastAsia" w:cs="Times New Roman"/>
                <w:bCs w:val="0"/>
                <w:color w:val="auto"/>
                <w:sz w:val="21"/>
                <w:szCs w:val="21"/>
                <w:lang w:eastAsia="zh-CN"/>
              </w:rPr>
              <w:t>，</w:t>
            </w:r>
            <w:r>
              <w:rPr>
                <w:rFonts w:hint="eastAsia" w:cs="Times New Roman"/>
                <w:bCs w:val="0"/>
                <w:color w:val="auto"/>
                <w:sz w:val="21"/>
                <w:szCs w:val="21"/>
                <w:lang w:val="en-US" w:eastAsia="zh-CN"/>
              </w:rPr>
              <w:t>且</w:t>
            </w:r>
            <w:r>
              <w:rPr>
                <w:rFonts w:hint="default" w:ascii="Times New Roman" w:hAnsi="Times New Roman" w:eastAsia="宋体" w:cs="Times New Roman"/>
                <w:color w:val="auto"/>
                <w:sz w:val="21"/>
                <w:szCs w:val="21"/>
                <w:vertAlign w:val="baseline"/>
                <w:lang w:val="en-US" w:eastAsia="zh-CN"/>
              </w:rPr>
              <w:t>建设单位已制定</w:t>
            </w:r>
            <w:r>
              <w:rPr>
                <w:rFonts w:hint="eastAsia" w:ascii="Times New Roman" w:hAnsi="Times New Roman" w:eastAsia="宋体" w:cs="Times New Roman"/>
                <w:color w:val="auto"/>
                <w:sz w:val="21"/>
                <w:szCs w:val="21"/>
                <w:vertAlign w:val="baseline"/>
                <w:lang w:val="en-US" w:eastAsia="zh-CN"/>
              </w:rPr>
              <w:t>突发环境事件</w:t>
            </w:r>
            <w:r>
              <w:rPr>
                <w:rFonts w:hint="default" w:ascii="Times New Roman" w:hAnsi="Times New Roman" w:eastAsia="宋体" w:cs="Times New Roman"/>
                <w:color w:val="auto"/>
                <w:sz w:val="21"/>
                <w:szCs w:val="21"/>
                <w:vertAlign w:val="baseline"/>
                <w:lang w:val="en-US" w:eastAsia="zh-CN"/>
              </w:rPr>
              <w:t>应急预案，并在克拉玛依市生态环境局乌尔禾区分局备案，</w:t>
            </w:r>
            <w:r>
              <w:rPr>
                <w:rFonts w:hint="eastAsia" w:ascii="Times New Roman" w:hAnsi="Times New Roman" w:eastAsia="宋体" w:cs="Times New Roman"/>
                <w:color w:val="auto"/>
                <w:sz w:val="21"/>
                <w:szCs w:val="21"/>
                <w:vertAlign w:val="baseline"/>
                <w:lang w:val="en-US" w:eastAsia="zh-CN"/>
              </w:rPr>
              <w:t>因此项目</w:t>
            </w:r>
            <w:r>
              <w:rPr>
                <w:rFonts w:hint="default" w:ascii="Times New Roman" w:hAnsi="Times New Roman" w:eastAsia="宋体" w:cs="Times New Roman"/>
                <w:color w:val="auto"/>
                <w:sz w:val="21"/>
                <w:szCs w:val="21"/>
                <w:vertAlign w:val="baseline"/>
                <w:lang w:val="en-US" w:eastAsia="zh-CN"/>
              </w:rPr>
              <w:t>符合要求。</w:t>
            </w:r>
          </w:p>
        </w:tc>
      </w:tr>
      <w:tr w14:paraId="4131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7B018F4B">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124D73AC">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rPr>
              <w:t>3.</w:t>
            </w:r>
            <w:r>
              <w:rPr>
                <w:rFonts w:hint="default" w:ascii="Times New Roman" w:hAnsi="Times New Roman" w:eastAsia="宋体" w:cs="Times New Roman"/>
                <w:bCs w:val="0"/>
                <w:color w:val="auto"/>
                <w:sz w:val="21"/>
                <w:szCs w:val="21"/>
                <w:lang w:val="en-US" w:eastAsia="zh-CN"/>
              </w:rPr>
              <w:t>6</w:t>
            </w:r>
            <w:r>
              <w:rPr>
                <w:rFonts w:hint="default" w:ascii="Times New Roman" w:hAnsi="Times New Roman" w:eastAsia="宋体" w:cs="Times New Roman"/>
                <w:bCs w:val="0"/>
                <w:color w:val="auto"/>
                <w:sz w:val="21"/>
                <w:szCs w:val="21"/>
              </w:rPr>
              <w:t xml:space="preserve"> 不断完善风险源企业名录，做好应急预案备案。严格按照自治区生态环境厅有关风险源企业筛选要求，对危废产生及处置、危险化学品、加油（气）站及石油、化工等环境风险源进行重点筛选，确定风险源企业。严格按照应急预案管理规定，督促企业修编应急预案，不断强化企事业单位应急预案管理。</w:t>
            </w:r>
          </w:p>
        </w:tc>
        <w:tc>
          <w:tcPr>
            <w:tcW w:w="0" w:type="auto"/>
            <w:shd w:val="clear" w:color="auto" w:fill="auto"/>
            <w:vAlign w:val="center"/>
          </w:tcPr>
          <w:p w14:paraId="4F3C8105">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建设单位已制定</w:t>
            </w:r>
            <w:r>
              <w:rPr>
                <w:rFonts w:hint="eastAsia" w:ascii="Times New Roman" w:hAnsi="Times New Roman" w:eastAsia="宋体" w:cs="Times New Roman"/>
                <w:color w:val="auto"/>
                <w:sz w:val="21"/>
                <w:szCs w:val="21"/>
                <w:vertAlign w:val="baseline"/>
                <w:lang w:val="en-US" w:eastAsia="zh-CN"/>
              </w:rPr>
              <w:t>突发环境事件</w:t>
            </w:r>
            <w:r>
              <w:rPr>
                <w:rFonts w:hint="default" w:ascii="Times New Roman" w:hAnsi="Times New Roman" w:eastAsia="宋体" w:cs="Times New Roman"/>
                <w:color w:val="auto"/>
                <w:sz w:val="21"/>
                <w:szCs w:val="21"/>
                <w:vertAlign w:val="baseline"/>
                <w:lang w:val="en-US" w:eastAsia="zh-CN"/>
              </w:rPr>
              <w:t>应急预案，并在克拉玛依市生态环境局乌尔禾区分局备案，</w:t>
            </w:r>
            <w:r>
              <w:rPr>
                <w:rFonts w:hint="eastAsia" w:ascii="Times New Roman" w:hAnsi="Times New Roman" w:eastAsia="宋体" w:cs="Times New Roman"/>
                <w:color w:val="auto"/>
                <w:sz w:val="21"/>
                <w:szCs w:val="21"/>
                <w:vertAlign w:val="baseline"/>
                <w:lang w:val="en-US" w:eastAsia="zh-CN"/>
              </w:rPr>
              <w:t>建设单位根据相关管理办法会定期修编应急预案，因此项目</w:t>
            </w:r>
            <w:r>
              <w:rPr>
                <w:rFonts w:hint="default" w:ascii="Times New Roman" w:hAnsi="Times New Roman" w:eastAsia="宋体" w:cs="Times New Roman"/>
                <w:color w:val="auto"/>
                <w:sz w:val="21"/>
                <w:szCs w:val="21"/>
                <w:vertAlign w:val="baseline"/>
                <w:lang w:val="en-US" w:eastAsia="zh-CN"/>
              </w:rPr>
              <w:t>符合要求。</w:t>
            </w:r>
          </w:p>
        </w:tc>
      </w:tr>
      <w:tr w14:paraId="7C6B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2E9B263E">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72CC6EE4">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lang w:bidi="en-US"/>
              </w:rPr>
              <w:t>3.</w:t>
            </w:r>
            <w:r>
              <w:rPr>
                <w:rFonts w:hint="default" w:ascii="Times New Roman" w:hAnsi="Times New Roman" w:eastAsia="宋体" w:cs="Times New Roman"/>
                <w:bCs w:val="0"/>
                <w:color w:val="auto"/>
                <w:sz w:val="21"/>
                <w:szCs w:val="21"/>
                <w:lang w:val="en-US" w:eastAsia="zh-CN" w:bidi="en-US"/>
              </w:rPr>
              <w:t>7</w:t>
            </w:r>
            <w:r>
              <w:rPr>
                <w:rFonts w:hint="default" w:ascii="Times New Roman" w:hAnsi="Times New Roman" w:eastAsia="宋体" w:cs="Times New Roman"/>
                <w:bCs w:val="0"/>
                <w:color w:val="auto"/>
                <w:sz w:val="21"/>
                <w:szCs w:val="21"/>
                <w:lang w:bidi="en-US"/>
              </w:rPr>
              <w:t xml:space="preserve"> 优先保护类耕地集中区域现有可能造成土壤污染的相关行业企业应当按照有关规定采取措施，防止对耕地造成污染。推行秸秆还田、化肥农药减量化、增施有机肥、少耕免耕与轮作、农膜减量与回收利用等措施，切实保护优先保护类耕地土壤环境质量。</w:t>
            </w:r>
          </w:p>
        </w:tc>
        <w:tc>
          <w:tcPr>
            <w:tcW w:w="0" w:type="auto"/>
            <w:shd w:val="clear" w:color="auto" w:fill="auto"/>
            <w:vAlign w:val="center"/>
          </w:tcPr>
          <w:p w14:paraId="23C32DC6">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本工程不占用</w:t>
            </w:r>
            <w:r>
              <w:rPr>
                <w:rFonts w:hint="default" w:ascii="Times New Roman" w:hAnsi="Times New Roman" w:eastAsia="宋体" w:cs="Times New Roman"/>
                <w:bCs w:val="0"/>
                <w:color w:val="auto"/>
                <w:sz w:val="21"/>
                <w:szCs w:val="21"/>
                <w:lang w:bidi="en-US"/>
              </w:rPr>
              <w:t>保护类耕地</w:t>
            </w:r>
            <w:r>
              <w:rPr>
                <w:rFonts w:hint="eastAsia" w:ascii="Times New Roman" w:hAnsi="Times New Roman" w:cs="Times New Roman"/>
                <w:bCs w:val="0"/>
                <w:color w:val="auto"/>
                <w:sz w:val="21"/>
                <w:szCs w:val="21"/>
                <w:lang w:eastAsia="zh-CN" w:bidi="en-US"/>
              </w:rPr>
              <w:t>，</w:t>
            </w:r>
            <w:r>
              <w:rPr>
                <w:rFonts w:hint="eastAsia" w:ascii="Times New Roman" w:hAnsi="Times New Roman" w:cs="Times New Roman"/>
                <w:bCs w:val="0"/>
                <w:color w:val="auto"/>
                <w:sz w:val="21"/>
                <w:szCs w:val="21"/>
                <w:lang w:val="en-US" w:eastAsia="zh-CN" w:bidi="en-US"/>
              </w:rPr>
              <w:t>不涉及秸秆还田、使用化肥农药、农膜等，因此项目符合要求。</w:t>
            </w:r>
          </w:p>
        </w:tc>
      </w:tr>
      <w:tr w14:paraId="5CF7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76EBA37C">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01DD84CA">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lang w:bidi="en-US"/>
              </w:rPr>
              <w:t>3.</w:t>
            </w:r>
            <w:r>
              <w:rPr>
                <w:rFonts w:hint="default" w:ascii="Times New Roman" w:hAnsi="Times New Roman" w:eastAsia="宋体" w:cs="Times New Roman"/>
                <w:bCs w:val="0"/>
                <w:color w:val="auto"/>
                <w:sz w:val="21"/>
                <w:szCs w:val="21"/>
                <w:lang w:val="en-US" w:eastAsia="zh-CN" w:bidi="en-US"/>
              </w:rPr>
              <w:t>8</w:t>
            </w:r>
            <w:r>
              <w:rPr>
                <w:rFonts w:hint="default" w:ascii="Times New Roman" w:hAnsi="Times New Roman" w:eastAsia="宋体" w:cs="Times New Roman"/>
                <w:bCs w:val="0"/>
                <w:color w:val="auto"/>
                <w:sz w:val="21"/>
                <w:szCs w:val="21"/>
                <w:lang w:bidi="en-US"/>
              </w:rPr>
              <w:t xml:space="preserve"> 土壤污染重点监管单位应该严格控制有毒有害物质排放，并按年度向生态环境主管部门报告排放情况；建立土壤污染隐患排查制度，保证持续有效防止有毒有害物质渗漏、流失、扬散；制定、实施自行监测方案，并将监测数据报生态环境主管部门。并对监测数据的真实性和准确性负责。生态环境主管部门发现土壤污染重点监管单位监测数据异常，应当及时进行调查。设区的市级以上地方人民政府生态环境主管部门应当定期对土壤污染重点监管单位周边土壤进行监测。</w:t>
            </w:r>
          </w:p>
        </w:tc>
        <w:tc>
          <w:tcPr>
            <w:tcW w:w="0" w:type="auto"/>
            <w:shd w:val="clear" w:color="auto" w:fill="auto"/>
            <w:vAlign w:val="center"/>
          </w:tcPr>
          <w:p w14:paraId="414A2338">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eastAsia="zh-CN"/>
              </w:rPr>
              <w:t>建设单位</w:t>
            </w:r>
            <w:r>
              <w:rPr>
                <w:rFonts w:hint="default" w:ascii="Times New Roman" w:hAnsi="Times New Roman" w:eastAsia="宋体" w:cs="Times New Roman"/>
                <w:color w:val="auto"/>
                <w:sz w:val="21"/>
                <w:szCs w:val="21"/>
                <w:lang w:val="en-US" w:eastAsia="zh-CN"/>
              </w:rPr>
              <w:t>按</w:t>
            </w:r>
            <w:r>
              <w:rPr>
                <w:rFonts w:hint="eastAsia" w:ascii="Times New Roman" w:hAnsi="Times New Roman" w:eastAsia="宋体" w:cs="Times New Roman"/>
                <w:color w:val="auto"/>
                <w:sz w:val="21"/>
                <w:szCs w:val="21"/>
                <w:lang w:val="en-US" w:eastAsia="zh-CN"/>
              </w:rPr>
              <w:t>《排污单位自行监测技术指南 陆上石油天然气开采工业》（HJ1248-2022）</w:t>
            </w:r>
            <w:r>
              <w:rPr>
                <w:rFonts w:hint="default" w:ascii="Times New Roman" w:hAnsi="Times New Roman" w:eastAsia="宋体" w:cs="Times New Roman"/>
                <w:color w:val="auto"/>
                <w:sz w:val="21"/>
                <w:szCs w:val="21"/>
                <w:vertAlign w:val="baseline"/>
                <w:lang w:val="en-US" w:eastAsia="zh-CN"/>
              </w:rPr>
              <w:t>要求制定实施自行监测方案，并</w:t>
            </w:r>
            <w:r>
              <w:rPr>
                <w:rFonts w:hint="eastAsia" w:ascii="Times New Roman" w:hAnsi="Times New Roman" w:eastAsia="宋体" w:cs="Times New Roman"/>
                <w:color w:val="auto"/>
                <w:sz w:val="21"/>
                <w:szCs w:val="21"/>
                <w:vertAlign w:val="baseline"/>
                <w:lang w:val="en-US" w:eastAsia="zh-CN"/>
              </w:rPr>
              <w:t>定期</w:t>
            </w:r>
            <w:r>
              <w:rPr>
                <w:rFonts w:hint="default" w:ascii="Times New Roman" w:hAnsi="Times New Roman" w:eastAsia="宋体" w:cs="Times New Roman"/>
                <w:color w:val="auto"/>
                <w:sz w:val="21"/>
                <w:szCs w:val="21"/>
                <w:vertAlign w:val="baseline"/>
                <w:lang w:val="en-US" w:eastAsia="zh-CN"/>
              </w:rPr>
              <w:t>将数据报生态环境主管部门</w:t>
            </w:r>
            <w:r>
              <w:rPr>
                <w:rFonts w:hint="eastAsia" w:ascii="Times New Roman" w:hAnsi="Times New Roman" w:eastAsia="宋体" w:cs="Times New Roman"/>
                <w:color w:val="auto"/>
                <w:sz w:val="21"/>
                <w:szCs w:val="21"/>
                <w:vertAlign w:val="baseline"/>
                <w:lang w:val="en-US" w:eastAsia="zh-CN"/>
              </w:rPr>
              <w:t>，因此项目符合要求</w:t>
            </w:r>
            <w:r>
              <w:rPr>
                <w:rFonts w:hint="default" w:ascii="Times New Roman" w:hAnsi="Times New Roman" w:eastAsia="宋体" w:cs="Times New Roman"/>
                <w:color w:val="auto"/>
                <w:sz w:val="21"/>
                <w:szCs w:val="21"/>
                <w:vertAlign w:val="baseline"/>
                <w:lang w:val="en-US" w:eastAsia="zh-CN"/>
              </w:rPr>
              <w:t>。</w:t>
            </w:r>
          </w:p>
        </w:tc>
      </w:tr>
      <w:tr w14:paraId="5AAF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5676A854">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0C06243D">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lang w:bidi="en-US"/>
              </w:rPr>
              <w:t>3.</w:t>
            </w:r>
            <w:r>
              <w:rPr>
                <w:rFonts w:hint="default" w:ascii="Times New Roman" w:hAnsi="Times New Roman" w:eastAsia="宋体" w:cs="Times New Roman"/>
                <w:bCs w:val="0"/>
                <w:color w:val="auto"/>
                <w:sz w:val="21"/>
                <w:szCs w:val="21"/>
                <w:lang w:val="en-US" w:eastAsia="zh-CN" w:bidi="en-US"/>
              </w:rPr>
              <w:t>9</w:t>
            </w:r>
            <w:r>
              <w:rPr>
                <w:rFonts w:hint="default" w:ascii="Times New Roman" w:hAnsi="Times New Roman" w:eastAsia="宋体" w:cs="Times New Roman"/>
                <w:bCs w:val="0"/>
                <w:color w:val="auto"/>
                <w:sz w:val="21"/>
                <w:szCs w:val="21"/>
                <w:lang w:bidi="en-US"/>
              </w:rPr>
              <w:t xml:space="preserve"> 土壤污染重点监管单位拆除设施、设备或者建筑物、构筑物的，应当制定包括应急措施在内的土壤污染防治工作方案，报地方人民政府生态环境、工业和信息化主管部门备案并实施。</w:t>
            </w:r>
          </w:p>
        </w:tc>
        <w:tc>
          <w:tcPr>
            <w:tcW w:w="0" w:type="auto"/>
            <w:shd w:val="clear" w:color="auto" w:fill="auto"/>
            <w:vAlign w:val="center"/>
          </w:tcPr>
          <w:p w14:paraId="49BA1EE6">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根据《克拉玛依市202</w:t>
            </w:r>
            <w:r>
              <w:rPr>
                <w:rFonts w:hint="eastAsia" w:ascii="Times New Roman" w:hAnsi="Times New Roman" w:eastAsia="宋体"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年</w:t>
            </w:r>
            <w:r>
              <w:rPr>
                <w:rFonts w:hint="eastAsia" w:ascii="Times New Roman" w:hAnsi="Times New Roman" w:eastAsia="宋体" w:cs="Times New Roman"/>
                <w:color w:val="auto"/>
                <w:sz w:val="21"/>
                <w:szCs w:val="21"/>
                <w:vertAlign w:val="baseline"/>
                <w:lang w:val="en-US" w:eastAsia="zh-CN"/>
              </w:rPr>
              <w:t>度土壤污染重点监管单位</w:t>
            </w:r>
            <w:r>
              <w:rPr>
                <w:rFonts w:hint="default" w:ascii="Times New Roman" w:hAnsi="Times New Roman" w:eastAsia="宋体" w:cs="Times New Roman"/>
                <w:color w:val="auto"/>
                <w:sz w:val="21"/>
                <w:szCs w:val="21"/>
                <w:vertAlign w:val="baseline"/>
                <w:lang w:val="en-US" w:eastAsia="zh-CN"/>
              </w:rPr>
              <w:t>名录》，建设单位属于土壤污染重点监管单位，</w:t>
            </w:r>
            <w:r>
              <w:rPr>
                <w:rFonts w:hint="eastAsia" w:ascii="Times New Roman" w:hAnsi="Times New Roman" w:eastAsia="宋体" w:cs="Times New Roman"/>
                <w:color w:val="auto"/>
                <w:sz w:val="21"/>
                <w:szCs w:val="21"/>
                <w:vertAlign w:val="baseline"/>
                <w:lang w:val="en-US" w:eastAsia="zh-CN"/>
              </w:rPr>
              <w:t>但</w:t>
            </w:r>
            <w:r>
              <w:rPr>
                <w:rFonts w:hint="eastAsia" w:cs="Times New Roman"/>
                <w:color w:val="auto"/>
                <w:sz w:val="21"/>
                <w:szCs w:val="21"/>
                <w:vertAlign w:val="baseline"/>
                <w:lang w:val="en-US" w:eastAsia="zh-CN"/>
              </w:rPr>
              <w:t>本工程</w:t>
            </w:r>
            <w:r>
              <w:rPr>
                <w:rFonts w:hint="default" w:ascii="Times New Roman" w:hAnsi="Times New Roman" w:eastAsia="宋体" w:cs="Times New Roman"/>
                <w:color w:val="auto"/>
                <w:sz w:val="21"/>
                <w:szCs w:val="21"/>
                <w:vertAlign w:val="baseline"/>
                <w:lang w:val="en-US" w:eastAsia="zh-CN"/>
              </w:rPr>
              <w:t>不涉及拆除设施、设备或者建筑物、构筑物的</w:t>
            </w:r>
            <w:r>
              <w:rPr>
                <w:rFonts w:hint="eastAsia" w:ascii="Times New Roman" w:hAnsi="Times New Roman" w:eastAsia="宋体" w:cs="Times New Roman"/>
                <w:color w:val="auto"/>
                <w:sz w:val="21"/>
                <w:szCs w:val="21"/>
                <w:vertAlign w:val="baseline"/>
                <w:lang w:val="en-US" w:eastAsia="zh-CN"/>
              </w:rPr>
              <w:t>工序</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且建设单位</w:t>
            </w:r>
            <w:r>
              <w:rPr>
                <w:rFonts w:hint="default" w:ascii="Times New Roman" w:hAnsi="Times New Roman" w:eastAsia="宋体" w:cs="Times New Roman"/>
                <w:color w:val="auto"/>
                <w:sz w:val="21"/>
                <w:szCs w:val="21"/>
                <w:vertAlign w:val="baseline"/>
                <w:lang w:val="en-US" w:eastAsia="zh-CN"/>
              </w:rPr>
              <w:t>已制定</w:t>
            </w:r>
            <w:r>
              <w:rPr>
                <w:rFonts w:hint="eastAsia" w:ascii="Times New Roman" w:hAnsi="Times New Roman" w:eastAsia="宋体" w:cs="Times New Roman"/>
                <w:color w:val="auto"/>
                <w:sz w:val="21"/>
                <w:szCs w:val="21"/>
                <w:vertAlign w:val="baseline"/>
                <w:lang w:val="en-US" w:eastAsia="zh-CN"/>
              </w:rPr>
              <w:t>突发环境事件</w:t>
            </w:r>
            <w:r>
              <w:rPr>
                <w:rFonts w:hint="default" w:ascii="Times New Roman" w:hAnsi="Times New Roman" w:eastAsia="宋体" w:cs="Times New Roman"/>
                <w:color w:val="auto"/>
                <w:sz w:val="21"/>
                <w:szCs w:val="21"/>
                <w:vertAlign w:val="baseline"/>
                <w:lang w:val="en-US" w:eastAsia="zh-CN"/>
              </w:rPr>
              <w:t>应急预案，并在克拉玛依市生态环境局乌尔禾区分局备案</w:t>
            </w:r>
            <w:r>
              <w:rPr>
                <w:rFonts w:hint="eastAsia" w:ascii="Times New Roman" w:hAnsi="Times New Roman" w:eastAsia="宋体" w:cs="Times New Roman"/>
                <w:color w:val="auto"/>
                <w:sz w:val="21"/>
                <w:szCs w:val="21"/>
                <w:vertAlign w:val="baseline"/>
                <w:lang w:val="en-US" w:eastAsia="zh-CN"/>
              </w:rPr>
              <w:t>，因此项目</w:t>
            </w:r>
            <w:r>
              <w:rPr>
                <w:rFonts w:hint="default" w:ascii="Times New Roman" w:hAnsi="Times New Roman" w:eastAsia="宋体" w:cs="Times New Roman"/>
                <w:color w:val="auto"/>
                <w:sz w:val="21"/>
                <w:szCs w:val="21"/>
                <w:vertAlign w:val="baseline"/>
                <w:lang w:val="en-US" w:eastAsia="zh-CN"/>
              </w:rPr>
              <w:t>符合要求。</w:t>
            </w:r>
          </w:p>
        </w:tc>
      </w:tr>
      <w:tr w14:paraId="0AB3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254E3A1D">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3CD3761F">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lang w:bidi="en-US"/>
              </w:rPr>
              <w:t>3.</w:t>
            </w:r>
            <w:r>
              <w:rPr>
                <w:rFonts w:hint="default" w:ascii="Times New Roman" w:hAnsi="Times New Roman" w:eastAsia="宋体" w:cs="Times New Roman"/>
                <w:bCs w:val="0"/>
                <w:color w:val="auto"/>
                <w:sz w:val="21"/>
                <w:szCs w:val="21"/>
                <w:lang w:val="en-US" w:eastAsia="zh-CN" w:bidi="en-US"/>
              </w:rPr>
              <w:t xml:space="preserve">10 </w:t>
            </w:r>
            <w:r>
              <w:rPr>
                <w:rFonts w:hint="default" w:ascii="Times New Roman" w:hAnsi="Times New Roman" w:eastAsia="宋体" w:cs="Times New Roman"/>
                <w:bCs w:val="0"/>
                <w:color w:val="auto"/>
                <w:sz w:val="21"/>
                <w:szCs w:val="21"/>
                <w:lang w:bidi="en-US"/>
              </w:rPr>
              <w:t>土壤污染重点监管单位生产经营用地的用途变更或者在其土地使用权收回、转让前，应当由土地使用权人按照规定进行土壤污染状况调查。土壤污染状况调查报告应当作为不动产登记资料送交地方人民政府不动产登记机构，并报地方人民政府生态环境主管部门备案。</w:t>
            </w:r>
          </w:p>
        </w:tc>
        <w:tc>
          <w:tcPr>
            <w:tcW w:w="0" w:type="auto"/>
            <w:shd w:val="clear" w:color="auto" w:fill="auto"/>
            <w:vAlign w:val="center"/>
          </w:tcPr>
          <w:p w14:paraId="6CE1DE8E">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建设单位</w:t>
            </w:r>
            <w:r>
              <w:rPr>
                <w:rFonts w:hint="eastAsia" w:ascii="Times New Roman" w:hAnsi="Times New Roman" w:eastAsia="宋体" w:cs="Times New Roman"/>
                <w:color w:val="auto"/>
                <w:sz w:val="21"/>
                <w:szCs w:val="21"/>
                <w:vertAlign w:val="baseline"/>
                <w:lang w:val="en-US" w:eastAsia="zh-CN"/>
              </w:rPr>
              <w:t>用地</w:t>
            </w:r>
            <w:r>
              <w:rPr>
                <w:rFonts w:hint="default" w:ascii="Times New Roman" w:hAnsi="Times New Roman" w:eastAsia="宋体" w:cs="Times New Roman"/>
                <w:color w:val="auto"/>
                <w:sz w:val="21"/>
                <w:szCs w:val="21"/>
                <w:vertAlign w:val="baseline"/>
                <w:lang w:val="en-US" w:eastAsia="zh-CN"/>
              </w:rPr>
              <w:t>不涉及用途变更或土地使用权收回、转让情况，</w:t>
            </w:r>
            <w:r>
              <w:rPr>
                <w:rFonts w:hint="eastAsia" w:ascii="Times New Roman" w:hAnsi="Times New Roman" w:eastAsia="宋体" w:cs="Times New Roman"/>
                <w:color w:val="auto"/>
                <w:sz w:val="21"/>
                <w:szCs w:val="21"/>
                <w:vertAlign w:val="baseline"/>
                <w:lang w:val="en-US" w:eastAsia="zh-CN"/>
              </w:rPr>
              <w:t>因此项目</w:t>
            </w:r>
            <w:r>
              <w:rPr>
                <w:rFonts w:hint="default" w:ascii="Times New Roman" w:hAnsi="Times New Roman" w:eastAsia="宋体" w:cs="Times New Roman"/>
                <w:color w:val="auto"/>
                <w:sz w:val="21"/>
                <w:szCs w:val="21"/>
                <w:vertAlign w:val="baseline"/>
                <w:lang w:val="en-US" w:eastAsia="zh-CN"/>
              </w:rPr>
              <w:t>符合要求。</w:t>
            </w:r>
          </w:p>
        </w:tc>
      </w:tr>
      <w:tr w14:paraId="7250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0B9DF815">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05128F60">
            <w:pPr>
              <w:widowControl/>
              <w:autoSpaceDE w:val="0"/>
              <w:autoSpaceDN w:val="0"/>
              <w:adjustRightInd w:val="0"/>
              <w:snapToGrid w:val="0"/>
              <w:jc w:val="left"/>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lang w:bidi="en-US"/>
              </w:rPr>
              <w:t>3.1</w:t>
            </w:r>
            <w:r>
              <w:rPr>
                <w:rFonts w:hint="default" w:ascii="Times New Roman" w:hAnsi="Times New Roman" w:eastAsia="宋体" w:cs="Times New Roman"/>
                <w:bCs w:val="0"/>
                <w:color w:val="auto"/>
                <w:sz w:val="21"/>
                <w:szCs w:val="21"/>
                <w:lang w:val="en-US" w:eastAsia="zh-CN" w:bidi="en-US"/>
              </w:rPr>
              <w:t>1</w:t>
            </w:r>
            <w:r>
              <w:rPr>
                <w:rFonts w:hint="default" w:ascii="Times New Roman" w:hAnsi="Times New Roman" w:eastAsia="宋体" w:cs="Times New Roman"/>
                <w:bCs w:val="0"/>
                <w:color w:val="auto"/>
                <w:sz w:val="21"/>
                <w:szCs w:val="21"/>
                <w:lang w:bidi="en-US"/>
              </w:rPr>
              <w:t xml:space="preserve"> 对拟收回土地使用权的有色金属冶炼、石油加工、化工、焦化、电镀、制革等行业企业用地，以及用途拟变更为居住和商业、学校、医疗、养老机构等公共设施的上述企业用地，由土地使用权人负责开展土壤环境状况调查评估；已经收回的，由所在地市、县级人民政府负责开展调查评估。</w:t>
            </w:r>
          </w:p>
        </w:tc>
        <w:tc>
          <w:tcPr>
            <w:tcW w:w="0" w:type="auto"/>
            <w:shd w:val="clear" w:color="auto" w:fill="auto"/>
            <w:vAlign w:val="center"/>
          </w:tcPr>
          <w:p w14:paraId="57D2DFF2">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建设单位</w:t>
            </w:r>
            <w:r>
              <w:rPr>
                <w:rFonts w:hint="eastAsia" w:ascii="Times New Roman" w:hAnsi="Times New Roman" w:eastAsia="宋体" w:cs="Times New Roman"/>
                <w:color w:val="auto"/>
                <w:sz w:val="21"/>
                <w:szCs w:val="21"/>
                <w:vertAlign w:val="baseline"/>
                <w:lang w:val="en-US" w:eastAsia="zh-CN"/>
              </w:rPr>
              <w:t>用地</w:t>
            </w:r>
            <w:r>
              <w:rPr>
                <w:rFonts w:hint="default" w:ascii="Times New Roman" w:hAnsi="Times New Roman" w:eastAsia="宋体" w:cs="Times New Roman"/>
                <w:color w:val="auto"/>
                <w:sz w:val="21"/>
                <w:szCs w:val="21"/>
                <w:vertAlign w:val="baseline"/>
                <w:lang w:val="en-US" w:eastAsia="zh-CN"/>
              </w:rPr>
              <w:t>不涉及用途变更或土地使用权收回、转让情况，</w:t>
            </w:r>
            <w:r>
              <w:rPr>
                <w:rFonts w:hint="eastAsia" w:ascii="Times New Roman" w:hAnsi="Times New Roman" w:eastAsia="宋体" w:cs="Times New Roman"/>
                <w:color w:val="auto"/>
                <w:sz w:val="21"/>
                <w:szCs w:val="21"/>
                <w:vertAlign w:val="baseline"/>
                <w:lang w:val="en-US" w:eastAsia="zh-CN"/>
              </w:rPr>
              <w:t>因此项目</w:t>
            </w:r>
            <w:r>
              <w:rPr>
                <w:rFonts w:hint="default" w:ascii="Times New Roman" w:hAnsi="Times New Roman" w:eastAsia="宋体" w:cs="Times New Roman"/>
                <w:color w:val="auto"/>
                <w:sz w:val="21"/>
                <w:szCs w:val="21"/>
                <w:vertAlign w:val="baseline"/>
                <w:lang w:val="en-US" w:eastAsia="zh-CN"/>
              </w:rPr>
              <w:t>符合要求。</w:t>
            </w:r>
          </w:p>
        </w:tc>
      </w:tr>
      <w:tr w14:paraId="53F3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5A902262">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1FB3E3EE">
            <w:pPr>
              <w:widowControl/>
              <w:autoSpaceDE w:val="0"/>
              <w:autoSpaceDN w:val="0"/>
              <w:adjustRightInd w:val="0"/>
              <w:snapToGrid w:val="0"/>
              <w:jc w:val="left"/>
              <w:rPr>
                <w:rFonts w:hint="default" w:ascii="Times New Roman" w:hAnsi="Times New Roman" w:eastAsia="宋体" w:cs="Times New Roman"/>
                <w:bCs w:val="0"/>
                <w:color w:val="auto"/>
                <w:sz w:val="21"/>
                <w:szCs w:val="21"/>
                <w:lang w:val="en-US" w:eastAsia="zh-CN" w:bidi="en-US"/>
              </w:rPr>
            </w:pPr>
            <w:r>
              <w:rPr>
                <w:rFonts w:hint="default" w:ascii="Times New Roman" w:hAnsi="Times New Roman" w:eastAsia="宋体" w:cs="Times New Roman"/>
                <w:bCs w:val="0"/>
                <w:color w:val="auto"/>
                <w:sz w:val="21"/>
                <w:szCs w:val="21"/>
                <w:lang w:bidi="en-US"/>
              </w:rPr>
              <w:t>3.1</w:t>
            </w:r>
            <w:r>
              <w:rPr>
                <w:rFonts w:hint="default" w:ascii="Times New Roman" w:hAnsi="Times New Roman" w:eastAsia="宋体" w:cs="Times New Roman"/>
                <w:bCs w:val="0"/>
                <w:color w:val="auto"/>
                <w:sz w:val="21"/>
                <w:szCs w:val="21"/>
                <w:lang w:val="en-US" w:eastAsia="zh-CN" w:bidi="en-US"/>
              </w:rPr>
              <w:t>2</w:t>
            </w:r>
            <w:r>
              <w:rPr>
                <w:rFonts w:hint="default" w:ascii="Times New Roman" w:hAnsi="Times New Roman" w:eastAsia="宋体" w:cs="Times New Roman"/>
                <w:bCs w:val="0"/>
                <w:color w:val="auto"/>
                <w:sz w:val="21"/>
                <w:szCs w:val="21"/>
                <w:lang w:bidi="en-US"/>
              </w:rPr>
              <w:t xml:space="preserve"> 结合国土空间规划，以用途变更为居住用地、商业、公共管理与公共服务等用地的污染地块为重点，严格落实地块的调查评估、风险管控与修复活动。加强建设用地土壤修复的环境监管，推行绿色修复理念，防止二次污染。加强风险</w:t>
            </w:r>
            <w:r>
              <w:rPr>
                <w:rFonts w:hint="eastAsia" w:cs="Times New Roman"/>
                <w:bCs w:val="0"/>
                <w:color w:val="auto"/>
                <w:sz w:val="21"/>
                <w:szCs w:val="21"/>
                <w:lang w:val="en-US" w:eastAsia="zh-CN" w:bidi="en-US"/>
              </w:rPr>
              <w:t>防</w:t>
            </w:r>
            <w:r>
              <w:rPr>
                <w:rFonts w:hint="default" w:ascii="Times New Roman" w:hAnsi="Times New Roman" w:eastAsia="宋体" w:cs="Times New Roman"/>
                <w:bCs w:val="0"/>
                <w:color w:val="auto"/>
                <w:sz w:val="21"/>
                <w:szCs w:val="21"/>
                <w:lang w:bidi="en-US"/>
              </w:rPr>
              <w:t>范和公众监督，相关风险管控和修复单位要设置公示牌，公开污染地块主要污染物、可能存在的环境风险及采取的治理措施。鼓励周边社区街道等建立居民监督委员会，加强沟通交流，强化群众监督。</w:t>
            </w:r>
          </w:p>
        </w:tc>
        <w:tc>
          <w:tcPr>
            <w:tcW w:w="0" w:type="auto"/>
            <w:shd w:val="clear" w:color="auto" w:fill="auto"/>
            <w:vAlign w:val="center"/>
          </w:tcPr>
          <w:p w14:paraId="145F88D4">
            <w:pPr>
              <w:widowControl/>
              <w:autoSpaceDE w:val="0"/>
              <w:autoSpaceDN w:val="0"/>
              <w:adjustRightInd w:val="0"/>
              <w:snapToGrid w:val="0"/>
              <w:jc w:val="both"/>
              <w:rPr>
                <w:rFonts w:hint="eastAsia" w:ascii="Times New Roman" w:hAnsi="Times New Roman" w:eastAsia="宋体" w:cs="Times New Roman"/>
                <w:bCs w:val="0"/>
                <w:color w:val="auto"/>
                <w:sz w:val="21"/>
                <w:szCs w:val="21"/>
                <w:lang w:val="en-US" w:eastAsia="zh-CN" w:bidi="en-US"/>
              </w:rPr>
            </w:pPr>
            <w:r>
              <w:rPr>
                <w:rFonts w:hint="default" w:ascii="Times New Roman" w:hAnsi="Times New Roman" w:eastAsia="宋体" w:cs="Times New Roman"/>
                <w:bCs w:val="0"/>
                <w:color w:val="auto"/>
                <w:sz w:val="21"/>
                <w:szCs w:val="21"/>
                <w:lang w:val="en-US" w:eastAsia="zh-CN" w:bidi="en-US"/>
              </w:rPr>
              <w:t>建设单位用地不涉及用途变更或土地使用权收回、转让情况，</w:t>
            </w:r>
            <w:r>
              <w:rPr>
                <w:rFonts w:hint="eastAsia" w:ascii="Times New Roman" w:hAnsi="Times New Roman" w:eastAsia="宋体" w:cs="Times New Roman"/>
                <w:bCs w:val="0"/>
                <w:color w:val="auto"/>
                <w:sz w:val="21"/>
                <w:szCs w:val="21"/>
                <w:lang w:val="en-US" w:eastAsia="zh-CN" w:bidi="en-US"/>
              </w:rPr>
              <w:t>且已制定突发环境事件</w:t>
            </w:r>
            <w:r>
              <w:rPr>
                <w:rFonts w:hint="default" w:ascii="Times New Roman" w:hAnsi="Times New Roman" w:eastAsia="宋体" w:cs="Times New Roman"/>
                <w:bCs w:val="0"/>
                <w:color w:val="auto"/>
                <w:sz w:val="21"/>
                <w:szCs w:val="21"/>
                <w:lang w:val="en-US" w:eastAsia="zh-CN" w:bidi="en-US"/>
              </w:rPr>
              <w:t>应急预案，并在克拉玛依市生态环境局乌尔禾区分局备案</w:t>
            </w:r>
            <w:r>
              <w:rPr>
                <w:rFonts w:hint="eastAsia" w:ascii="Times New Roman" w:hAnsi="Times New Roman" w:eastAsia="宋体" w:cs="Times New Roman"/>
                <w:bCs w:val="0"/>
                <w:color w:val="auto"/>
                <w:sz w:val="21"/>
                <w:szCs w:val="21"/>
                <w:lang w:val="en-US" w:eastAsia="zh-CN" w:bidi="en-US"/>
              </w:rPr>
              <w:t>，因此项目</w:t>
            </w:r>
            <w:r>
              <w:rPr>
                <w:rFonts w:hint="default" w:ascii="Times New Roman" w:hAnsi="Times New Roman" w:eastAsia="宋体" w:cs="Times New Roman"/>
                <w:bCs w:val="0"/>
                <w:color w:val="auto"/>
                <w:sz w:val="21"/>
                <w:szCs w:val="21"/>
                <w:lang w:val="en-US" w:eastAsia="zh-CN" w:bidi="en-US"/>
              </w:rPr>
              <w:t>符合要求。</w:t>
            </w:r>
          </w:p>
        </w:tc>
      </w:tr>
      <w:tr w14:paraId="4888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49FF788D">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49F1A2F1">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rPr>
              <w:t>3.1</w:t>
            </w:r>
            <w:r>
              <w:rPr>
                <w:rFonts w:hint="default" w:ascii="Times New Roman" w:hAnsi="Times New Roman" w:eastAsia="宋体" w:cs="Times New Roman"/>
                <w:bCs w:val="0"/>
                <w:color w:val="auto"/>
                <w:sz w:val="21"/>
                <w:szCs w:val="21"/>
                <w:lang w:val="en-US" w:eastAsia="zh-CN"/>
              </w:rPr>
              <w:t>3</w:t>
            </w:r>
            <w:r>
              <w:rPr>
                <w:rFonts w:hint="default" w:ascii="Times New Roman" w:hAnsi="Times New Roman" w:eastAsia="宋体" w:cs="Times New Roman"/>
                <w:bCs w:val="0"/>
                <w:color w:val="auto"/>
                <w:sz w:val="21"/>
                <w:szCs w:val="21"/>
              </w:rPr>
              <w:t xml:space="preserve"> 按照科学有序原则，对拟开发为农用地的，市、区两级人民政府组织开展土壤污染状况调查评估，对不符合标准的，不得种植食用农产品；对新建排放重点污染物的建设项目，在开展环境影响评价时，应加强对土壤环境影响评价的内容，并提出防范土壤污染的具体措施。</w:t>
            </w:r>
          </w:p>
        </w:tc>
        <w:tc>
          <w:tcPr>
            <w:tcW w:w="0" w:type="auto"/>
            <w:shd w:val="clear" w:color="auto" w:fill="auto"/>
            <w:vAlign w:val="center"/>
          </w:tcPr>
          <w:p w14:paraId="294C35F4">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rPr>
              <w:t>根据收集到的资料，区域在开展环境影响评价时均对土壤环境进行了评价，</w:t>
            </w:r>
            <w:r>
              <w:rPr>
                <w:rFonts w:hint="default" w:ascii="Times New Roman" w:hAnsi="Times New Roman" w:eastAsia="宋体" w:cs="Times New Roman"/>
                <w:color w:val="auto"/>
                <w:sz w:val="21"/>
                <w:szCs w:val="21"/>
                <w:lang w:eastAsia="zh-CN"/>
              </w:rPr>
              <w:t>本次</w:t>
            </w:r>
            <w:r>
              <w:rPr>
                <w:rFonts w:hint="default" w:ascii="Times New Roman" w:hAnsi="Times New Roman" w:eastAsia="宋体" w:cs="Times New Roman"/>
                <w:color w:val="auto"/>
                <w:sz w:val="21"/>
                <w:szCs w:val="21"/>
              </w:rPr>
              <w:t>报告中提出了相应的防范土壤污染的具体措施，</w:t>
            </w:r>
            <w:r>
              <w:rPr>
                <w:rFonts w:hint="eastAsia" w:ascii="Times New Roman" w:hAnsi="Times New Roman" w:eastAsia="宋体" w:cs="Times New Roman"/>
                <w:color w:val="auto"/>
                <w:sz w:val="21"/>
                <w:szCs w:val="21"/>
                <w:lang w:val="en-US" w:eastAsia="zh-CN"/>
              </w:rPr>
              <w:t>因此项目</w:t>
            </w:r>
            <w:r>
              <w:rPr>
                <w:rFonts w:hint="default" w:ascii="Times New Roman" w:hAnsi="Times New Roman" w:eastAsia="宋体" w:cs="Times New Roman"/>
                <w:color w:val="auto"/>
                <w:sz w:val="21"/>
                <w:szCs w:val="21"/>
              </w:rPr>
              <w:t>符合要求。</w:t>
            </w:r>
          </w:p>
        </w:tc>
      </w:tr>
      <w:tr w14:paraId="734F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0105B8B4">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4EA57E7A">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rPr>
              <w:t>3.1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 xml:space="preserve"> 以克拉玛依油田为重点，加强油（气）田废弃物的无害化处理和资源化利用，严防油（气）田勘探、开发、运行过程以及事故排放产生的废弃物对土壤的污染。持续开展油（气）资源开发区历史遗留污染地块治理与修复工作。</w:t>
            </w:r>
          </w:p>
        </w:tc>
        <w:tc>
          <w:tcPr>
            <w:tcW w:w="0" w:type="auto"/>
            <w:shd w:val="clear" w:color="auto" w:fill="auto"/>
            <w:vAlign w:val="center"/>
          </w:tcPr>
          <w:p w14:paraId="4E2599F5">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eastAsia" w:cs="Times New Roman"/>
                <w:bCs/>
                <w:color w:val="auto"/>
                <w:kern w:val="2"/>
                <w:sz w:val="21"/>
                <w:szCs w:val="21"/>
                <w:lang w:val="en-US" w:eastAsia="zh-CN" w:bidi="ar-SA"/>
              </w:rPr>
              <w:t>本工程产生的油泥（砂）、沾油废物等委托有危险废物处置资质的单位处置，井下作业必须带罐（车）操作，落地油100%回收。因此项目</w:t>
            </w:r>
            <w:r>
              <w:rPr>
                <w:rFonts w:hint="eastAsia" w:ascii="Times New Roman" w:hAnsi="Times New Roman" w:cs="Times New Roman"/>
                <w:b w:val="0"/>
                <w:snapToGrid w:val="0"/>
                <w:color w:val="auto"/>
                <w:sz w:val="21"/>
                <w:szCs w:val="21"/>
                <w:lang w:val="en-US" w:eastAsia="zh-CN"/>
              </w:rPr>
              <w:t>符合要求</w:t>
            </w:r>
            <w:r>
              <w:rPr>
                <w:rFonts w:hint="default" w:ascii="Times New Roman" w:hAnsi="Times New Roman" w:eastAsia="宋体" w:cs="Times New Roman"/>
                <w:color w:val="auto"/>
                <w:sz w:val="21"/>
                <w:szCs w:val="21"/>
              </w:rPr>
              <w:t>。</w:t>
            </w:r>
          </w:p>
        </w:tc>
      </w:tr>
      <w:tr w14:paraId="6523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3DA50BEB">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3092F13E">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rPr>
              <w:t>3.1</w:t>
            </w:r>
            <w:r>
              <w:rPr>
                <w:rFonts w:hint="default" w:ascii="Times New Roman" w:hAnsi="Times New Roman" w:eastAsia="宋体" w:cs="Times New Roman"/>
                <w:bCs w:val="0"/>
                <w:color w:val="auto"/>
                <w:sz w:val="21"/>
                <w:szCs w:val="21"/>
                <w:lang w:val="en-US" w:eastAsia="zh-CN"/>
              </w:rPr>
              <w:t>5</w:t>
            </w:r>
            <w:r>
              <w:rPr>
                <w:rFonts w:hint="default" w:ascii="Times New Roman" w:hAnsi="Times New Roman" w:eastAsia="宋体" w:cs="Times New Roman"/>
                <w:bCs w:val="0"/>
                <w:color w:val="auto"/>
                <w:sz w:val="21"/>
                <w:szCs w:val="21"/>
              </w:rPr>
              <w:t xml:space="preserve"> 结合克拉玛依市国土空间规划，以用途变更为居住用地、商业、公共管理与公共服务等用地的污染地块为重点，严格落实地块的调查评估、风险管控与修复活动。加强建设用地土壤修复的环境监管，推行绿色修复理念，防止二次污染。加强风险</w:t>
            </w:r>
            <w:r>
              <w:rPr>
                <w:rFonts w:hint="eastAsia" w:cs="Times New Roman"/>
                <w:bCs w:val="0"/>
                <w:color w:val="auto"/>
                <w:sz w:val="21"/>
                <w:szCs w:val="21"/>
                <w:lang w:eastAsia="zh-CN"/>
              </w:rPr>
              <w:t>防范</w:t>
            </w:r>
            <w:r>
              <w:rPr>
                <w:rFonts w:hint="default" w:ascii="Times New Roman" w:hAnsi="Times New Roman" w:eastAsia="宋体" w:cs="Times New Roman"/>
                <w:bCs w:val="0"/>
                <w:color w:val="auto"/>
                <w:sz w:val="21"/>
                <w:szCs w:val="21"/>
              </w:rPr>
              <w:t>和公众监督，相关风险管控和修复单位要设置公示牌，公开污染地块主要污染物、可能存在的环境风险及采取的治理措施。鼓励周边社区街道等建立居民监督委员会，加强沟通交流，强化群众监督。</w:t>
            </w:r>
          </w:p>
        </w:tc>
        <w:tc>
          <w:tcPr>
            <w:tcW w:w="0" w:type="auto"/>
            <w:shd w:val="clear" w:color="auto" w:fill="auto"/>
            <w:vAlign w:val="center"/>
          </w:tcPr>
          <w:p w14:paraId="7A926A61">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lang w:val="en-US" w:eastAsia="zh-CN" w:bidi="en-US"/>
              </w:rPr>
              <w:t>建设单位用地不涉及用途变更或土地使用权收回、转让情况，</w:t>
            </w:r>
            <w:r>
              <w:rPr>
                <w:rFonts w:hint="eastAsia" w:ascii="Times New Roman" w:hAnsi="Times New Roman" w:eastAsia="宋体" w:cs="Times New Roman"/>
                <w:bCs w:val="0"/>
                <w:color w:val="auto"/>
                <w:sz w:val="21"/>
                <w:szCs w:val="21"/>
                <w:lang w:val="en-US" w:eastAsia="zh-CN" w:bidi="en-US"/>
              </w:rPr>
              <w:t>且已制定突发环境事件</w:t>
            </w:r>
            <w:r>
              <w:rPr>
                <w:rFonts w:hint="default" w:ascii="Times New Roman" w:hAnsi="Times New Roman" w:eastAsia="宋体" w:cs="Times New Roman"/>
                <w:bCs w:val="0"/>
                <w:color w:val="auto"/>
                <w:sz w:val="21"/>
                <w:szCs w:val="21"/>
                <w:lang w:val="en-US" w:eastAsia="zh-CN" w:bidi="en-US"/>
              </w:rPr>
              <w:t>应急预案，并在克拉玛依市生态环境局乌尔禾区分局备案</w:t>
            </w:r>
            <w:r>
              <w:rPr>
                <w:rFonts w:hint="eastAsia" w:ascii="Times New Roman" w:hAnsi="Times New Roman" w:eastAsia="宋体" w:cs="Times New Roman"/>
                <w:bCs w:val="0"/>
                <w:color w:val="auto"/>
                <w:sz w:val="21"/>
                <w:szCs w:val="21"/>
                <w:lang w:val="en-US" w:eastAsia="zh-CN" w:bidi="en-US"/>
              </w:rPr>
              <w:t>，因此项目</w:t>
            </w:r>
            <w:r>
              <w:rPr>
                <w:rFonts w:hint="default" w:ascii="Times New Roman" w:hAnsi="Times New Roman" w:eastAsia="宋体" w:cs="Times New Roman"/>
                <w:bCs w:val="0"/>
                <w:color w:val="auto"/>
                <w:sz w:val="21"/>
                <w:szCs w:val="21"/>
                <w:lang w:val="en-US" w:eastAsia="zh-CN" w:bidi="en-US"/>
              </w:rPr>
              <w:t>符合要求</w:t>
            </w:r>
            <w:r>
              <w:rPr>
                <w:rFonts w:hint="eastAsia" w:cs="Times New Roman"/>
                <w:bCs w:val="0"/>
                <w:color w:val="auto"/>
                <w:sz w:val="21"/>
                <w:szCs w:val="21"/>
                <w:lang w:val="en-US" w:eastAsia="zh-CN" w:bidi="en-US"/>
              </w:rPr>
              <w:t>。</w:t>
            </w:r>
          </w:p>
        </w:tc>
      </w:tr>
      <w:tr w14:paraId="79FE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63872B51">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379426F1">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rPr>
              <w:t>3.1</w:t>
            </w:r>
            <w:r>
              <w:rPr>
                <w:rFonts w:hint="default" w:ascii="Times New Roman" w:hAnsi="Times New Roman" w:eastAsia="宋体" w:cs="Times New Roman"/>
                <w:bCs w:val="0"/>
                <w:color w:val="auto"/>
                <w:sz w:val="21"/>
                <w:szCs w:val="21"/>
                <w:lang w:val="en-US" w:eastAsia="zh-CN"/>
              </w:rPr>
              <w:t>6</w:t>
            </w:r>
            <w:r>
              <w:rPr>
                <w:rFonts w:hint="default" w:ascii="Times New Roman" w:hAnsi="Times New Roman" w:eastAsia="宋体" w:cs="Times New Roman"/>
                <w:bCs w:val="0"/>
                <w:color w:val="auto"/>
                <w:sz w:val="21"/>
                <w:szCs w:val="21"/>
              </w:rPr>
              <w:t xml:space="preserve"> 以饮用水水源保护为核心，加强地下水型饮用水水源补给区保护。综合考虑地下水水文地质结构、脆弱性、污染状况、水资源禀赋及其使用功能和行政区划等因素，逐步建立全市地下水污染防治分区管控机制，开展划定地下水污染治理区、防控区及保护区试点。科学划定地下水污染防治重点区。强化工业园区、危险废物处置场和生活垃圾填埋场等地下水污染风险防控。探索建立报废钻井清单，持续推进封井工作。</w:t>
            </w:r>
          </w:p>
        </w:tc>
        <w:tc>
          <w:tcPr>
            <w:tcW w:w="0" w:type="auto"/>
            <w:shd w:val="clear" w:color="auto" w:fill="auto"/>
            <w:vAlign w:val="center"/>
          </w:tcPr>
          <w:p w14:paraId="710EF7CD">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lang w:eastAsia="zh-CN"/>
              </w:rPr>
              <w:t>本工程</w:t>
            </w:r>
            <w:r>
              <w:rPr>
                <w:rFonts w:hint="default" w:ascii="Times New Roman" w:hAnsi="Times New Roman" w:eastAsia="宋体" w:cs="Times New Roman"/>
                <w:color w:val="auto"/>
                <w:sz w:val="21"/>
                <w:szCs w:val="21"/>
              </w:rPr>
              <w:t>不涉及开采地下水</w:t>
            </w:r>
            <w:r>
              <w:rPr>
                <w:rFonts w:hint="eastAsia" w:ascii="Times New Roman" w:hAnsi="Times New Roman" w:eastAsia="宋体" w:cs="Times New Roman"/>
                <w:color w:val="auto"/>
                <w:sz w:val="21"/>
                <w:szCs w:val="21"/>
                <w:lang w:val="en-US" w:eastAsia="zh-CN"/>
              </w:rPr>
              <w:t>，因此项目</w:t>
            </w:r>
            <w:r>
              <w:rPr>
                <w:rFonts w:hint="default" w:ascii="Times New Roman" w:hAnsi="Times New Roman" w:eastAsia="宋体" w:cs="Times New Roman"/>
                <w:color w:val="auto"/>
                <w:sz w:val="21"/>
                <w:szCs w:val="21"/>
              </w:rPr>
              <w:t>符合要求。</w:t>
            </w:r>
          </w:p>
        </w:tc>
      </w:tr>
      <w:tr w14:paraId="556C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0803664D">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17CC5DA9">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rPr>
              <w:t>3.1</w:t>
            </w:r>
            <w:r>
              <w:rPr>
                <w:rFonts w:hint="default" w:ascii="Times New Roman" w:hAnsi="Times New Roman" w:eastAsia="宋体" w:cs="Times New Roman"/>
                <w:bCs w:val="0"/>
                <w:color w:val="auto"/>
                <w:sz w:val="21"/>
                <w:szCs w:val="21"/>
                <w:lang w:val="en-US" w:eastAsia="zh-CN"/>
              </w:rPr>
              <w:t>7</w:t>
            </w:r>
            <w:r>
              <w:rPr>
                <w:rFonts w:hint="default" w:ascii="Times New Roman" w:hAnsi="Times New Roman" w:eastAsia="宋体" w:cs="Times New Roman"/>
                <w:bCs w:val="0"/>
                <w:color w:val="auto"/>
                <w:sz w:val="21"/>
                <w:szCs w:val="21"/>
              </w:rPr>
              <w:t xml:space="preserve"> 定期评估有关工业企业及周边地下水环境安全隐患，定期检查地下水污染区域内重点行业企业的污染治理状况。依法关停造成地下水严重污染事件的企业。建立重点行业企业地下水影响分级管理体系，以石油炼化、焦化、黑色金属冶炼及压延加工业等排放重金属和其他有毒有害污染物的工业行业为重点，公布污染地下水重点监管单位名单。</w:t>
            </w:r>
          </w:p>
        </w:tc>
        <w:tc>
          <w:tcPr>
            <w:tcW w:w="0" w:type="auto"/>
            <w:shd w:val="clear" w:color="auto" w:fill="auto"/>
            <w:vAlign w:val="center"/>
          </w:tcPr>
          <w:p w14:paraId="29EFDFEF">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lang w:eastAsia="zh-CN"/>
              </w:rPr>
              <w:t>本工程</w:t>
            </w:r>
            <w:r>
              <w:rPr>
                <w:rFonts w:hint="default" w:ascii="Times New Roman" w:hAnsi="Times New Roman" w:eastAsia="宋体" w:cs="Times New Roman"/>
                <w:color w:val="auto"/>
                <w:sz w:val="21"/>
                <w:szCs w:val="21"/>
              </w:rPr>
              <w:t>不涉及开采地下水，</w:t>
            </w:r>
            <w:r>
              <w:rPr>
                <w:rFonts w:hint="eastAsia" w:ascii="Times New Roman" w:hAnsi="Times New Roman" w:eastAsia="宋体" w:cs="Times New Roman"/>
                <w:color w:val="auto"/>
                <w:sz w:val="21"/>
                <w:szCs w:val="21"/>
                <w:lang w:val="en-US" w:eastAsia="zh-CN"/>
              </w:rPr>
              <w:t>项目属于陆地石油开采行业，建设单位设有地下水监测井，定期对地下水进行监测，因此项目</w:t>
            </w:r>
            <w:r>
              <w:rPr>
                <w:rFonts w:hint="default" w:ascii="Times New Roman" w:hAnsi="Times New Roman" w:eastAsia="宋体" w:cs="Times New Roman"/>
                <w:color w:val="auto"/>
                <w:sz w:val="21"/>
                <w:szCs w:val="21"/>
              </w:rPr>
              <w:t>符合要求。</w:t>
            </w:r>
          </w:p>
        </w:tc>
      </w:tr>
      <w:tr w14:paraId="2787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1EDC48FF">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0504E1F4">
            <w:pPr>
              <w:widowControl/>
              <w:autoSpaceDE w:val="0"/>
              <w:autoSpaceDN w:val="0"/>
              <w:adjustRightInd w:val="0"/>
              <w:snapToGrid w:val="0"/>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rPr>
              <w:t>3.1</w:t>
            </w:r>
            <w:r>
              <w:rPr>
                <w:rFonts w:hint="default" w:ascii="Times New Roman" w:hAnsi="Times New Roman" w:eastAsia="宋体" w:cs="Times New Roman"/>
                <w:bCs w:val="0"/>
                <w:color w:val="auto"/>
                <w:sz w:val="21"/>
                <w:szCs w:val="21"/>
                <w:lang w:val="en-US" w:eastAsia="zh-CN"/>
              </w:rPr>
              <w:t>8</w:t>
            </w:r>
            <w:r>
              <w:rPr>
                <w:rFonts w:hint="default" w:ascii="Times New Roman" w:hAnsi="Times New Roman" w:eastAsia="宋体" w:cs="Times New Roman"/>
                <w:bCs w:val="0"/>
                <w:color w:val="auto"/>
                <w:sz w:val="21"/>
                <w:szCs w:val="21"/>
              </w:rPr>
              <w:t xml:space="preserve"> 化学品生产企业、危险废物处置场、垃圾填埋场等申领排污许可证时，载明地下水污染防渗和水质监测相关义务，采取防渗漏措施，建设地下水水质监测井并进行监测。根据潜在地下水污染特征，科学设计监测井位置和深度，加强监测井建设质量控制和运行维护，建立监测数据报送制度，逐步推进地下水环境自行监测。推动地下水污染防治重点区划定，明确环境准入、隐患排查、风险管控等管理要求。</w:t>
            </w:r>
          </w:p>
        </w:tc>
        <w:tc>
          <w:tcPr>
            <w:tcW w:w="0" w:type="auto"/>
            <w:shd w:val="clear" w:color="auto" w:fill="auto"/>
            <w:vAlign w:val="center"/>
          </w:tcPr>
          <w:p w14:paraId="4048C25C">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本工程</w:t>
            </w:r>
            <w:r>
              <w:rPr>
                <w:rFonts w:hint="eastAsia" w:ascii="Times New Roman" w:hAnsi="Times New Roman" w:eastAsia="宋体" w:cs="Times New Roman"/>
                <w:color w:val="auto"/>
                <w:sz w:val="21"/>
                <w:szCs w:val="21"/>
                <w:lang w:val="en-US" w:eastAsia="zh-CN"/>
              </w:rPr>
              <w:t>属于陆地石油开采行业，</w:t>
            </w:r>
            <w:r>
              <w:rPr>
                <w:rFonts w:hint="eastAsia" w:cs="Times New Roman"/>
                <w:color w:val="auto"/>
                <w:sz w:val="21"/>
                <w:szCs w:val="21"/>
                <w:vertAlign w:val="baseline"/>
                <w:lang w:val="en-US" w:eastAsia="zh-CN"/>
              </w:rPr>
              <w:t>不属于</w:t>
            </w:r>
            <w:r>
              <w:rPr>
                <w:rFonts w:hint="default" w:ascii="Times New Roman" w:hAnsi="Times New Roman" w:eastAsia="宋体" w:cs="Times New Roman"/>
                <w:bCs w:val="0"/>
                <w:color w:val="auto"/>
                <w:sz w:val="21"/>
                <w:szCs w:val="21"/>
              </w:rPr>
              <w:t>化学品生产企业、危险废物处置场、垃圾填埋场等</w:t>
            </w:r>
            <w:r>
              <w:rPr>
                <w:rFonts w:hint="eastAsia" w:ascii="Times New Roman" w:hAnsi="Times New Roman" w:cs="Times New Roman"/>
                <w:bCs w:val="0"/>
                <w:color w:val="auto"/>
                <w:sz w:val="21"/>
                <w:szCs w:val="21"/>
                <w:lang w:val="en-US" w:eastAsia="zh-CN"/>
              </w:rPr>
              <w:t>项目，</w:t>
            </w:r>
            <w:r>
              <w:rPr>
                <w:rFonts w:hint="eastAsia" w:ascii="Times New Roman" w:hAnsi="Times New Roman" w:eastAsia="宋体" w:cs="Times New Roman"/>
                <w:color w:val="auto"/>
                <w:sz w:val="21"/>
                <w:szCs w:val="21"/>
                <w:lang w:val="en-US" w:eastAsia="zh-CN"/>
              </w:rPr>
              <w:t>建设单位设有地下水监测井，定期对地下水进行监测，因此项目</w:t>
            </w:r>
            <w:r>
              <w:rPr>
                <w:rFonts w:hint="default" w:ascii="Times New Roman" w:hAnsi="Times New Roman" w:eastAsia="宋体" w:cs="Times New Roman"/>
                <w:color w:val="auto"/>
                <w:sz w:val="21"/>
                <w:szCs w:val="21"/>
              </w:rPr>
              <w:t>符合要求。</w:t>
            </w:r>
          </w:p>
        </w:tc>
      </w:tr>
      <w:tr w14:paraId="1FF3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4B4A8D10">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58D1BFEA">
            <w:pPr>
              <w:widowControl/>
              <w:autoSpaceDE w:val="0"/>
              <w:autoSpaceDN w:val="0"/>
              <w:adjustRightInd w:val="0"/>
              <w:snapToGrid w:val="0"/>
              <w:jc w:val="left"/>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bCs w:val="0"/>
                <w:color w:val="auto"/>
                <w:sz w:val="21"/>
                <w:szCs w:val="21"/>
                <w:lang w:val="en-US" w:eastAsia="zh-CN" w:bidi="en-US"/>
              </w:rPr>
              <w:t xml:space="preserve">3.19 </w:t>
            </w:r>
            <w:r>
              <w:rPr>
                <w:rFonts w:hint="default" w:ascii="Times New Roman" w:hAnsi="Times New Roman" w:eastAsia="宋体" w:cs="Times New Roman"/>
                <w:bCs w:val="0"/>
                <w:color w:val="auto"/>
                <w:sz w:val="21"/>
                <w:szCs w:val="21"/>
                <w:lang w:bidi="en-US"/>
              </w:rPr>
              <w:t>建立健全环境风险防控体系，制定环境风险应急预案，建设突发事件应急物资储备库，成立应急组织机构。</w:t>
            </w:r>
          </w:p>
        </w:tc>
        <w:tc>
          <w:tcPr>
            <w:tcW w:w="0" w:type="auto"/>
            <w:shd w:val="clear" w:color="auto" w:fill="auto"/>
            <w:vAlign w:val="center"/>
          </w:tcPr>
          <w:p w14:paraId="2279C412">
            <w:pPr>
              <w:numPr>
                <w:ilvl w:val="0"/>
                <w:numId w:val="0"/>
              </w:numPr>
              <w:autoSpaceDE w:val="0"/>
              <w:autoSpaceDN w:val="0"/>
              <w:adjustRightInd w:val="0"/>
              <w:snapToGrid w:val="0"/>
              <w:spacing w:line="240" w:lineRule="auto"/>
              <w:ind w:left="0" w:leftChars="0" w:firstLine="0" w:firstLineChars="0"/>
              <w:jc w:val="both"/>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建设单位已制定</w:t>
            </w:r>
            <w:r>
              <w:rPr>
                <w:rFonts w:hint="eastAsia" w:ascii="Times New Roman" w:hAnsi="Times New Roman" w:eastAsia="宋体" w:cs="Times New Roman"/>
                <w:color w:val="auto"/>
                <w:sz w:val="21"/>
                <w:szCs w:val="21"/>
                <w:vertAlign w:val="baseline"/>
                <w:lang w:val="en-US" w:eastAsia="zh-CN"/>
              </w:rPr>
              <w:t>突发环境事件</w:t>
            </w:r>
            <w:r>
              <w:rPr>
                <w:rFonts w:hint="default" w:ascii="Times New Roman" w:hAnsi="Times New Roman" w:eastAsia="宋体" w:cs="Times New Roman"/>
                <w:color w:val="auto"/>
                <w:sz w:val="21"/>
                <w:szCs w:val="21"/>
                <w:vertAlign w:val="baseline"/>
                <w:lang w:val="en-US" w:eastAsia="zh-CN"/>
              </w:rPr>
              <w:t>应急预案，并在克拉玛依市生态环境局乌尔禾区分局备案</w:t>
            </w:r>
            <w:r>
              <w:rPr>
                <w:rFonts w:hint="eastAsia" w:ascii="Times New Roman" w:hAnsi="Times New Roman" w:eastAsia="宋体" w:cs="Times New Roman"/>
                <w:color w:val="auto"/>
                <w:sz w:val="21"/>
                <w:szCs w:val="21"/>
                <w:vertAlign w:val="baseline"/>
                <w:lang w:val="en-US" w:eastAsia="zh-CN"/>
              </w:rPr>
              <w:t>，因此项目</w:t>
            </w:r>
            <w:r>
              <w:rPr>
                <w:rFonts w:hint="default" w:ascii="Times New Roman" w:hAnsi="Times New Roman" w:eastAsia="宋体" w:cs="Times New Roman"/>
                <w:color w:val="auto"/>
                <w:sz w:val="21"/>
                <w:szCs w:val="21"/>
                <w:vertAlign w:val="baseline"/>
                <w:lang w:val="en-US" w:eastAsia="zh-CN"/>
              </w:rPr>
              <w:t>符合要求。</w:t>
            </w:r>
          </w:p>
        </w:tc>
      </w:tr>
      <w:tr w14:paraId="64F4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shd w:val="clear" w:color="auto" w:fill="auto"/>
            <w:vAlign w:val="center"/>
          </w:tcPr>
          <w:p w14:paraId="3D312C0C">
            <w:pPr>
              <w:autoSpaceDE w:val="0"/>
              <w:autoSpaceDN w:val="0"/>
              <w:adjustRightInd w:val="0"/>
              <w:snapToGrid w:val="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克拉玛依市</w:t>
            </w:r>
            <w:r>
              <w:rPr>
                <w:rFonts w:hint="eastAsia" w:ascii="Times New Roman" w:hAnsi="Times New Roman" w:eastAsia="宋体" w:cs="Times New Roman"/>
                <w:b/>
                <w:bCs/>
                <w:color w:val="auto"/>
                <w:sz w:val="21"/>
                <w:szCs w:val="21"/>
                <w:lang w:val="en-US" w:eastAsia="zh-CN"/>
              </w:rPr>
              <w:t>一般</w:t>
            </w:r>
            <w:r>
              <w:rPr>
                <w:rFonts w:hint="default" w:ascii="Times New Roman" w:hAnsi="Times New Roman" w:eastAsia="宋体" w:cs="Times New Roman"/>
                <w:b/>
                <w:bCs/>
                <w:color w:val="auto"/>
                <w:sz w:val="21"/>
                <w:szCs w:val="21"/>
              </w:rPr>
              <w:t>管控单元分类管控要求</w:t>
            </w:r>
          </w:p>
        </w:tc>
        <w:tc>
          <w:tcPr>
            <w:tcW w:w="3015" w:type="pct"/>
            <w:shd w:val="clear" w:color="auto" w:fill="auto"/>
            <w:vAlign w:val="center"/>
          </w:tcPr>
          <w:p w14:paraId="23ED489C">
            <w:pPr>
              <w:widowControl/>
              <w:autoSpaceDE w:val="0"/>
              <w:autoSpaceDN w:val="0"/>
              <w:adjustRightInd w:val="0"/>
              <w:snapToGrid w:val="0"/>
              <w:jc w:val="left"/>
              <w:rPr>
                <w:rFonts w:hint="default" w:ascii="Times New Roman" w:hAnsi="Times New Roman" w:eastAsia="宋体" w:cs="Times New Roman"/>
                <w:color w:val="auto"/>
                <w:sz w:val="21"/>
                <w:szCs w:val="21"/>
                <w:vertAlign w:val="baseline"/>
                <w:lang w:val="en-US" w:eastAsia="zh-CN" w:bidi="en-US"/>
              </w:rPr>
            </w:pPr>
            <w:r>
              <w:rPr>
                <w:rFonts w:hint="default" w:ascii="Times New Roman" w:hAnsi="Times New Roman" w:eastAsia="仿宋_GB2312" w:cs="Times New Roman"/>
                <w:bCs/>
                <w:color w:val="auto"/>
                <w:kern w:val="2"/>
                <w:sz w:val="21"/>
                <w:szCs w:val="21"/>
              </w:rPr>
              <w:t>【C.3-1】</w:t>
            </w:r>
            <w:r>
              <w:rPr>
                <w:rFonts w:hint="default" w:ascii="Times New Roman" w:hAnsi="Times New Roman" w:eastAsia="宋体" w:cs="Times New Roman"/>
                <w:bCs w:val="0"/>
                <w:color w:val="auto"/>
                <w:sz w:val="21"/>
                <w:szCs w:val="21"/>
                <w:lang w:bidi="en-US"/>
              </w:rPr>
              <w:t>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0" w:type="auto"/>
            <w:shd w:val="clear" w:color="auto" w:fill="auto"/>
            <w:vAlign w:val="center"/>
          </w:tcPr>
          <w:p w14:paraId="5FC72678">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本工程不涉及公益林和排放重金属或其他有毒有害物质，报告中对土壤环境提出了相应的保护措施，各类废水和固体废物均得到妥善处置，不向土壤排放超标的污水、污泥以及尾矿、矿渣等，因此项目符合要求。</w:t>
            </w:r>
          </w:p>
        </w:tc>
      </w:tr>
      <w:tr w14:paraId="4417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 w:type="pct"/>
            <w:vAlign w:val="center"/>
          </w:tcPr>
          <w:p w14:paraId="045565A5">
            <w:pPr>
              <w:autoSpaceDE w:val="0"/>
              <w:autoSpaceDN w:val="0"/>
              <w:adjustRightInd w:val="0"/>
              <w:snapToGrid w:val="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四</w:t>
            </w:r>
            <w:r>
              <w:rPr>
                <w:rFonts w:hint="eastAsia" w:cs="Times New Roman"/>
                <w:b w:val="0"/>
                <w:bCs w:val="0"/>
                <w:color w:val="auto"/>
                <w:sz w:val="21"/>
                <w:szCs w:val="21"/>
                <w:lang w:eastAsia="zh-CN"/>
              </w:rPr>
              <w:t>）</w:t>
            </w:r>
          </w:p>
        </w:tc>
        <w:tc>
          <w:tcPr>
            <w:tcW w:w="4503" w:type="pct"/>
            <w:gridSpan w:val="2"/>
            <w:shd w:val="clear" w:color="auto" w:fill="auto"/>
            <w:vAlign w:val="center"/>
          </w:tcPr>
          <w:p w14:paraId="51B57D8B">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资源利用效率</w:t>
            </w:r>
          </w:p>
        </w:tc>
      </w:tr>
      <w:tr w14:paraId="777D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restart"/>
            <w:vAlign w:val="center"/>
          </w:tcPr>
          <w:p w14:paraId="47D655EF">
            <w:pPr>
              <w:autoSpaceDE w:val="0"/>
              <w:autoSpaceDN w:val="0"/>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克拉玛依市总体管控要求</w:t>
            </w:r>
          </w:p>
        </w:tc>
        <w:tc>
          <w:tcPr>
            <w:tcW w:w="3015" w:type="pct"/>
            <w:shd w:val="clear" w:color="auto" w:fill="auto"/>
            <w:vAlign w:val="center"/>
          </w:tcPr>
          <w:p w14:paraId="2D006BAE">
            <w:pPr>
              <w:widowControl/>
              <w:autoSpaceDE w:val="0"/>
              <w:autoSpaceDN w:val="0"/>
              <w:adjustRightInd w:val="0"/>
              <w:snapToGrid w:val="0"/>
              <w:jc w:val="left"/>
              <w:rPr>
                <w:rFonts w:hint="default" w:ascii="Times New Roman" w:hAnsi="Times New Roman" w:eastAsia="宋体" w:cs="Times New Roman"/>
                <w:color w:val="auto"/>
                <w:sz w:val="21"/>
                <w:szCs w:val="21"/>
                <w:lang w:val="en-US" w:eastAsia="zh-CN" w:bidi="en-US"/>
              </w:rPr>
            </w:pPr>
            <w:r>
              <w:rPr>
                <w:rFonts w:hint="default" w:ascii="Times New Roman" w:hAnsi="Times New Roman" w:eastAsia="宋体" w:cs="Times New Roman"/>
                <w:bCs w:val="0"/>
                <w:color w:val="auto"/>
                <w:sz w:val="21"/>
                <w:szCs w:val="21"/>
                <w:lang w:bidi="en-US"/>
              </w:rPr>
              <w:t>4</w:t>
            </w:r>
            <w:r>
              <w:rPr>
                <w:rFonts w:hint="default" w:ascii="Times New Roman" w:hAnsi="Times New Roman" w:eastAsia="宋体" w:cs="Times New Roman"/>
                <w:bCs w:val="0"/>
                <w:color w:val="auto"/>
                <w:sz w:val="21"/>
                <w:szCs w:val="21"/>
                <w:lang w:val="en-US" w:eastAsia="zh-CN" w:bidi="en-US"/>
              </w:rPr>
              <w:t>.1 克拉玛依区、白碱滩区、乌尔禾区、独山子区用水总量控制在自治区下达指标内。</w:t>
            </w:r>
          </w:p>
        </w:tc>
        <w:tc>
          <w:tcPr>
            <w:tcW w:w="0" w:type="auto"/>
            <w:shd w:val="clear" w:color="auto" w:fill="auto"/>
            <w:vAlign w:val="center"/>
          </w:tcPr>
          <w:p w14:paraId="6F359C7F">
            <w:pPr>
              <w:autoSpaceDE w:val="0"/>
              <w:autoSpaceDN w:val="0"/>
              <w:adjustRightInd w:val="0"/>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不涉及用水总量控制指标</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因此项目</w:t>
            </w:r>
            <w:r>
              <w:rPr>
                <w:rFonts w:hint="default" w:ascii="Times New Roman" w:hAnsi="Times New Roman" w:eastAsia="宋体" w:cs="Times New Roman"/>
                <w:color w:val="auto"/>
                <w:sz w:val="21"/>
                <w:szCs w:val="21"/>
              </w:rPr>
              <w:t>符合要求。</w:t>
            </w:r>
          </w:p>
        </w:tc>
      </w:tr>
      <w:tr w14:paraId="4ADC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0FEB68CD">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324B1D4C">
            <w:pPr>
              <w:widowControl/>
              <w:autoSpaceDE w:val="0"/>
              <w:autoSpaceDN w:val="0"/>
              <w:adjustRightInd w:val="0"/>
              <w:snapToGrid w:val="0"/>
              <w:jc w:val="left"/>
              <w:rPr>
                <w:rFonts w:hint="default" w:ascii="Times New Roman" w:hAnsi="Times New Roman" w:eastAsia="宋体" w:cs="Times New Roman"/>
                <w:color w:val="auto"/>
                <w:kern w:val="2"/>
                <w:sz w:val="21"/>
                <w:szCs w:val="21"/>
                <w:vertAlign w:val="baseline"/>
                <w:lang w:val="en-US" w:eastAsia="zh-CN" w:bidi="en-US"/>
              </w:rPr>
            </w:pPr>
            <w:r>
              <w:rPr>
                <w:rFonts w:hint="default" w:ascii="Times New Roman" w:hAnsi="Times New Roman" w:eastAsia="宋体" w:cs="Times New Roman"/>
                <w:bCs w:val="0"/>
                <w:color w:val="auto"/>
                <w:sz w:val="21"/>
                <w:szCs w:val="21"/>
                <w:lang w:bidi="en-US"/>
              </w:rPr>
              <w:t>4.2 按照“三条红线”各项控制指标，从严加强各类规划和建设项目的水资源论证、节水评价报告审批和跟踪监督管理，从严加强地下水开发利用的监督管理，从严加强取水许可监督管理。</w:t>
            </w:r>
          </w:p>
        </w:tc>
        <w:tc>
          <w:tcPr>
            <w:tcW w:w="0" w:type="auto"/>
            <w:shd w:val="clear" w:color="auto" w:fill="auto"/>
            <w:vAlign w:val="center"/>
          </w:tcPr>
          <w:p w14:paraId="39479350">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lang w:eastAsia="zh-CN"/>
              </w:rPr>
              <w:t>本工程</w:t>
            </w:r>
            <w:r>
              <w:rPr>
                <w:rFonts w:hint="default" w:ascii="Times New Roman" w:hAnsi="Times New Roman" w:eastAsia="宋体" w:cs="Times New Roman"/>
                <w:color w:val="auto"/>
                <w:sz w:val="21"/>
                <w:szCs w:val="21"/>
                <w:lang w:val="en-US" w:eastAsia="zh-CN"/>
              </w:rPr>
              <w:t>不涉及取水许可管理</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因此项目</w:t>
            </w:r>
            <w:r>
              <w:rPr>
                <w:rFonts w:hint="default" w:ascii="Times New Roman" w:hAnsi="Times New Roman" w:eastAsia="宋体" w:cs="Times New Roman"/>
                <w:color w:val="auto"/>
                <w:sz w:val="21"/>
                <w:szCs w:val="21"/>
              </w:rPr>
              <w:t>符合要求。</w:t>
            </w:r>
          </w:p>
        </w:tc>
      </w:tr>
      <w:tr w14:paraId="186F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7532E662">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36278053">
            <w:pPr>
              <w:widowControl/>
              <w:autoSpaceDE w:val="0"/>
              <w:autoSpaceDN w:val="0"/>
              <w:adjustRightInd w:val="0"/>
              <w:snapToGrid w:val="0"/>
              <w:jc w:val="left"/>
              <w:rPr>
                <w:rFonts w:hint="default" w:ascii="Times New Roman" w:hAnsi="Times New Roman" w:eastAsia="宋体" w:cs="Times New Roman"/>
                <w:color w:val="auto"/>
                <w:kern w:val="2"/>
                <w:sz w:val="21"/>
                <w:szCs w:val="21"/>
                <w:vertAlign w:val="baseline"/>
                <w:lang w:val="en-US" w:eastAsia="zh-CN" w:bidi="en-US"/>
              </w:rPr>
            </w:pPr>
            <w:r>
              <w:rPr>
                <w:rFonts w:hint="default" w:ascii="Times New Roman" w:hAnsi="Times New Roman" w:eastAsia="宋体" w:cs="Times New Roman"/>
                <w:bCs w:val="0"/>
                <w:color w:val="auto"/>
                <w:sz w:val="21"/>
                <w:szCs w:val="21"/>
                <w:lang w:bidi="en-US"/>
              </w:rPr>
              <w:t xml:space="preserve">4.3 </w:t>
            </w:r>
            <w:r>
              <w:rPr>
                <w:rFonts w:hint="default" w:ascii="Times New Roman" w:hAnsi="Times New Roman" w:eastAsia="宋体" w:cs="Times New Roman"/>
                <w:bCs w:val="0"/>
                <w:color w:val="auto"/>
                <w:sz w:val="21"/>
                <w:szCs w:val="21"/>
                <w:lang w:val="en-US" w:eastAsia="zh-CN" w:bidi="en-US"/>
              </w:rPr>
              <w:t>土地资源上线指标控制在最终批复的国土空间规划控制指标内。</w:t>
            </w:r>
          </w:p>
        </w:tc>
        <w:tc>
          <w:tcPr>
            <w:tcW w:w="0" w:type="auto"/>
            <w:shd w:val="clear" w:color="auto" w:fill="auto"/>
            <w:vAlign w:val="center"/>
          </w:tcPr>
          <w:p w14:paraId="618CC62B">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本工程不涉及，符合要求。</w:t>
            </w:r>
          </w:p>
        </w:tc>
      </w:tr>
      <w:tr w14:paraId="36AF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tcPr>
          <w:p w14:paraId="3BEFB6BF">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258E9C68">
            <w:pPr>
              <w:widowControl/>
              <w:autoSpaceDE w:val="0"/>
              <w:autoSpaceDN w:val="0"/>
              <w:adjustRightInd w:val="0"/>
              <w:snapToGrid w:val="0"/>
              <w:jc w:val="left"/>
              <w:rPr>
                <w:rFonts w:hint="default" w:ascii="Times New Roman" w:hAnsi="Times New Roman" w:eastAsia="宋体" w:cs="Times New Roman"/>
                <w:color w:val="auto"/>
                <w:sz w:val="21"/>
                <w:szCs w:val="21"/>
                <w:vertAlign w:val="baseline"/>
                <w:lang w:val="en-US" w:eastAsia="zh-CN" w:bidi="en-US"/>
              </w:rPr>
            </w:pPr>
            <w:r>
              <w:rPr>
                <w:rFonts w:hint="default" w:ascii="Times New Roman" w:hAnsi="Times New Roman" w:eastAsia="宋体" w:cs="Times New Roman"/>
                <w:bCs w:val="0"/>
                <w:color w:val="auto"/>
                <w:sz w:val="21"/>
                <w:szCs w:val="21"/>
                <w:lang w:bidi="en-US"/>
              </w:rPr>
              <w:t>4.4 2025年，能源消费总量控制在1</w:t>
            </w:r>
            <w:r>
              <w:rPr>
                <w:rFonts w:hint="default" w:ascii="Times New Roman" w:hAnsi="Times New Roman" w:eastAsia="宋体" w:cs="Times New Roman"/>
                <w:bCs w:val="0"/>
                <w:color w:val="auto"/>
                <w:sz w:val="21"/>
                <w:szCs w:val="21"/>
                <w:lang w:val="en-US" w:eastAsia="zh-CN" w:bidi="en-US"/>
              </w:rPr>
              <w:t>783.86</w:t>
            </w:r>
            <w:r>
              <w:rPr>
                <w:rFonts w:hint="default" w:ascii="Times New Roman" w:hAnsi="Times New Roman" w:eastAsia="宋体" w:cs="Times New Roman"/>
                <w:bCs w:val="0"/>
                <w:color w:val="auto"/>
                <w:sz w:val="21"/>
                <w:szCs w:val="21"/>
                <w:lang w:bidi="en-US"/>
              </w:rPr>
              <w:t>万吨标准煤以内。其中：煤炭消费总量控制在750万吨，石油消费总量控制在310万吨，天然气消费总量控制在52亿立方，非化石能源消费总量控制在</w:t>
            </w:r>
            <w:r>
              <w:rPr>
                <w:rFonts w:hint="default" w:ascii="Times New Roman" w:hAnsi="Times New Roman" w:eastAsia="宋体" w:cs="Times New Roman"/>
                <w:bCs w:val="0"/>
                <w:color w:val="auto"/>
                <w:sz w:val="21"/>
                <w:szCs w:val="21"/>
                <w:lang w:val="en-US" w:eastAsia="zh-CN" w:bidi="en-US"/>
              </w:rPr>
              <w:t>107.03</w:t>
            </w:r>
            <w:r>
              <w:rPr>
                <w:rFonts w:hint="default" w:ascii="Times New Roman" w:hAnsi="Times New Roman" w:eastAsia="宋体" w:cs="Times New Roman"/>
                <w:bCs w:val="0"/>
                <w:color w:val="auto"/>
                <w:sz w:val="21"/>
                <w:szCs w:val="21"/>
                <w:lang w:bidi="en-US"/>
              </w:rPr>
              <w:t>万吨标煤</w:t>
            </w:r>
            <w:r>
              <w:rPr>
                <w:rFonts w:hint="default" w:ascii="Times New Roman" w:hAnsi="Times New Roman" w:eastAsia="宋体" w:cs="Times New Roman"/>
                <w:bCs w:val="0"/>
                <w:color w:val="auto"/>
                <w:sz w:val="21"/>
                <w:szCs w:val="21"/>
                <w:lang w:eastAsia="zh-CN" w:bidi="en-US"/>
              </w:rPr>
              <w:t>，</w:t>
            </w:r>
            <w:r>
              <w:rPr>
                <w:rFonts w:hint="default" w:ascii="Times New Roman" w:hAnsi="Times New Roman" w:eastAsia="宋体" w:cs="Times New Roman"/>
                <w:bCs w:val="0"/>
                <w:color w:val="auto"/>
                <w:sz w:val="21"/>
                <w:szCs w:val="21"/>
                <w:lang w:bidi="en-US"/>
              </w:rPr>
              <w:t>发电煤耗控制在285克标准煤/千瓦时。单位GDP能耗、单位工业增加值能耗五年累计下降率控制在自治区下达的指标范围内。</w:t>
            </w:r>
          </w:p>
        </w:tc>
        <w:tc>
          <w:tcPr>
            <w:tcW w:w="0" w:type="auto"/>
            <w:shd w:val="clear" w:color="auto" w:fill="auto"/>
            <w:vAlign w:val="center"/>
          </w:tcPr>
          <w:p w14:paraId="21AD21E8">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本工程不涉及，符合要求。</w:t>
            </w:r>
          </w:p>
        </w:tc>
      </w:tr>
      <w:tr w14:paraId="5345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restart"/>
            <w:vAlign w:val="center"/>
          </w:tcPr>
          <w:p w14:paraId="1AD7A1C3">
            <w:pPr>
              <w:autoSpaceDE w:val="0"/>
              <w:autoSpaceDN w:val="0"/>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克拉玛依市</w:t>
            </w:r>
            <w:r>
              <w:rPr>
                <w:rFonts w:hint="eastAsia" w:ascii="Times New Roman" w:hAnsi="Times New Roman" w:eastAsia="宋体" w:cs="Times New Roman"/>
                <w:b/>
                <w:bCs/>
                <w:color w:val="auto"/>
                <w:sz w:val="21"/>
                <w:szCs w:val="21"/>
                <w:lang w:val="en-US" w:eastAsia="zh-CN"/>
              </w:rPr>
              <w:t>一般</w:t>
            </w:r>
            <w:r>
              <w:rPr>
                <w:rFonts w:hint="default" w:ascii="Times New Roman" w:hAnsi="Times New Roman" w:eastAsia="宋体" w:cs="Times New Roman"/>
                <w:b/>
                <w:bCs/>
                <w:color w:val="auto"/>
                <w:sz w:val="21"/>
                <w:szCs w:val="21"/>
              </w:rPr>
              <w:t>管控单元分类管控要求</w:t>
            </w:r>
          </w:p>
        </w:tc>
        <w:tc>
          <w:tcPr>
            <w:tcW w:w="3015" w:type="pct"/>
            <w:shd w:val="clear" w:color="auto" w:fill="auto"/>
            <w:vAlign w:val="center"/>
          </w:tcPr>
          <w:p w14:paraId="281EA000">
            <w:pPr>
              <w:widowControl/>
              <w:autoSpaceDE w:val="0"/>
              <w:autoSpaceDN w:val="0"/>
              <w:adjustRightInd w:val="0"/>
              <w:snapToGrid w:val="0"/>
              <w:jc w:val="left"/>
              <w:rPr>
                <w:rFonts w:hint="default" w:ascii="Times New Roman" w:hAnsi="Times New Roman" w:eastAsia="宋体" w:cs="Times New Roman"/>
                <w:bCs w:val="0"/>
                <w:color w:val="auto"/>
                <w:sz w:val="21"/>
                <w:szCs w:val="21"/>
                <w:lang w:val="en-US" w:eastAsia="zh-CN" w:bidi="en-US"/>
              </w:rPr>
            </w:pPr>
            <w:r>
              <w:rPr>
                <w:rFonts w:hint="default" w:ascii="Times New Roman" w:hAnsi="Times New Roman" w:eastAsia="宋体" w:cs="Times New Roman"/>
                <w:bCs w:val="0"/>
                <w:color w:val="auto"/>
                <w:sz w:val="21"/>
                <w:szCs w:val="21"/>
                <w:lang w:bidi="en-US"/>
              </w:rPr>
              <w:t>【C.4-1】实行水资源消耗总量和强度双控，推进农业节水，提高农业用水效率。优化能源结构，加强能源清洁利用。</w:t>
            </w:r>
          </w:p>
        </w:tc>
        <w:tc>
          <w:tcPr>
            <w:tcW w:w="1487" w:type="pct"/>
            <w:vMerge w:val="restart"/>
            <w:vAlign w:val="center"/>
          </w:tcPr>
          <w:p w14:paraId="76AA2291">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本工程为陆地石油开采项目，不涉及农业，不使用化肥、农药，符合要求。</w:t>
            </w:r>
          </w:p>
        </w:tc>
      </w:tr>
      <w:tr w14:paraId="58A3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vAlign w:val="center"/>
          </w:tcPr>
          <w:p w14:paraId="76A763E7">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3000E74A">
            <w:pPr>
              <w:widowControl/>
              <w:autoSpaceDE w:val="0"/>
              <w:autoSpaceDN w:val="0"/>
              <w:adjustRightInd w:val="0"/>
              <w:snapToGrid w:val="0"/>
              <w:jc w:val="left"/>
              <w:rPr>
                <w:rFonts w:hint="default" w:ascii="Times New Roman" w:hAnsi="Times New Roman" w:eastAsia="宋体" w:cs="Times New Roman"/>
                <w:bCs w:val="0"/>
                <w:color w:val="auto"/>
                <w:sz w:val="21"/>
                <w:szCs w:val="21"/>
                <w:lang w:val="en-US" w:eastAsia="zh-CN" w:bidi="en-US"/>
              </w:rPr>
            </w:pPr>
            <w:r>
              <w:rPr>
                <w:rFonts w:hint="default" w:ascii="Times New Roman" w:hAnsi="Times New Roman" w:eastAsia="宋体" w:cs="Times New Roman"/>
                <w:bCs w:val="0"/>
                <w:color w:val="auto"/>
                <w:sz w:val="21"/>
                <w:szCs w:val="21"/>
                <w:lang w:bidi="en-US"/>
              </w:rPr>
              <w:t>【C.4-2】实施节水行动，强化农业节水增效、工业节水减排、城镇节水降损。推进污水资源化利用。</w:t>
            </w:r>
          </w:p>
        </w:tc>
        <w:tc>
          <w:tcPr>
            <w:tcW w:w="1487" w:type="pct"/>
            <w:vMerge w:val="continue"/>
          </w:tcPr>
          <w:p w14:paraId="36AC90F3">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vertAlign w:val="baseline"/>
                <w:lang w:val="en-US" w:eastAsia="zh-CN"/>
              </w:rPr>
            </w:pPr>
          </w:p>
        </w:tc>
      </w:tr>
      <w:tr w14:paraId="2320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vAlign w:val="center"/>
          </w:tcPr>
          <w:p w14:paraId="69044341">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157D5354">
            <w:pPr>
              <w:widowControl/>
              <w:autoSpaceDE w:val="0"/>
              <w:autoSpaceDN w:val="0"/>
              <w:adjustRightInd w:val="0"/>
              <w:snapToGrid w:val="0"/>
              <w:jc w:val="left"/>
              <w:rPr>
                <w:rFonts w:hint="default" w:ascii="Times New Roman" w:hAnsi="Times New Roman" w:eastAsia="宋体" w:cs="Times New Roman"/>
                <w:bCs w:val="0"/>
                <w:color w:val="auto"/>
                <w:sz w:val="21"/>
                <w:szCs w:val="21"/>
                <w:lang w:val="en-US" w:eastAsia="zh-CN" w:bidi="en-US"/>
              </w:rPr>
            </w:pPr>
            <w:r>
              <w:rPr>
                <w:rFonts w:hint="default" w:ascii="Times New Roman" w:hAnsi="Times New Roman" w:eastAsia="宋体" w:cs="Times New Roman"/>
                <w:bCs w:val="0"/>
                <w:color w:val="auto"/>
                <w:sz w:val="21"/>
                <w:szCs w:val="21"/>
                <w:lang w:bidi="en-US"/>
              </w:rPr>
              <w:t>【C.4-3】壮大清洁能源产业，加快非化石能源发展，实施绿电替代，优化用能结构，</w:t>
            </w:r>
          </w:p>
        </w:tc>
        <w:tc>
          <w:tcPr>
            <w:tcW w:w="1487" w:type="pct"/>
            <w:vMerge w:val="continue"/>
          </w:tcPr>
          <w:p w14:paraId="1917FDC0">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vertAlign w:val="baseline"/>
                <w:lang w:val="en-US" w:eastAsia="zh-CN"/>
              </w:rPr>
            </w:pPr>
          </w:p>
        </w:tc>
      </w:tr>
      <w:tr w14:paraId="50CD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Merge w:val="continue"/>
            <w:vAlign w:val="center"/>
          </w:tcPr>
          <w:p w14:paraId="72720551">
            <w:pPr>
              <w:autoSpaceDE w:val="0"/>
              <w:autoSpaceDN w:val="0"/>
              <w:adjustRightInd w:val="0"/>
              <w:snapToGrid w:val="0"/>
              <w:jc w:val="center"/>
              <w:rPr>
                <w:rFonts w:hint="default" w:ascii="Times New Roman" w:hAnsi="Times New Roman" w:eastAsia="宋体" w:cs="Times New Roman"/>
                <w:b w:val="0"/>
                <w:bCs w:val="0"/>
                <w:color w:val="auto"/>
                <w:sz w:val="21"/>
                <w:szCs w:val="21"/>
              </w:rPr>
            </w:pPr>
          </w:p>
        </w:tc>
        <w:tc>
          <w:tcPr>
            <w:tcW w:w="3015" w:type="pct"/>
            <w:shd w:val="clear" w:color="auto" w:fill="auto"/>
            <w:vAlign w:val="center"/>
          </w:tcPr>
          <w:p w14:paraId="62F80529">
            <w:pPr>
              <w:widowControl/>
              <w:autoSpaceDE w:val="0"/>
              <w:autoSpaceDN w:val="0"/>
              <w:adjustRightInd w:val="0"/>
              <w:snapToGrid w:val="0"/>
              <w:jc w:val="left"/>
              <w:rPr>
                <w:rFonts w:hint="default" w:ascii="Times New Roman" w:hAnsi="Times New Roman" w:eastAsia="宋体" w:cs="Times New Roman"/>
                <w:bCs w:val="0"/>
                <w:color w:val="auto"/>
                <w:sz w:val="21"/>
                <w:szCs w:val="21"/>
                <w:lang w:val="en-US" w:eastAsia="zh-CN" w:bidi="en-US"/>
              </w:rPr>
            </w:pPr>
            <w:r>
              <w:rPr>
                <w:rFonts w:hint="default" w:ascii="Times New Roman" w:hAnsi="Times New Roman" w:eastAsia="宋体" w:cs="Times New Roman"/>
                <w:bCs w:val="0"/>
                <w:color w:val="auto"/>
                <w:sz w:val="21"/>
                <w:szCs w:val="21"/>
                <w:lang w:bidi="en-US"/>
              </w:rPr>
              <w:t>【C.4-4】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p>
        </w:tc>
        <w:tc>
          <w:tcPr>
            <w:tcW w:w="1487" w:type="pct"/>
            <w:vMerge w:val="continue"/>
          </w:tcPr>
          <w:p w14:paraId="530A36E2">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vertAlign w:val="baseline"/>
                <w:lang w:val="en-US" w:eastAsia="zh-CN"/>
              </w:rPr>
            </w:pPr>
          </w:p>
        </w:tc>
      </w:tr>
      <w:tr w14:paraId="3AC6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091FE5C4">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塔城地区和布克赛尔蒙古自治县一般管控单元01（ZH65422630001）</w:t>
            </w:r>
          </w:p>
        </w:tc>
      </w:tr>
      <w:tr w14:paraId="6B03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Align w:val="center"/>
          </w:tcPr>
          <w:p w14:paraId="6CA18A72">
            <w:pPr>
              <w:autoSpaceDE w:val="0"/>
              <w:autoSpaceDN w:val="0"/>
              <w:adjustRightInd w:val="0"/>
              <w:snapToGrid w:val="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一</w:t>
            </w:r>
            <w:r>
              <w:rPr>
                <w:rFonts w:hint="eastAsia" w:cs="Times New Roman"/>
                <w:b w:val="0"/>
                <w:bCs w:val="0"/>
                <w:color w:val="auto"/>
                <w:sz w:val="21"/>
                <w:szCs w:val="21"/>
                <w:lang w:eastAsia="zh-CN"/>
              </w:rPr>
              <w:t>）</w:t>
            </w:r>
          </w:p>
        </w:tc>
        <w:tc>
          <w:tcPr>
            <w:tcW w:w="4503" w:type="pct"/>
            <w:gridSpan w:val="2"/>
            <w:shd w:val="clear" w:color="auto" w:fill="auto"/>
            <w:vAlign w:val="center"/>
          </w:tcPr>
          <w:p w14:paraId="73427F45">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空间布局约束</w:t>
            </w:r>
          </w:p>
        </w:tc>
      </w:tr>
      <w:tr w14:paraId="283B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Align w:val="center"/>
          </w:tcPr>
          <w:p w14:paraId="587C0002">
            <w:pPr>
              <w:autoSpaceDE w:val="0"/>
              <w:autoSpaceDN w:val="0"/>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3015" w:type="pct"/>
            <w:shd w:val="clear" w:color="auto" w:fill="auto"/>
            <w:vAlign w:val="center"/>
          </w:tcPr>
          <w:p w14:paraId="4661EC62">
            <w:pPr>
              <w:widowControl/>
              <w:autoSpaceDE w:val="0"/>
              <w:autoSpaceDN w:val="0"/>
              <w:adjustRightInd w:val="0"/>
              <w:snapToGrid w:val="0"/>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1.建立集镇居住商业区、耕地保护区与工业功能区等集聚区块之间的防护带。严格执行畜禽养殖禁养区规定，根据区域用地和消纳水平，合理确定养殖规模。</w:t>
            </w:r>
          </w:p>
          <w:p w14:paraId="4A287C00">
            <w:pPr>
              <w:widowControl/>
              <w:autoSpaceDE w:val="0"/>
              <w:autoSpaceDN w:val="0"/>
              <w:adjustRightInd w:val="0"/>
              <w:snapToGrid w:val="0"/>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2.永久基本农田经依法划定后，任何单位和个人不得擅自占用或者改变其用途。国家能源、交通、水利、军事设施等重点建设项目选址确实难以避让外，其他任何建设不得占用。</w:t>
            </w:r>
          </w:p>
        </w:tc>
        <w:tc>
          <w:tcPr>
            <w:tcW w:w="0" w:type="auto"/>
            <w:vAlign w:val="center"/>
          </w:tcPr>
          <w:p w14:paraId="68FB0216">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《产业结构调整指导目录</w:t>
            </w:r>
            <w:r>
              <w:rPr>
                <w:rFonts w:hint="default" w:ascii="Times New Roman" w:hAnsi="Times New Roman" w:eastAsia="宋体" w:cs="Times New Roman"/>
                <w:color w:val="auto"/>
                <w:kern w:val="0"/>
                <w:sz w:val="21"/>
                <w:szCs w:val="21"/>
                <w:lang w:val="en-US" w:eastAsia="zh-CN" w:bidi="ar"/>
              </w:rPr>
              <w:t>（2024年本</w:t>
            </w:r>
            <w:r>
              <w:rPr>
                <w:rFonts w:hint="eastAsia" w:ascii="宋体" w:hAnsi="宋体" w:eastAsia="宋体" w:cs="宋体"/>
                <w:color w:val="auto"/>
                <w:kern w:val="0"/>
                <w:sz w:val="21"/>
                <w:szCs w:val="21"/>
                <w:lang w:val="en-US" w:eastAsia="zh-CN" w:bidi="ar"/>
              </w:rPr>
              <w:t>）》中的鼓励类；项目区除水土流失重点预防区外，不涉及其他环境敏感区；建设符合自治区主体功能区规划、生态功能区划、国家经济发展规划；</w:t>
            </w:r>
            <w:r>
              <w:rPr>
                <w:rFonts w:hint="eastAsia" w:ascii="宋体" w:hAnsi="宋体" w:cs="宋体"/>
                <w:color w:val="auto"/>
                <w:kern w:val="0"/>
                <w:sz w:val="21"/>
                <w:szCs w:val="21"/>
                <w:lang w:val="en-US" w:eastAsia="zh-CN" w:bidi="ar"/>
              </w:rPr>
              <w:t>本工程</w:t>
            </w:r>
            <w:r>
              <w:rPr>
                <w:rFonts w:hint="eastAsia" w:ascii="宋体" w:hAnsi="宋体" w:eastAsia="宋体" w:cs="宋体"/>
                <w:color w:val="auto"/>
                <w:kern w:val="0"/>
                <w:sz w:val="21"/>
                <w:szCs w:val="21"/>
                <w:lang w:val="en-US" w:eastAsia="zh-CN" w:bidi="ar"/>
              </w:rPr>
              <w:t>不属于高污染、高环境风险产品，不属于“三高”项目。</w:t>
            </w:r>
          </w:p>
        </w:tc>
      </w:tr>
      <w:tr w14:paraId="03A2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Align w:val="center"/>
          </w:tcPr>
          <w:p w14:paraId="06097032">
            <w:pPr>
              <w:autoSpaceDE w:val="0"/>
              <w:autoSpaceDN w:val="0"/>
              <w:adjustRightInd w:val="0"/>
              <w:snapToGrid w:val="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二</w:t>
            </w:r>
            <w:r>
              <w:rPr>
                <w:rFonts w:hint="eastAsia" w:cs="Times New Roman"/>
                <w:b w:val="0"/>
                <w:bCs w:val="0"/>
                <w:color w:val="auto"/>
                <w:sz w:val="21"/>
                <w:szCs w:val="21"/>
                <w:lang w:eastAsia="zh-CN"/>
              </w:rPr>
              <w:t>）</w:t>
            </w:r>
          </w:p>
        </w:tc>
        <w:tc>
          <w:tcPr>
            <w:tcW w:w="4503" w:type="pct"/>
            <w:gridSpan w:val="2"/>
            <w:shd w:val="clear" w:color="auto" w:fill="auto"/>
            <w:vAlign w:val="center"/>
          </w:tcPr>
          <w:p w14:paraId="7D6D2A71">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污染物排放管控</w:t>
            </w:r>
          </w:p>
        </w:tc>
      </w:tr>
      <w:tr w14:paraId="53FE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Align w:val="center"/>
          </w:tcPr>
          <w:p w14:paraId="0B3648D8">
            <w:pPr>
              <w:autoSpaceDE w:val="0"/>
              <w:autoSpaceDN w:val="0"/>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3015" w:type="pct"/>
            <w:shd w:val="clear" w:color="auto" w:fill="auto"/>
            <w:vAlign w:val="center"/>
          </w:tcPr>
          <w:p w14:paraId="35402201">
            <w:pPr>
              <w:widowControl/>
              <w:autoSpaceDE w:val="0"/>
              <w:autoSpaceDN w:val="0"/>
              <w:adjustRightInd w:val="0"/>
              <w:snapToGrid w:val="0"/>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1.排污企业一般管控要求：满足总量控制、排污许可、排放标准等相关管理制度要求。</w:t>
            </w:r>
          </w:p>
          <w:p w14:paraId="64D82953">
            <w:pPr>
              <w:widowControl/>
              <w:autoSpaceDE w:val="0"/>
              <w:autoSpaceDN w:val="0"/>
              <w:adjustRightInd w:val="0"/>
              <w:snapToGrid w:val="0"/>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2.农业面源和生活污染源一般管控要求：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0" w:type="auto"/>
            <w:vAlign w:val="center"/>
          </w:tcPr>
          <w:p w14:paraId="2D6FA774">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不涉及农业、城镇生活污水处理、不使用煤炭。施工期严格控制施工作业带宽度，减少了临时占地对生态环境的破坏，产生的土石方采用篷布进行遮盖。施工期产生的污染影响随施工结束而消失，运营期管线密闭集输，可减少废气的排放；采出的含油废水进百口泉注输联合站处理达标后回注；噪声仅为机泵、巡检车辆噪声，厂界噪声可实现达标排放；固体废物均得到了妥善处置，符合要求。</w:t>
            </w:r>
          </w:p>
        </w:tc>
      </w:tr>
      <w:tr w14:paraId="626D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Align w:val="center"/>
          </w:tcPr>
          <w:p w14:paraId="49FF0D61">
            <w:pPr>
              <w:autoSpaceDE w:val="0"/>
              <w:autoSpaceDN w:val="0"/>
              <w:adjustRightInd w:val="0"/>
              <w:snapToGrid w:val="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三</w:t>
            </w:r>
            <w:r>
              <w:rPr>
                <w:rFonts w:hint="eastAsia" w:cs="Times New Roman"/>
                <w:b w:val="0"/>
                <w:bCs w:val="0"/>
                <w:color w:val="auto"/>
                <w:sz w:val="21"/>
                <w:szCs w:val="21"/>
                <w:lang w:eastAsia="zh-CN"/>
              </w:rPr>
              <w:t>）</w:t>
            </w:r>
          </w:p>
        </w:tc>
        <w:tc>
          <w:tcPr>
            <w:tcW w:w="4503" w:type="pct"/>
            <w:gridSpan w:val="2"/>
            <w:shd w:val="clear" w:color="auto" w:fill="auto"/>
            <w:vAlign w:val="center"/>
          </w:tcPr>
          <w:p w14:paraId="0A8C8C86">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环境风险管控</w:t>
            </w:r>
          </w:p>
        </w:tc>
      </w:tr>
      <w:tr w14:paraId="5A73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Align w:val="center"/>
          </w:tcPr>
          <w:p w14:paraId="616AFA06">
            <w:pPr>
              <w:autoSpaceDE w:val="0"/>
              <w:autoSpaceDN w:val="0"/>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3015" w:type="pct"/>
            <w:shd w:val="clear" w:color="auto" w:fill="auto"/>
            <w:vAlign w:val="center"/>
          </w:tcPr>
          <w:p w14:paraId="292EAFF1">
            <w:pPr>
              <w:widowControl/>
              <w:autoSpaceDE w:val="0"/>
              <w:autoSpaceDN w:val="0"/>
              <w:adjustRightInd w:val="0"/>
              <w:snapToGrid w:val="0"/>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1.额敏河、涉及县级及以上集中式饮用水水源地的河流以及其他重要环境敏感目标的河流，按照</w:t>
            </w:r>
            <w:r>
              <w:rPr>
                <w:rFonts w:hint="eastAsia" w:ascii="宋体" w:hAnsi="宋体" w:eastAsia="宋体" w:cs="宋体"/>
                <w:bCs w:val="0"/>
                <w:color w:val="auto"/>
                <w:sz w:val="21"/>
                <w:szCs w:val="21"/>
                <w:lang w:bidi="en-US"/>
              </w:rPr>
              <w:t>“一河一策一图”环</w:t>
            </w:r>
            <w:r>
              <w:rPr>
                <w:rFonts w:hint="default" w:ascii="Times New Roman" w:hAnsi="Times New Roman" w:eastAsia="宋体" w:cs="Times New Roman"/>
                <w:bCs w:val="0"/>
                <w:color w:val="auto"/>
                <w:sz w:val="21"/>
                <w:szCs w:val="21"/>
                <w:lang w:bidi="en-US"/>
              </w:rPr>
              <w:t>境应急响方案实施应急演练，视情加强闸坝、应急池、物资库等工程建设。</w:t>
            </w:r>
          </w:p>
          <w:p w14:paraId="3FAD95FA">
            <w:pPr>
              <w:widowControl/>
              <w:autoSpaceDE w:val="0"/>
              <w:autoSpaceDN w:val="0"/>
              <w:adjustRightInd w:val="0"/>
              <w:snapToGrid w:val="0"/>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2.塔城地区行政公署和各县市人民政府有关部门应当制定水污染事故、饮用水安全突发事件、城乡供水突发事件等相关应急预案，并定期进行演练，加强应急物资储备，依法做好突发事件的应急准备、应急处置和事后恢复等工作。饮用水水源发生水污染事故，或者发生其他可能影响饮用水安全的突发性事件的，饮用水供水单位应当及时采取应急处理措施，向塔城地区行政公署、所在地县（市、区）人民政府报告，并向社会公开。有关人民政府应当采取启用备用水源等措施，保障供水安全。</w:t>
            </w:r>
          </w:p>
          <w:p w14:paraId="24139DED">
            <w:pPr>
              <w:widowControl/>
              <w:autoSpaceDE w:val="0"/>
              <w:autoSpaceDN w:val="0"/>
              <w:adjustRightInd w:val="0"/>
              <w:snapToGrid w:val="0"/>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3.实施农用地土壤镉等重金属污染源头防治行动。依法推行农用地分类管理制度，强化受污染耕地安全利用和风险管控。因地制宜制定实施安全利用方案，鼓励采取种植结构调整等措施，确保受污染耕地全部实现安全利用。严格落实粮食收购和销售出库质量安全检验制度和追溯制度。</w:t>
            </w:r>
          </w:p>
          <w:p w14:paraId="341821C5">
            <w:pPr>
              <w:widowControl/>
              <w:autoSpaceDE w:val="0"/>
              <w:autoSpaceDN w:val="0"/>
              <w:adjustRightInd w:val="0"/>
              <w:snapToGrid w:val="0"/>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4.健全地区医疗废弃物分类收集转运体系，实施现有医疗废物集中处置设施扩能提质改造，加快推进县（市）级医疗废物集中收集和处置设施体系建设以及城市医疗废物集中处置设施应急备用能力建设，推动医疗废物集中处置设施收集范围覆盖城、乡，实现城市、乡（镇）、农村地区医疗废物安全收集处置全覆盖。针对不具备集中处置条件的医疗卫生机构，应配套自建符合要求的医疗废物处置设施。鼓励发展移动式医疗废物处置设施，为偏远乡（镇）、牧业村（队）提供就地处置服务。根据自治区统一部署，建立兵地医疗废物协同应急处置机制，保障突发疫情、处置设施检修等期间医疗废物应急处置能力。坚持医疗废物收集处置调度制度，持续强化医疗废物收集转运处置环境监管，确保医疗废物得到及时有效收集，转运和处置。完善地区医疗废物集中处置应急预案，满足突发情况下医疗废物应急处置需要。</w:t>
            </w:r>
          </w:p>
        </w:tc>
        <w:tc>
          <w:tcPr>
            <w:tcW w:w="0" w:type="auto"/>
            <w:vAlign w:val="center"/>
          </w:tcPr>
          <w:p w14:paraId="3046DD42">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为陆地石油开采项目，不涉及额敏河、集中式饮用水水源地的河流及其他重要敏感目标，周围不属于人口密集区；项目周围无农用地；运营期废水、固体废物均得到妥善处置，不会向土壤排放有毒有害物质及含量超标的污</w:t>
            </w:r>
            <w:r>
              <w:rPr>
                <w:rFonts w:hint="default" w:ascii="Times New Roman" w:hAnsi="Times New Roman" w:eastAsia="宋体" w:cs="Times New Roman"/>
                <w:color w:val="auto"/>
                <w:kern w:val="0"/>
                <w:sz w:val="21"/>
                <w:szCs w:val="21"/>
                <w:lang w:val="en-US" w:eastAsia="zh-CN" w:bidi="ar"/>
              </w:rPr>
              <w:t>水、污泥；运营期继续执行百口泉采油厂已有的HSE管理体系、突发环境事件应急预案及运营期监测计划，不涉及医疗废物</w:t>
            </w:r>
            <w:r>
              <w:rPr>
                <w:rFonts w:hint="eastAsia"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符合</w:t>
            </w:r>
            <w:r>
              <w:rPr>
                <w:rFonts w:hint="eastAsia" w:ascii="宋体" w:hAnsi="宋体" w:cs="宋体"/>
                <w:color w:val="auto"/>
                <w:kern w:val="0"/>
                <w:sz w:val="21"/>
                <w:szCs w:val="21"/>
                <w:lang w:val="en-US" w:eastAsia="zh-CN" w:bidi="ar"/>
              </w:rPr>
              <w:t>要求</w:t>
            </w:r>
            <w:r>
              <w:rPr>
                <w:rFonts w:hint="default" w:ascii="Times New Roman" w:hAnsi="Times New Roman" w:eastAsia="宋体" w:cs="Times New Roman"/>
                <w:color w:val="auto"/>
                <w:kern w:val="0"/>
                <w:sz w:val="21"/>
                <w:szCs w:val="21"/>
                <w:lang w:val="en-US" w:eastAsia="zh-CN" w:bidi="ar"/>
              </w:rPr>
              <w:t>。</w:t>
            </w:r>
          </w:p>
        </w:tc>
      </w:tr>
      <w:tr w14:paraId="1936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Align w:val="center"/>
          </w:tcPr>
          <w:p w14:paraId="4E167F4A">
            <w:pPr>
              <w:autoSpaceDE w:val="0"/>
              <w:autoSpaceDN w:val="0"/>
              <w:adjustRightInd w:val="0"/>
              <w:snapToGrid w:val="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四</w:t>
            </w:r>
            <w:r>
              <w:rPr>
                <w:rFonts w:hint="eastAsia" w:cs="Times New Roman"/>
                <w:b w:val="0"/>
                <w:bCs w:val="0"/>
                <w:color w:val="auto"/>
                <w:sz w:val="21"/>
                <w:szCs w:val="21"/>
                <w:lang w:eastAsia="zh-CN"/>
              </w:rPr>
              <w:t>）</w:t>
            </w:r>
          </w:p>
        </w:tc>
        <w:tc>
          <w:tcPr>
            <w:tcW w:w="4503" w:type="pct"/>
            <w:gridSpan w:val="2"/>
            <w:shd w:val="clear" w:color="auto" w:fill="auto"/>
            <w:vAlign w:val="center"/>
          </w:tcPr>
          <w:p w14:paraId="5C93AF19">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资源利用效率</w:t>
            </w:r>
          </w:p>
        </w:tc>
      </w:tr>
      <w:tr w14:paraId="7F9D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96" w:type="pct"/>
            <w:vAlign w:val="center"/>
          </w:tcPr>
          <w:p w14:paraId="3E61EF22">
            <w:pPr>
              <w:autoSpaceDE w:val="0"/>
              <w:autoSpaceDN w:val="0"/>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3015" w:type="pct"/>
            <w:shd w:val="clear" w:color="auto" w:fill="auto"/>
            <w:vAlign w:val="center"/>
          </w:tcPr>
          <w:p w14:paraId="578623A8">
            <w:pPr>
              <w:widowControl/>
              <w:autoSpaceDE w:val="0"/>
              <w:autoSpaceDN w:val="0"/>
              <w:adjustRightInd w:val="0"/>
              <w:snapToGrid w:val="0"/>
              <w:jc w:val="left"/>
              <w:rPr>
                <w:rFonts w:hint="default" w:ascii="Times New Roman" w:hAnsi="Times New Roman" w:eastAsia="宋体" w:cs="Times New Roman"/>
                <w:bCs w:val="0"/>
                <w:color w:val="auto"/>
                <w:sz w:val="21"/>
                <w:szCs w:val="21"/>
                <w:lang w:bidi="en-US"/>
              </w:rPr>
            </w:pPr>
            <w:r>
              <w:rPr>
                <w:rFonts w:hint="default" w:ascii="Times New Roman" w:hAnsi="Times New Roman" w:eastAsia="宋体" w:cs="Times New Roman"/>
                <w:bCs w:val="0"/>
                <w:color w:val="auto"/>
                <w:sz w:val="21"/>
                <w:szCs w:val="21"/>
                <w:lang w:bidi="en-US"/>
              </w:rPr>
              <w:t>1.至2025年塔城地区超采区地下水位年均下降速率控制在0.67m/a左右，至2030年超采区全部实现地下水采补平衡，地下水位下降速率控制在0.2m/a，至2035年，塔城地区超采区全域保持地下水采补平衡或补大于采，地下水水位逐渐恢复，水位恢复速率在0.1m/a以上。2.结合高标准农田建设，加大田间节水设施建设力度，提高农业用水效率。塔城地区2025年、2030年农田灌溉水有效利用系数控制指标分别为0.64、0.68，塔城地区2025年、2030年农田灌溉水有效利用系数控制指标分别为0.66、0.69。</w:t>
            </w:r>
          </w:p>
        </w:tc>
        <w:tc>
          <w:tcPr>
            <w:tcW w:w="0" w:type="auto"/>
            <w:vAlign w:val="center"/>
          </w:tcPr>
          <w:p w14:paraId="3DD95EF2">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施工期管道试压用水量较小，水源来自市区；不开采地下水，不涉及农业用水、优先保护类农用地</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符合要求。</w:t>
            </w:r>
          </w:p>
        </w:tc>
      </w:tr>
    </w:tbl>
    <w:p w14:paraId="39CE3C75">
      <w:pPr>
        <w:pStyle w:val="5"/>
        <w:bidi w:val="0"/>
        <w:rPr>
          <w:rFonts w:hint="default"/>
          <w:color w:val="auto"/>
          <w:lang w:val="en-US" w:eastAsia="zh-CN"/>
        </w:rPr>
      </w:pPr>
      <w:bookmarkStart w:id="39" w:name="_Toc11943"/>
      <w:r>
        <w:rPr>
          <w:rFonts w:hint="eastAsia"/>
          <w:color w:val="auto"/>
          <w:lang w:val="en-US" w:eastAsia="zh-CN"/>
        </w:rPr>
        <w:t>1.3.5选址选线合理性分析</w:t>
      </w:r>
      <w:bookmarkEnd w:id="39"/>
    </w:p>
    <w:p w14:paraId="0E3F2B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32"/>
          <w:lang w:val="en-US" w:eastAsia="zh-CN"/>
        </w:rPr>
      </w:pPr>
      <w:r>
        <w:rPr>
          <w:rFonts w:hint="eastAsia"/>
          <w:color w:val="auto"/>
          <w:sz w:val="24"/>
          <w:szCs w:val="32"/>
          <w:lang w:eastAsia="zh-CN"/>
        </w:rPr>
        <w:t>（</w:t>
      </w:r>
      <w:r>
        <w:rPr>
          <w:rFonts w:hint="eastAsia"/>
          <w:color w:val="auto"/>
          <w:sz w:val="24"/>
          <w:szCs w:val="32"/>
          <w:lang w:val="en-US" w:eastAsia="zh-CN"/>
        </w:rPr>
        <w:t>1</w:t>
      </w:r>
      <w:r>
        <w:rPr>
          <w:rFonts w:hint="eastAsia"/>
          <w:color w:val="auto"/>
          <w:sz w:val="24"/>
          <w:szCs w:val="32"/>
          <w:lang w:eastAsia="zh-CN"/>
        </w:rPr>
        <w:t>）</w:t>
      </w:r>
      <w:r>
        <w:rPr>
          <w:rFonts w:hint="eastAsia"/>
          <w:color w:val="auto"/>
          <w:sz w:val="24"/>
          <w:szCs w:val="32"/>
          <w:lang w:val="en-US" w:eastAsia="zh-CN"/>
        </w:rPr>
        <w:t>井场布置的合理性分析</w:t>
      </w:r>
    </w:p>
    <w:p w14:paraId="19EF37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32"/>
        </w:rPr>
      </w:pPr>
      <w:r>
        <w:rPr>
          <w:color w:val="auto"/>
          <w:sz w:val="24"/>
          <w:szCs w:val="32"/>
        </w:rPr>
        <w:t>根据现场调查，</w:t>
      </w:r>
      <w:r>
        <w:rPr>
          <w:rFonts w:hint="eastAsia"/>
          <w:color w:val="auto"/>
          <w:sz w:val="24"/>
          <w:szCs w:val="32"/>
          <w:lang w:eastAsia="zh-CN"/>
        </w:rPr>
        <w:t>本工程</w:t>
      </w:r>
      <w:r>
        <w:rPr>
          <w:color w:val="auto"/>
          <w:sz w:val="24"/>
          <w:szCs w:val="32"/>
        </w:rPr>
        <w:t>井场周围500m范围内无学校、医院等环境敏感目标，满足要求，且井场选址不涉及水源保护区、文物保护区、自然保护区及重要湿地等特殊环境敏感目标。综上所述，</w:t>
      </w:r>
      <w:r>
        <w:rPr>
          <w:rFonts w:hint="eastAsia"/>
          <w:color w:val="auto"/>
          <w:sz w:val="24"/>
          <w:szCs w:val="32"/>
          <w:lang w:eastAsia="zh-CN"/>
        </w:rPr>
        <w:t>本工程</w:t>
      </w:r>
      <w:r>
        <w:rPr>
          <w:color w:val="auto"/>
          <w:sz w:val="24"/>
          <w:szCs w:val="32"/>
        </w:rPr>
        <w:t>井场选址合理。</w:t>
      </w:r>
    </w:p>
    <w:p w14:paraId="70B5FC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32"/>
          <w:lang w:val="en-US" w:eastAsia="zh-CN"/>
        </w:rPr>
      </w:pPr>
      <w:r>
        <w:rPr>
          <w:rFonts w:hint="eastAsia"/>
          <w:color w:val="auto"/>
          <w:sz w:val="24"/>
          <w:szCs w:val="32"/>
          <w:lang w:eastAsia="zh-CN"/>
        </w:rPr>
        <w:t>（</w:t>
      </w:r>
      <w:r>
        <w:rPr>
          <w:rFonts w:hint="eastAsia"/>
          <w:color w:val="auto"/>
          <w:sz w:val="24"/>
          <w:szCs w:val="32"/>
          <w:lang w:val="en-US" w:eastAsia="zh-CN"/>
        </w:rPr>
        <w:t>2</w:t>
      </w:r>
      <w:r>
        <w:rPr>
          <w:rFonts w:hint="eastAsia"/>
          <w:color w:val="auto"/>
          <w:sz w:val="24"/>
          <w:szCs w:val="32"/>
          <w:lang w:eastAsia="zh-CN"/>
        </w:rPr>
        <w:t>）</w:t>
      </w:r>
      <w:r>
        <w:rPr>
          <w:rFonts w:hint="eastAsia"/>
          <w:color w:val="auto"/>
          <w:sz w:val="24"/>
          <w:szCs w:val="32"/>
          <w:lang w:val="en-US" w:eastAsia="zh-CN"/>
        </w:rPr>
        <w:t>管线选线可行性分析</w:t>
      </w:r>
    </w:p>
    <w:p w14:paraId="40167F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32"/>
          <w:lang w:val="en-US" w:eastAsia="zh-CN"/>
        </w:rPr>
      </w:pPr>
      <w:r>
        <w:rPr>
          <w:rFonts w:hint="eastAsia"/>
          <w:color w:val="auto"/>
          <w:sz w:val="24"/>
          <w:szCs w:val="32"/>
          <w:lang w:val="en-US" w:eastAsia="zh-CN"/>
        </w:rPr>
        <w:t>根据现场调查，本工程管线</w:t>
      </w:r>
      <w:r>
        <w:rPr>
          <w:rFonts w:hint="default" w:ascii="Times New Roman" w:hAnsi="Times New Roman" w:eastAsia="宋体" w:cs="Times New Roman"/>
          <w:color w:val="auto"/>
          <w:sz w:val="24"/>
          <w:szCs w:val="24"/>
        </w:rPr>
        <w:t>不占用自然保护区、风景名胜区、饮用水水源保护区、森林公园、基本农田等特殊敏感区域和重要生态敏感区域。</w:t>
      </w:r>
      <w:r>
        <w:rPr>
          <w:rFonts w:hint="eastAsia" w:cs="Times New Roman"/>
          <w:color w:val="auto"/>
          <w:sz w:val="24"/>
          <w:szCs w:val="24"/>
          <w:lang w:val="en-US" w:eastAsia="zh-CN"/>
        </w:rPr>
        <w:t>部分管线占用灌木林地、天然牧草地、其他草地等，</w:t>
      </w:r>
      <w:r>
        <w:rPr>
          <w:rFonts w:hint="eastAsia" w:cs="Times New Roman"/>
          <w:color w:val="auto"/>
          <w:sz w:val="24"/>
          <w:szCs w:val="24"/>
          <w:lang w:eastAsia="zh-CN"/>
        </w:rPr>
        <w:t>本工程</w:t>
      </w:r>
      <w:r>
        <w:rPr>
          <w:rFonts w:hint="default" w:ascii="Times New Roman" w:hAnsi="Times New Roman" w:eastAsia="宋体" w:cs="Times New Roman"/>
          <w:color w:val="auto"/>
          <w:sz w:val="24"/>
          <w:szCs w:val="24"/>
        </w:rPr>
        <w:t>建设前，建设单位需</w:t>
      </w:r>
      <w:r>
        <w:rPr>
          <w:rFonts w:hint="eastAsia" w:ascii="Times New Roman" w:hAnsi="Times New Roman" w:eastAsia="宋体" w:cs="Times New Roman"/>
          <w:color w:val="auto"/>
          <w:sz w:val="24"/>
          <w:szCs w:val="24"/>
          <w:lang w:val="en-US" w:eastAsia="zh-CN"/>
        </w:rPr>
        <w:t>办理用地手续</w:t>
      </w:r>
      <w:r>
        <w:rPr>
          <w:rFonts w:hint="default" w:ascii="Times New Roman" w:hAnsi="Times New Roman" w:eastAsia="宋体" w:cs="Times New Roman"/>
          <w:color w:val="auto"/>
          <w:sz w:val="24"/>
          <w:szCs w:val="24"/>
        </w:rPr>
        <w:t>，并按照相关规定对工程占地进行经济补偿。</w:t>
      </w:r>
    </w:p>
    <w:p w14:paraId="284895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lang w:eastAsia="zh-CN"/>
        </w:rPr>
      </w:pPr>
      <w:r>
        <w:rPr>
          <w:rFonts w:hint="eastAsia" w:cs="Times New Roman"/>
          <w:color w:val="auto"/>
          <w:sz w:val="24"/>
          <w:szCs w:val="32"/>
          <w:lang w:eastAsia="zh-CN"/>
        </w:rPr>
        <w:t>本工程</w:t>
      </w:r>
      <w:r>
        <w:rPr>
          <w:rFonts w:hint="eastAsia" w:ascii="Times New Roman" w:hAnsi="Times New Roman" w:eastAsia="宋体" w:cs="Times New Roman"/>
          <w:color w:val="auto"/>
          <w:sz w:val="24"/>
          <w:szCs w:val="32"/>
          <w:lang w:eastAsia="zh-CN"/>
        </w:rPr>
        <w:t>管线选线时，在满足生产要求的前提下，项目的管线敷设综合考虑了地形、地质因素以及风险事故等因素，并尽可能减少</w:t>
      </w:r>
      <w:r>
        <w:rPr>
          <w:rFonts w:hint="eastAsia" w:ascii="Times New Roman" w:hAnsi="Times New Roman" w:eastAsia="宋体" w:cs="Times New Roman"/>
          <w:color w:val="auto"/>
          <w:sz w:val="24"/>
          <w:szCs w:val="32"/>
          <w:lang w:val="en-US" w:eastAsia="zh-CN"/>
        </w:rPr>
        <w:t>草地和林</w:t>
      </w:r>
      <w:r>
        <w:rPr>
          <w:rFonts w:hint="eastAsia" w:ascii="Times New Roman" w:hAnsi="Times New Roman" w:eastAsia="宋体" w:cs="Times New Roman"/>
          <w:color w:val="auto"/>
          <w:sz w:val="24"/>
          <w:szCs w:val="32"/>
          <w:lang w:eastAsia="zh-CN"/>
        </w:rPr>
        <w:t>地的占用，</w:t>
      </w:r>
      <w:r>
        <w:rPr>
          <w:rFonts w:hint="eastAsia" w:ascii="Times New Roman" w:hAnsi="Times New Roman" w:eastAsia="宋体" w:cs="Times New Roman"/>
          <w:color w:val="auto"/>
          <w:sz w:val="24"/>
          <w:szCs w:val="32"/>
          <w:lang w:val="en-US" w:eastAsia="zh-CN"/>
        </w:rPr>
        <w:t>占地</w:t>
      </w:r>
      <w:r>
        <w:rPr>
          <w:rFonts w:hint="eastAsia" w:ascii="Times New Roman" w:hAnsi="Times New Roman" w:eastAsia="宋体" w:cs="Times New Roman"/>
          <w:color w:val="auto"/>
          <w:sz w:val="24"/>
          <w:szCs w:val="32"/>
          <w:lang w:eastAsia="zh-CN"/>
        </w:rPr>
        <w:t>均不在水源地保护区、文物保护区等特殊环境敏感目标保护范围内，满足《</w:t>
      </w:r>
      <w:r>
        <w:rPr>
          <w:rFonts w:hint="eastAsia" w:ascii="Times New Roman" w:hAnsi="Times New Roman" w:eastAsia="宋体" w:cs="Times New Roman"/>
          <w:color w:val="auto"/>
          <w:sz w:val="24"/>
          <w:szCs w:val="32"/>
          <w:lang w:val="en-US" w:eastAsia="zh-CN"/>
        </w:rPr>
        <w:t>输油管道工程设计</w:t>
      </w:r>
      <w:r>
        <w:rPr>
          <w:rFonts w:hint="eastAsia" w:ascii="Times New Roman" w:hAnsi="Times New Roman" w:eastAsia="宋体" w:cs="Times New Roman"/>
          <w:color w:val="auto"/>
          <w:sz w:val="24"/>
          <w:szCs w:val="32"/>
          <w:lang w:eastAsia="zh-CN"/>
        </w:rPr>
        <w:t>规范》（GB</w:t>
      </w:r>
      <w:r>
        <w:rPr>
          <w:rFonts w:hint="eastAsia" w:ascii="Times New Roman" w:hAnsi="Times New Roman" w:eastAsia="宋体" w:cs="Times New Roman"/>
          <w:color w:val="auto"/>
          <w:sz w:val="24"/>
          <w:szCs w:val="32"/>
          <w:lang w:val="en-US" w:eastAsia="zh-CN"/>
        </w:rPr>
        <w:t>50253-2014</w:t>
      </w:r>
      <w:r>
        <w:rPr>
          <w:rFonts w:hint="eastAsia" w:ascii="Times New Roman" w:hAnsi="Times New Roman" w:eastAsia="宋体" w:cs="Times New Roman"/>
          <w:color w:val="auto"/>
          <w:sz w:val="24"/>
          <w:szCs w:val="32"/>
          <w:lang w:eastAsia="zh-CN"/>
        </w:rPr>
        <w:t>）中的相关规定。</w:t>
      </w:r>
    </w:p>
    <w:p w14:paraId="3F17C528">
      <w:pPr>
        <w:pStyle w:val="37"/>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auto"/>
          <w:sz w:val="24"/>
          <w:szCs w:val="32"/>
          <w:lang w:val="en-US" w:eastAsia="zh-CN" w:bidi="ar-SA"/>
        </w:rPr>
      </w:pPr>
      <w:r>
        <w:rPr>
          <w:rFonts w:ascii="Times New Roman" w:hAnsi="Times New Roman" w:eastAsia="宋体" w:cs="Times New Roman"/>
          <w:color w:val="auto"/>
          <w:sz w:val="24"/>
          <w:szCs w:val="32"/>
          <w:lang w:val="en-US" w:eastAsia="zh-CN" w:bidi="ar-SA"/>
        </w:rPr>
        <w:t>综上所述，</w:t>
      </w:r>
      <w:r>
        <w:rPr>
          <w:rFonts w:hint="eastAsia" w:cs="Times New Roman"/>
          <w:color w:val="auto"/>
          <w:sz w:val="24"/>
          <w:szCs w:val="32"/>
          <w:lang w:val="en-US" w:eastAsia="zh-CN" w:bidi="ar-SA"/>
        </w:rPr>
        <w:t>本工程</w:t>
      </w:r>
      <w:r>
        <w:rPr>
          <w:rFonts w:ascii="Times New Roman" w:hAnsi="Times New Roman" w:eastAsia="宋体" w:cs="Times New Roman"/>
          <w:color w:val="auto"/>
          <w:sz w:val="24"/>
          <w:szCs w:val="32"/>
          <w:lang w:val="en-US" w:eastAsia="zh-CN" w:bidi="ar-SA"/>
        </w:rPr>
        <w:t>选址、选线合理。</w:t>
      </w:r>
    </w:p>
    <w:p w14:paraId="676F80A3">
      <w:pPr>
        <w:pStyle w:val="2"/>
        <w:bidi w:val="0"/>
        <w:rPr>
          <w:rFonts w:hint="default"/>
          <w:color w:val="auto"/>
          <w:lang w:val="en-US" w:eastAsia="zh-CN"/>
        </w:rPr>
      </w:pPr>
      <w:bookmarkStart w:id="40" w:name="_Toc14757"/>
      <w:bookmarkStart w:id="41" w:name="_Toc31234"/>
      <w:bookmarkStart w:id="42" w:name="_Toc20192"/>
      <w:bookmarkStart w:id="43" w:name="_Toc6805"/>
      <w:bookmarkStart w:id="44" w:name="_Toc8480"/>
      <w:r>
        <w:rPr>
          <w:rFonts w:hint="eastAsia"/>
          <w:color w:val="auto"/>
          <w:lang w:val="en-US" w:eastAsia="zh-CN"/>
        </w:rPr>
        <w:t>1.4关注的主要环境问题及环境影响</w:t>
      </w:r>
      <w:bookmarkEnd w:id="40"/>
      <w:bookmarkEnd w:id="41"/>
      <w:bookmarkEnd w:id="42"/>
      <w:bookmarkEnd w:id="43"/>
      <w:bookmarkEnd w:id="44"/>
    </w:p>
    <w:p w14:paraId="040473B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本工程</w:t>
      </w:r>
      <w:r>
        <w:rPr>
          <w:rFonts w:hint="eastAsia" w:ascii="Times New Roman" w:hAnsi="Times New Roman" w:eastAsia="宋体"/>
          <w:color w:val="auto"/>
          <w:sz w:val="24"/>
          <w:szCs w:val="24"/>
          <w:lang w:val="en-US" w:eastAsia="zh-CN"/>
        </w:rPr>
        <w:t>主要为地面工程的建设（不涉及钻井工程），主要为</w:t>
      </w:r>
      <w:r>
        <w:rPr>
          <w:rFonts w:ascii="Times New Roman" w:hAnsi="Times New Roman" w:eastAsia="宋体"/>
          <w:color w:val="auto"/>
          <w:sz w:val="24"/>
          <w:szCs w:val="24"/>
        </w:rPr>
        <w:t>管线线性工程</w:t>
      </w:r>
      <w:r>
        <w:rPr>
          <w:rFonts w:hint="eastAsia"/>
          <w:color w:val="auto"/>
          <w:sz w:val="24"/>
          <w:szCs w:val="24"/>
          <w:lang w:val="en-US" w:eastAsia="zh-CN"/>
        </w:rPr>
        <w:t>和井场地面设备</w:t>
      </w:r>
      <w:r>
        <w:rPr>
          <w:rFonts w:ascii="Times New Roman" w:hAnsi="Times New Roman" w:eastAsia="宋体"/>
          <w:color w:val="auto"/>
          <w:sz w:val="24"/>
          <w:szCs w:val="24"/>
        </w:rPr>
        <w:t>的建设，管线的影响以生态影响为主。据项目环境影响特征和当地环境状况，评价重点关注管线施工期对管线沿线生态环境的影响；</w:t>
      </w:r>
      <w:r>
        <w:rPr>
          <w:rFonts w:hint="eastAsia"/>
          <w:color w:val="auto"/>
          <w:sz w:val="24"/>
          <w:szCs w:val="24"/>
          <w:lang w:eastAsia="zh-CN"/>
        </w:rPr>
        <w:t>运营</w:t>
      </w:r>
      <w:r>
        <w:rPr>
          <w:rFonts w:ascii="Times New Roman" w:hAnsi="Times New Roman" w:eastAsia="宋体"/>
          <w:color w:val="auto"/>
          <w:sz w:val="24"/>
          <w:szCs w:val="24"/>
        </w:rPr>
        <w:t>期主要关注环境风险的影响，兼顾其它环境影响，根据预测可能造成环境影响的范围和程度，有针对性、有侧重地提出预防、减缓和补偿等环保措施及环境风险应急预案。本次评价重点包括以下几个方面：</w:t>
      </w:r>
    </w:p>
    <w:p w14:paraId="5104430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重视生态环境和环境风险影响，重点关注井场、管线施工对生态环境的影响，采取的生态保护和恢复措施，防止对当地生态环境造成破坏。根据预测可能造成环境影响的范围和程度，提出针对性的生态保护措施及环境风险防范措施。</w:t>
      </w:r>
    </w:p>
    <w:p w14:paraId="0994201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（2）重视地下水环境质量现状，重点关注生产废水的产生量、处理工艺的可行性、可靠性，防止对地下水环境造成不利影响。</w:t>
      </w:r>
    </w:p>
    <w:p w14:paraId="36030F8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（3）重视土壤环境影响，重点关注含油污泥等固体废物的暂存及最终处置方式的可靠性，防止对当地土壤造成污染。</w:t>
      </w:r>
    </w:p>
    <w:p w14:paraId="231FE8B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（4）重视大气环境质量，重点关注开采、集输过程以及</w:t>
      </w:r>
      <w:r>
        <w:rPr>
          <w:rFonts w:hint="eastAsia" w:ascii="Times New Roman" w:hAnsi="Times New Roman" w:eastAsia="宋体"/>
          <w:color w:val="auto"/>
          <w:sz w:val="24"/>
          <w:szCs w:val="24"/>
          <w:lang w:val="en-US" w:eastAsia="zh-CN"/>
        </w:rPr>
        <w:t>井</w:t>
      </w:r>
      <w:r>
        <w:rPr>
          <w:rFonts w:ascii="Times New Roman" w:hAnsi="Times New Roman" w:eastAsia="宋体"/>
          <w:color w:val="auto"/>
          <w:sz w:val="24"/>
          <w:szCs w:val="24"/>
        </w:rPr>
        <w:t>场阀门、泵类等过程中产生的无组织有机废气排放量控制措施的可行性，减小对当地大气环境质量的影响。</w:t>
      </w:r>
    </w:p>
    <w:p w14:paraId="72FA5EA5">
      <w:pPr>
        <w:pStyle w:val="2"/>
        <w:bidi w:val="0"/>
        <w:rPr>
          <w:rFonts w:hint="default"/>
          <w:color w:val="auto"/>
          <w:lang w:val="en-US" w:eastAsia="zh-CN"/>
        </w:rPr>
      </w:pPr>
      <w:bookmarkStart w:id="45" w:name="_Toc2891"/>
      <w:bookmarkStart w:id="46" w:name="_Toc26060"/>
      <w:bookmarkStart w:id="47" w:name="_Toc21734"/>
      <w:bookmarkStart w:id="48" w:name="_Toc12130"/>
      <w:bookmarkStart w:id="49" w:name="_Toc21642"/>
      <w:r>
        <w:rPr>
          <w:rFonts w:hint="eastAsia"/>
          <w:color w:val="auto"/>
          <w:lang w:val="en-US" w:eastAsia="zh-CN"/>
        </w:rPr>
        <w:t>1.5环境影响评价的主要结论</w:t>
      </w:r>
      <w:bookmarkEnd w:id="45"/>
      <w:bookmarkEnd w:id="46"/>
      <w:bookmarkEnd w:id="47"/>
      <w:bookmarkEnd w:id="48"/>
      <w:bookmarkEnd w:id="49"/>
    </w:p>
    <w:p w14:paraId="765767F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hint="eastAsia" w:ascii="宋体" w:hAnsi="宋体" w:cs="宋体"/>
          <w:color w:val="auto"/>
          <w:sz w:val="24"/>
          <w:szCs w:val="24"/>
          <w:lang w:eastAsia="zh-CN"/>
        </w:rPr>
        <w:t>本工程</w:t>
      </w:r>
      <w:r>
        <w:rPr>
          <w:rFonts w:ascii="宋体" w:hAnsi="宋体" w:eastAsia="宋体" w:cs="宋体"/>
          <w:color w:val="auto"/>
          <w:sz w:val="24"/>
          <w:szCs w:val="24"/>
        </w:rPr>
        <w:t>符合国家产业政策，符合相关规划要求，有利于维持当地油田开发支柱产业的开发和社会经济发展。</w:t>
      </w:r>
    </w:p>
    <w:p w14:paraId="3EEC1A9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hint="eastAsia" w:ascii="宋体" w:hAnsi="宋体" w:cs="宋体"/>
          <w:color w:val="auto"/>
          <w:sz w:val="24"/>
          <w:szCs w:val="24"/>
          <w:lang w:eastAsia="zh-CN"/>
        </w:rPr>
        <w:t>本工程</w:t>
      </w:r>
      <w:r>
        <w:rPr>
          <w:rFonts w:ascii="宋体" w:hAnsi="宋体" w:eastAsia="宋体" w:cs="宋体"/>
          <w:color w:val="auto"/>
          <w:sz w:val="24"/>
          <w:szCs w:val="24"/>
        </w:rPr>
        <w:t>按照“三同时”制度认真落实工程设计、本报告提出</w:t>
      </w:r>
      <w:r>
        <w:rPr>
          <w:rFonts w:hint="eastAsia" w:ascii="宋体" w:hAnsi="宋体" w:eastAsia="宋体" w:cs="宋体"/>
          <w:color w:val="auto"/>
          <w:sz w:val="24"/>
          <w:szCs w:val="24"/>
          <w:lang w:val="en-US" w:eastAsia="zh-CN"/>
        </w:rPr>
        <w:t>环保</w:t>
      </w:r>
      <w:r>
        <w:rPr>
          <w:rFonts w:ascii="宋体" w:hAnsi="宋体" w:eastAsia="宋体" w:cs="宋体"/>
          <w:color w:val="auto"/>
          <w:sz w:val="24"/>
          <w:szCs w:val="24"/>
        </w:rPr>
        <w:t>措施并强化环境管理后，各项污染防治、生态保护及环境风险防范与应急措施基本可行，工程对环境的污染较小，满足环境质量目标的要求；生态环境影响得到有效控制、恢复、补偿，并减至最低程度，可以实现生态系统结构功能不降低的生态环境保护目标；环境风险可降低到当地环境能够容许的程度；实现经济效益、社会效益和环境效益的协调统一。从满足环境质量目标和生态环境保护要求的角度，工程建设可行。</w:t>
      </w:r>
    </w:p>
    <w:p w14:paraId="2E43493C">
      <w:pPr>
        <w:rPr>
          <w:rFonts w:ascii="Times New Roman" w:hAnsi="Times New Roman" w:eastAsia="宋体"/>
          <w:color w:val="auto"/>
          <w:sz w:val="24"/>
          <w:szCs w:val="24"/>
        </w:rPr>
      </w:pPr>
      <w:r>
        <w:rPr>
          <w:rFonts w:ascii="Times New Roman" w:hAnsi="Times New Roman" w:eastAsia="宋体"/>
          <w:color w:val="auto"/>
          <w:sz w:val="24"/>
          <w:szCs w:val="24"/>
        </w:rPr>
        <w:br w:type="page"/>
      </w:r>
    </w:p>
    <w:p w14:paraId="096532E6">
      <w:pPr>
        <w:pStyle w:val="3"/>
        <w:bidi w:val="0"/>
        <w:rPr>
          <w:rFonts w:hint="default"/>
          <w:color w:val="auto"/>
          <w:lang w:val="en-US" w:eastAsia="zh-CN"/>
        </w:rPr>
      </w:pPr>
      <w:bookmarkStart w:id="50" w:name="_Toc11834"/>
      <w:bookmarkStart w:id="51" w:name="_Toc17614"/>
      <w:bookmarkStart w:id="52" w:name="_Toc24085"/>
      <w:bookmarkStart w:id="53" w:name="_Toc19478"/>
      <w:bookmarkStart w:id="54" w:name="_Toc11505"/>
      <w:r>
        <w:rPr>
          <w:rFonts w:hint="eastAsia"/>
          <w:color w:val="auto"/>
          <w:lang w:val="en-US" w:eastAsia="zh-CN"/>
        </w:rPr>
        <w:t>2总则</w:t>
      </w:r>
      <w:bookmarkEnd w:id="50"/>
      <w:bookmarkEnd w:id="51"/>
      <w:bookmarkEnd w:id="52"/>
      <w:bookmarkEnd w:id="53"/>
      <w:bookmarkEnd w:id="54"/>
    </w:p>
    <w:p w14:paraId="07D28CA5">
      <w:pPr>
        <w:pStyle w:val="2"/>
        <w:bidi w:val="0"/>
        <w:rPr>
          <w:rFonts w:hint="default"/>
          <w:color w:val="auto"/>
          <w:lang w:val="en-US" w:eastAsia="zh-CN"/>
        </w:rPr>
      </w:pPr>
      <w:bookmarkStart w:id="55" w:name="_Toc32130"/>
      <w:bookmarkStart w:id="56" w:name="_Toc28157"/>
      <w:bookmarkStart w:id="57" w:name="_Toc26792"/>
      <w:bookmarkStart w:id="58" w:name="_Toc19440"/>
      <w:bookmarkStart w:id="59" w:name="_Toc10309"/>
      <w:r>
        <w:rPr>
          <w:rFonts w:hint="eastAsia"/>
          <w:color w:val="auto"/>
          <w:lang w:val="en-US" w:eastAsia="zh-CN"/>
        </w:rPr>
        <w:t>2.1编制依据</w:t>
      </w:r>
      <w:bookmarkEnd w:id="55"/>
      <w:bookmarkEnd w:id="56"/>
      <w:bookmarkEnd w:id="57"/>
      <w:bookmarkEnd w:id="58"/>
      <w:bookmarkEnd w:id="59"/>
    </w:p>
    <w:p w14:paraId="3E45E03E">
      <w:pPr>
        <w:pStyle w:val="5"/>
        <w:bidi w:val="0"/>
        <w:rPr>
          <w:rFonts w:hint="default"/>
          <w:color w:val="auto"/>
          <w:lang w:val="en-US" w:eastAsia="zh-CN"/>
        </w:rPr>
      </w:pPr>
      <w:r>
        <w:rPr>
          <w:rFonts w:hint="eastAsia"/>
          <w:color w:val="auto"/>
          <w:lang w:val="en-US" w:eastAsia="zh-CN"/>
        </w:rPr>
        <w:t>2.1.1国家相关法律法规</w:t>
      </w:r>
    </w:p>
    <w:p w14:paraId="414D82C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（1）《中华人民共和国环境保护法（修订）》，2015年1月1日起施行；</w:t>
      </w:r>
    </w:p>
    <w:p w14:paraId="7DA7847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（2）《中华人民共和国环境影响评价法（修订）》，2018年12月29日起施行；</w:t>
      </w:r>
    </w:p>
    <w:p w14:paraId="3B2652E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（3）《中华人民共和国大气污染防治法（修订）》，2018年10月26日起施行；</w:t>
      </w:r>
    </w:p>
    <w:p w14:paraId="1077A17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（4）《中华人民共和国水污染防治法（修订）》，2018年1月1日起施行；</w:t>
      </w:r>
    </w:p>
    <w:p w14:paraId="6E2405A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（5）《中华人民共和国噪声污染防治法》，2022年6月5日起施行；</w:t>
      </w:r>
    </w:p>
    <w:p w14:paraId="7AD74CE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（6）《中华人民共和国固体废物污染环境防治法（修订）》，2020年9月1日起施行；</w:t>
      </w:r>
    </w:p>
    <w:p w14:paraId="2BC839F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（7）《</w:t>
      </w:r>
      <w:r>
        <w:rPr>
          <w:rFonts w:hint="eastAsia"/>
          <w:color w:val="auto"/>
          <w:sz w:val="24"/>
          <w:szCs w:val="24"/>
          <w:lang w:eastAsia="zh-CN"/>
        </w:rPr>
        <w:t>中华人民共和国土壤污染防治法</w:t>
      </w:r>
      <w:r>
        <w:rPr>
          <w:rFonts w:ascii="Times New Roman" w:hAnsi="Times New Roman" w:eastAsia="宋体"/>
          <w:color w:val="auto"/>
          <w:sz w:val="24"/>
          <w:szCs w:val="24"/>
        </w:rPr>
        <w:t>》，2019年1月1日起施行；</w:t>
      </w:r>
    </w:p>
    <w:p w14:paraId="41CA230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（8）《中华人民共和国循环经济促进法》，2018年10月26日起施行；</w:t>
      </w:r>
    </w:p>
    <w:p w14:paraId="2D04284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（9）《中华人民共和国清洁生产促进法（修订本2022）》，2022年7月1日起施行；</w:t>
      </w:r>
    </w:p>
    <w:p w14:paraId="6728A02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（10）《中华人民共和国节约能源法（修订）》，2018年10月26日起施行；</w:t>
      </w:r>
    </w:p>
    <w:p w14:paraId="1C23184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（11）《中华人民共和国土地管理法（修订）》，2020年1月1日起施行；</w:t>
      </w:r>
    </w:p>
    <w:p w14:paraId="7EC7A67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（12）《中华人民共和国城乡规划法》，2019年4月23日起施行；</w:t>
      </w:r>
    </w:p>
    <w:p w14:paraId="56C355B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（13）《中华人民共和国水法（修订）》，2016年7月2</w:t>
      </w:r>
      <w:r>
        <w:rPr>
          <w:rFonts w:hint="eastAsia"/>
          <w:color w:val="auto"/>
          <w:sz w:val="24"/>
          <w:szCs w:val="24"/>
          <w:lang w:val="en-US" w:eastAsia="zh-CN"/>
        </w:rPr>
        <w:t>日</w:t>
      </w:r>
      <w:r>
        <w:rPr>
          <w:rFonts w:ascii="Times New Roman" w:hAnsi="Times New Roman" w:eastAsia="宋体"/>
          <w:color w:val="auto"/>
          <w:sz w:val="24"/>
          <w:szCs w:val="24"/>
        </w:rPr>
        <w:t>起施行；</w:t>
      </w:r>
    </w:p>
    <w:p w14:paraId="4154626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（14）《中华人民共和国水土保持法（修订）》，2011年3月1日起施行；</w:t>
      </w:r>
    </w:p>
    <w:p w14:paraId="4560839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（15）《中华人民共和国矿产资源法（修订）》，20</w:t>
      </w:r>
      <w:r>
        <w:rPr>
          <w:rFonts w:hint="eastAsia"/>
          <w:color w:val="auto"/>
          <w:sz w:val="24"/>
          <w:szCs w:val="24"/>
          <w:lang w:val="en-US" w:eastAsia="zh-CN"/>
        </w:rPr>
        <w:t>25</w:t>
      </w:r>
      <w:r>
        <w:rPr>
          <w:rFonts w:ascii="Times New Roman" w:hAnsi="Times New Roman" w:eastAsia="宋体"/>
          <w:color w:val="auto"/>
          <w:sz w:val="24"/>
          <w:szCs w:val="24"/>
        </w:rPr>
        <w:t>年</w:t>
      </w:r>
      <w:r>
        <w:rPr>
          <w:rFonts w:hint="eastAsia"/>
          <w:color w:val="auto"/>
          <w:sz w:val="24"/>
          <w:szCs w:val="24"/>
          <w:lang w:val="en-US" w:eastAsia="zh-CN"/>
        </w:rPr>
        <w:t>7</w:t>
      </w:r>
      <w:r>
        <w:rPr>
          <w:rFonts w:ascii="Times New Roman" w:hAnsi="Times New Roman" w:eastAsia="宋体"/>
          <w:color w:val="auto"/>
          <w:sz w:val="24"/>
          <w:szCs w:val="24"/>
        </w:rPr>
        <w:t>月</w:t>
      </w:r>
      <w:r>
        <w:rPr>
          <w:rFonts w:hint="eastAsia"/>
          <w:color w:val="auto"/>
          <w:sz w:val="24"/>
          <w:szCs w:val="24"/>
          <w:lang w:val="en-US" w:eastAsia="zh-CN"/>
        </w:rPr>
        <w:t>1</w:t>
      </w:r>
      <w:r>
        <w:rPr>
          <w:rFonts w:ascii="Times New Roman" w:hAnsi="Times New Roman" w:eastAsia="宋体"/>
          <w:color w:val="auto"/>
          <w:sz w:val="24"/>
          <w:szCs w:val="24"/>
        </w:rPr>
        <w:t>日起施行；</w:t>
      </w:r>
    </w:p>
    <w:p w14:paraId="22605BA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（16）《中华人民共和国野生动物保护法（修订）》，2023年5月1日起施行；</w:t>
      </w:r>
    </w:p>
    <w:p w14:paraId="3AF308C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（17）《中华人民共和国石油天然气管道保护法》，2010年10月1日起施行；</w:t>
      </w:r>
    </w:p>
    <w:p w14:paraId="46DBAC8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ascii="Times New Roman" w:hAnsi="Times New Roman" w:eastAsia="宋体"/>
          <w:color w:val="auto"/>
          <w:sz w:val="24"/>
          <w:szCs w:val="24"/>
        </w:rPr>
        <w:t>（18）《中华人民共和国安全生产法》，2021年9月1日起施行</w:t>
      </w:r>
      <w:r>
        <w:rPr>
          <w:rFonts w:hint="eastAsia"/>
          <w:color w:val="auto"/>
          <w:sz w:val="24"/>
          <w:szCs w:val="24"/>
          <w:lang w:eastAsia="zh-CN"/>
        </w:rPr>
        <w:t>；</w:t>
      </w:r>
    </w:p>
    <w:p w14:paraId="7FBA221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19</w:t>
      </w:r>
      <w:r>
        <w:rPr>
          <w:rFonts w:hint="eastAsia" w:ascii="Times New Roman" w:hAnsi="Times New Roman" w:eastAsia="宋体"/>
          <w:color w:val="auto"/>
          <w:sz w:val="24"/>
          <w:szCs w:val="24"/>
          <w:lang w:eastAsia="zh-CN"/>
        </w:rPr>
        <w:t>）</w:t>
      </w:r>
      <w:r>
        <w:rPr>
          <w:rFonts w:hint="eastAsia"/>
          <w:color w:val="auto"/>
          <w:sz w:val="24"/>
          <w:szCs w:val="24"/>
          <w:lang w:eastAsia="zh-CN"/>
        </w:rPr>
        <w:t>《</w:t>
      </w:r>
      <w:r>
        <w:rPr>
          <w:rFonts w:hint="eastAsia"/>
          <w:color w:val="auto"/>
          <w:sz w:val="24"/>
          <w:szCs w:val="24"/>
          <w:lang w:val="en-US" w:eastAsia="zh-CN"/>
        </w:rPr>
        <w:t>中华人民共和国突发事件应对法（修订）</w:t>
      </w:r>
      <w:r>
        <w:rPr>
          <w:rFonts w:hint="eastAsia"/>
          <w:color w:val="auto"/>
          <w:sz w:val="24"/>
          <w:szCs w:val="24"/>
          <w:lang w:eastAsia="zh-CN"/>
        </w:rPr>
        <w:t>》，</w:t>
      </w:r>
      <w:r>
        <w:rPr>
          <w:rFonts w:hint="eastAsia"/>
          <w:color w:val="auto"/>
          <w:sz w:val="24"/>
          <w:szCs w:val="24"/>
          <w:lang w:val="en-US" w:eastAsia="zh-CN"/>
        </w:rPr>
        <w:t>2024年11月1日起施行；</w:t>
      </w:r>
    </w:p>
    <w:p w14:paraId="311EE5B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w:t>
      </w:r>
      <w:r>
        <w:rPr>
          <w:rFonts w:hint="eastAsia"/>
          <w:color w:val="auto"/>
          <w:sz w:val="24"/>
          <w:szCs w:val="24"/>
          <w:lang w:val="en-US" w:eastAsia="zh-CN"/>
        </w:rPr>
        <w:t>《中华人民共和国草原法（修正）》，2021年4月29日起施行。</w:t>
      </w:r>
    </w:p>
    <w:p w14:paraId="7EB4C51E">
      <w:pPr>
        <w:pStyle w:val="5"/>
        <w:bidi w:val="0"/>
        <w:rPr>
          <w:rFonts w:hint="default"/>
          <w:color w:val="auto"/>
          <w:lang w:val="en-US" w:eastAsia="zh-CN"/>
        </w:rPr>
      </w:pPr>
      <w:r>
        <w:rPr>
          <w:rFonts w:hint="eastAsia"/>
          <w:color w:val="auto"/>
          <w:lang w:val="en-US" w:eastAsia="zh-CN"/>
        </w:rPr>
        <w:t>2.1.2行政法规</w:t>
      </w:r>
    </w:p>
    <w:p w14:paraId="214F52D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（1）《建设项目环境保护管理条例》（国令第682号），2017年10月1日；</w:t>
      </w:r>
    </w:p>
    <w:p w14:paraId="34D0315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（2）《中华人民共和国野生植物保护条例》，2017年10月7日起施行；</w:t>
      </w:r>
    </w:p>
    <w:p w14:paraId="0F0708A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（3）《中华人民共和国河道管理条例》，2018年3月19日起施行；</w:t>
      </w:r>
    </w:p>
    <w:p w14:paraId="1AC0B8E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（4）《土地复垦条例》，2011年3月5日起施行；</w:t>
      </w:r>
    </w:p>
    <w:p w14:paraId="0EB1125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（5）《地质灾害防治条例》，2004年3月1日起施行；</w:t>
      </w:r>
    </w:p>
    <w:p w14:paraId="29B6270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（6）《地下水管理条例》（国令第748号），2021年12月1日起施行；</w:t>
      </w:r>
    </w:p>
    <w:p w14:paraId="4C7D8D8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（7）《国务院关于落实科学发展观加强环境保护的决定》，国发〔20</w:t>
      </w:r>
      <w:r>
        <w:rPr>
          <w:rFonts w:hint="eastAsia" w:ascii="Times New Roman" w:hAnsi="Times New Roman" w:eastAsia="宋体"/>
          <w:color w:val="auto"/>
          <w:sz w:val="24"/>
          <w:szCs w:val="24"/>
          <w:lang w:val="en-US" w:eastAsia="zh-CN"/>
        </w:rPr>
        <w:t>05</w:t>
      </w:r>
      <w:r>
        <w:rPr>
          <w:rFonts w:ascii="Times New Roman" w:hAnsi="Times New Roman" w:eastAsia="宋体"/>
          <w:color w:val="auto"/>
          <w:sz w:val="24"/>
          <w:szCs w:val="24"/>
        </w:rPr>
        <w:t>〕39号；</w:t>
      </w:r>
    </w:p>
    <w:p w14:paraId="56C3139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（8）《国务院关于加强环境保护重点工作的意见》，国发〔20</w:t>
      </w:r>
      <w:r>
        <w:rPr>
          <w:rFonts w:hint="eastAsia" w:ascii="Times New Roman" w:hAnsi="Times New Roman" w:eastAsia="宋体"/>
          <w:color w:val="auto"/>
          <w:sz w:val="24"/>
          <w:szCs w:val="24"/>
          <w:lang w:val="en-US" w:eastAsia="zh-CN"/>
        </w:rPr>
        <w:t>11</w:t>
      </w:r>
      <w:r>
        <w:rPr>
          <w:rFonts w:ascii="Times New Roman" w:hAnsi="Times New Roman" w:eastAsia="宋体"/>
          <w:color w:val="auto"/>
          <w:sz w:val="24"/>
          <w:szCs w:val="24"/>
        </w:rPr>
        <w:t>〕35号；</w:t>
      </w:r>
    </w:p>
    <w:p w14:paraId="16E4643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（9）《国务院关于印发全国生态环境保护纲要的通知》，国发〔20</w:t>
      </w:r>
      <w:r>
        <w:rPr>
          <w:rFonts w:hint="eastAsia" w:ascii="Times New Roman" w:hAnsi="Times New Roman" w:eastAsia="宋体"/>
          <w:color w:val="auto"/>
          <w:sz w:val="24"/>
          <w:szCs w:val="24"/>
          <w:lang w:val="en-US" w:eastAsia="zh-CN"/>
        </w:rPr>
        <w:t>00</w:t>
      </w:r>
      <w:r>
        <w:rPr>
          <w:rFonts w:ascii="Times New Roman" w:hAnsi="Times New Roman" w:eastAsia="宋体"/>
          <w:color w:val="auto"/>
          <w:sz w:val="24"/>
          <w:szCs w:val="24"/>
        </w:rPr>
        <w:t>〕38号；</w:t>
      </w:r>
    </w:p>
    <w:p w14:paraId="028DFD8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（10）《国务院关于印发大气污染防治行动计划的通知》，国发〔20</w:t>
      </w:r>
      <w:r>
        <w:rPr>
          <w:rFonts w:hint="eastAsia" w:ascii="Times New Roman" w:hAnsi="Times New Roman" w:eastAsia="宋体"/>
          <w:color w:val="auto"/>
          <w:sz w:val="24"/>
          <w:szCs w:val="24"/>
          <w:lang w:val="en-US" w:eastAsia="zh-CN"/>
        </w:rPr>
        <w:t>13</w:t>
      </w:r>
      <w:r>
        <w:rPr>
          <w:rFonts w:ascii="Times New Roman" w:hAnsi="Times New Roman" w:eastAsia="宋体"/>
          <w:color w:val="auto"/>
          <w:sz w:val="24"/>
          <w:szCs w:val="24"/>
        </w:rPr>
        <w:t>〕37号；</w:t>
      </w:r>
    </w:p>
    <w:p w14:paraId="4A5875A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（11）《国务院关于印发水污染防治行动计划的通知》，国发〔20</w:t>
      </w:r>
      <w:r>
        <w:rPr>
          <w:rFonts w:hint="eastAsia" w:ascii="Times New Roman" w:hAnsi="Times New Roman" w:eastAsia="宋体"/>
          <w:color w:val="auto"/>
          <w:sz w:val="24"/>
          <w:szCs w:val="24"/>
          <w:lang w:val="en-US" w:eastAsia="zh-CN"/>
        </w:rPr>
        <w:t>15</w:t>
      </w:r>
      <w:r>
        <w:rPr>
          <w:rFonts w:ascii="Times New Roman" w:hAnsi="Times New Roman" w:eastAsia="宋体"/>
          <w:color w:val="auto"/>
          <w:sz w:val="24"/>
          <w:szCs w:val="24"/>
        </w:rPr>
        <w:t>〕17号；</w:t>
      </w:r>
    </w:p>
    <w:p w14:paraId="0438640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（12）《国务院关于印发土壤污染防治行动计划的通知》，国发〔20</w:t>
      </w:r>
      <w:r>
        <w:rPr>
          <w:rFonts w:hint="eastAsia" w:ascii="Times New Roman" w:hAnsi="Times New Roman" w:eastAsia="宋体"/>
          <w:color w:val="auto"/>
          <w:sz w:val="24"/>
          <w:szCs w:val="24"/>
          <w:lang w:val="en-US" w:eastAsia="zh-CN"/>
        </w:rPr>
        <w:t>16</w:t>
      </w:r>
      <w:r>
        <w:rPr>
          <w:rFonts w:ascii="Times New Roman" w:hAnsi="Times New Roman" w:eastAsia="宋体"/>
          <w:color w:val="auto"/>
          <w:sz w:val="24"/>
          <w:szCs w:val="24"/>
        </w:rPr>
        <w:t>〕31号；</w:t>
      </w:r>
    </w:p>
    <w:p w14:paraId="6B6E190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（13）《国务院关于印</w:t>
      </w:r>
      <w:r>
        <w:rPr>
          <w:rFonts w:hint="eastAsia" w:ascii="宋体" w:hAnsi="宋体" w:eastAsia="宋体" w:cs="宋体"/>
          <w:color w:val="auto"/>
          <w:sz w:val="24"/>
          <w:szCs w:val="24"/>
        </w:rPr>
        <w:t>发“十四五”节</w:t>
      </w:r>
      <w:r>
        <w:rPr>
          <w:rFonts w:ascii="Times New Roman" w:hAnsi="Times New Roman" w:eastAsia="宋体"/>
          <w:color w:val="auto"/>
          <w:sz w:val="24"/>
          <w:szCs w:val="24"/>
        </w:rPr>
        <w:t>能减排综合性工作方案的通知》，国发〔20</w:t>
      </w:r>
      <w:r>
        <w:rPr>
          <w:rFonts w:hint="eastAsia" w:ascii="Times New Roman" w:hAnsi="Times New Roman" w:eastAsia="宋体"/>
          <w:color w:val="auto"/>
          <w:sz w:val="24"/>
          <w:szCs w:val="24"/>
          <w:lang w:val="en-US" w:eastAsia="zh-CN"/>
        </w:rPr>
        <w:t>21</w:t>
      </w:r>
      <w:r>
        <w:rPr>
          <w:rFonts w:ascii="Times New Roman" w:hAnsi="Times New Roman" w:eastAsia="宋体"/>
          <w:color w:val="auto"/>
          <w:sz w:val="24"/>
          <w:szCs w:val="24"/>
        </w:rPr>
        <w:t>〕33号。</w:t>
      </w:r>
    </w:p>
    <w:p w14:paraId="3A8C5458">
      <w:pPr>
        <w:pStyle w:val="5"/>
        <w:bidi w:val="0"/>
        <w:rPr>
          <w:rFonts w:hint="default"/>
          <w:color w:val="auto"/>
          <w:lang w:val="en-US" w:eastAsia="zh-CN"/>
        </w:rPr>
      </w:pPr>
      <w:r>
        <w:rPr>
          <w:rFonts w:hint="eastAsia"/>
          <w:color w:val="auto"/>
          <w:lang w:val="en-US" w:eastAsia="zh-CN"/>
        </w:rPr>
        <w:t>2.1.3部门规章</w:t>
      </w:r>
    </w:p>
    <w:p w14:paraId="4D3183C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（1）《产业结构调整指导目录（2024年本）》，国家发展和改革委员会令第7号；</w:t>
      </w:r>
    </w:p>
    <w:p w14:paraId="70A30EC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（2）《国家危险废物名录（202</w:t>
      </w:r>
      <w:r>
        <w:rPr>
          <w:rFonts w:hint="eastAsia" w:ascii="Times New Roman" w:hAnsi="Times New Roman" w:eastAsia="宋体"/>
          <w:color w:val="auto"/>
          <w:sz w:val="24"/>
          <w:szCs w:val="24"/>
          <w:lang w:val="en-US" w:eastAsia="zh-CN"/>
        </w:rPr>
        <w:t>5</w:t>
      </w:r>
      <w:r>
        <w:rPr>
          <w:rFonts w:ascii="Times New Roman" w:hAnsi="Times New Roman" w:eastAsia="宋体"/>
          <w:color w:val="auto"/>
          <w:sz w:val="24"/>
          <w:szCs w:val="24"/>
        </w:rPr>
        <w:t>年版）》，</w:t>
      </w:r>
      <w:r>
        <w:rPr>
          <w:rFonts w:hint="eastAsia" w:ascii="Times New Roman" w:hAnsi="Times New Roman" w:eastAsia="宋体"/>
          <w:color w:val="auto"/>
          <w:sz w:val="24"/>
          <w:szCs w:val="24"/>
          <w:lang w:val="en-US" w:eastAsia="zh-CN"/>
        </w:rPr>
        <w:t>生态环境</w:t>
      </w:r>
      <w:r>
        <w:rPr>
          <w:rFonts w:ascii="Times New Roman" w:hAnsi="Times New Roman" w:eastAsia="宋体"/>
          <w:color w:val="auto"/>
          <w:sz w:val="24"/>
          <w:szCs w:val="24"/>
        </w:rPr>
        <w:t>部令第</w:t>
      </w:r>
      <w:r>
        <w:rPr>
          <w:rFonts w:hint="eastAsia" w:ascii="Times New Roman" w:hAnsi="Times New Roman" w:eastAsia="宋体"/>
          <w:color w:val="auto"/>
          <w:sz w:val="24"/>
          <w:szCs w:val="24"/>
          <w:lang w:val="en-US" w:eastAsia="zh-CN"/>
        </w:rPr>
        <w:t>36</w:t>
      </w:r>
      <w:r>
        <w:rPr>
          <w:rFonts w:ascii="Times New Roman" w:hAnsi="Times New Roman" w:eastAsia="宋体"/>
          <w:color w:val="auto"/>
          <w:sz w:val="24"/>
          <w:szCs w:val="24"/>
        </w:rPr>
        <w:t>号；</w:t>
      </w:r>
    </w:p>
    <w:p w14:paraId="61F0C31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（3）《建设项目环境影响评价分类管理名录（2021年版）》，环境保护部令第16号；</w:t>
      </w:r>
    </w:p>
    <w:p w14:paraId="5D95A97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（4）《环境影响评价公众参与办法》，环境保护部令第4号；</w:t>
      </w:r>
    </w:p>
    <w:p w14:paraId="6A125C0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5</w:t>
      </w:r>
      <w:r>
        <w:rPr>
          <w:rFonts w:ascii="Times New Roman" w:hAnsi="Times New Roman" w:eastAsia="宋体"/>
          <w:color w:val="auto"/>
          <w:sz w:val="24"/>
          <w:szCs w:val="24"/>
        </w:rPr>
        <w:t>）《关于进一步加强环境影响评价管理防范环境风险的通知》，环发〔20</w:t>
      </w:r>
      <w:r>
        <w:rPr>
          <w:rFonts w:hint="eastAsia" w:ascii="Times New Roman" w:hAnsi="Times New Roman" w:eastAsia="宋体"/>
          <w:color w:val="auto"/>
          <w:sz w:val="24"/>
          <w:szCs w:val="24"/>
          <w:lang w:val="en-US" w:eastAsia="zh-CN"/>
        </w:rPr>
        <w:t>12</w:t>
      </w:r>
      <w:r>
        <w:rPr>
          <w:rFonts w:ascii="Times New Roman" w:hAnsi="Times New Roman" w:eastAsia="宋体"/>
          <w:color w:val="auto"/>
          <w:sz w:val="24"/>
          <w:szCs w:val="24"/>
        </w:rPr>
        <w:t>〕77号；</w:t>
      </w:r>
    </w:p>
    <w:p w14:paraId="021A5F4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6</w:t>
      </w:r>
      <w:r>
        <w:rPr>
          <w:rFonts w:ascii="Times New Roman" w:hAnsi="Times New Roman" w:eastAsia="宋体"/>
          <w:color w:val="auto"/>
          <w:sz w:val="24"/>
          <w:szCs w:val="24"/>
        </w:rPr>
        <w:t>）《关于切实加强风险防范严格环境影响评价管理的通知》，环发〔20</w:t>
      </w:r>
      <w:r>
        <w:rPr>
          <w:rFonts w:hint="eastAsia" w:ascii="Times New Roman" w:hAnsi="Times New Roman" w:eastAsia="宋体"/>
          <w:color w:val="auto"/>
          <w:sz w:val="24"/>
          <w:szCs w:val="24"/>
          <w:lang w:val="en-US" w:eastAsia="zh-CN"/>
        </w:rPr>
        <w:t>12</w:t>
      </w:r>
      <w:r>
        <w:rPr>
          <w:rFonts w:ascii="Times New Roman" w:hAnsi="Times New Roman" w:eastAsia="宋体"/>
          <w:color w:val="auto"/>
          <w:sz w:val="24"/>
          <w:szCs w:val="24"/>
        </w:rPr>
        <w:t>〕98号；</w:t>
      </w:r>
    </w:p>
    <w:p w14:paraId="608D641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7</w:t>
      </w:r>
      <w:r>
        <w:rPr>
          <w:rFonts w:ascii="Times New Roman" w:hAnsi="Times New Roman" w:eastAsia="宋体"/>
          <w:color w:val="auto"/>
          <w:sz w:val="24"/>
          <w:szCs w:val="24"/>
        </w:rPr>
        <w:t>）《关于进一步加强危险废物管理防范事故风险的紧急通知》，环办〔20</w:t>
      </w:r>
      <w:r>
        <w:rPr>
          <w:rFonts w:hint="eastAsia" w:ascii="Times New Roman" w:hAnsi="Times New Roman" w:eastAsia="宋体"/>
          <w:color w:val="auto"/>
          <w:sz w:val="24"/>
          <w:szCs w:val="24"/>
          <w:lang w:val="en-US" w:eastAsia="zh-CN"/>
        </w:rPr>
        <w:t>09</w:t>
      </w:r>
      <w:r>
        <w:rPr>
          <w:rFonts w:ascii="Times New Roman" w:hAnsi="Times New Roman" w:eastAsia="宋体"/>
          <w:color w:val="auto"/>
          <w:sz w:val="24"/>
          <w:szCs w:val="24"/>
        </w:rPr>
        <w:t>〕51号；</w:t>
      </w:r>
    </w:p>
    <w:p w14:paraId="0C099BA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8</w:t>
      </w:r>
      <w:r>
        <w:rPr>
          <w:rFonts w:ascii="Times New Roman" w:hAnsi="Times New Roman" w:eastAsia="宋体"/>
          <w:color w:val="auto"/>
          <w:sz w:val="24"/>
          <w:szCs w:val="24"/>
        </w:rPr>
        <w:t>）《突发环境事件应急管理办法》，环境保护部令第34号；</w:t>
      </w:r>
    </w:p>
    <w:p w14:paraId="107D6D2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9</w:t>
      </w:r>
      <w:r>
        <w:rPr>
          <w:rFonts w:ascii="Times New Roman" w:hAnsi="Times New Roman" w:eastAsia="宋体"/>
          <w:color w:val="auto"/>
          <w:sz w:val="24"/>
          <w:szCs w:val="24"/>
        </w:rPr>
        <w:t>）《企业事业单位突发环境事件应急预案备案管理办法（试行）》，环发〔20</w:t>
      </w:r>
      <w:r>
        <w:rPr>
          <w:rFonts w:hint="eastAsia" w:ascii="Times New Roman" w:hAnsi="Times New Roman" w:eastAsia="宋体"/>
          <w:color w:val="auto"/>
          <w:sz w:val="24"/>
          <w:szCs w:val="24"/>
          <w:lang w:val="en-US" w:eastAsia="zh-CN"/>
        </w:rPr>
        <w:t>15</w:t>
      </w:r>
      <w:r>
        <w:rPr>
          <w:rFonts w:ascii="Times New Roman" w:hAnsi="Times New Roman" w:eastAsia="宋体"/>
          <w:color w:val="auto"/>
          <w:sz w:val="24"/>
          <w:szCs w:val="24"/>
        </w:rPr>
        <w:t>〕4号；</w:t>
      </w:r>
    </w:p>
    <w:p w14:paraId="63DB83B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0</w:t>
      </w:r>
      <w:r>
        <w:rPr>
          <w:rFonts w:ascii="Times New Roman" w:hAnsi="Times New Roman" w:eastAsia="宋体"/>
          <w:color w:val="auto"/>
          <w:sz w:val="24"/>
          <w:szCs w:val="24"/>
        </w:rPr>
        <w:t>）《企业</w:t>
      </w:r>
      <w:r>
        <w:rPr>
          <w:rFonts w:hint="eastAsia" w:ascii="Times New Roman" w:hAnsi="Times New Roman" w:eastAsia="宋体"/>
          <w:color w:val="auto"/>
          <w:sz w:val="24"/>
          <w:szCs w:val="24"/>
          <w:lang w:val="en-US" w:eastAsia="zh-CN"/>
        </w:rPr>
        <w:t>环境信息依法披露管理</w:t>
      </w:r>
      <w:r>
        <w:rPr>
          <w:rFonts w:ascii="Times New Roman" w:hAnsi="Times New Roman" w:eastAsia="宋体"/>
          <w:color w:val="auto"/>
          <w:sz w:val="24"/>
          <w:szCs w:val="24"/>
        </w:rPr>
        <w:t>办法》，</w:t>
      </w:r>
      <w:r>
        <w:rPr>
          <w:rFonts w:hint="eastAsia" w:ascii="Times New Roman" w:hAnsi="Times New Roman" w:eastAsia="宋体"/>
          <w:color w:val="auto"/>
          <w:sz w:val="24"/>
          <w:szCs w:val="24"/>
          <w:lang w:val="en-US" w:eastAsia="zh-CN"/>
        </w:rPr>
        <w:t>生态环境</w:t>
      </w:r>
      <w:r>
        <w:rPr>
          <w:rFonts w:ascii="Times New Roman" w:hAnsi="Times New Roman" w:eastAsia="宋体"/>
          <w:color w:val="auto"/>
          <w:sz w:val="24"/>
          <w:szCs w:val="24"/>
        </w:rPr>
        <w:t>部令第</w:t>
      </w:r>
      <w:r>
        <w:rPr>
          <w:rFonts w:hint="eastAsia" w:ascii="Times New Roman" w:hAnsi="Times New Roman" w:eastAsia="宋体"/>
          <w:color w:val="auto"/>
          <w:sz w:val="24"/>
          <w:szCs w:val="24"/>
          <w:lang w:val="en-US" w:eastAsia="zh-CN"/>
        </w:rPr>
        <w:t>24</w:t>
      </w:r>
      <w:r>
        <w:rPr>
          <w:rFonts w:ascii="Times New Roman" w:hAnsi="Times New Roman" w:eastAsia="宋体"/>
          <w:color w:val="auto"/>
          <w:sz w:val="24"/>
          <w:szCs w:val="24"/>
        </w:rPr>
        <w:t>号；</w:t>
      </w:r>
    </w:p>
    <w:p w14:paraId="6067FA6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1</w:t>
      </w:r>
      <w:r>
        <w:rPr>
          <w:rFonts w:ascii="Times New Roman" w:hAnsi="Times New Roman" w:eastAsia="宋体"/>
          <w:color w:val="auto"/>
          <w:sz w:val="24"/>
          <w:szCs w:val="24"/>
        </w:rPr>
        <w:t>）《关于进一步加强石油天然气行业环境影响评价管理的通知》，环办环评函〔20</w:t>
      </w:r>
      <w:r>
        <w:rPr>
          <w:rFonts w:hint="eastAsia" w:ascii="Times New Roman" w:hAnsi="Times New Roman" w:eastAsia="宋体"/>
          <w:color w:val="auto"/>
          <w:sz w:val="24"/>
          <w:szCs w:val="24"/>
          <w:lang w:val="en-US" w:eastAsia="zh-CN"/>
        </w:rPr>
        <w:t>19</w:t>
      </w:r>
      <w:r>
        <w:rPr>
          <w:rFonts w:ascii="Times New Roman" w:hAnsi="Times New Roman" w:eastAsia="宋体"/>
          <w:color w:val="auto"/>
          <w:sz w:val="24"/>
          <w:szCs w:val="24"/>
        </w:rPr>
        <w:t>〕910号；</w:t>
      </w:r>
    </w:p>
    <w:p w14:paraId="5E0D89C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2</w:t>
      </w:r>
      <w:r>
        <w:rPr>
          <w:rFonts w:ascii="Times New Roman" w:hAnsi="Times New Roman" w:eastAsia="宋体"/>
          <w:color w:val="auto"/>
          <w:sz w:val="24"/>
          <w:szCs w:val="24"/>
        </w:rPr>
        <w:t>）《石油天然气开采业污染防治技术政策》（公告2012年第18号）。</w:t>
      </w:r>
    </w:p>
    <w:p w14:paraId="0BA642CA">
      <w:pPr>
        <w:pStyle w:val="5"/>
        <w:bidi w:val="0"/>
        <w:rPr>
          <w:rFonts w:hint="default"/>
          <w:color w:val="auto"/>
          <w:lang w:val="en-US" w:eastAsia="zh-CN"/>
        </w:rPr>
      </w:pPr>
      <w:r>
        <w:rPr>
          <w:rFonts w:hint="eastAsia"/>
          <w:color w:val="auto"/>
          <w:lang w:val="en-US" w:eastAsia="zh-CN"/>
        </w:rPr>
        <w:t>2.1.4地方性法规、政策、规范性文件</w:t>
      </w:r>
    </w:p>
    <w:p w14:paraId="58EA429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1</w:t>
      </w:r>
      <w:r>
        <w:rPr>
          <w:rFonts w:hint="eastAsia" w:ascii="Times New Roman" w:hAnsi="Times New Roman" w:eastAsia="宋体"/>
          <w:color w:val="auto"/>
          <w:sz w:val="24"/>
          <w:szCs w:val="24"/>
        </w:rPr>
        <w:t>）《新疆维吾尔自治区野生植物保护条例（</w:t>
      </w:r>
      <w:r>
        <w:rPr>
          <w:rFonts w:ascii="Times New Roman" w:hAnsi="Times New Roman" w:eastAsia="宋体"/>
          <w:color w:val="auto"/>
          <w:sz w:val="24"/>
          <w:szCs w:val="24"/>
        </w:rPr>
        <w:t>2018</w:t>
      </w:r>
      <w:r>
        <w:rPr>
          <w:rFonts w:hint="eastAsia" w:ascii="Times New Roman" w:hAnsi="Times New Roman" w:eastAsia="宋体"/>
          <w:color w:val="auto"/>
          <w:sz w:val="24"/>
          <w:szCs w:val="24"/>
        </w:rPr>
        <w:t>年修正）》（</w:t>
      </w:r>
      <w:r>
        <w:rPr>
          <w:rFonts w:ascii="Times New Roman" w:hAnsi="Times New Roman" w:eastAsia="宋体"/>
          <w:color w:val="auto"/>
          <w:sz w:val="24"/>
          <w:szCs w:val="24"/>
        </w:rPr>
        <w:t>2018</w:t>
      </w:r>
      <w:r>
        <w:rPr>
          <w:rFonts w:hint="eastAsia" w:ascii="Times New Roman" w:hAnsi="Times New Roman" w:eastAsia="宋体"/>
          <w:color w:val="auto"/>
          <w:sz w:val="24"/>
          <w:szCs w:val="24"/>
        </w:rPr>
        <w:t>年</w:t>
      </w:r>
      <w:r>
        <w:rPr>
          <w:rFonts w:ascii="Times New Roman" w:hAnsi="Times New Roman" w:eastAsia="宋体"/>
          <w:color w:val="auto"/>
          <w:sz w:val="24"/>
          <w:szCs w:val="24"/>
        </w:rPr>
        <w:t>9</w:t>
      </w:r>
      <w:r>
        <w:rPr>
          <w:rFonts w:hint="eastAsia" w:ascii="Times New Roman" w:hAnsi="Times New Roman" w:eastAsia="宋体"/>
          <w:color w:val="auto"/>
          <w:sz w:val="24"/>
          <w:szCs w:val="24"/>
        </w:rPr>
        <w:t>月</w:t>
      </w:r>
      <w:r>
        <w:rPr>
          <w:rFonts w:ascii="Times New Roman" w:hAnsi="Times New Roman" w:eastAsia="宋体"/>
          <w:color w:val="auto"/>
          <w:sz w:val="24"/>
          <w:szCs w:val="24"/>
        </w:rPr>
        <w:t>21</w:t>
      </w:r>
      <w:r>
        <w:rPr>
          <w:rFonts w:hint="eastAsia" w:ascii="Times New Roman" w:hAnsi="Times New Roman" w:eastAsia="宋体"/>
          <w:color w:val="auto"/>
          <w:sz w:val="24"/>
          <w:szCs w:val="24"/>
        </w:rPr>
        <w:t>日修正，</w:t>
      </w:r>
      <w:r>
        <w:rPr>
          <w:rFonts w:ascii="Times New Roman" w:hAnsi="Times New Roman" w:eastAsia="宋体"/>
          <w:color w:val="auto"/>
          <w:sz w:val="24"/>
          <w:szCs w:val="24"/>
        </w:rPr>
        <w:t>2006</w:t>
      </w:r>
      <w:r>
        <w:rPr>
          <w:rFonts w:hint="eastAsia" w:ascii="Times New Roman" w:hAnsi="Times New Roman" w:eastAsia="宋体"/>
          <w:color w:val="auto"/>
          <w:sz w:val="24"/>
          <w:szCs w:val="24"/>
        </w:rPr>
        <w:t>年</w:t>
      </w:r>
      <w:r>
        <w:rPr>
          <w:rFonts w:ascii="Times New Roman" w:hAnsi="Times New Roman" w:eastAsia="宋体"/>
          <w:color w:val="auto"/>
          <w:sz w:val="24"/>
          <w:szCs w:val="24"/>
        </w:rPr>
        <w:t>12</w:t>
      </w:r>
      <w:r>
        <w:rPr>
          <w:rFonts w:hint="eastAsia" w:ascii="Times New Roman" w:hAnsi="Times New Roman" w:eastAsia="宋体"/>
          <w:color w:val="auto"/>
          <w:sz w:val="24"/>
          <w:szCs w:val="24"/>
        </w:rPr>
        <w:t>月</w:t>
      </w:r>
      <w:r>
        <w:rPr>
          <w:rFonts w:ascii="Times New Roman" w:hAnsi="Times New Roman" w:eastAsia="宋体"/>
          <w:color w:val="auto"/>
          <w:sz w:val="24"/>
          <w:szCs w:val="24"/>
        </w:rPr>
        <w:t>1</w:t>
      </w:r>
      <w:r>
        <w:rPr>
          <w:rFonts w:hint="eastAsia" w:ascii="Times New Roman" w:hAnsi="Times New Roman" w:eastAsia="宋体"/>
          <w:color w:val="auto"/>
          <w:sz w:val="24"/>
          <w:szCs w:val="24"/>
        </w:rPr>
        <w:t>日施行）；</w:t>
      </w:r>
    </w:p>
    <w:p w14:paraId="429FAD6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2</w:t>
      </w:r>
      <w:r>
        <w:rPr>
          <w:rFonts w:hint="eastAsia" w:ascii="Times New Roman" w:hAnsi="Times New Roman" w:eastAsia="宋体"/>
          <w:color w:val="auto"/>
          <w:sz w:val="24"/>
          <w:szCs w:val="24"/>
        </w:rPr>
        <w:t>）《新疆维吾尔自治区环境保护条例（</w:t>
      </w:r>
      <w:r>
        <w:rPr>
          <w:rFonts w:ascii="Times New Roman" w:hAnsi="Times New Roman" w:eastAsia="宋体"/>
          <w:color w:val="auto"/>
          <w:sz w:val="24"/>
          <w:szCs w:val="24"/>
        </w:rPr>
        <w:t>2018</w:t>
      </w:r>
      <w:r>
        <w:rPr>
          <w:rFonts w:hint="eastAsia" w:ascii="Times New Roman" w:hAnsi="Times New Roman" w:eastAsia="宋体"/>
          <w:color w:val="auto"/>
          <w:sz w:val="24"/>
          <w:szCs w:val="24"/>
        </w:rPr>
        <w:t>年修正）》（</w:t>
      </w:r>
      <w:r>
        <w:rPr>
          <w:rFonts w:ascii="Times New Roman" w:hAnsi="Times New Roman" w:eastAsia="宋体"/>
          <w:color w:val="auto"/>
          <w:sz w:val="24"/>
          <w:szCs w:val="24"/>
        </w:rPr>
        <w:t>2018</w:t>
      </w:r>
      <w:r>
        <w:rPr>
          <w:rFonts w:hint="eastAsia" w:ascii="Times New Roman" w:hAnsi="Times New Roman" w:eastAsia="宋体"/>
          <w:color w:val="auto"/>
          <w:sz w:val="24"/>
          <w:szCs w:val="24"/>
        </w:rPr>
        <w:t>年</w:t>
      </w:r>
      <w:r>
        <w:rPr>
          <w:rFonts w:ascii="Times New Roman" w:hAnsi="Times New Roman" w:eastAsia="宋体"/>
          <w:color w:val="auto"/>
          <w:sz w:val="24"/>
          <w:szCs w:val="24"/>
        </w:rPr>
        <w:t>9</w:t>
      </w:r>
      <w:r>
        <w:rPr>
          <w:rFonts w:hint="eastAsia" w:ascii="Times New Roman" w:hAnsi="Times New Roman" w:eastAsia="宋体"/>
          <w:color w:val="auto"/>
          <w:sz w:val="24"/>
          <w:szCs w:val="24"/>
        </w:rPr>
        <w:t>月</w:t>
      </w:r>
      <w:r>
        <w:rPr>
          <w:rFonts w:ascii="Times New Roman" w:hAnsi="Times New Roman" w:eastAsia="宋体"/>
          <w:color w:val="auto"/>
          <w:sz w:val="24"/>
          <w:szCs w:val="24"/>
        </w:rPr>
        <w:t>21</w:t>
      </w:r>
      <w:r>
        <w:rPr>
          <w:rFonts w:hint="eastAsia" w:ascii="Times New Roman" w:hAnsi="Times New Roman" w:eastAsia="宋体"/>
          <w:color w:val="auto"/>
          <w:sz w:val="24"/>
          <w:szCs w:val="24"/>
        </w:rPr>
        <w:t>日修正，</w:t>
      </w:r>
      <w:r>
        <w:rPr>
          <w:rFonts w:ascii="Times New Roman" w:hAnsi="Times New Roman" w:eastAsia="宋体"/>
          <w:color w:val="auto"/>
          <w:sz w:val="24"/>
          <w:szCs w:val="24"/>
        </w:rPr>
        <w:t>2017</w:t>
      </w:r>
      <w:r>
        <w:rPr>
          <w:rFonts w:hint="eastAsia" w:ascii="Times New Roman" w:hAnsi="Times New Roman" w:eastAsia="宋体"/>
          <w:color w:val="auto"/>
          <w:sz w:val="24"/>
          <w:szCs w:val="24"/>
        </w:rPr>
        <w:t>年</w:t>
      </w:r>
      <w:r>
        <w:rPr>
          <w:rFonts w:ascii="Times New Roman" w:hAnsi="Times New Roman" w:eastAsia="宋体"/>
          <w:color w:val="auto"/>
          <w:sz w:val="24"/>
          <w:szCs w:val="24"/>
        </w:rPr>
        <w:t>1</w:t>
      </w:r>
      <w:r>
        <w:rPr>
          <w:rFonts w:hint="eastAsia" w:ascii="Times New Roman" w:hAnsi="Times New Roman" w:eastAsia="宋体"/>
          <w:color w:val="auto"/>
          <w:sz w:val="24"/>
          <w:szCs w:val="24"/>
        </w:rPr>
        <w:t>月</w:t>
      </w:r>
      <w:r>
        <w:rPr>
          <w:rFonts w:ascii="Times New Roman" w:hAnsi="Times New Roman" w:eastAsia="宋体"/>
          <w:color w:val="auto"/>
          <w:sz w:val="24"/>
          <w:szCs w:val="24"/>
        </w:rPr>
        <w:t>1</w:t>
      </w:r>
      <w:r>
        <w:rPr>
          <w:rFonts w:hint="eastAsia" w:ascii="Times New Roman" w:hAnsi="Times New Roman" w:eastAsia="宋体"/>
          <w:color w:val="auto"/>
          <w:sz w:val="24"/>
          <w:szCs w:val="24"/>
        </w:rPr>
        <w:t>日施行）；</w:t>
      </w:r>
    </w:p>
    <w:p w14:paraId="7397812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4</w:t>
      </w:r>
      <w:r>
        <w:rPr>
          <w:rFonts w:hint="eastAsia" w:ascii="Times New Roman" w:hAnsi="Times New Roman" w:eastAsia="宋体"/>
          <w:color w:val="auto"/>
          <w:sz w:val="24"/>
          <w:szCs w:val="24"/>
        </w:rPr>
        <w:t>）《关于印发新疆维吾尔自治区大气污染防治行动计划实施方案的通知》（新政发〔2014〕35号，</w:t>
      </w:r>
      <w:r>
        <w:rPr>
          <w:rFonts w:ascii="Times New Roman" w:hAnsi="Times New Roman" w:eastAsia="宋体"/>
          <w:color w:val="auto"/>
          <w:sz w:val="24"/>
          <w:szCs w:val="24"/>
        </w:rPr>
        <w:t>2014</w:t>
      </w:r>
      <w:r>
        <w:rPr>
          <w:rFonts w:hint="eastAsia" w:ascii="Times New Roman" w:hAnsi="Times New Roman" w:eastAsia="宋体"/>
          <w:color w:val="auto"/>
          <w:sz w:val="24"/>
          <w:szCs w:val="24"/>
        </w:rPr>
        <w:t>年</w:t>
      </w:r>
      <w:r>
        <w:rPr>
          <w:rFonts w:ascii="Times New Roman" w:hAnsi="Times New Roman" w:eastAsia="宋体"/>
          <w:color w:val="auto"/>
          <w:sz w:val="24"/>
          <w:szCs w:val="24"/>
        </w:rPr>
        <w:t>4</w:t>
      </w:r>
      <w:r>
        <w:rPr>
          <w:rFonts w:hint="eastAsia" w:ascii="Times New Roman" w:hAnsi="Times New Roman" w:eastAsia="宋体"/>
          <w:color w:val="auto"/>
          <w:sz w:val="24"/>
          <w:szCs w:val="24"/>
        </w:rPr>
        <w:t>月</w:t>
      </w:r>
      <w:r>
        <w:rPr>
          <w:rFonts w:ascii="Times New Roman" w:hAnsi="Times New Roman" w:eastAsia="宋体"/>
          <w:color w:val="auto"/>
          <w:sz w:val="24"/>
          <w:szCs w:val="24"/>
        </w:rPr>
        <w:t>17</w:t>
      </w:r>
      <w:r>
        <w:rPr>
          <w:rFonts w:hint="eastAsia" w:ascii="Times New Roman" w:hAnsi="Times New Roman" w:eastAsia="宋体"/>
          <w:color w:val="auto"/>
          <w:sz w:val="24"/>
          <w:szCs w:val="24"/>
        </w:rPr>
        <w:t>日发布并实施）；</w:t>
      </w:r>
    </w:p>
    <w:p w14:paraId="591FE12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5</w:t>
      </w:r>
      <w:r>
        <w:rPr>
          <w:rFonts w:hint="eastAsia" w:ascii="Times New Roman" w:hAnsi="Times New Roman" w:eastAsia="宋体"/>
          <w:color w:val="auto"/>
          <w:sz w:val="24"/>
          <w:szCs w:val="24"/>
        </w:rPr>
        <w:t>）《关于印发新疆维吾尔自治区水污染防治工作方案的通知》（新政发〔2016〕21号，</w:t>
      </w:r>
      <w:r>
        <w:rPr>
          <w:rFonts w:ascii="Times New Roman" w:hAnsi="Times New Roman" w:eastAsia="宋体"/>
          <w:color w:val="auto"/>
          <w:sz w:val="24"/>
          <w:szCs w:val="24"/>
        </w:rPr>
        <w:t>2016</w:t>
      </w:r>
      <w:r>
        <w:rPr>
          <w:rFonts w:hint="eastAsia" w:ascii="Times New Roman" w:hAnsi="Times New Roman" w:eastAsia="宋体"/>
          <w:color w:val="auto"/>
          <w:sz w:val="24"/>
          <w:szCs w:val="24"/>
        </w:rPr>
        <w:t>年</w:t>
      </w:r>
      <w:r>
        <w:rPr>
          <w:rFonts w:ascii="Times New Roman" w:hAnsi="Times New Roman" w:eastAsia="宋体"/>
          <w:color w:val="auto"/>
          <w:sz w:val="24"/>
          <w:szCs w:val="24"/>
        </w:rPr>
        <w:t>1</w:t>
      </w:r>
      <w:r>
        <w:rPr>
          <w:rFonts w:hint="eastAsia" w:ascii="Times New Roman" w:hAnsi="Times New Roman" w:eastAsia="宋体"/>
          <w:color w:val="auto"/>
          <w:sz w:val="24"/>
          <w:szCs w:val="24"/>
        </w:rPr>
        <w:t>月</w:t>
      </w:r>
      <w:r>
        <w:rPr>
          <w:rFonts w:ascii="Times New Roman" w:hAnsi="Times New Roman" w:eastAsia="宋体"/>
          <w:color w:val="auto"/>
          <w:sz w:val="24"/>
          <w:szCs w:val="24"/>
        </w:rPr>
        <w:t>29</w:t>
      </w:r>
      <w:r>
        <w:rPr>
          <w:rFonts w:hint="eastAsia" w:ascii="Times New Roman" w:hAnsi="Times New Roman" w:eastAsia="宋体"/>
          <w:color w:val="auto"/>
          <w:sz w:val="24"/>
          <w:szCs w:val="24"/>
        </w:rPr>
        <w:t>日发布并实施）；</w:t>
      </w:r>
    </w:p>
    <w:p w14:paraId="75DFBC8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6</w:t>
      </w:r>
      <w:r>
        <w:rPr>
          <w:rFonts w:hint="eastAsia" w:ascii="Times New Roman" w:hAnsi="Times New Roman" w:eastAsia="宋体"/>
          <w:color w:val="auto"/>
          <w:sz w:val="24"/>
          <w:szCs w:val="24"/>
        </w:rPr>
        <w:t>）《关于印发新疆维吾尔自治区土壤污染防治工作方案的通知》（新政发〔2017〕25号，</w:t>
      </w:r>
      <w:r>
        <w:rPr>
          <w:rFonts w:ascii="Times New Roman" w:hAnsi="Times New Roman" w:eastAsia="宋体"/>
          <w:color w:val="auto"/>
          <w:sz w:val="24"/>
          <w:szCs w:val="24"/>
        </w:rPr>
        <w:t>2017</w:t>
      </w:r>
      <w:r>
        <w:rPr>
          <w:rFonts w:hint="eastAsia" w:ascii="Times New Roman" w:hAnsi="Times New Roman" w:eastAsia="宋体"/>
          <w:color w:val="auto"/>
          <w:sz w:val="24"/>
          <w:szCs w:val="24"/>
        </w:rPr>
        <w:t>年</w:t>
      </w:r>
      <w:r>
        <w:rPr>
          <w:rFonts w:ascii="Times New Roman" w:hAnsi="Times New Roman" w:eastAsia="宋体"/>
          <w:color w:val="auto"/>
          <w:sz w:val="24"/>
          <w:szCs w:val="24"/>
        </w:rPr>
        <w:t>3</w:t>
      </w:r>
      <w:r>
        <w:rPr>
          <w:rFonts w:hint="eastAsia" w:ascii="Times New Roman" w:hAnsi="Times New Roman" w:eastAsia="宋体"/>
          <w:color w:val="auto"/>
          <w:sz w:val="24"/>
          <w:szCs w:val="24"/>
        </w:rPr>
        <w:t>月</w:t>
      </w:r>
      <w:r>
        <w:rPr>
          <w:rFonts w:ascii="Times New Roman" w:hAnsi="Times New Roman" w:eastAsia="宋体"/>
          <w:color w:val="auto"/>
          <w:sz w:val="24"/>
          <w:szCs w:val="24"/>
        </w:rPr>
        <w:t>1</w:t>
      </w:r>
      <w:r>
        <w:rPr>
          <w:rFonts w:hint="eastAsia" w:ascii="Times New Roman" w:hAnsi="Times New Roman" w:eastAsia="宋体"/>
          <w:color w:val="auto"/>
          <w:sz w:val="24"/>
          <w:szCs w:val="24"/>
        </w:rPr>
        <w:t>日发布并实施）；</w:t>
      </w:r>
    </w:p>
    <w:p w14:paraId="1A7EC97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7</w:t>
      </w:r>
      <w:r>
        <w:rPr>
          <w:rFonts w:hint="eastAsia" w:ascii="Times New Roman" w:hAnsi="Times New Roman" w:eastAsia="宋体"/>
          <w:color w:val="auto"/>
          <w:sz w:val="24"/>
          <w:szCs w:val="24"/>
        </w:rPr>
        <w:t>）《新疆维吾尔自治区实施</w:t>
      </w:r>
      <w:r>
        <w:rPr>
          <w:rFonts w:ascii="Times New Roman" w:hAnsi="Times New Roman" w:eastAsia="宋体"/>
          <w:color w:val="auto"/>
          <w:sz w:val="24"/>
          <w:szCs w:val="24"/>
        </w:rPr>
        <w:t>&lt;</w:t>
      </w:r>
      <w:r>
        <w:rPr>
          <w:rFonts w:hint="eastAsia" w:ascii="Times New Roman" w:hAnsi="Times New Roman" w:eastAsia="宋体"/>
          <w:color w:val="auto"/>
          <w:sz w:val="24"/>
          <w:szCs w:val="24"/>
        </w:rPr>
        <w:t>中华人民共和国水土保持法</w:t>
      </w:r>
      <w:r>
        <w:rPr>
          <w:rFonts w:ascii="Times New Roman" w:hAnsi="Times New Roman" w:eastAsia="宋体"/>
          <w:color w:val="auto"/>
          <w:sz w:val="24"/>
          <w:szCs w:val="24"/>
        </w:rPr>
        <w:t>&gt;</w:t>
      </w:r>
      <w:r>
        <w:rPr>
          <w:rFonts w:hint="eastAsia" w:ascii="Times New Roman" w:hAnsi="Times New Roman" w:eastAsia="宋体"/>
          <w:color w:val="auto"/>
          <w:sz w:val="24"/>
          <w:szCs w:val="24"/>
        </w:rPr>
        <w:t>办法》（</w:t>
      </w:r>
      <w:r>
        <w:rPr>
          <w:rFonts w:ascii="Times New Roman" w:hAnsi="Times New Roman" w:eastAsia="宋体"/>
          <w:color w:val="auto"/>
          <w:sz w:val="24"/>
          <w:szCs w:val="24"/>
        </w:rPr>
        <w:t>2013</w:t>
      </w:r>
      <w:r>
        <w:rPr>
          <w:rFonts w:hint="eastAsia" w:ascii="Times New Roman" w:hAnsi="Times New Roman" w:eastAsia="宋体"/>
          <w:color w:val="auto"/>
          <w:sz w:val="24"/>
          <w:szCs w:val="24"/>
        </w:rPr>
        <w:t>年</w:t>
      </w:r>
      <w:r>
        <w:rPr>
          <w:rFonts w:ascii="Times New Roman" w:hAnsi="Times New Roman" w:eastAsia="宋体"/>
          <w:color w:val="auto"/>
          <w:sz w:val="24"/>
          <w:szCs w:val="24"/>
        </w:rPr>
        <w:t>7</w:t>
      </w:r>
      <w:r>
        <w:rPr>
          <w:rFonts w:hint="eastAsia" w:ascii="Times New Roman" w:hAnsi="Times New Roman" w:eastAsia="宋体"/>
          <w:color w:val="auto"/>
          <w:sz w:val="24"/>
          <w:szCs w:val="24"/>
        </w:rPr>
        <w:t>月</w:t>
      </w:r>
      <w:r>
        <w:rPr>
          <w:rFonts w:ascii="Times New Roman" w:hAnsi="Times New Roman" w:eastAsia="宋体"/>
          <w:color w:val="auto"/>
          <w:sz w:val="24"/>
          <w:szCs w:val="24"/>
        </w:rPr>
        <w:t>31</w:t>
      </w:r>
      <w:r>
        <w:rPr>
          <w:rFonts w:hint="eastAsia" w:ascii="Times New Roman" w:hAnsi="Times New Roman" w:eastAsia="宋体"/>
          <w:color w:val="auto"/>
          <w:sz w:val="24"/>
          <w:szCs w:val="24"/>
        </w:rPr>
        <w:t>日修订，</w:t>
      </w:r>
      <w:r>
        <w:rPr>
          <w:rFonts w:ascii="Times New Roman" w:hAnsi="Times New Roman" w:eastAsia="宋体"/>
          <w:color w:val="auto"/>
          <w:sz w:val="24"/>
          <w:szCs w:val="24"/>
        </w:rPr>
        <w:t>2013</w:t>
      </w:r>
      <w:r>
        <w:rPr>
          <w:rFonts w:hint="eastAsia" w:ascii="Times New Roman" w:hAnsi="Times New Roman" w:eastAsia="宋体"/>
          <w:color w:val="auto"/>
          <w:sz w:val="24"/>
          <w:szCs w:val="24"/>
        </w:rPr>
        <w:t>年</w:t>
      </w:r>
      <w:r>
        <w:rPr>
          <w:rFonts w:ascii="Times New Roman" w:hAnsi="Times New Roman" w:eastAsia="宋体"/>
          <w:color w:val="auto"/>
          <w:sz w:val="24"/>
          <w:szCs w:val="24"/>
        </w:rPr>
        <w:t>10</w:t>
      </w:r>
      <w:r>
        <w:rPr>
          <w:rFonts w:hint="eastAsia" w:ascii="Times New Roman" w:hAnsi="Times New Roman" w:eastAsia="宋体"/>
          <w:color w:val="auto"/>
          <w:sz w:val="24"/>
          <w:szCs w:val="24"/>
        </w:rPr>
        <w:t>月</w:t>
      </w:r>
      <w:r>
        <w:rPr>
          <w:rFonts w:ascii="Times New Roman" w:hAnsi="Times New Roman" w:eastAsia="宋体"/>
          <w:color w:val="auto"/>
          <w:sz w:val="24"/>
          <w:szCs w:val="24"/>
        </w:rPr>
        <w:t>1</w:t>
      </w:r>
      <w:r>
        <w:rPr>
          <w:rFonts w:hint="eastAsia" w:ascii="Times New Roman" w:hAnsi="Times New Roman" w:eastAsia="宋体"/>
          <w:color w:val="auto"/>
          <w:sz w:val="24"/>
          <w:szCs w:val="24"/>
        </w:rPr>
        <w:t>日实施）；</w:t>
      </w:r>
    </w:p>
    <w:p w14:paraId="323744C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8</w:t>
      </w:r>
      <w:r>
        <w:rPr>
          <w:rFonts w:hint="eastAsia" w:ascii="Times New Roman" w:hAnsi="Times New Roman" w:eastAsia="宋体"/>
          <w:color w:val="auto"/>
          <w:sz w:val="24"/>
          <w:szCs w:val="24"/>
        </w:rPr>
        <w:t>）《关于印发〈自治区建设项目主要污染物排放总量指标审核及管理暂行办法〉的通知》（新环发〔2016〕126号，</w:t>
      </w:r>
      <w:r>
        <w:rPr>
          <w:rFonts w:ascii="Times New Roman" w:hAnsi="Times New Roman" w:eastAsia="宋体"/>
          <w:color w:val="auto"/>
          <w:sz w:val="24"/>
          <w:szCs w:val="24"/>
        </w:rPr>
        <w:t>2016</w:t>
      </w:r>
      <w:r>
        <w:rPr>
          <w:rFonts w:hint="eastAsia" w:ascii="Times New Roman" w:hAnsi="Times New Roman" w:eastAsia="宋体"/>
          <w:color w:val="auto"/>
          <w:sz w:val="24"/>
          <w:szCs w:val="24"/>
        </w:rPr>
        <w:t>年</w:t>
      </w:r>
      <w:r>
        <w:rPr>
          <w:rFonts w:ascii="Times New Roman" w:hAnsi="Times New Roman" w:eastAsia="宋体"/>
          <w:color w:val="auto"/>
          <w:sz w:val="24"/>
          <w:szCs w:val="24"/>
        </w:rPr>
        <w:t>8</w:t>
      </w:r>
      <w:r>
        <w:rPr>
          <w:rFonts w:hint="eastAsia" w:ascii="Times New Roman" w:hAnsi="Times New Roman" w:eastAsia="宋体"/>
          <w:color w:val="auto"/>
          <w:sz w:val="24"/>
          <w:szCs w:val="24"/>
        </w:rPr>
        <w:t>月</w:t>
      </w:r>
      <w:r>
        <w:rPr>
          <w:rFonts w:ascii="Times New Roman" w:hAnsi="Times New Roman" w:eastAsia="宋体"/>
          <w:color w:val="auto"/>
          <w:sz w:val="24"/>
          <w:szCs w:val="24"/>
        </w:rPr>
        <w:t>24</w:t>
      </w:r>
      <w:r>
        <w:rPr>
          <w:rFonts w:hint="eastAsia" w:ascii="Times New Roman" w:hAnsi="Times New Roman" w:eastAsia="宋体"/>
          <w:color w:val="auto"/>
          <w:sz w:val="24"/>
          <w:szCs w:val="24"/>
        </w:rPr>
        <w:t>日发布并实施）；</w:t>
      </w:r>
    </w:p>
    <w:p w14:paraId="028C96C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9</w:t>
      </w:r>
      <w:r>
        <w:rPr>
          <w:rFonts w:hint="eastAsia" w:ascii="Times New Roman" w:hAnsi="Times New Roman" w:eastAsia="宋体"/>
          <w:color w:val="auto"/>
          <w:sz w:val="24"/>
          <w:szCs w:val="24"/>
        </w:rPr>
        <w:t>）《转发〈关于进一步加强石油天然气行业环境影响评价的通知〉的通知》（新环环评发〔2020〕142号）；</w:t>
      </w:r>
    </w:p>
    <w:p w14:paraId="749B981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w:t>
      </w:r>
      <w:r>
        <w:rPr>
          <w:rFonts w:ascii="Times New Roman" w:hAnsi="Times New Roman" w:eastAsia="宋体"/>
          <w:color w:val="auto"/>
          <w:sz w:val="24"/>
          <w:szCs w:val="24"/>
        </w:rPr>
        <w:t>10</w:t>
      </w:r>
      <w:r>
        <w:rPr>
          <w:rFonts w:hint="eastAsia" w:ascii="Times New Roman" w:hAnsi="Times New Roman" w:eastAsia="宋体"/>
          <w:color w:val="auto"/>
          <w:sz w:val="24"/>
          <w:szCs w:val="24"/>
        </w:rPr>
        <w:t>）《新疆生态环境保护“十四五”规划》</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2021年12月24日；</w:t>
      </w:r>
    </w:p>
    <w:p w14:paraId="4E4F7E7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11</w:t>
      </w:r>
      <w:r>
        <w:rPr>
          <w:rFonts w:hint="eastAsia" w:ascii="Times New Roman" w:hAnsi="Times New Roman" w:eastAsia="宋体"/>
          <w:color w:val="auto"/>
          <w:sz w:val="24"/>
          <w:szCs w:val="24"/>
        </w:rPr>
        <w:t>）《新疆维吾尔自治区生态环境功能区划》</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2005年7月14日</w:t>
      </w:r>
      <w:r>
        <w:rPr>
          <w:rFonts w:hint="eastAsia" w:ascii="Times New Roman" w:hAnsi="Times New Roman" w:eastAsia="宋体"/>
          <w:color w:val="auto"/>
          <w:sz w:val="24"/>
          <w:szCs w:val="24"/>
        </w:rPr>
        <w:t>；</w:t>
      </w:r>
    </w:p>
    <w:p w14:paraId="0059A5B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12</w:t>
      </w:r>
      <w:r>
        <w:rPr>
          <w:rFonts w:hint="eastAsia" w:ascii="Times New Roman" w:hAnsi="Times New Roman" w:eastAsia="宋体"/>
          <w:color w:val="auto"/>
          <w:sz w:val="24"/>
          <w:szCs w:val="24"/>
        </w:rPr>
        <w:t>）《新疆维吾尔自治区主体功能区规划》</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2012年12月27日</w:t>
      </w:r>
      <w:r>
        <w:rPr>
          <w:rFonts w:hint="eastAsia" w:ascii="Times New Roman" w:hAnsi="Times New Roman" w:eastAsia="宋体"/>
          <w:color w:val="auto"/>
          <w:sz w:val="24"/>
          <w:szCs w:val="24"/>
        </w:rPr>
        <w:t>；</w:t>
      </w:r>
    </w:p>
    <w:p w14:paraId="6121A4E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13</w:t>
      </w:r>
      <w:r>
        <w:rPr>
          <w:rFonts w:hint="eastAsia" w:ascii="Times New Roman" w:hAnsi="Times New Roman" w:eastAsia="宋体"/>
          <w:color w:val="auto"/>
          <w:sz w:val="24"/>
          <w:szCs w:val="24"/>
        </w:rPr>
        <w:t>）《关于印发〈新疆维吾尔自治区“三线一单”生态环境分区管控方案〉的通知》（新政发〔2021〕18号，</w:t>
      </w:r>
      <w:r>
        <w:rPr>
          <w:rFonts w:ascii="Times New Roman" w:hAnsi="Times New Roman" w:eastAsia="宋体"/>
          <w:color w:val="auto"/>
          <w:sz w:val="24"/>
          <w:szCs w:val="24"/>
        </w:rPr>
        <w:t>2021</w:t>
      </w:r>
      <w:r>
        <w:rPr>
          <w:rFonts w:hint="eastAsia" w:ascii="Times New Roman" w:hAnsi="Times New Roman" w:eastAsia="宋体"/>
          <w:color w:val="auto"/>
          <w:sz w:val="24"/>
          <w:szCs w:val="24"/>
        </w:rPr>
        <w:t>年</w:t>
      </w:r>
      <w:r>
        <w:rPr>
          <w:rFonts w:ascii="Times New Roman" w:hAnsi="Times New Roman" w:eastAsia="宋体"/>
          <w:color w:val="auto"/>
          <w:sz w:val="24"/>
          <w:szCs w:val="24"/>
        </w:rPr>
        <w:t>2</w:t>
      </w:r>
      <w:r>
        <w:rPr>
          <w:rFonts w:hint="eastAsia" w:ascii="Times New Roman" w:hAnsi="Times New Roman" w:eastAsia="宋体"/>
          <w:color w:val="auto"/>
          <w:sz w:val="24"/>
          <w:szCs w:val="24"/>
        </w:rPr>
        <w:t>月</w:t>
      </w:r>
      <w:r>
        <w:rPr>
          <w:rFonts w:ascii="Times New Roman" w:hAnsi="Times New Roman" w:eastAsia="宋体"/>
          <w:color w:val="auto"/>
          <w:sz w:val="24"/>
          <w:szCs w:val="24"/>
        </w:rPr>
        <w:t>21</w:t>
      </w:r>
      <w:r>
        <w:rPr>
          <w:rFonts w:hint="eastAsia" w:ascii="Times New Roman" w:hAnsi="Times New Roman" w:eastAsia="宋体"/>
          <w:color w:val="auto"/>
          <w:sz w:val="24"/>
          <w:szCs w:val="24"/>
        </w:rPr>
        <w:t>日发布并实施）</w:t>
      </w:r>
    </w:p>
    <w:p w14:paraId="06C44D2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（14）《关于印发&lt;新疆维吾尔自治区生态环境分区管控动态更新成果&gt;的通知》（新环环评发〔2024〕157号，2024年11月发布）；</w:t>
      </w:r>
    </w:p>
    <w:p w14:paraId="2410D4D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1</w:t>
      </w:r>
      <w:r>
        <w:rPr>
          <w:rFonts w:hint="eastAsia" w:ascii="Times New Roman" w:hAnsi="Times New Roman" w:eastAsia="宋体"/>
          <w:color w:val="auto"/>
          <w:sz w:val="24"/>
          <w:szCs w:val="24"/>
        </w:rPr>
        <w:t>5）《新疆维吾尔自治区水土保持规划（</w:t>
      </w:r>
      <w:r>
        <w:rPr>
          <w:rFonts w:ascii="Times New Roman" w:hAnsi="Times New Roman" w:eastAsia="宋体"/>
          <w:color w:val="auto"/>
          <w:sz w:val="24"/>
          <w:szCs w:val="24"/>
        </w:rPr>
        <w:t>2018-2030</w:t>
      </w:r>
      <w:r>
        <w:rPr>
          <w:rFonts w:hint="eastAsia" w:ascii="Times New Roman" w:hAnsi="Times New Roman" w:eastAsia="宋体"/>
          <w:color w:val="auto"/>
          <w:sz w:val="24"/>
          <w:szCs w:val="24"/>
        </w:rPr>
        <w:t>年）》</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2018年8月</w:t>
      </w:r>
      <w:r>
        <w:rPr>
          <w:rFonts w:hint="eastAsia" w:ascii="Times New Roman" w:hAnsi="Times New Roman" w:eastAsia="宋体"/>
          <w:color w:val="auto"/>
          <w:sz w:val="24"/>
          <w:szCs w:val="24"/>
        </w:rPr>
        <w:t>；</w:t>
      </w:r>
    </w:p>
    <w:p w14:paraId="711952A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1</w:t>
      </w:r>
      <w:r>
        <w:rPr>
          <w:rFonts w:hint="eastAsia" w:ascii="Times New Roman" w:hAnsi="Times New Roman" w:eastAsia="宋体"/>
          <w:color w:val="auto"/>
          <w:sz w:val="24"/>
          <w:szCs w:val="24"/>
        </w:rPr>
        <w:t>6）《关于加强沙区建设项目环境影响评价工作的通知》（新环环评发〔2020〕138号）；</w:t>
      </w:r>
    </w:p>
    <w:p w14:paraId="4435F91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1</w:t>
      </w:r>
      <w:r>
        <w:rPr>
          <w:rFonts w:hint="eastAsia" w:ascii="Times New Roman" w:hAnsi="Times New Roman" w:eastAsia="宋体"/>
          <w:color w:val="auto"/>
          <w:sz w:val="24"/>
          <w:szCs w:val="24"/>
        </w:rPr>
        <w:t>7）《新疆维吾尔自治区国民经济和社会发展第十四个五年规划和</w:t>
      </w:r>
      <w:r>
        <w:rPr>
          <w:rFonts w:ascii="Times New Roman" w:hAnsi="Times New Roman" w:eastAsia="宋体"/>
          <w:color w:val="auto"/>
          <w:sz w:val="24"/>
          <w:szCs w:val="24"/>
        </w:rPr>
        <w:t>2035</w:t>
      </w:r>
      <w:r>
        <w:rPr>
          <w:rFonts w:hint="eastAsia" w:ascii="Times New Roman" w:hAnsi="Times New Roman" w:eastAsia="宋体"/>
          <w:color w:val="auto"/>
          <w:sz w:val="24"/>
          <w:szCs w:val="24"/>
        </w:rPr>
        <w:t>年远景目标纲要》</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2021年2月5日</w:t>
      </w:r>
      <w:r>
        <w:rPr>
          <w:rFonts w:hint="eastAsia" w:ascii="Times New Roman" w:hAnsi="Times New Roman" w:eastAsia="宋体"/>
          <w:color w:val="auto"/>
          <w:sz w:val="24"/>
          <w:szCs w:val="24"/>
        </w:rPr>
        <w:t>；</w:t>
      </w:r>
    </w:p>
    <w:p w14:paraId="1BEA90D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1</w:t>
      </w:r>
      <w:r>
        <w:rPr>
          <w:rFonts w:hint="eastAsia" w:ascii="Times New Roman" w:hAnsi="Times New Roman" w:eastAsia="宋体"/>
          <w:color w:val="auto"/>
          <w:sz w:val="24"/>
          <w:szCs w:val="24"/>
        </w:rPr>
        <w:t>8）《新疆维吾尔自治区人民政府关于公布新疆维吾尔自治区重点保护野生植物名录的通知》（新政发〔2023〕63号）；</w:t>
      </w:r>
    </w:p>
    <w:p w14:paraId="6B35703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w:t>
      </w:r>
      <w:r>
        <w:rPr>
          <w:rFonts w:ascii="Times New Roman" w:hAnsi="Times New Roman" w:eastAsia="宋体"/>
          <w:color w:val="auto"/>
          <w:sz w:val="24"/>
          <w:szCs w:val="24"/>
        </w:rPr>
        <w:t>1</w:t>
      </w:r>
      <w:r>
        <w:rPr>
          <w:rFonts w:hint="eastAsia" w:ascii="Times New Roman" w:hAnsi="Times New Roman" w:eastAsia="宋体"/>
          <w:color w:val="auto"/>
          <w:sz w:val="24"/>
          <w:szCs w:val="24"/>
        </w:rPr>
        <w:t>9）《关于印发〈新疆国家重点保护野生植物名录〉的通知》（新林护字〔2022〕8号）（</w:t>
      </w:r>
      <w:r>
        <w:rPr>
          <w:rFonts w:ascii="Times New Roman" w:hAnsi="Times New Roman" w:eastAsia="宋体"/>
          <w:color w:val="auto"/>
          <w:sz w:val="24"/>
          <w:szCs w:val="24"/>
        </w:rPr>
        <w:t>2022</w:t>
      </w:r>
      <w:r>
        <w:rPr>
          <w:rFonts w:hint="eastAsia" w:ascii="Times New Roman" w:hAnsi="Times New Roman" w:eastAsia="宋体"/>
          <w:color w:val="auto"/>
          <w:sz w:val="24"/>
          <w:szCs w:val="24"/>
        </w:rPr>
        <w:t>年</w:t>
      </w:r>
      <w:r>
        <w:rPr>
          <w:rFonts w:ascii="Times New Roman" w:hAnsi="Times New Roman" w:eastAsia="宋体"/>
          <w:color w:val="auto"/>
          <w:sz w:val="24"/>
          <w:szCs w:val="24"/>
        </w:rPr>
        <w:t>2</w:t>
      </w:r>
      <w:r>
        <w:rPr>
          <w:rFonts w:hint="eastAsia" w:ascii="Times New Roman" w:hAnsi="Times New Roman" w:eastAsia="宋体"/>
          <w:color w:val="auto"/>
          <w:sz w:val="24"/>
          <w:szCs w:val="24"/>
        </w:rPr>
        <w:t>月</w:t>
      </w:r>
      <w:r>
        <w:rPr>
          <w:rFonts w:ascii="Times New Roman" w:hAnsi="Times New Roman" w:eastAsia="宋体"/>
          <w:color w:val="auto"/>
          <w:sz w:val="24"/>
          <w:szCs w:val="24"/>
        </w:rPr>
        <w:t>9</w:t>
      </w:r>
      <w:r>
        <w:rPr>
          <w:rFonts w:hint="eastAsia" w:ascii="Times New Roman" w:hAnsi="Times New Roman" w:eastAsia="宋体"/>
          <w:color w:val="auto"/>
          <w:sz w:val="24"/>
          <w:szCs w:val="24"/>
        </w:rPr>
        <w:t>日）；</w:t>
      </w:r>
    </w:p>
    <w:p w14:paraId="7F1D034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（20）《新疆维吾尔自治区重点保护野生动物名录（修订）》（新政发〔2022〕75号，</w:t>
      </w:r>
      <w:r>
        <w:rPr>
          <w:rFonts w:ascii="Times New Roman" w:hAnsi="Times New Roman" w:eastAsia="宋体"/>
          <w:color w:val="auto"/>
          <w:sz w:val="24"/>
          <w:szCs w:val="24"/>
        </w:rPr>
        <w:t>2022</w:t>
      </w:r>
      <w:r>
        <w:rPr>
          <w:rFonts w:hint="eastAsia" w:ascii="Times New Roman" w:hAnsi="Times New Roman" w:eastAsia="宋体"/>
          <w:color w:val="auto"/>
          <w:sz w:val="24"/>
          <w:szCs w:val="24"/>
        </w:rPr>
        <w:t>年</w:t>
      </w:r>
      <w:r>
        <w:rPr>
          <w:rFonts w:ascii="Times New Roman" w:hAnsi="Times New Roman" w:eastAsia="宋体"/>
          <w:color w:val="auto"/>
          <w:sz w:val="24"/>
          <w:szCs w:val="24"/>
        </w:rPr>
        <w:t>9</w:t>
      </w:r>
      <w:r>
        <w:rPr>
          <w:rFonts w:hint="eastAsia" w:ascii="Times New Roman" w:hAnsi="Times New Roman" w:eastAsia="宋体"/>
          <w:color w:val="auto"/>
          <w:sz w:val="24"/>
          <w:szCs w:val="24"/>
        </w:rPr>
        <w:t>月</w:t>
      </w:r>
      <w:r>
        <w:rPr>
          <w:rFonts w:ascii="Times New Roman" w:hAnsi="Times New Roman" w:eastAsia="宋体"/>
          <w:color w:val="auto"/>
          <w:sz w:val="24"/>
          <w:szCs w:val="24"/>
        </w:rPr>
        <w:t>18</w:t>
      </w:r>
      <w:r>
        <w:rPr>
          <w:rFonts w:hint="eastAsia" w:ascii="Times New Roman" w:hAnsi="Times New Roman" w:eastAsia="宋体"/>
          <w:color w:val="auto"/>
          <w:sz w:val="24"/>
          <w:szCs w:val="24"/>
        </w:rPr>
        <w:t>日施行）；</w:t>
      </w:r>
    </w:p>
    <w:p w14:paraId="5680915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（21）《关于印发〈新疆国家重点保护野生动物名录〉的通知》（自治区林业和草原局自治区农业农村厅，</w:t>
      </w:r>
      <w:r>
        <w:rPr>
          <w:rFonts w:ascii="Times New Roman" w:hAnsi="Times New Roman" w:eastAsia="宋体"/>
          <w:color w:val="auto"/>
          <w:sz w:val="24"/>
          <w:szCs w:val="24"/>
        </w:rPr>
        <w:t>2021</w:t>
      </w:r>
      <w:r>
        <w:rPr>
          <w:rFonts w:hint="eastAsia" w:ascii="Times New Roman" w:hAnsi="Times New Roman" w:eastAsia="宋体"/>
          <w:color w:val="auto"/>
          <w:sz w:val="24"/>
          <w:szCs w:val="24"/>
        </w:rPr>
        <w:t>年</w:t>
      </w:r>
      <w:r>
        <w:rPr>
          <w:rFonts w:ascii="Times New Roman" w:hAnsi="Times New Roman" w:eastAsia="宋体"/>
          <w:color w:val="auto"/>
          <w:sz w:val="24"/>
          <w:szCs w:val="24"/>
        </w:rPr>
        <w:t>7</w:t>
      </w:r>
      <w:r>
        <w:rPr>
          <w:rFonts w:hint="eastAsia" w:ascii="Times New Roman" w:hAnsi="Times New Roman" w:eastAsia="宋体"/>
          <w:color w:val="auto"/>
          <w:sz w:val="24"/>
          <w:szCs w:val="24"/>
        </w:rPr>
        <w:t>月</w:t>
      </w:r>
      <w:r>
        <w:rPr>
          <w:rFonts w:ascii="Times New Roman" w:hAnsi="Times New Roman" w:eastAsia="宋体"/>
          <w:color w:val="auto"/>
          <w:sz w:val="24"/>
          <w:szCs w:val="24"/>
        </w:rPr>
        <w:t>28</w:t>
      </w:r>
      <w:r>
        <w:rPr>
          <w:rFonts w:hint="eastAsia" w:ascii="Times New Roman" w:hAnsi="Times New Roman" w:eastAsia="宋体"/>
          <w:color w:val="auto"/>
          <w:sz w:val="24"/>
          <w:szCs w:val="24"/>
        </w:rPr>
        <w:t>日）；</w:t>
      </w:r>
    </w:p>
    <w:p w14:paraId="2C6115A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（2</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）《新疆维吾尔自治区重点行业生态环境准入条件（2024年）》</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新环环评发</w:t>
      </w:r>
      <w:r>
        <w:rPr>
          <w:rFonts w:hint="default" w:ascii="Times New Roman" w:hAnsi="Times New Roman" w:eastAsia="宋体" w:cs="Times New Roman"/>
          <w:color w:val="auto"/>
          <w:sz w:val="24"/>
          <w:szCs w:val="24"/>
          <w:lang w:val="en-US" w:eastAsia="zh-CN"/>
        </w:rPr>
        <w:t>〔2024〕4号</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2024年6月9日</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w:t>
      </w:r>
    </w:p>
    <w:p w14:paraId="6F39544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（2</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rPr>
        <w:t>）《建设项目使用林地审核审批管理</w:t>
      </w:r>
      <w:r>
        <w:rPr>
          <w:rFonts w:hint="eastAsia"/>
          <w:color w:val="auto"/>
          <w:sz w:val="24"/>
          <w:szCs w:val="24"/>
          <w:lang w:val="en-US" w:eastAsia="zh-CN"/>
        </w:rPr>
        <w:t>规范</w:t>
      </w:r>
      <w:r>
        <w:rPr>
          <w:rFonts w:hint="eastAsia" w:ascii="Times New Roman" w:hAnsi="Times New Roman" w:eastAsia="宋体"/>
          <w:color w:val="auto"/>
          <w:sz w:val="24"/>
          <w:szCs w:val="24"/>
        </w:rPr>
        <w:t>》（林资</w:t>
      </w:r>
      <w:r>
        <w:rPr>
          <w:rFonts w:hint="eastAsia"/>
          <w:color w:val="auto"/>
          <w:sz w:val="24"/>
          <w:szCs w:val="24"/>
          <w:lang w:val="en-US" w:eastAsia="zh-CN"/>
        </w:rPr>
        <w:t>规</w:t>
      </w:r>
      <w:r>
        <w:rPr>
          <w:rFonts w:hint="eastAsia" w:ascii="Times New Roman" w:hAnsi="Times New Roman" w:eastAsia="宋体"/>
          <w:color w:val="auto"/>
          <w:sz w:val="24"/>
          <w:szCs w:val="24"/>
        </w:rPr>
        <w:t>〔20</w:t>
      </w:r>
      <w:r>
        <w:rPr>
          <w:rFonts w:hint="eastAsia"/>
          <w:color w:val="auto"/>
          <w:sz w:val="24"/>
          <w:szCs w:val="24"/>
          <w:lang w:val="en-US" w:eastAsia="zh-CN"/>
        </w:rPr>
        <w:t>21</w:t>
      </w:r>
      <w:r>
        <w:rPr>
          <w:rFonts w:hint="eastAsia" w:ascii="Times New Roman" w:hAnsi="Times New Roman" w:eastAsia="宋体"/>
          <w:color w:val="auto"/>
          <w:sz w:val="24"/>
          <w:szCs w:val="24"/>
        </w:rPr>
        <w:t>〕</w:t>
      </w:r>
      <w:r>
        <w:rPr>
          <w:rFonts w:hint="eastAsia"/>
          <w:color w:val="auto"/>
          <w:sz w:val="24"/>
          <w:szCs w:val="24"/>
          <w:lang w:val="en-US" w:eastAsia="zh-CN"/>
        </w:rPr>
        <w:t>5</w:t>
      </w:r>
      <w:r>
        <w:rPr>
          <w:rFonts w:hint="eastAsia" w:ascii="Times New Roman" w:hAnsi="Times New Roman" w:eastAsia="宋体"/>
          <w:color w:val="auto"/>
          <w:sz w:val="24"/>
          <w:szCs w:val="24"/>
        </w:rPr>
        <w:t>号）；</w:t>
      </w:r>
    </w:p>
    <w:p w14:paraId="7AB9244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24</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塔城地区生态环境保护“十四五”规划</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2022年2月；</w:t>
      </w:r>
    </w:p>
    <w:p w14:paraId="6D5DE61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（2</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）《关于印发〈</w:t>
      </w:r>
      <w:r>
        <w:rPr>
          <w:rFonts w:hint="eastAsia" w:ascii="Times New Roman" w:hAnsi="Times New Roman" w:eastAsia="宋体"/>
          <w:color w:val="auto"/>
          <w:sz w:val="24"/>
          <w:szCs w:val="24"/>
          <w:lang w:val="en-US" w:eastAsia="zh-CN"/>
        </w:rPr>
        <w:t>克拉玛依市</w:t>
      </w:r>
      <w:r>
        <w:rPr>
          <w:rFonts w:hint="eastAsia" w:ascii="Times New Roman" w:hAnsi="Times New Roman" w:eastAsia="宋体"/>
          <w:color w:val="auto"/>
          <w:sz w:val="24"/>
          <w:szCs w:val="24"/>
        </w:rPr>
        <w:t>“三线一单”生态环境分区管控方案</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2023版</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〉的通知》</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2024年3月13日</w:t>
      </w:r>
      <w:r>
        <w:rPr>
          <w:rFonts w:hint="eastAsia" w:ascii="Times New Roman" w:hAnsi="Times New Roman" w:eastAsia="宋体"/>
          <w:color w:val="auto"/>
          <w:sz w:val="24"/>
          <w:szCs w:val="24"/>
        </w:rPr>
        <w:t>；</w:t>
      </w:r>
    </w:p>
    <w:p w14:paraId="1201110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（26）《塔城地区“三线一单”生态环境分区管控方案（2023版）》，2024年12月；</w:t>
      </w:r>
    </w:p>
    <w:p w14:paraId="641562F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27</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关于印发&lt;克拉玛依市“十四五”生态环境保护规划&gt;的通知</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2022年1月27日；</w:t>
      </w:r>
    </w:p>
    <w:p w14:paraId="691DE43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ascii="Times New Roman" w:hAnsi="Times New Roman" w:eastAsia="宋体"/>
          <w:color w:val="auto"/>
          <w:sz w:val="24"/>
          <w:szCs w:val="24"/>
          <w:lang w:val="en-US" w:eastAsia="zh-CN"/>
        </w:rPr>
        <w:t>（28）《关于印发自治区级水土流失重点预防区和重点治理区复核划分成果的通知》（新水〔2019〕4号）</w:t>
      </w:r>
      <w:r>
        <w:rPr>
          <w:rFonts w:hint="eastAsia"/>
          <w:color w:val="auto"/>
          <w:sz w:val="24"/>
          <w:szCs w:val="24"/>
          <w:lang w:val="en-US" w:eastAsia="zh-CN"/>
        </w:rPr>
        <w:t>；</w:t>
      </w:r>
    </w:p>
    <w:p w14:paraId="2503F15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（29）《关于加强建设项目环境影响后评价管理的通知》（新环环评发</w:t>
      </w:r>
      <w:r>
        <w:rPr>
          <w:rFonts w:hint="default" w:ascii="Times New Roman" w:hAnsi="Times New Roman" w:eastAsia="宋体" w:cs="Times New Roman"/>
          <w:color w:val="auto"/>
          <w:sz w:val="24"/>
          <w:szCs w:val="24"/>
          <w:lang w:val="en-US" w:eastAsia="zh-CN"/>
        </w:rPr>
        <w:t>〔2020〕162号</w:t>
      </w:r>
      <w:r>
        <w:rPr>
          <w:rFonts w:hint="eastAsia" w:ascii="Times New Roman" w:hAnsi="Times New Roman" w:eastAsia="宋体" w:cs="Times New Roman"/>
          <w:color w:val="auto"/>
          <w:sz w:val="24"/>
          <w:szCs w:val="24"/>
          <w:lang w:val="en-US" w:eastAsia="zh-CN"/>
        </w:rPr>
        <w:t>，2020年9月11日</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w:t>
      </w:r>
    </w:p>
    <w:p w14:paraId="673CAA3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color w:val="auto"/>
          <w:sz w:val="24"/>
          <w:szCs w:val="24"/>
          <w:lang w:val="en-US" w:eastAsia="zh-CN"/>
        </w:rPr>
        <w:t>（30）《关于印发&lt;新疆维吾尔自治区2025年空气质量持续改善行动实施方案&gt;的通知》（新政办发</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58号，2024年12月10日</w:t>
      </w:r>
      <w:r>
        <w:rPr>
          <w:rFonts w:hint="eastAsia"/>
          <w:color w:val="auto"/>
          <w:sz w:val="24"/>
          <w:szCs w:val="24"/>
          <w:lang w:val="en-US" w:eastAsia="zh-CN"/>
        </w:rPr>
        <w:t>）；</w:t>
      </w:r>
    </w:p>
    <w:p w14:paraId="6EAE666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（31）《关于加强自治区生态保护红线管理的通知（试行）》（新自然资发</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56号，2024年4月17日</w:t>
      </w:r>
      <w:r>
        <w:rPr>
          <w:rFonts w:hint="eastAsia"/>
          <w:color w:val="auto"/>
          <w:sz w:val="24"/>
          <w:szCs w:val="24"/>
          <w:lang w:val="en-US" w:eastAsia="zh-CN"/>
        </w:rPr>
        <w:t>）。</w:t>
      </w:r>
    </w:p>
    <w:p w14:paraId="22B438CB">
      <w:pPr>
        <w:pStyle w:val="5"/>
        <w:bidi w:val="0"/>
        <w:rPr>
          <w:rFonts w:hint="default"/>
          <w:color w:val="auto"/>
          <w:lang w:val="en-US" w:eastAsia="zh-CN"/>
        </w:rPr>
      </w:pPr>
      <w:r>
        <w:rPr>
          <w:rFonts w:hint="eastAsia"/>
          <w:color w:val="auto"/>
          <w:lang w:val="en-US" w:eastAsia="zh-CN"/>
        </w:rPr>
        <w:t>2.1.5技术规范依据</w:t>
      </w:r>
    </w:p>
    <w:p w14:paraId="02F5400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（1）《建设项目环境影响评价技术导则 总纲》（HJ2.1-2016）；</w:t>
      </w:r>
    </w:p>
    <w:p w14:paraId="732A561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（2）《环境影响评价技术导则 大气环境》（HJ2.2-2018）；</w:t>
      </w:r>
    </w:p>
    <w:p w14:paraId="7988B1D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（3）《环境影响评价技术导则 地表水环境》（HJ2.3-2018）；</w:t>
      </w:r>
    </w:p>
    <w:p w14:paraId="1532AE1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（4）《环境影响评价技术导则 地下水环境》（HJ610-2016）；</w:t>
      </w:r>
    </w:p>
    <w:p w14:paraId="1221507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（5）《环境影响评价技术导则 声环境》（HJ2.4-2021）；</w:t>
      </w:r>
    </w:p>
    <w:p w14:paraId="6524A68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（6）《环境影响评价技术导则 生态影响》（HJ19-2022）；</w:t>
      </w:r>
    </w:p>
    <w:p w14:paraId="7DB45D8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（7）《环境影响评价技术导则 土壤环境（试行）》（HJ964-2018）；</w:t>
      </w:r>
    </w:p>
    <w:p w14:paraId="0FC9FB9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（8）《环境影响评价技术导则 陆地石油天然气开发建设项目》（HJ349-2023）；</w:t>
      </w:r>
    </w:p>
    <w:p w14:paraId="26ED81D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（9）《建设项目环境风险评价技术导则》（HJ169-2018）；</w:t>
      </w:r>
    </w:p>
    <w:p w14:paraId="2F8DEBE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（10）《危险化学品重大危险源辨识》（GB18218-2018）；</w:t>
      </w:r>
    </w:p>
    <w:p w14:paraId="759E6D6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（11）《建设项目危险废物环境影响评价指南》（公告2017年第43号）；</w:t>
      </w:r>
    </w:p>
    <w:p w14:paraId="6F14302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（12）《危险废物收集、贮存、运输技术规范》（HJ2025-2012）；</w:t>
      </w:r>
    </w:p>
    <w:p w14:paraId="790DA9F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（13）《开发建设项目水土保持技术规范》（GB50433-2008）；</w:t>
      </w:r>
    </w:p>
    <w:p w14:paraId="04B4FCD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（14）《陆上石油天然气生产环境保护推荐作法》（SY/T6628-2005）；</w:t>
      </w:r>
    </w:p>
    <w:p w14:paraId="16A0A57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（15）《陆上石油天然气开采业绿色矿山建设规范》（DZ/T0317-2018）；</w:t>
      </w:r>
    </w:p>
    <w:p w14:paraId="2A27179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（16）《建设项目竣工环境保护验收技术规范 石油天然气》（HJ612-2011）；</w:t>
      </w:r>
    </w:p>
    <w:p w14:paraId="345330E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（17）《油气田含油污泥及钻井固体废物处理处置技术规范》（DB65/T3999-2017）；</w:t>
      </w:r>
    </w:p>
    <w:p w14:paraId="403C880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（18）《石油和天然气开采行业清洁生产评价指标体系（试行)》，2009年2月；</w:t>
      </w:r>
    </w:p>
    <w:p w14:paraId="2000EE6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（19）《危险废物管理计划和管理台账 制定技术导则》（HJ1259-2022），2022年10月1日；</w:t>
      </w:r>
    </w:p>
    <w:p w14:paraId="1F786EF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（20）《石油天然气项目土地复垦与生态修复技术规范》（GB/T43936-2024），2024年8月1日；</w:t>
      </w:r>
    </w:p>
    <w:p w14:paraId="54355D1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（21）《排污单位自行监测技术指南 陆上石油天然气开采工业》（HJ1248-2022）；</w:t>
      </w:r>
    </w:p>
    <w:p w14:paraId="755C609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（22）《危险废物环境管理指南 陆上石油天然气开采》，2021年12月21日。</w:t>
      </w:r>
    </w:p>
    <w:p w14:paraId="372189B9">
      <w:pPr>
        <w:pStyle w:val="5"/>
        <w:bidi w:val="0"/>
        <w:rPr>
          <w:rFonts w:hint="default"/>
          <w:color w:val="auto"/>
          <w:lang w:val="en-US" w:eastAsia="zh-CN"/>
        </w:rPr>
      </w:pPr>
      <w:bookmarkStart w:id="60" w:name="_Toc4265"/>
      <w:bookmarkStart w:id="61" w:name="_Toc10531"/>
      <w:r>
        <w:rPr>
          <w:rFonts w:hint="eastAsia"/>
          <w:color w:val="auto"/>
          <w:lang w:val="en-US" w:eastAsia="zh-CN"/>
        </w:rPr>
        <w:t>2.1.6项目相关资料</w:t>
      </w:r>
      <w:bookmarkEnd w:id="60"/>
      <w:bookmarkEnd w:id="61"/>
    </w:p>
    <w:p w14:paraId="6EBA8422">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1</w:t>
      </w:r>
      <w:r>
        <w:rPr>
          <w:rFonts w:hint="eastAsia"/>
          <w:color w:val="auto"/>
          <w:sz w:val="24"/>
          <w:szCs w:val="28"/>
          <w:lang w:eastAsia="zh-CN"/>
        </w:rPr>
        <w:t>）</w:t>
      </w:r>
      <w:r>
        <w:rPr>
          <w:rFonts w:hint="eastAsia"/>
          <w:color w:val="auto"/>
          <w:sz w:val="24"/>
          <w:szCs w:val="28"/>
          <w:lang w:val="en-US" w:eastAsia="zh-CN"/>
        </w:rPr>
        <w:t>现有工程涉及的环评批复及竣工环保验收意见；</w:t>
      </w:r>
    </w:p>
    <w:p w14:paraId="0C3E3089">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2</w:t>
      </w:r>
      <w:r>
        <w:rPr>
          <w:rFonts w:hint="eastAsia"/>
          <w:color w:val="auto"/>
          <w:sz w:val="24"/>
          <w:szCs w:val="28"/>
          <w:lang w:eastAsia="zh-CN"/>
        </w:rPr>
        <w:t>）</w:t>
      </w:r>
      <w:r>
        <w:rPr>
          <w:rFonts w:hint="eastAsia"/>
          <w:color w:val="auto"/>
          <w:sz w:val="24"/>
          <w:szCs w:val="28"/>
          <w:lang w:val="en-US" w:eastAsia="zh-CN"/>
        </w:rPr>
        <w:t>建设单位提供与建设项目有关的其他技术资料。</w:t>
      </w:r>
    </w:p>
    <w:p w14:paraId="32C23705">
      <w:pPr>
        <w:pStyle w:val="2"/>
        <w:bidi w:val="0"/>
        <w:rPr>
          <w:rFonts w:hint="default"/>
          <w:color w:val="auto"/>
          <w:lang w:val="en-US" w:eastAsia="zh-CN"/>
        </w:rPr>
      </w:pPr>
      <w:bookmarkStart w:id="62" w:name="_Toc18248"/>
      <w:bookmarkStart w:id="63" w:name="_Toc29204"/>
      <w:bookmarkStart w:id="64" w:name="_Toc24248"/>
      <w:bookmarkStart w:id="65" w:name="_Toc29535"/>
      <w:bookmarkStart w:id="66" w:name="_Toc11661"/>
      <w:r>
        <w:rPr>
          <w:rFonts w:hint="eastAsia"/>
          <w:color w:val="auto"/>
          <w:lang w:val="en-US" w:eastAsia="zh-CN"/>
        </w:rPr>
        <w:t>2.2评价目的及原则</w:t>
      </w:r>
      <w:bookmarkEnd w:id="62"/>
      <w:bookmarkEnd w:id="63"/>
      <w:bookmarkEnd w:id="64"/>
      <w:bookmarkEnd w:id="65"/>
      <w:bookmarkEnd w:id="66"/>
    </w:p>
    <w:p w14:paraId="11DB6CBF">
      <w:pPr>
        <w:pStyle w:val="5"/>
        <w:bidi w:val="0"/>
        <w:rPr>
          <w:rFonts w:hint="default"/>
          <w:color w:val="auto"/>
          <w:lang w:val="en-US" w:eastAsia="zh-CN"/>
        </w:rPr>
      </w:pPr>
      <w:bookmarkStart w:id="67" w:name="_Toc12211"/>
      <w:bookmarkStart w:id="68" w:name="_Toc7322"/>
      <w:r>
        <w:rPr>
          <w:rFonts w:hint="eastAsia"/>
          <w:color w:val="auto"/>
          <w:lang w:val="en-US" w:eastAsia="zh-CN"/>
        </w:rPr>
        <w:t>2.2.1评价目的</w:t>
      </w:r>
      <w:bookmarkEnd w:id="67"/>
      <w:bookmarkEnd w:id="68"/>
    </w:p>
    <w:p w14:paraId="5CC7D7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lang w:val="zh-CN"/>
        </w:rPr>
      </w:pPr>
      <w:r>
        <w:rPr>
          <w:rFonts w:hint="eastAsia"/>
          <w:color w:val="auto"/>
          <w:sz w:val="24"/>
          <w:szCs w:val="28"/>
          <w:lang w:val="zh-CN"/>
        </w:rPr>
        <w:t>（</w:t>
      </w:r>
      <w:r>
        <w:rPr>
          <w:color w:val="auto"/>
          <w:sz w:val="24"/>
          <w:szCs w:val="28"/>
          <w:lang w:val="zh-CN"/>
        </w:rPr>
        <w:t>1）通过</w:t>
      </w:r>
      <w:r>
        <w:rPr>
          <w:rFonts w:hint="eastAsia"/>
          <w:color w:val="auto"/>
          <w:sz w:val="24"/>
          <w:szCs w:val="28"/>
          <w:lang w:val="zh-CN"/>
        </w:rPr>
        <w:t>现场</w:t>
      </w:r>
      <w:r>
        <w:rPr>
          <w:color w:val="auto"/>
          <w:sz w:val="24"/>
          <w:szCs w:val="28"/>
          <w:lang w:val="zh-CN"/>
        </w:rPr>
        <w:t>调查</w:t>
      </w:r>
      <w:r>
        <w:rPr>
          <w:rFonts w:hint="eastAsia"/>
          <w:color w:val="auto"/>
          <w:sz w:val="24"/>
          <w:szCs w:val="28"/>
          <w:lang w:val="zh-CN"/>
        </w:rPr>
        <w:t>和环境质量</w:t>
      </w:r>
      <w:r>
        <w:rPr>
          <w:color w:val="auto"/>
          <w:sz w:val="24"/>
          <w:szCs w:val="28"/>
          <w:lang w:val="zh-CN"/>
        </w:rPr>
        <w:t>现状监测</w:t>
      </w:r>
      <w:r>
        <w:rPr>
          <w:rFonts w:hint="eastAsia"/>
          <w:color w:val="auto"/>
          <w:sz w:val="24"/>
          <w:szCs w:val="28"/>
          <w:lang w:val="zh-CN"/>
        </w:rPr>
        <w:t>，</w:t>
      </w:r>
      <w:r>
        <w:rPr>
          <w:color w:val="auto"/>
          <w:sz w:val="24"/>
          <w:szCs w:val="28"/>
          <w:lang w:val="zh-CN"/>
        </w:rPr>
        <w:t>了解</w:t>
      </w:r>
      <w:r>
        <w:rPr>
          <w:rFonts w:hint="eastAsia"/>
          <w:color w:val="auto"/>
          <w:sz w:val="24"/>
          <w:szCs w:val="28"/>
          <w:lang w:val="zh-CN"/>
        </w:rPr>
        <w:t>建设项目</w:t>
      </w:r>
      <w:r>
        <w:rPr>
          <w:color w:val="auto"/>
          <w:sz w:val="24"/>
          <w:szCs w:val="28"/>
          <w:lang w:val="zh-CN"/>
        </w:rPr>
        <w:t>所在地的自然环境</w:t>
      </w:r>
      <w:r>
        <w:rPr>
          <w:rFonts w:hint="eastAsia"/>
          <w:color w:val="auto"/>
          <w:sz w:val="24"/>
          <w:szCs w:val="28"/>
          <w:lang w:val="zh-CN"/>
        </w:rPr>
        <w:t>、大气环境、水环境、声环境、土壤环境及生态环境情况，掌握区域的环境质量现状。</w:t>
      </w:r>
    </w:p>
    <w:p w14:paraId="22D197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（2）通过工程分析，明确施工期、运营期和</w:t>
      </w:r>
      <w:r>
        <w:rPr>
          <w:rFonts w:hint="eastAsia"/>
          <w:color w:val="auto"/>
          <w:sz w:val="24"/>
          <w:szCs w:val="28"/>
        </w:rPr>
        <w:t>退役期</w:t>
      </w:r>
      <w:r>
        <w:rPr>
          <w:color w:val="auto"/>
          <w:sz w:val="24"/>
          <w:szCs w:val="28"/>
        </w:rPr>
        <w:t>主要污染源、污染物种类、</w:t>
      </w:r>
      <w:r>
        <w:rPr>
          <w:rFonts w:hint="eastAsia"/>
          <w:color w:val="auto"/>
          <w:sz w:val="24"/>
          <w:szCs w:val="28"/>
        </w:rPr>
        <w:t>源强、</w:t>
      </w:r>
      <w:r>
        <w:rPr>
          <w:color w:val="auto"/>
          <w:sz w:val="24"/>
          <w:szCs w:val="28"/>
        </w:rPr>
        <w:t>排放强度</w:t>
      </w:r>
      <w:r>
        <w:rPr>
          <w:rFonts w:hint="eastAsia"/>
          <w:color w:val="auto"/>
          <w:sz w:val="24"/>
          <w:szCs w:val="28"/>
        </w:rPr>
        <w:t>、排放方式及排放去向</w:t>
      </w:r>
      <w:r>
        <w:rPr>
          <w:color w:val="auto"/>
          <w:sz w:val="24"/>
          <w:szCs w:val="28"/>
        </w:rPr>
        <w:t>，分析环境污染的影响特征，预测和评价施工期、运营期及</w:t>
      </w:r>
      <w:r>
        <w:rPr>
          <w:rFonts w:hint="eastAsia"/>
          <w:color w:val="auto"/>
          <w:sz w:val="24"/>
          <w:szCs w:val="28"/>
        </w:rPr>
        <w:t>退役期</w:t>
      </w:r>
      <w:r>
        <w:rPr>
          <w:color w:val="auto"/>
          <w:sz w:val="24"/>
          <w:szCs w:val="28"/>
        </w:rPr>
        <w:t>对环境的影响程度，</w:t>
      </w:r>
      <w:r>
        <w:rPr>
          <w:rFonts w:hint="eastAsia"/>
          <w:color w:val="auto"/>
          <w:sz w:val="24"/>
          <w:szCs w:val="28"/>
        </w:rPr>
        <w:t>并对污染物达标排放进行分析</w:t>
      </w:r>
      <w:r>
        <w:rPr>
          <w:color w:val="auto"/>
          <w:sz w:val="24"/>
          <w:szCs w:val="28"/>
        </w:rPr>
        <w:t>。</w:t>
      </w:r>
    </w:p>
    <w:p w14:paraId="24835E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rFonts w:hint="eastAsia"/>
          <w:color w:val="auto"/>
          <w:sz w:val="24"/>
          <w:szCs w:val="28"/>
        </w:rPr>
        <w:t>（3）提出预防或者减轻不良环境影响的对策和措施，并论述拟采取的环境保护措施的可行性和合理性。</w:t>
      </w:r>
    </w:p>
    <w:p w14:paraId="016D6D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（4）分析可能存在的</w:t>
      </w:r>
      <w:r>
        <w:rPr>
          <w:rFonts w:hint="eastAsia"/>
          <w:color w:val="auto"/>
          <w:sz w:val="24"/>
          <w:szCs w:val="28"/>
        </w:rPr>
        <w:t>环境风险</w:t>
      </w:r>
      <w:r>
        <w:rPr>
          <w:color w:val="auto"/>
          <w:sz w:val="24"/>
          <w:szCs w:val="28"/>
        </w:rPr>
        <w:t>，</w:t>
      </w:r>
      <w:r>
        <w:rPr>
          <w:rFonts w:hint="eastAsia"/>
          <w:color w:val="auto"/>
          <w:sz w:val="24"/>
          <w:szCs w:val="28"/>
        </w:rPr>
        <w:t>分析环境</w:t>
      </w:r>
      <w:r>
        <w:rPr>
          <w:color w:val="auto"/>
          <w:sz w:val="24"/>
          <w:szCs w:val="28"/>
        </w:rPr>
        <w:t>风险事故可能产生的环境影响程度，提出环境风险防范措施。</w:t>
      </w:r>
    </w:p>
    <w:p w14:paraId="1B9FD8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rPr>
      </w:pPr>
      <w:r>
        <w:rPr>
          <w:rFonts w:hint="eastAsia"/>
          <w:color w:val="auto"/>
          <w:sz w:val="24"/>
          <w:szCs w:val="28"/>
        </w:rPr>
        <w:t>（5）通过上述评价，论证项目在环境方面的可行性，给出环境影响评价结论，为生态环境主管部门提供决策依据</w:t>
      </w:r>
      <w:bookmarkStart w:id="69" w:name="_Hlk33042290"/>
      <w:r>
        <w:rPr>
          <w:rFonts w:hint="eastAsia"/>
          <w:color w:val="auto"/>
          <w:sz w:val="24"/>
          <w:szCs w:val="28"/>
        </w:rPr>
        <w:t>。</w:t>
      </w:r>
    </w:p>
    <w:bookmarkEnd w:id="69"/>
    <w:p w14:paraId="653873EC">
      <w:pPr>
        <w:pStyle w:val="5"/>
        <w:bidi w:val="0"/>
        <w:rPr>
          <w:rFonts w:hint="default"/>
          <w:color w:val="auto"/>
          <w:lang w:val="en-US" w:eastAsia="zh-CN"/>
        </w:rPr>
      </w:pPr>
      <w:bookmarkStart w:id="70" w:name="_Toc14160"/>
      <w:bookmarkStart w:id="71" w:name="_Toc5430"/>
      <w:r>
        <w:rPr>
          <w:rFonts w:hint="eastAsia"/>
          <w:color w:val="auto"/>
          <w:lang w:val="en-US" w:eastAsia="zh-CN"/>
        </w:rPr>
        <w:t>2.2.2评价原则</w:t>
      </w:r>
      <w:bookmarkEnd w:id="70"/>
      <w:bookmarkEnd w:id="71"/>
    </w:p>
    <w:p w14:paraId="7DBD76C3">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1</w:t>
      </w:r>
      <w:r>
        <w:rPr>
          <w:rFonts w:hint="eastAsia"/>
          <w:color w:val="auto"/>
          <w:sz w:val="24"/>
          <w:szCs w:val="28"/>
          <w:lang w:eastAsia="zh-CN"/>
        </w:rPr>
        <w:t>）</w:t>
      </w:r>
      <w:r>
        <w:rPr>
          <w:rFonts w:hint="eastAsia"/>
          <w:color w:val="auto"/>
          <w:sz w:val="24"/>
          <w:szCs w:val="28"/>
          <w:lang w:val="en-US" w:eastAsia="zh-CN"/>
        </w:rPr>
        <w:t>依法评价</w:t>
      </w:r>
    </w:p>
    <w:p w14:paraId="205AF5ED">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color w:val="auto"/>
          <w:sz w:val="24"/>
          <w:szCs w:val="28"/>
        </w:rPr>
      </w:pPr>
      <w:r>
        <w:rPr>
          <w:rFonts w:ascii="宋体" w:hAnsi="宋体" w:eastAsia="宋体" w:cs="宋体"/>
          <w:color w:val="auto"/>
          <w:sz w:val="24"/>
          <w:szCs w:val="24"/>
        </w:rPr>
        <w:t>本次环境影响评价工作执行国家、</w:t>
      </w:r>
      <w:r>
        <w:rPr>
          <w:rFonts w:hint="eastAsia" w:ascii="宋体" w:hAnsi="宋体" w:eastAsia="宋体" w:cs="宋体"/>
          <w:color w:val="auto"/>
          <w:sz w:val="24"/>
          <w:szCs w:val="24"/>
          <w:lang w:val="en-US" w:eastAsia="zh-CN"/>
        </w:rPr>
        <w:t>新疆维吾尔自治区</w:t>
      </w:r>
      <w:r>
        <w:rPr>
          <w:rFonts w:ascii="宋体" w:hAnsi="宋体" w:eastAsia="宋体" w:cs="宋体"/>
          <w:color w:val="auto"/>
          <w:sz w:val="24"/>
          <w:szCs w:val="24"/>
        </w:rPr>
        <w:t>颁布的有关环境保护</w:t>
      </w:r>
      <w:r>
        <w:rPr>
          <w:rFonts w:hint="eastAsia" w:ascii="宋体" w:hAnsi="宋体" w:cs="宋体"/>
          <w:color w:val="auto"/>
          <w:sz w:val="24"/>
          <w:szCs w:val="24"/>
          <w:lang w:eastAsia="zh-CN"/>
        </w:rPr>
        <w:t>法律法规</w:t>
      </w:r>
      <w:r>
        <w:rPr>
          <w:rFonts w:ascii="宋体" w:hAnsi="宋体" w:eastAsia="宋体" w:cs="宋体"/>
          <w:color w:val="auto"/>
          <w:sz w:val="24"/>
          <w:szCs w:val="24"/>
        </w:rPr>
        <w:t>、规范、标准，优化项目建设，服务环境管理。</w:t>
      </w:r>
    </w:p>
    <w:p w14:paraId="59D6CDF0">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2</w:t>
      </w:r>
      <w:r>
        <w:rPr>
          <w:rFonts w:hint="eastAsia"/>
          <w:color w:val="auto"/>
          <w:sz w:val="24"/>
          <w:szCs w:val="28"/>
          <w:lang w:eastAsia="zh-CN"/>
        </w:rPr>
        <w:t>）</w:t>
      </w:r>
      <w:r>
        <w:rPr>
          <w:rFonts w:hint="eastAsia"/>
          <w:color w:val="auto"/>
          <w:sz w:val="24"/>
          <w:szCs w:val="28"/>
          <w:lang w:val="en-US" w:eastAsia="zh-CN"/>
        </w:rPr>
        <w:t>科学评价</w:t>
      </w:r>
    </w:p>
    <w:p w14:paraId="5C16DA90">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color w:val="auto"/>
          <w:sz w:val="24"/>
          <w:szCs w:val="28"/>
        </w:rPr>
      </w:pPr>
      <w:r>
        <w:rPr>
          <w:rFonts w:ascii="宋体" w:hAnsi="宋体" w:eastAsia="宋体" w:cs="宋体"/>
          <w:color w:val="auto"/>
          <w:sz w:val="24"/>
          <w:szCs w:val="24"/>
        </w:rPr>
        <w:t>规范环境影响评价方法，科学分析建设项目对环境质量的影响。</w:t>
      </w:r>
    </w:p>
    <w:p w14:paraId="60E88AB3">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3</w:t>
      </w:r>
      <w:r>
        <w:rPr>
          <w:rFonts w:hint="eastAsia"/>
          <w:color w:val="auto"/>
          <w:sz w:val="24"/>
          <w:szCs w:val="28"/>
          <w:lang w:eastAsia="zh-CN"/>
        </w:rPr>
        <w:t>）</w:t>
      </w:r>
      <w:r>
        <w:rPr>
          <w:rFonts w:hint="eastAsia"/>
          <w:color w:val="auto"/>
          <w:sz w:val="24"/>
          <w:szCs w:val="28"/>
          <w:lang w:val="en-US" w:eastAsia="zh-CN"/>
        </w:rPr>
        <w:t>突出重点</w:t>
      </w:r>
    </w:p>
    <w:p w14:paraId="29EA6017">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eastAsia="宋体"/>
          <w:color w:val="auto"/>
          <w:sz w:val="24"/>
          <w:szCs w:val="28"/>
          <w:lang w:eastAsia="zh-CN"/>
        </w:rPr>
      </w:pPr>
      <w:r>
        <w:rPr>
          <w:rFonts w:ascii="宋体" w:hAnsi="宋体" w:eastAsia="宋体" w:cs="宋体"/>
          <w:color w:val="auto"/>
          <w:sz w:val="24"/>
          <w:szCs w:val="24"/>
        </w:rPr>
        <w:t>根据建设项目的工程内容及特点，明确与环境要素间的作用效应关系，充分利用符合时效的数据资料及成果，对建设项目主要环境影响予以重点分析和评价</w:t>
      </w:r>
      <w:r>
        <w:rPr>
          <w:rFonts w:hint="eastAsia" w:ascii="宋体" w:hAnsi="宋体" w:eastAsia="宋体" w:cs="宋体"/>
          <w:color w:val="auto"/>
          <w:sz w:val="24"/>
          <w:szCs w:val="24"/>
          <w:lang w:eastAsia="zh-CN"/>
        </w:rPr>
        <w:t>。</w:t>
      </w:r>
    </w:p>
    <w:p w14:paraId="6B892A47">
      <w:pPr>
        <w:pStyle w:val="2"/>
        <w:bidi w:val="0"/>
        <w:rPr>
          <w:rFonts w:hint="default"/>
          <w:color w:val="auto"/>
          <w:lang w:val="en-US" w:eastAsia="zh-CN"/>
        </w:rPr>
      </w:pPr>
      <w:bookmarkStart w:id="72" w:name="_Toc9801"/>
      <w:bookmarkStart w:id="73" w:name="_Toc18127"/>
      <w:bookmarkStart w:id="74" w:name="_Toc21827"/>
      <w:bookmarkStart w:id="75" w:name="_Toc18767"/>
      <w:bookmarkStart w:id="76" w:name="_Toc414"/>
      <w:r>
        <w:rPr>
          <w:rFonts w:hint="eastAsia"/>
          <w:color w:val="auto"/>
          <w:lang w:val="en-US" w:eastAsia="zh-CN"/>
        </w:rPr>
        <w:t>2.3环境影响因素识别和评价因子筛选</w:t>
      </w:r>
      <w:bookmarkEnd w:id="72"/>
      <w:bookmarkEnd w:id="73"/>
      <w:bookmarkEnd w:id="74"/>
      <w:bookmarkEnd w:id="75"/>
      <w:bookmarkEnd w:id="76"/>
    </w:p>
    <w:p w14:paraId="2E4BAD45">
      <w:pPr>
        <w:pStyle w:val="5"/>
        <w:bidi w:val="0"/>
        <w:rPr>
          <w:rFonts w:hint="default"/>
          <w:color w:val="auto"/>
          <w:lang w:val="en-US" w:eastAsia="zh-CN"/>
        </w:rPr>
      </w:pPr>
      <w:bookmarkStart w:id="77" w:name="_Toc31349"/>
      <w:bookmarkStart w:id="78" w:name="_Toc26090"/>
      <w:r>
        <w:rPr>
          <w:rFonts w:hint="eastAsia"/>
          <w:color w:val="auto"/>
          <w:lang w:val="en-US" w:eastAsia="zh-CN"/>
        </w:rPr>
        <w:t>2.3.1环境影响因素识别</w:t>
      </w:r>
      <w:bookmarkEnd w:id="77"/>
      <w:bookmarkEnd w:id="78"/>
    </w:p>
    <w:p w14:paraId="34BD9C8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lang w:eastAsia="zh-CN"/>
        </w:rPr>
        <w:t>本工程</w:t>
      </w:r>
      <w:r>
        <w:rPr>
          <w:color w:val="auto"/>
          <w:sz w:val="24"/>
          <w:szCs w:val="24"/>
        </w:rPr>
        <w:t>施工期主要活动包括：地面设施建设，如平整场地、管线敷设等，将对生态环境产生一定不利影响，主要体现在占用土地及破坏土壤、地表植被等。</w:t>
      </w:r>
    </w:p>
    <w:p w14:paraId="2D0FBC3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正常工况条件下，</w:t>
      </w:r>
      <w:r>
        <w:rPr>
          <w:rFonts w:hint="eastAsia"/>
          <w:color w:val="auto"/>
          <w:sz w:val="24"/>
          <w:szCs w:val="24"/>
          <w:lang w:eastAsia="zh-CN"/>
        </w:rPr>
        <w:t>运营</w:t>
      </w:r>
      <w:r>
        <w:rPr>
          <w:color w:val="auto"/>
          <w:sz w:val="24"/>
          <w:szCs w:val="24"/>
        </w:rPr>
        <w:t>期对环境空气、声环境、水环境、生态环境以及生活质量等各环境要素的影响轻微，但持续的时间较长。</w:t>
      </w:r>
    </w:p>
    <w:p w14:paraId="07A94AB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退役期原油产量明显下降，油井相继关闭，因此油田退役期对各种环境因素的影响范围和程度上均有所降低，直至基本消失。退役期环境影响的主要表现为设施拆除、井场封井、地面管道拆除等施工活动，施工活动将造成一定程度的水土流失等。</w:t>
      </w:r>
      <w:r>
        <w:rPr>
          <w:rFonts w:hint="eastAsia"/>
          <w:color w:val="auto"/>
          <w:sz w:val="24"/>
          <w:szCs w:val="24"/>
          <w:lang w:eastAsia="zh-CN"/>
        </w:rPr>
        <w:t>本工程</w:t>
      </w:r>
      <w:r>
        <w:rPr>
          <w:color w:val="auto"/>
          <w:sz w:val="24"/>
          <w:szCs w:val="24"/>
        </w:rPr>
        <w:t>环境影响因素识别见</w:t>
      </w:r>
      <w:r>
        <w:rPr>
          <w:rFonts w:hint="eastAsia"/>
          <w:color w:val="auto"/>
          <w:sz w:val="24"/>
          <w:szCs w:val="24"/>
          <w:lang w:val="en-US" w:eastAsia="zh-CN"/>
        </w:rPr>
        <w:t>表2.3-1</w:t>
      </w:r>
      <w:r>
        <w:rPr>
          <w:color w:val="auto"/>
          <w:sz w:val="24"/>
          <w:szCs w:val="24"/>
        </w:rPr>
        <w:t>。</w:t>
      </w:r>
    </w:p>
    <w:p w14:paraId="0D237544">
      <w:pPr>
        <w:pStyle w:val="5"/>
        <w:bidi w:val="0"/>
        <w:rPr>
          <w:rFonts w:hint="default"/>
          <w:color w:val="auto"/>
          <w:lang w:val="en-US" w:eastAsia="zh-CN"/>
        </w:rPr>
      </w:pPr>
      <w:bookmarkStart w:id="79" w:name="_Toc22301"/>
      <w:r>
        <w:rPr>
          <w:rFonts w:hint="eastAsia"/>
          <w:color w:val="auto"/>
          <w:lang w:val="en-US" w:eastAsia="zh-CN"/>
        </w:rPr>
        <w:t>2.3.2评价因子筛选</w:t>
      </w:r>
      <w:bookmarkEnd w:id="79"/>
    </w:p>
    <w:p w14:paraId="556B2652">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通过环境影响因素识别以及《环境影响评价技术导则 陆地石油天然气开发建设项目》（HJ349-2023），确定本次评价的评价因子见表2.3-2、表2.3-3。</w:t>
      </w:r>
    </w:p>
    <w:p w14:paraId="05E58971">
      <w:pPr>
        <w:pStyle w:val="43"/>
        <w:bidi w:val="0"/>
        <w:rPr>
          <w:rFonts w:hint="default"/>
          <w:color w:val="auto"/>
          <w:sz w:val="21"/>
          <w:szCs w:val="28"/>
          <w:lang w:val="en-US" w:eastAsia="zh-CN"/>
        </w:rPr>
      </w:pPr>
      <w:r>
        <w:rPr>
          <w:rFonts w:hint="eastAsia" w:eastAsia="宋体"/>
          <w:color w:val="auto"/>
          <w:lang w:val="en-US" w:eastAsia="zh-CN"/>
        </w:rPr>
        <w:t>表2.3-2  建设项目环境影响评价因子筛选一览表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527"/>
        <w:gridCol w:w="1157"/>
        <w:gridCol w:w="1549"/>
        <w:gridCol w:w="887"/>
        <w:gridCol w:w="1871"/>
        <w:gridCol w:w="1080"/>
      </w:tblGrid>
      <w:tr w14:paraId="3AFE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1" w:type="pct"/>
            <w:tcBorders>
              <w:tl2br w:val="single" w:color="auto" w:sz="4" w:space="0"/>
            </w:tcBorders>
            <w:shd w:val="clear" w:color="auto" w:fill="auto"/>
            <w:noWrap w:val="0"/>
            <w:vAlign w:val="center"/>
          </w:tcPr>
          <w:p w14:paraId="25558A39">
            <w:pPr>
              <w:keepNext w:val="0"/>
              <w:keepLines w:val="0"/>
              <w:pageBreakBefore w:val="0"/>
              <w:widowControl/>
              <w:kinsoku/>
              <w:wordWrap/>
              <w:overflowPunct/>
              <w:topLinePunct w:val="0"/>
              <w:autoSpaceDE/>
              <w:autoSpaceDN/>
              <w:bidi w:val="0"/>
              <w:adjustRightInd/>
              <w:snapToGrid/>
              <w:spacing w:line="240" w:lineRule="auto"/>
              <w:ind w:firstLine="211" w:firstLineChars="100"/>
              <w:textAlignment w:val="auto"/>
              <w:rPr>
                <w:b/>
                <w:bCs/>
                <w:color w:val="auto"/>
              </w:rPr>
            </w:pPr>
            <w:r>
              <w:rPr>
                <w:rFonts w:hint="eastAsia"/>
                <w:b/>
                <w:bCs/>
                <w:color w:val="auto"/>
              </w:rPr>
              <w:t>环境要素</w:t>
            </w:r>
          </w:p>
          <w:p w14:paraId="2F8E9E22">
            <w:pPr>
              <w:keepNext w:val="0"/>
              <w:keepLines w:val="0"/>
              <w:pageBreakBefore w:val="0"/>
              <w:widowControl/>
              <w:kinsoku/>
              <w:wordWrap/>
              <w:overflowPunct/>
              <w:topLinePunct w:val="0"/>
              <w:autoSpaceDE/>
              <w:autoSpaceDN/>
              <w:bidi w:val="0"/>
              <w:adjustRightInd/>
              <w:snapToGrid/>
              <w:spacing w:line="240" w:lineRule="auto"/>
              <w:ind w:firstLine="0"/>
              <w:textAlignment w:val="auto"/>
              <w:rPr>
                <w:b/>
                <w:bCs/>
                <w:color w:val="auto"/>
              </w:rPr>
            </w:pPr>
            <w:r>
              <w:rPr>
                <w:rFonts w:hint="eastAsia"/>
                <w:b/>
                <w:bCs/>
                <w:color w:val="auto"/>
              </w:rPr>
              <w:t>单项工程</w:t>
            </w:r>
          </w:p>
        </w:tc>
        <w:tc>
          <w:tcPr>
            <w:tcW w:w="309" w:type="pct"/>
            <w:shd w:val="clear" w:color="auto" w:fill="auto"/>
            <w:noWrap w:val="0"/>
            <w:vAlign w:val="center"/>
          </w:tcPr>
          <w:p w14:paraId="5721173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b/>
                <w:bCs/>
                <w:color w:val="auto"/>
              </w:rPr>
            </w:pPr>
            <w:r>
              <w:rPr>
                <w:rFonts w:hint="eastAsia"/>
                <w:b/>
                <w:bCs/>
                <w:color w:val="auto"/>
              </w:rPr>
              <w:t>时期</w:t>
            </w:r>
          </w:p>
        </w:tc>
        <w:tc>
          <w:tcPr>
            <w:tcW w:w="678" w:type="pct"/>
            <w:shd w:val="clear" w:color="auto" w:fill="auto"/>
            <w:noWrap w:val="0"/>
            <w:vAlign w:val="center"/>
          </w:tcPr>
          <w:p w14:paraId="24564F1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b/>
                <w:bCs/>
                <w:color w:val="auto"/>
              </w:rPr>
            </w:pPr>
            <w:r>
              <w:rPr>
                <w:rFonts w:hint="eastAsia"/>
                <w:b/>
                <w:bCs/>
                <w:color w:val="auto"/>
              </w:rPr>
              <w:t>大气</w:t>
            </w:r>
          </w:p>
        </w:tc>
        <w:tc>
          <w:tcPr>
            <w:tcW w:w="908" w:type="pct"/>
            <w:shd w:val="clear" w:color="auto" w:fill="auto"/>
            <w:noWrap w:val="0"/>
            <w:vAlign w:val="center"/>
          </w:tcPr>
          <w:p w14:paraId="67B2B4AD">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b/>
                <w:bCs/>
                <w:color w:val="auto"/>
              </w:rPr>
            </w:pPr>
            <w:r>
              <w:rPr>
                <w:rFonts w:hint="eastAsia"/>
                <w:b/>
                <w:bCs/>
                <w:color w:val="auto"/>
              </w:rPr>
              <w:t>地下水</w:t>
            </w:r>
          </w:p>
        </w:tc>
        <w:tc>
          <w:tcPr>
            <w:tcW w:w="520" w:type="pct"/>
            <w:shd w:val="clear" w:color="auto" w:fill="auto"/>
            <w:noWrap w:val="0"/>
            <w:vAlign w:val="center"/>
          </w:tcPr>
          <w:p w14:paraId="4327E38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b/>
                <w:bCs/>
                <w:color w:val="auto"/>
              </w:rPr>
            </w:pPr>
            <w:r>
              <w:rPr>
                <w:rFonts w:hint="eastAsia"/>
                <w:b/>
                <w:bCs/>
                <w:color w:val="auto"/>
              </w:rPr>
              <w:t>土壤</w:t>
            </w:r>
          </w:p>
        </w:tc>
        <w:tc>
          <w:tcPr>
            <w:tcW w:w="1097" w:type="pct"/>
            <w:shd w:val="clear" w:color="auto" w:fill="auto"/>
            <w:noWrap w:val="0"/>
            <w:vAlign w:val="center"/>
          </w:tcPr>
          <w:p w14:paraId="42355C5D">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b/>
                <w:bCs/>
                <w:color w:val="auto"/>
              </w:rPr>
            </w:pPr>
            <w:r>
              <w:rPr>
                <w:rFonts w:hint="eastAsia"/>
                <w:b/>
                <w:bCs/>
                <w:color w:val="auto"/>
              </w:rPr>
              <w:t>生态</w:t>
            </w:r>
          </w:p>
        </w:tc>
        <w:tc>
          <w:tcPr>
            <w:tcW w:w="633" w:type="pct"/>
            <w:shd w:val="clear" w:color="auto" w:fill="auto"/>
            <w:noWrap w:val="0"/>
            <w:vAlign w:val="center"/>
          </w:tcPr>
          <w:p w14:paraId="36A060A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b/>
                <w:bCs/>
                <w:color w:val="auto"/>
              </w:rPr>
            </w:pPr>
            <w:r>
              <w:rPr>
                <w:rFonts w:hint="eastAsia"/>
                <w:b/>
                <w:bCs/>
                <w:color w:val="auto"/>
              </w:rPr>
              <w:t>噪声</w:t>
            </w:r>
          </w:p>
        </w:tc>
      </w:tr>
      <w:tr w14:paraId="1944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1" w:type="pct"/>
            <w:vMerge w:val="restart"/>
            <w:shd w:val="clear" w:color="auto" w:fill="auto"/>
            <w:noWrap w:val="0"/>
            <w:vAlign w:val="center"/>
          </w:tcPr>
          <w:p w14:paraId="17D902B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color w:val="auto"/>
              </w:rPr>
            </w:pPr>
            <w:r>
              <w:rPr>
                <w:rFonts w:hint="eastAsia"/>
                <w:color w:val="auto"/>
              </w:rPr>
              <w:t>油气集输工程</w:t>
            </w:r>
          </w:p>
        </w:tc>
        <w:tc>
          <w:tcPr>
            <w:tcW w:w="309" w:type="pct"/>
            <w:shd w:val="clear" w:color="auto" w:fill="auto"/>
            <w:noWrap w:val="0"/>
            <w:vAlign w:val="center"/>
          </w:tcPr>
          <w:p w14:paraId="1B9B307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color w:val="auto"/>
              </w:rPr>
            </w:pPr>
            <w:r>
              <w:rPr>
                <w:rFonts w:hint="eastAsia"/>
                <w:color w:val="auto"/>
              </w:rPr>
              <w:t>施工期</w:t>
            </w:r>
          </w:p>
        </w:tc>
        <w:tc>
          <w:tcPr>
            <w:tcW w:w="678" w:type="pct"/>
            <w:shd w:val="clear" w:color="auto" w:fill="auto"/>
            <w:noWrap w:val="0"/>
            <w:vAlign w:val="center"/>
          </w:tcPr>
          <w:p w14:paraId="733FF313">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color w:val="auto"/>
              </w:rPr>
            </w:pPr>
            <w:r>
              <w:rPr>
                <w:rFonts w:hint="eastAsia"/>
                <w:color w:val="auto"/>
              </w:rPr>
              <w:t>颗粒物</w:t>
            </w:r>
          </w:p>
        </w:tc>
        <w:tc>
          <w:tcPr>
            <w:tcW w:w="908" w:type="pct"/>
            <w:shd w:val="clear" w:color="auto" w:fill="auto"/>
            <w:noWrap w:val="0"/>
            <w:vAlign w:val="center"/>
          </w:tcPr>
          <w:p w14:paraId="0D09B0B0">
            <w:pPr>
              <w:keepNext w:val="0"/>
              <w:keepLines w:val="0"/>
              <w:pageBreakBefore w:val="0"/>
              <w:widowControl/>
              <w:kinsoku/>
              <w:wordWrap/>
              <w:overflowPunct/>
              <w:topLinePunct w:val="0"/>
              <w:autoSpaceDE/>
              <w:autoSpaceDN/>
              <w:bidi w:val="0"/>
              <w:adjustRightInd/>
              <w:snapToGrid/>
              <w:spacing w:line="240" w:lineRule="auto"/>
              <w:ind w:firstLine="0"/>
              <w:textAlignment w:val="auto"/>
              <w:rPr>
                <w:color w:val="auto"/>
              </w:rPr>
            </w:pPr>
            <w:r>
              <w:rPr>
                <w:rFonts w:hint="eastAsia"/>
                <w:color w:val="auto"/>
              </w:rPr>
              <w:t>耗氧量、氨氮、石油类等</w:t>
            </w:r>
          </w:p>
        </w:tc>
        <w:tc>
          <w:tcPr>
            <w:tcW w:w="520" w:type="pct"/>
            <w:shd w:val="clear" w:color="auto" w:fill="auto"/>
            <w:noWrap w:val="0"/>
            <w:vAlign w:val="center"/>
          </w:tcPr>
          <w:p w14:paraId="601CE1C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color w:val="auto"/>
              </w:rPr>
            </w:pPr>
            <w:r>
              <w:rPr>
                <w:color w:val="auto"/>
              </w:rPr>
              <w:t>/</w:t>
            </w:r>
          </w:p>
        </w:tc>
        <w:tc>
          <w:tcPr>
            <w:tcW w:w="1097" w:type="pct"/>
            <w:shd w:val="clear" w:color="auto" w:fill="auto"/>
            <w:noWrap w:val="0"/>
            <w:vAlign w:val="center"/>
          </w:tcPr>
          <w:p w14:paraId="6701D24A">
            <w:pPr>
              <w:keepNext w:val="0"/>
              <w:keepLines w:val="0"/>
              <w:pageBreakBefore w:val="0"/>
              <w:widowControl/>
              <w:kinsoku/>
              <w:wordWrap/>
              <w:overflowPunct/>
              <w:topLinePunct w:val="0"/>
              <w:autoSpaceDE/>
              <w:autoSpaceDN/>
              <w:bidi w:val="0"/>
              <w:adjustRightInd/>
              <w:snapToGrid/>
              <w:spacing w:line="240" w:lineRule="auto"/>
              <w:ind w:firstLine="0"/>
              <w:textAlignment w:val="auto"/>
              <w:rPr>
                <w:color w:val="auto"/>
              </w:rPr>
            </w:pPr>
            <w:r>
              <w:rPr>
                <w:rFonts w:hint="eastAsia"/>
                <w:color w:val="auto"/>
              </w:rPr>
              <w:t>地表扰动面积及类型、植被覆盖度、生物量损失、物种多样性、生态系统完整性等</w:t>
            </w:r>
          </w:p>
        </w:tc>
        <w:tc>
          <w:tcPr>
            <w:tcW w:w="633" w:type="pct"/>
            <w:shd w:val="clear" w:color="auto" w:fill="auto"/>
            <w:noWrap w:val="0"/>
            <w:vAlign w:val="center"/>
          </w:tcPr>
          <w:p w14:paraId="00688BDB">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color w:val="auto"/>
              </w:rPr>
            </w:pPr>
            <w:r>
              <w:rPr>
                <w:color w:val="auto"/>
              </w:rPr>
              <w:t>/</w:t>
            </w:r>
          </w:p>
        </w:tc>
      </w:tr>
      <w:tr w14:paraId="4A10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1" w:type="pct"/>
            <w:vMerge w:val="continue"/>
            <w:shd w:val="clear" w:color="auto" w:fill="auto"/>
            <w:noWrap w:val="0"/>
            <w:vAlign w:val="center"/>
          </w:tcPr>
          <w:p w14:paraId="4CF2E500">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color w:val="auto"/>
              </w:rPr>
            </w:pPr>
          </w:p>
        </w:tc>
        <w:tc>
          <w:tcPr>
            <w:tcW w:w="309" w:type="pct"/>
            <w:shd w:val="clear" w:color="auto" w:fill="auto"/>
            <w:noWrap w:val="0"/>
            <w:vAlign w:val="center"/>
          </w:tcPr>
          <w:p w14:paraId="5E5707BF">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color w:val="auto"/>
              </w:rPr>
            </w:pPr>
            <w:r>
              <w:rPr>
                <w:rFonts w:hint="eastAsia"/>
                <w:color w:val="auto"/>
              </w:rPr>
              <w:t>运营期</w:t>
            </w:r>
          </w:p>
        </w:tc>
        <w:tc>
          <w:tcPr>
            <w:tcW w:w="678" w:type="pct"/>
            <w:shd w:val="clear" w:color="auto" w:fill="auto"/>
            <w:noWrap w:val="0"/>
            <w:vAlign w:val="center"/>
          </w:tcPr>
          <w:p w14:paraId="7E2FA07C">
            <w:pPr>
              <w:keepNext w:val="0"/>
              <w:keepLines w:val="0"/>
              <w:pageBreakBefore w:val="0"/>
              <w:widowControl/>
              <w:kinsoku/>
              <w:wordWrap/>
              <w:overflowPunct/>
              <w:topLinePunct w:val="0"/>
              <w:autoSpaceDE/>
              <w:autoSpaceDN/>
              <w:bidi w:val="0"/>
              <w:adjustRightInd/>
              <w:snapToGrid/>
              <w:spacing w:line="240" w:lineRule="auto"/>
              <w:ind w:firstLine="0"/>
              <w:textAlignment w:val="auto"/>
              <w:rPr>
                <w:color w:val="auto"/>
              </w:rPr>
            </w:pPr>
            <w:r>
              <w:rPr>
                <w:rFonts w:hint="eastAsia"/>
                <w:color w:val="auto"/>
              </w:rPr>
              <w:t>非甲烷总烃</w:t>
            </w:r>
          </w:p>
        </w:tc>
        <w:tc>
          <w:tcPr>
            <w:tcW w:w="908" w:type="pct"/>
            <w:shd w:val="clear" w:color="auto" w:fill="auto"/>
            <w:noWrap w:val="0"/>
            <w:vAlign w:val="center"/>
          </w:tcPr>
          <w:p w14:paraId="1185BA29">
            <w:pPr>
              <w:keepNext w:val="0"/>
              <w:keepLines w:val="0"/>
              <w:pageBreakBefore w:val="0"/>
              <w:widowControl/>
              <w:kinsoku/>
              <w:wordWrap/>
              <w:overflowPunct/>
              <w:topLinePunct w:val="0"/>
              <w:autoSpaceDE/>
              <w:autoSpaceDN/>
              <w:bidi w:val="0"/>
              <w:adjustRightInd/>
              <w:snapToGrid/>
              <w:spacing w:line="240" w:lineRule="auto"/>
              <w:ind w:firstLine="0"/>
              <w:textAlignment w:val="auto"/>
              <w:rPr>
                <w:color w:val="auto"/>
              </w:rPr>
            </w:pPr>
            <w:r>
              <w:rPr>
                <w:rFonts w:hint="eastAsia"/>
                <w:color w:val="auto"/>
              </w:rPr>
              <w:t>耗氧量、氨氮、石油类等</w:t>
            </w:r>
          </w:p>
        </w:tc>
        <w:tc>
          <w:tcPr>
            <w:tcW w:w="520" w:type="pct"/>
            <w:shd w:val="clear" w:color="auto" w:fill="auto"/>
            <w:noWrap w:val="0"/>
            <w:vAlign w:val="center"/>
          </w:tcPr>
          <w:p w14:paraId="4CA4934F">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color w:val="auto"/>
              </w:rPr>
            </w:pPr>
            <w:r>
              <w:rPr>
                <w:color w:val="auto"/>
              </w:rPr>
              <w:t>/</w:t>
            </w:r>
          </w:p>
        </w:tc>
        <w:tc>
          <w:tcPr>
            <w:tcW w:w="1097" w:type="pct"/>
            <w:shd w:val="clear" w:color="auto" w:fill="auto"/>
            <w:noWrap w:val="0"/>
            <w:vAlign w:val="center"/>
          </w:tcPr>
          <w:p w14:paraId="12DDA4CA">
            <w:pPr>
              <w:keepNext w:val="0"/>
              <w:keepLines w:val="0"/>
              <w:pageBreakBefore w:val="0"/>
              <w:widowControl/>
              <w:kinsoku/>
              <w:wordWrap/>
              <w:overflowPunct/>
              <w:topLinePunct w:val="0"/>
              <w:autoSpaceDE/>
              <w:autoSpaceDN/>
              <w:bidi w:val="0"/>
              <w:adjustRightInd/>
              <w:snapToGrid/>
              <w:spacing w:line="240" w:lineRule="auto"/>
              <w:ind w:firstLine="0"/>
              <w:textAlignment w:val="auto"/>
              <w:rPr>
                <w:color w:val="auto"/>
              </w:rPr>
            </w:pPr>
            <w:r>
              <w:rPr>
                <w:rFonts w:hint="eastAsia"/>
                <w:color w:val="auto"/>
              </w:rPr>
              <w:t>土壤肥力、生物多样性、生态系统完整性等</w:t>
            </w:r>
          </w:p>
        </w:tc>
        <w:tc>
          <w:tcPr>
            <w:tcW w:w="633" w:type="pct"/>
            <w:shd w:val="clear" w:color="auto" w:fill="auto"/>
            <w:noWrap w:val="0"/>
            <w:vAlign w:val="center"/>
          </w:tcPr>
          <w:p w14:paraId="344C53EE">
            <w:pPr>
              <w:keepNext w:val="0"/>
              <w:keepLines w:val="0"/>
              <w:pageBreakBefore w:val="0"/>
              <w:widowControl/>
              <w:kinsoku/>
              <w:wordWrap/>
              <w:overflowPunct/>
              <w:topLinePunct w:val="0"/>
              <w:autoSpaceDE/>
              <w:autoSpaceDN/>
              <w:bidi w:val="0"/>
              <w:adjustRightInd/>
              <w:snapToGrid/>
              <w:spacing w:line="240" w:lineRule="auto"/>
              <w:ind w:firstLine="0"/>
              <w:textAlignment w:val="auto"/>
              <w:rPr>
                <w:color w:val="auto"/>
              </w:rPr>
            </w:pPr>
            <w:r>
              <w:rPr>
                <w:rFonts w:hint="eastAsia"/>
                <w:color w:val="auto"/>
              </w:rPr>
              <w:t>昼间等效声级（</w:t>
            </w:r>
            <w:r>
              <w:rPr>
                <w:color w:val="auto"/>
              </w:rPr>
              <w:t>Ld</w:t>
            </w:r>
            <w:r>
              <w:rPr>
                <w:rFonts w:hint="eastAsia"/>
                <w:color w:val="auto"/>
              </w:rPr>
              <w:t>）、夜间等效声级（</w:t>
            </w:r>
            <w:r>
              <w:rPr>
                <w:color w:val="auto"/>
              </w:rPr>
              <w:t>Ln</w:t>
            </w:r>
            <w:r>
              <w:rPr>
                <w:rFonts w:hint="eastAsia"/>
                <w:color w:val="auto"/>
              </w:rPr>
              <w:t>）</w:t>
            </w:r>
          </w:p>
        </w:tc>
      </w:tr>
    </w:tbl>
    <w:p w14:paraId="062D8F7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p>
    <w:p w14:paraId="7BE3C53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sectPr>
          <w:pgSz w:w="11906" w:h="16838"/>
          <w:pgMar w:top="1440" w:right="1800" w:bottom="1440" w:left="1800" w:header="851" w:footer="1134" w:gutter="0"/>
          <w:pgBorders>
            <w:top w:val="none" w:sz="0" w:space="0"/>
            <w:left w:val="none" w:sz="0" w:space="0"/>
            <w:bottom w:val="none" w:sz="0" w:space="0"/>
            <w:right w:val="none" w:sz="0" w:space="0"/>
          </w:pgBorders>
          <w:pgNumType w:fmt="decimal"/>
          <w:cols w:space="425" w:num="1"/>
          <w:docGrid w:type="lines" w:linePitch="312" w:charSpace="0"/>
        </w:sectPr>
      </w:pPr>
    </w:p>
    <w:p w14:paraId="6215F30D">
      <w:pPr>
        <w:pStyle w:val="43"/>
        <w:bidi w:val="0"/>
        <w:rPr>
          <w:rFonts w:hint="eastAsia" w:eastAsia="宋体"/>
          <w:color w:val="auto"/>
          <w:lang w:val="en-US" w:eastAsia="zh-CN"/>
        </w:rPr>
      </w:pPr>
      <w:bookmarkStart w:id="80" w:name="_Ref91283506"/>
      <w:r>
        <w:rPr>
          <w:rFonts w:hint="eastAsia" w:eastAsia="宋体"/>
          <w:color w:val="auto"/>
          <w:lang w:val="en-US" w:eastAsia="zh-CN"/>
        </w:rPr>
        <w:t>表2.3-1  环境影响因素识别</w:t>
      </w:r>
    </w:p>
    <w:bookmarkEnd w:id="80"/>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482"/>
        <w:gridCol w:w="1709"/>
        <w:gridCol w:w="1713"/>
        <w:gridCol w:w="1713"/>
        <w:gridCol w:w="1713"/>
        <w:gridCol w:w="1713"/>
        <w:gridCol w:w="1713"/>
        <w:gridCol w:w="1758"/>
      </w:tblGrid>
      <w:tr w14:paraId="3E65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restart"/>
            <w:vAlign w:val="center"/>
          </w:tcPr>
          <w:p w14:paraId="2C5988AA">
            <w:pPr>
              <w:pStyle w:val="42"/>
              <w:rPr>
                <w:b/>
                <w:bCs/>
                <w:color w:val="auto"/>
              </w:rPr>
            </w:pPr>
            <w:r>
              <w:rPr>
                <w:b/>
                <w:bCs/>
                <w:color w:val="auto"/>
              </w:rPr>
              <w:t>阶段</w:t>
            </w:r>
          </w:p>
        </w:tc>
        <w:tc>
          <w:tcPr>
            <w:tcW w:w="523" w:type="pct"/>
            <w:vMerge w:val="restart"/>
            <w:vAlign w:val="center"/>
          </w:tcPr>
          <w:p w14:paraId="15FEBFFE">
            <w:pPr>
              <w:pStyle w:val="42"/>
              <w:rPr>
                <w:b/>
                <w:bCs/>
                <w:color w:val="auto"/>
              </w:rPr>
            </w:pPr>
            <w:r>
              <w:rPr>
                <w:b/>
                <w:bCs/>
                <w:color w:val="auto"/>
              </w:rPr>
              <w:t>作业工程</w:t>
            </w:r>
          </w:p>
        </w:tc>
        <w:tc>
          <w:tcPr>
            <w:tcW w:w="4243" w:type="pct"/>
            <w:gridSpan w:val="7"/>
            <w:vAlign w:val="center"/>
          </w:tcPr>
          <w:p w14:paraId="7FDFE196">
            <w:pPr>
              <w:pStyle w:val="42"/>
              <w:rPr>
                <w:b/>
                <w:bCs/>
                <w:color w:val="auto"/>
              </w:rPr>
            </w:pPr>
            <w:r>
              <w:rPr>
                <w:b/>
                <w:bCs/>
                <w:color w:val="auto"/>
              </w:rPr>
              <w:t>环境影响因素</w:t>
            </w:r>
          </w:p>
        </w:tc>
      </w:tr>
      <w:tr w14:paraId="465C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vAlign w:val="center"/>
          </w:tcPr>
          <w:p w14:paraId="6128D932">
            <w:pPr>
              <w:pStyle w:val="42"/>
              <w:rPr>
                <w:b/>
                <w:bCs/>
                <w:color w:val="auto"/>
              </w:rPr>
            </w:pPr>
          </w:p>
        </w:tc>
        <w:tc>
          <w:tcPr>
            <w:tcW w:w="523" w:type="pct"/>
            <w:vMerge w:val="continue"/>
            <w:vAlign w:val="center"/>
          </w:tcPr>
          <w:p w14:paraId="39AFBC5A">
            <w:pPr>
              <w:pStyle w:val="42"/>
              <w:rPr>
                <w:b/>
                <w:bCs/>
                <w:color w:val="auto"/>
              </w:rPr>
            </w:pPr>
          </w:p>
        </w:tc>
        <w:tc>
          <w:tcPr>
            <w:tcW w:w="603" w:type="pct"/>
            <w:vAlign w:val="center"/>
          </w:tcPr>
          <w:p w14:paraId="516D035D">
            <w:pPr>
              <w:pStyle w:val="42"/>
              <w:rPr>
                <w:b/>
                <w:bCs/>
                <w:color w:val="auto"/>
              </w:rPr>
            </w:pPr>
            <w:r>
              <w:rPr>
                <w:b/>
                <w:bCs/>
                <w:color w:val="auto"/>
              </w:rPr>
              <w:t>废气</w:t>
            </w:r>
          </w:p>
        </w:tc>
        <w:tc>
          <w:tcPr>
            <w:tcW w:w="604" w:type="pct"/>
            <w:vAlign w:val="center"/>
          </w:tcPr>
          <w:p w14:paraId="5F51C303">
            <w:pPr>
              <w:pStyle w:val="42"/>
              <w:rPr>
                <w:b/>
                <w:bCs/>
                <w:color w:val="auto"/>
              </w:rPr>
            </w:pPr>
            <w:r>
              <w:rPr>
                <w:b/>
                <w:bCs/>
                <w:color w:val="auto"/>
              </w:rPr>
              <w:t>废水</w:t>
            </w:r>
          </w:p>
        </w:tc>
        <w:tc>
          <w:tcPr>
            <w:tcW w:w="604" w:type="pct"/>
            <w:vAlign w:val="center"/>
          </w:tcPr>
          <w:p w14:paraId="35FD5B76">
            <w:pPr>
              <w:pStyle w:val="42"/>
              <w:rPr>
                <w:b/>
                <w:bCs/>
                <w:color w:val="auto"/>
              </w:rPr>
            </w:pPr>
            <w:r>
              <w:rPr>
                <w:b/>
                <w:bCs/>
                <w:color w:val="auto"/>
              </w:rPr>
              <w:t>噪声</w:t>
            </w:r>
          </w:p>
        </w:tc>
        <w:tc>
          <w:tcPr>
            <w:tcW w:w="604" w:type="pct"/>
            <w:vAlign w:val="center"/>
          </w:tcPr>
          <w:p w14:paraId="318945CA">
            <w:pPr>
              <w:pStyle w:val="42"/>
              <w:rPr>
                <w:b/>
                <w:bCs/>
                <w:color w:val="auto"/>
              </w:rPr>
            </w:pPr>
            <w:r>
              <w:rPr>
                <w:b/>
                <w:bCs/>
                <w:color w:val="auto"/>
              </w:rPr>
              <w:t>固废</w:t>
            </w:r>
          </w:p>
        </w:tc>
        <w:tc>
          <w:tcPr>
            <w:tcW w:w="604" w:type="pct"/>
            <w:vAlign w:val="center"/>
          </w:tcPr>
          <w:p w14:paraId="7B658E40">
            <w:pPr>
              <w:pStyle w:val="42"/>
              <w:rPr>
                <w:b/>
                <w:bCs/>
                <w:color w:val="auto"/>
              </w:rPr>
            </w:pPr>
            <w:r>
              <w:rPr>
                <w:b/>
                <w:bCs/>
                <w:color w:val="auto"/>
              </w:rPr>
              <w:t>土壤</w:t>
            </w:r>
          </w:p>
        </w:tc>
        <w:tc>
          <w:tcPr>
            <w:tcW w:w="604" w:type="pct"/>
            <w:vAlign w:val="center"/>
          </w:tcPr>
          <w:p w14:paraId="05273827">
            <w:pPr>
              <w:pStyle w:val="42"/>
              <w:rPr>
                <w:b/>
                <w:bCs/>
                <w:color w:val="auto"/>
              </w:rPr>
            </w:pPr>
            <w:r>
              <w:rPr>
                <w:b/>
                <w:bCs/>
                <w:color w:val="auto"/>
              </w:rPr>
              <w:t>生态</w:t>
            </w:r>
          </w:p>
        </w:tc>
        <w:tc>
          <w:tcPr>
            <w:tcW w:w="619" w:type="pct"/>
            <w:vAlign w:val="center"/>
          </w:tcPr>
          <w:p w14:paraId="3716DC7D">
            <w:pPr>
              <w:pStyle w:val="42"/>
              <w:rPr>
                <w:b/>
                <w:bCs/>
                <w:color w:val="auto"/>
              </w:rPr>
            </w:pPr>
            <w:r>
              <w:rPr>
                <w:b/>
                <w:bCs/>
                <w:color w:val="auto"/>
              </w:rPr>
              <w:t>环境风险</w:t>
            </w:r>
          </w:p>
        </w:tc>
      </w:tr>
      <w:tr w14:paraId="6F17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restart"/>
            <w:vAlign w:val="center"/>
          </w:tcPr>
          <w:p w14:paraId="016C60AD">
            <w:pPr>
              <w:pStyle w:val="42"/>
              <w:rPr>
                <w:color w:val="auto"/>
              </w:rPr>
            </w:pPr>
            <w:r>
              <w:rPr>
                <w:color w:val="auto"/>
              </w:rPr>
              <w:t>施工期</w:t>
            </w:r>
          </w:p>
        </w:tc>
        <w:tc>
          <w:tcPr>
            <w:tcW w:w="523" w:type="pct"/>
            <w:shd w:val="clear" w:color="auto" w:fill="auto"/>
            <w:vAlign w:val="center"/>
          </w:tcPr>
          <w:p w14:paraId="3B7B33B6">
            <w:pPr>
              <w:pStyle w:val="42"/>
              <w:ind w:firstLine="0" w:firstLineChars="0"/>
              <w:rPr>
                <w:rFonts w:hint="default" w:ascii="Times New Roman" w:hAnsi="Times New Roman" w:eastAsia="宋体" w:cs="Times New Roman"/>
                <w:color w:val="auto"/>
                <w:sz w:val="21"/>
                <w:szCs w:val="22"/>
                <w:lang w:val="en-US" w:eastAsia="zh-CN" w:bidi="ar-SA"/>
              </w:rPr>
            </w:pPr>
            <w:r>
              <w:rPr>
                <w:color w:val="auto"/>
              </w:rPr>
              <w:t>设备运输</w:t>
            </w:r>
          </w:p>
        </w:tc>
        <w:tc>
          <w:tcPr>
            <w:tcW w:w="603" w:type="pct"/>
            <w:shd w:val="clear" w:color="auto" w:fill="auto"/>
            <w:vAlign w:val="center"/>
          </w:tcPr>
          <w:p w14:paraId="3E4D9498">
            <w:pPr>
              <w:pStyle w:val="42"/>
              <w:ind w:firstLine="0" w:firstLineChars="0"/>
              <w:rPr>
                <w:rFonts w:hint="default" w:ascii="Times New Roman" w:hAnsi="Times New Roman" w:eastAsia="宋体" w:cs="Times New Roman"/>
                <w:color w:val="auto"/>
                <w:sz w:val="21"/>
                <w:szCs w:val="22"/>
                <w:lang w:val="en-US" w:eastAsia="zh-CN" w:bidi="ar-SA"/>
              </w:rPr>
            </w:pPr>
            <w:r>
              <w:rPr>
                <w:color w:val="auto"/>
              </w:rPr>
              <w:t>扬尘</w:t>
            </w:r>
            <w:r>
              <w:rPr>
                <w:rFonts w:hint="eastAsia"/>
                <w:color w:val="auto"/>
                <w:lang w:eastAsia="zh-CN"/>
              </w:rPr>
              <w:t>、</w:t>
            </w:r>
            <w:r>
              <w:rPr>
                <w:rFonts w:hint="eastAsia"/>
                <w:color w:val="auto"/>
                <w:lang w:val="en-US" w:eastAsia="zh-CN"/>
              </w:rPr>
              <w:t>车辆尾气</w:t>
            </w:r>
          </w:p>
        </w:tc>
        <w:tc>
          <w:tcPr>
            <w:tcW w:w="604" w:type="pct"/>
            <w:shd w:val="clear" w:color="auto" w:fill="auto"/>
            <w:vAlign w:val="center"/>
          </w:tcPr>
          <w:p w14:paraId="74B2F318">
            <w:pPr>
              <w:pStyle w:val="42"/>
              <w:ind w:firstLine="0" w:firstLineChars="0"/>
              <w:rPr>
                <w:rFonts w:ascii="Times New Roman" w:hAnsi="Times New Roman" w:eastAsia="宋体" w:cs="Times New Roman"/>
                <w:color w:val="auto"/>
                <w:sz w:val="21"/>
                <w:szCs w:val="22"/>
                <w:lang w:val="en-US" w:eastAsia="zh-CN" w:bidi="ar-SA"/>
              </w:rPr>
            </w:pPr>
            <w:r>
              <w:rPr>
                <w:color w:val="auto"/>
              </w:rPr>
              <w:t>/</w:t>
            </w:r>
          </w:p>
        </w:tc>
        <w:tc>
          <w:tcPr>
            <w:tcW w:w="604" w:type="pct"/>
            <w:shd w:val="clear" w:color="auto" w:fill="auto"/>
            <w:vAlign w:val="center"/>
          </w:tcPr>
          <w:p w14:paraId="41BC95D7">
            <w:pPr>
              <w:pStyle w:val="42"/>
              <w:ind w:firstLine="0" w:firstLineChars="0"/>
              <w:rPr>
                <w:rFonts w:ascii="Times New Roman" w:hAnsi="Times New Roman" w:eastAsia="宋体" w:cs="Times New Roman"/>
                <w:color w:val="auto"/>
                <w:sz w:val="21"/>
                <w:szCs w:val="22"/>
                <w:lang w:val="en-US" w:eastAsia="zh-CN" w:bidi="ar-SA"/>
              </w:rPr>
            </w:pPr>
            <w:r>
              <w:rPr>
                <w:color w:val="auto"/>
              </w:rPr>
              <w:t>交通噪声</w:t>
            </w:r>
          </w:p>
        </w:tc>
        <w:tc>
          <w:tcPr>
            <w:tcW w:w="604" w:type="pct"/>
            <w:shd w:val="clear" w:color="auto" w:fill="auto"/>
            <w:vAlign w:val="center"/>
          </w:tcPr>
          <w:p w14:paraId="486D2794">
            <w:pPr>
              <w:pStyle w:val="42"/>
              <w:ind w:firstLine="0" w:firstLineChars="0"/>
              <w:rPr>
                <w:rFonts w:ascii="Times New Roman" w:hAnsi="Times New Roman" w:eastAsia="宋体" w:cs="Times New Roman"/>
                <w:color w:val="auto"/>
                <w:sz w:val="21"/>
                <w:szCs w:val="22"/>
                <w:lang w:val="en-US" w:eastAsia="zh-CN" w:bidi="ar-SA"/>
              </w:rPr>
            </w:pPr>
            <w:r>
              <w:rPr>
                <w:color w:val="auto"/>
              </w:rPr>
              <w:t>/</w:t>
            </w:r>
          </w:p>
        </w:tc>
        <w:tc>
          <w:tcPr>
            <w:tcW w:w="604" w:type="pct"/>
            <w:shd w:val="clear" w:color="auto" w:fill="auto"/>
            <w:vAlign w:val="center"/>
          </w:tcPr>
          <w:p w14:paraId="173266D2">
            <w:pPr>
              <w:pStyle w:val="42"/>
              <w:ind w:firstLine="0" w:firstLineChars="0"/>
              <w:rPr>
                <w:rFonts w:ascii="Times New Roman" w:hAnsi="Times New Roman" w:eastAsia="宋体" w:cs="Times New Roman"/>
                <w:color w:val="auto"/>
                <w:sz w:val="21"/>
                <w:szCs w:val="22"/>
                <w:lang w:val="en-US" w:eastAsia="zh-CN" w:bidi="ar-SA"/>
              </w:rPr>
            </w:pPr>
            <w:r>
              <w:rPr>
                <w:color w:val="auto"/>
              </w:rPr>
              <w:t>/</w:t>
            </w:r>
          </w:p>
        </w:tc>
        <w:tc>
          <w:tcPr>
            <w:tcW w:w="604" w:type="pct"/>
            <w:shd w:val="clear" w:color="auto" w:fill="auto"/>
            <w:vAlign w:val="top"/>
          </w:tcPr>
          <w:p w14:paraId="29D827A0">
            <w:pPr>
              <w:pStyle w:val="42"/>
              <w:ind w:firstLine="0" w:firstLineChars="0"/>
              <w:rPr>
                <w:rFonts w:ascii="Times New Roman" w:hAnsi="Times New Roman" w:eastAsia="宋体" w:cs="Times New Roman"/>
                <w:color w:val="auto"/>
                <w:sz w:val="21"/>
                <w:szCs w:val="22"/>
                <w:lang w:val="en-US" w:eastAsia="zh-CN" w:bidi="ar-SA"/>
              </w:rPr>
            </w:pPr>
            <w:r>
              <w:rPr>
                <w:color w:val="auto"/>
              </w:rPr>
              <w:t>/</w:t>
            </w:r>
          </w:p>
        </w:tc>
        <w:tc>
          <w:tcPr>
            <w:tcW w:w="619" w:type="pct"/>
            <w:shd w:val="clear" w:color="auto" w:fill="auto"/>
            <w:vAlign w:val="top"/>
          </w:tcPr>
          <w:p w14:paraId="73BD0758">
            <w:pPr>
              <w:pStyle w:val="42"/>
              <w:ind w:firstLine="0" w:firstLineChars="0"/>
              <w:rPr>
                <w:rFonts w:ascii="Times New Roman" w:hAnsi="Times New Roman" w:eastAsia="宋体" w:cs="Times New Roman"/>
                <w:color w:val="auto"/>
                <w:sz w:val="21"/>
                <w:szCs w:val="22"/>
                <w:lang w:val="en-US" w:eastAsia="zh-CN" w:bidi="ar-SA"/>
              </w:rPr>
            </w:pPr>
            <w:r>
              <w:rPr>
                <w:color w:val="auto"/>
              </w:rPr>
              <w:t>/</w:t>
            </w:r>
          </w:p>
        </w:tc>
      </w:tr>
      <w:tr w14:paraId="0374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vAlign w:val="center"/>
          </w:tcPr>
          <w:p w14:paraId="3771FD2D">
            <w:pPr>
              <w:pStyle w:val="42"/>
              <w:rPr>
                <w:color w:val="auto"/>
              </w:rPr>
            </w:pPr>
          </w:p>
        </w:tc>
        <w:tc>
          <w:tcPr>
            <w:tcW w:w="523" w:type="pct"/>
            <w:shd w:val="clear" w:color="auto" w:fill="auto"/>
            <w:vAlign w:val="center"/>
          </w:tcPr>
          <w:p w14:paraId="687797ED">
            <w:pPr>
              <w:pStyle w:val="42"/>
              <w:ind w:firstLine="0" w:firstLineChars="0"/>
              <w:rPr>
                <w:rFonts w:ascii="Times New Roman" w:hAnsi="Times New Roman" w:eastAsia="宋体" w:cs="Times New Roman"/>
                <w:color w:val="auto"/>
                <w:sz w:val="21"/>
                <w:szCs w:val="22"/>
                <w:lang w:val="en-US" w:eastAsia="zh-CN" w:bidi="ar-SA"/>
              </w:rPr>
            </w:pPr>
            <w:r>
              <w:rPr>
                <w:color w:val="auto"/>
              </w:rPr>
              <w:t>土方开挖</w:t>
            </w:r>
          </w:p>
        </w:tc>
        <w:tc>
          <w:tcPr>
            <w:tcW w:w="603" w:type="pct"/>
            <w:shd w:val="clear" w:color="auto" w:fill="auto"/>
            <w:vAlign w:val="center"/>
          </w:tcPr>
          <w:p w14:paraId="6F736EF5">
            <w:pPr>
              <w:pStyle w:val="42"/>
              <w:ind w:firstLine="0" w:firstLineChars="0"/>
              <w:rPr>
                <w:rFonts w:hint="default" w:ascii="Times New Roman" w:hAnsi="Times New Roman" w:eastAsia="宋体" w:cs="Times New Roman"/>
                <w:color w:val="auto"/>
                <w:sz w:val="21"/>
                <w:szCs w:val="22"/>
                <w:lang w:val="en-US" w:eastAsia="zh-CN" w:bidi="ar"/>
              </w:rPr>
            </w:pPr>
            <w:r>
              <w:rPr>
                <w:color w:val="auto"/>
              </w:rPr>
              <w:t>扬尘</w:t>
            </w:r>
            <w:r>
              <w:rPr>
                <w:rFonts w:hint="eastAsia"/>
                <w:color w:val="auto"/>
                <w:lang w:eastAsia="zh-CN"/>
              </w:rPr>
              <w:t>、</w:t>
            </w:r>
            <w:r>
              <w:rPr>
                <w:rFonts w:hint="eastAsia"/>
                <w:color w:val="auto"/>
                <w:lang w:val="en-US" w:eastAsia="zh-CN"/>
              </w:rPr>
              <w:t>车辆尾气</w:t>
            </w:r>
          </w:p>
        </w:tc>
        <w:tc>
          <w:tcPr>
            <w:tcW w:w="604" w:type="pct"/>
            <w:shd w:val="clear" w:color="auto" w:fill="auto"/>
            <w:vAlign w:val="center"/>
          </w:tcPr>
          <w:p w14:paraId="5B85BFF6">
            <w:pPr>
              <w:pStyle w:val="42"/>
              <w:ind w:firstLine="0" w:firstLineChars="0"/>
              <w:rPr>
                <w:rFonts w:ascii="Times New Roman" w:hAnsi="Times New Roman" w:eastAsia="宋体" w:cs="Times New Roman"/>
                <w:color w:val="auto"/>
                <w:sz w:val="21"/>
                <w:szCs w:val="22"/>
                <w:lang w:val="en-US" w:eastAsia="zh-CN" w:bidi="ar"/>
              </w:rPr>
            </w:pPr>
            <w:r>
              <w:rPr>
                <w:color w:val="auto"/>
              </w:rPr>
              <w:t>/</w:t>
            </w:r>
          </w:p>
        </w:tc>
        <w:tc>
          <w:tcPr>
            <w:tcW w:w="604" w:type="pct"/>
            <w:shd w:val="clear" w:color="auto" w:fill="auto"/>
            <w:vAlign w:val="center"/>
          </w:tcPr>
          <w:p w14:paraId="0DE12B05">
            <w:pPr>
              <w:pStyle w:val="42"/>
              <w:ind w:firstLine="0" w:firstLineChars="0"/>
              <w:rPr>
                <w:rFonts w:ascii="Times New Roman" w:hAnsi="Times New Roman" w:eastAsia="宋体" w:cs="Times New Roman"/>
                <w:color w:val="auto"/>
                <w:sz w:val="21"/>
                <w:szCs w:val="22"/>
                <w:lang w:val="en-US" w:eastAsia="zh-CN" w:bidi="ar"/>
              </w:rPr>
            </w:pPr>
            <w:r>
              <w:rPr>
                <w:color w:val="auto"/>
              </w:rPr>
              <w:t>机械噪声</w:t>
            </w:r>
          </w:p>
        </w:tc>
        <w:tc>
          <w:tcPr>
            <w:tcW w:w="604" w:type="pct"/>
            <w:shd w:val="clear" w:color="auto" w:fill="auto"/>
            <w:vAlign w:val="center"/>
          </w:tcPr>
          <w:p w14:paraId="66A8ADF0">
            <w:pPr>
              <w:pStyle w:val="42"/>
              <w:ind w:firstLine="0" w:firstLineChars="0"/>
              <w:rPr>
                <w:rFonts w:hint="eastAsia" w:ascii="Times New Roman" w:hAnsi="Times New Roman" w:eastAsia="宋体" w:cs="Times New Roman"/>
                <w:color w:val="auto"/>
                <w:sz w:val="21"/>
                <w:szCs w:val="22"/>
                <w:lang w:val="en-US" w:eastAsia="zh-CN" w:bidi="ar"/>
              </w:rPr>
            </w:pPr>
            <w:r>
              <w:rPr>
                <w:rFonts w:hint="eastAsia"/>
                <w:color w:val="auto"/>
                <w:lang w:val="en-US" w:eastAsia="zh-CN" w:bidi="ar"/>
              </w:rPr>
              <w:t>土石方</w:t>
            </w:r>
          </w:p>
        </w:tc>
        <w:tc>
          <w:tcPr>
            <w:tcW w:w="604" w:type="pct"/>
            <w:shd w:val="clear" w:color="auto" w:fill="auto"/>
            <w:vAlign w:val="center"/>
          </w:tcPr>
          <w:p w14:paraId="091D3B97">
            <w:pPr>
              <w:pStyle w:val="42"/>
              <w:ind w:firstLine="0" w:firstLineChars="0"/>
              <w:rPr>
                <w:rFonts w:ascii="Times New Roman" w:hAnsi="Times New Roman" w:eastAsia="宋体" w:cs="Times New Roman"/>
                <w:color w:val="auto"/>
                <w:sz w:val="21"/>
                <w:szCs w:val="22"/>
                <w:lang w:val="en-US" w:eastAsia="zh-CN" w:bidi="ar"/>
              </w:rPr>
            </w:pPr>
            <w:r>
              <w:rPr>
                <w:color w:val="auto"/>
              </w:rPr>
              <w:t>地表裸露、水土流失</w:t>
            </w:r>
          </w:p>
        </w:tc>
        <w:tc>
          <w:tcPr>
            <w:tcW w:w="604" w:type="pct"/>
            <w:shd w:val="clear" w:color="auto" w:fill="auto"/>
            <w:vAlign w:val="center"/>
          </w:tcPr>
          <w:p w14:paraId="10E72C8C">
            <w:pPr>
              <w:pStyle w:val="42"/>
              <w:ind w:firstLine="0" w:firstLineChars="0"/>
              <w:rPr>
                <w:rFonts w:ascii="Times New Roman" w:hAnsi="Times New Roman" w:eastAsia="宋体" w:cs="Times New Roman"/>
                <w:color w:val="auto"/>
                <w:sz w:val="21"/>
                <w:szCs w:val="22"/>
                <w:lang w:val="en-US" w:eastAsia="zh-CN" w:bidi="ar"/>
              </w:rPr>
            </w:pPr>
            <w:r>
              <w:rPr>
                <w:color w:val="auto"/>
              </w:rPr>
              <w:t>植被破坏</w:t>
            </w:r>
          </w:p>
        </w:tc>
        <w:tc>
          <w:tcPr>
            <w:tcW w:w="619" w:type="pct"/>
            <w:shd w:val="clear" w:color="auto" w:fill="auto"/>
            <w:vAlign w:val="center"/>
          </w:tcPr>
          <w:p w14:paraId="5639753B">
            <w:pPr>
              <w:pStyle w:val="42"/>
              <w:ind w:firstLine="0" w:firstLineChars="0"/>
              <w:rPr>
                <w:rFonts w:ascii="Times New Roman" w:hAnsi="Times New Roman" w:eastAsia="宋体" w:cs="Times New Roman"/>
                <w:color w:val="auto"/>
                <w:sz w:val="21"/>
                <w:szCs w:val="22"/>
                <w:lang w:val="en-US" w:eastAsia="zh-CN" w:bidi="ar"/>
              </w:rPr>
            </w:pPr>
            <w:r>
              <w:rPr>
                <w:color w:val="auto"/>
              </w:rPr>
              <w:t>/</w:t>
            </w:r>
          </w:p>
        </w:tc>
      </w:tr>
      <w:tr w14:paraId="7491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vAlign w:val="center"/>
          </w:tcPr>
          <w:p w14:paraId="699E4F31">
            <w:pPr>
              <w:pStyle w:val="42"/>
              <w:rPr>
                <w:color w:val="auto"/>
              </w:rPr>
            </w:pPr>
          </w:p>
        </w:tc>
        <w:tc>
          <w:tcPr>
            <w:tcW w:w="523" w:type="pct"/>
            <w:shd w:val="clear" w:color="auto" w:fill="auto"/>
            <w:vAlign w:val="center"/>
          </w:tcPr>
          <w:p w14:paraId="20D4C828">
            <w:pPr>
              <w:pStyle w:val="42"/>
              <w:ind w:firstLine="0" w:firstLineChars="0"/>
              <w:rPr>
                <w:rFonts w:ascii="Times New Roman" w:hAnsi="Times New Roman" w:eastAsia="宋体" w:cs="Times New Roman"/>
                <w:color w:val="auto"/>
                <w:sz w:val="21"/>
                <w:szCs w:val="22"/>
                <w:lang w:val="en-US" w:eastAsia="zh-CN" w:bidi="ar-SA"/>
              </w:rPr>
            </w:pPr>
            <w:r>
              <w:rPr>
                <w:color w:val="auto"/>
              </w:rPr>
              <w:t>设备安装</w:t>
            </w:r>
          </w:p>
        </w:tc>
        <w:tc>
          <w:tcPr>
            <w:tcW w:w="603" w:type="pct"/>
            <w:shd w:val="clear" w:color="auto" w:fill="auto"/>
            <w:vAlign w:val="center"/>
          </w:tcPr>
          <w:p w14:paraId="6A38A715">
            <w:pPr>
              <w:pStyle w:val="42"/>
              <w:ind w:firstLine="0" w:firstLineChars="0"/>
              <w:rPr>
                <w:rFonts w:hint="default" w:ascii="Times New Roman" w:hAnsi="Times New Roman" w:eastAsia="宋体" w:cs="Times New Roman"/>
                <w:color w:val="auto"/>
                <w:sz w:val="21"/>
                <w:szCs w:val="22"/>
                <w:lang w:val="en-US" w:eastAsia="zh-CN" w:bidi="ar"/>
              </w:rPr>
            </w:pPr>
            <w:r>
              <w:rPr>
                <w:rFonts w:hint="eastAsia" w:cs="Times New Roman"/>
                <w:color w:val="auto"/>
                <w:sz w:val="21"/>
                <w:szCs w:val="22"/>
                <w:lang w:val="en-US" w:eastAsia="zh-CN" w:bidi="ar"/>
              </w:rPr>
              <w:t>管道焊接、防腐废气</w:t>
            </w:r>
          </w:p>
        </w:tc>
        <w:tc>
          <w:tcPr>
            <w:tcW w:w="604" w:type="pct"/>
            <w:shd w:val="clear" w:color="auto" w:fill="auto"/>
            <w:vAlign w:val="center"/>
          </w:tcPr>
          <w:p w14:paraId="43098916">
            <w:pPr>
              <w:pStyle w:val="42"/>
              <w:ind w:firstLine="0" w:firstLineChars="0"/>
              <w:rPr>
                <w:rFonts w:ascii="Times New Roman" w:hAnsi="Times New Roman" w:eastAsia="宋体" w:cs="Times New Roman"/>
                <w:color w:val="auto"/>
                <w:sz w:val="21"/>
                <w:szCs w:val="22"/>
                <w:lang w:val="en-US" w:eastAsia="zh-CN" w:bidi="ar"/>
              </w:rPr>
            </w:pPr>
            <w:r>
              <w:rPr>
                <w:color w:val="auto"/>
              </w:rPr>
              <w:t>/</w:t>
            </w:r>
          </w:p>
        </w:tc>
        <w:tc>
          <w:tcPr>
            <w:tcW w:w="604" w:type="pct"/>
            <w:shd w:val="clear" w:color="auto" w:fill="auto"/>
            <w:vAlign w:val="center"/>
          </w:tcPr>
          <w:p w14:paraId="27723963">
            <w:pPr>
              <w:pStyle w:val="42"/>
              <w:ind w:firstLine="0" w:firstLineChars="0"/>
              <w:rPr>
                <w:rFonts w:ascii="Times New Roman" w:hAnsi="Times New Roman" w:eastAsia="宋体" w:cs="Times New Roman"/>
                <w:color w:val="auto"/>
                <w:sz w:val="21"/>
                <w:szCs w:val="22"/>
                <w:lang w:val="en-US" w:eastAsia="zh-CN" w:bidi="ar"/>
              </w:rPr>
            </w:pPr>
            <w:r>
              <w:rPr>
                <w:color w:val="auto"/>
              </w:rPr>
              <w:t>设备噪声</w:t>
            </w:r>
          </w:p>
        </w:tc>
        <w:tc>
          <w:tcPr>
            <w:tcW w:w="604" w:type="pct"/>
            <w:shd w:val="clear" w:color="auto" w:fill="auto"/>
            <w:vAlign w:val="center"/>
          </w:tcPr>
          <w:p w14:paraId="3868F0F8">
            <w:pPr>
              <w:pStyle w:val="42"/>
              <w:ind w:firstLine="0" w:firstLineChars="0"/>
              <w:rPr>
                <w:rFonts w:hint="eastAsia" w:ascii="Times New Roman" w:hAnsi="Times New Roman" w:eastAsia="宋体" w:cs="Times New Roman"/>
                <w:color w:val="auto"/>
                <w:sz w:val="21"/>
                <w:szCs w:val="22"/>
                <w:lang w:val="en-US" w:eastAsia="zh-CN" w:bidi="ar"/>
              </w:rPr>
            </w:pPr>
            <w:r>
              <w:rPr>
                <w:color w:val="auto"/>
              </w:rPr>
              <w:t>建筑垃圾</w:t>
            </w:r>
          </w:p>
        </w:tc>
        <w:tc>
          <w:tcPr>
            <w:tcW w:w="604" w:type="pct"/>
            <w:shd w:val="clear" w:color="auto" w:fill="auto"/>
            <w:vAlign w:val="center"/>
          </w:tcPr>
          <w:p w14:paraId="2E1A7079">
            <w:pPr>
              <w:pStyle w:val="42"/>
              <w:ind w:firstLine="0" w:firstLineChars="0"/>
              <w:rPr>
                <w:rFonts w:ascii="Times New Roman" w:hAnsi="Times New Roman" w:eastAsia="宋体" w:cs="Times New Roman"/>
                <w:color w:val="auto"/>
                <w:sz w:val="21"/>
                <w:szCs w:val="22"/>
                <w:lang w:val="en-US" w:eastAsia="zh-CN" w:bidi="ar"/>
              </w:rPr>
            </w:pPr>
            <w:r>
              <w:rPr>
                <w:color w:val="auto"/>
              </w:rPr>
              <w:t>/</w:t>
            </w:r>
          </w:p>
        </w:tc>
        <w:tc>
          <w:tcPr>
            <w:tcW w:w="604" w:type="pct"/>
            <w:shd w:val="clear" w:color="auto" w:fill="auto"/>
            <w:vAlign w:val="center"/>
          </w:tcPr>
          <w:p w14:paraId="67A6434B">
            <w:pPr>
              <w:pStyle w:val="42"/>
              <w:ind w:firstLine="0" w:firstLineChars="0"/>
              <w:rPr>
                <w:rFonts w:ascii="Times New Roman" w:hAnsi="Times New Roman" w:eastAsia="宋体" w:cs="Times New Roman"/>
                <w:color w:val="auto"/>
                <w:sz w:val="21"/>
                <w:szCs w:val="22"/>
                <w:lang w:val="en-US" w:eastAsia="zh-CN" w:bidi="ar"/>
              </w:rPr>
            </w:pPr>
            <w:r>
              <w:rPr>
                <w:color w:val="auto"/>
              </w:rPr>
              <w:t>/</w:t>
            </w:r>
          </w:p>
        </w:tc>
        <w:tc>
          <w:tcPr>
            <w:tcW w:w="619" w:type="pct"/>
            <w:shd w:val="clear" w:color="auto" w:fill="auto"/>
            <w:vAlign w:val="center"/>
          </w:tcPr>
          <w:p w14:paraId="1708E270">
            <w:pPr>
              <w:pStyle w:val="42"/>
              <w:ind w:firstLine="0" w:firstLineChars="0"/>
              <w:rPr>
                <w:rFonts w:ascii="Times New Roman" w:hAnsi="Times New Roman" w:eastAsia="宋体" w:cs="Times New Roman"/>
                <w:color w:val="auto"/>
                <w:sz w:val="21"/>
                <w:szCs w:val="22"/>
                <w:lang w:val="en-US" w:eastAsia="zh-CN" w:bidi="ar"/>
              </w:rPr>
            </w:pPr>
            <w:r>
              <w:rPr>
                <w:color w:val="auto"/>
              </w:rPr>
              <w:t>/</w:t>
            </w:r>
          </w:p>
        </w:tc>
      </w:tr>
      <w:tr w14:paraId="6FAE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vAlign w:val="center"/>
          </w:tcPr>
          <w:p w14:paraId="2AE569D5">
            <w:pPr>
              <w:pStyle w:val="42"/>
              <w:rPr>
                <w:color w:val="auto"/>
              </w:rPr>
            </w:pPr>
          </w:p>
        </w:tc>
        <w:tc>
          <w:tcPr>
            <w:tcW w:w="523" w:type="pct"/>
            <w:shd w:val="clear" w:color="auto" w:fill="auto"/>
            <w:vAlign w:val="center"/>
          </w:tcPr>
          <w:p w14:paraId="5366D14C">
            <w:pPr>
              <w:pStyle w:val="42"/>
              <w:ind w:firstLine="0" w:firstLineChars="0"/>
              <w:rPr>
                <w:rFonts w:ascii="Times New Roman" w:hAnsi="Times New Roman" w:eastAsia="宋体" w:cs="Times New Roman"/>
                <w:color w:val="auto"/>
                <w:sz w:val="21"/>
                <w:szCs w:val="22"/>
                <w:lang w:val="en-US" w:eastAsia="zh-CN" w:bidi="ar-SA"/>
              </w:rPr>
            </w:pPr>
            <w:r>
              <w:rPr>
                <w:color w:val="auto"/>
              </w:rPr>
              <w:t>管线敷设</w:t>
            </w:r>
          </w:p>
        </w:tc>
        <w:tc>
          <w:tcPr>
            <w:tcW w:w="603" w:type="pct"/>
            <w:shd w:val="clear" w:color="auto" w:fill="auto"/>
            <w:vAlign w:val="center"/>
          </w:tcPr>
          <w:p w14:paraId="3B248138">
            <w:pPr>
              <w:pStyle w:val="42"/>
              <w:ind w:firstLine="0" w:firstLineChars="0"/>
              <w:rPr>
                <w:rFonts w:hint="eastAsia" w:ascii="Times New Roman" w:hAnsi="Times New Roman" w:eastAsia="宋体" w:cs="Times New Roman"/>
                <w:color w:val="auto"/>
                <w:sz w:val="21"/>
                <w:szCs w:val="22"/>
                <w:lang w:val="en-US" w:eastAsia="zh-CN" w:bidi="ar-SA"/>
              </w:rPr>
            </w:pPr>
            <w:r>
              <w:rPr>
                <w:color w:val="auto"/>
              </w:rPr>
              <w:t>扬尘</w:t>
            </w:r>
            <w:r>
              <w:rPr>
                <w:rFonts w:hint="eastAsia"/>
                <w:color w:val="auto"/>
                <w:lang w:eastAsia="zh-CN"/>
              </w:rPr>
              <w:t>、</w:t>
            </w:r>
            <w:r>
              <w:rPr>
                <w:rFonts w:hint="eastAsia"/>
                <w:color w:val="auto"/>
                <w:lang w:val="en-US" w:eastAsia="zh-CN"/>
              </w:rPr>
              <w:t>车辆尾气</w:t>
            </w:r>
          </w:p>
        </w:tc>
        <w:tc>
          <w:tcPr>
            <w:tcW w:w="604" w:type="pct"/>
            <w:shd w:val="clear" w:color="auto" w:fill="auto"/>
            <w:vAlign w:val="center"/>
          </w:tcPr>
          <w:p w14:paraId="3DD307A8">
            <w:pPr>
              <w:pStyle w:val="42"/>
              <w:ind w:firstLine="0" w:firstLineChars="0"/>
              <w:rPr>
                <w:rFonts w:hint="default" w:ascii="Times New Roman" w:hAnsi="Times New Roman" w:eastAsia="宋体" w:cs="Times New Roman"/>
                <w:color w:val="auto"/>
                <w:sz w:val="21"/>
                <w:szCs w:val="22"/>
                <w:lang w:val="en-US" w:eastAsia="zh-CN" w:bidi="ar-SA"/>
              </w:rPr>
            </w:pPr>
            <w:r>
              <w:rPr>
                <w:color w:val="auto"/>
              </w:rPr>
              <w:t>试压废水中SS</w:t>
            </w:r>
            <w:r>
              <w:rPr>
                <w:rFonts w:hint="eastAsia"/>
                <w:color w:val="auto"/>
                <w:lang w:eastAsia="zh-CN"/>
              </w:rPr>
              <w:t>、</w:t>
            </w:r>
            <w:r>
              <w:rPr>
                <w:rFonts w:hint="eastAsia"/>
                <w:color w:val="auto"/>
                <w:lang w:val="en-US" w:eastAsia="zh-CN"/>
              </w:rPr>
              <w:t>工作人员生活污水</w:t>
            </w:r>
          </w:p>
        </w:tc>
        <w:tc>
          <w:tcPr>
            <w:tcW w:w="604" w:type="pct"/>
            <w:shd w:val="clear" w:color="auto" w:fill="auto"/>
            <w:vAlign w:val="center"/>
          </w:tcPr>
          <w:p w14:paraId="05E01B0D">
            <w:pPr>
              <w:pStyle w:val="42"/>
              <w:ind w:firstLine="0" w:firstLineChars="0"/>
              <w:rPr>
                <w:rFonts w:ascii="Times New Roman" w:hAnsi="Times New Roman" w:eastAsia="宋体" w:cs="Times New Roman"/>
                <w:color w:val="auto"/>
                <w:sz w:val="21"/>
                <w:szCs w:val="22"/>
                <w:lang w:val="en-US" w:eastAsia="zh-CN" w:bidi="ar-SA"/>
              </w:rPr>
            </w:pPr>
            <w:r>
              <w:rPr>
                <w:color w:val="auto"/>
              </w:rPr>
              <w:t>机械噪声</w:t>
            </w:r>
          </w:p>
        </w:tc>
        <w:tc>
          <w:tcPr>
            <w:tcW w:w="604" w:type="pct"/>
            <w:shd w:val="clear" w:color="auto" w:fill="auto"/>
            <w:vAlign w:val="center"/>
          </w:tcPr>
          <w:p w14:paraId="1D98FEA8">
            <w:pPr>
              <w:pStyle w:val="42"/>
              <w:ind w:firstLine="0" w:firstLineChars="0"/>
              <w:rPr>
                <w:rFonts w:hint="default" w:ascii="Times New Roman" w:hAnsi="Times New Roman" w:eastAsia="宋体" w:cs="Times New Roman"/>
                <w:color w:val="auto"/>
                <w:sz w:val="21"/>
                <w:szCs w:val="22"/>
                <w:lang w:val="en-US" w:eastAsia="zh-CN" w:bidi="ar-SA"/>
              </w:rPr>
            </w:pPr>
            <w:r>
              <w:rPr>
                <w:rFonts w:hint="eastAsia" w:cs="Times New Roman"/>
                <w:color w:val="auto"/>
                <w:sz w:val="21"/>
                <w:szCs w:val="22"/>
                <w:lang w:val="en-US" w:eastAsia="zh-CN" w:bidi="ar-SA"/>
              </w:rPr>
              <w:t>生活垃圾</w:t>
            </w:r>
          </w:p>
        </w:tc>
        <w:tc>
          <w:tcPr>
            <w:tcW w:w="604" w:type="pct"/>
            <w:shd w:val="clear" w:color="auto" w:fill="auto"/>
            <w:vAlign w:val="center"/>
          </w:tcPr>
          <w:p w14:paraId="5DEBCD2B">
            <w:pPr>
              <w:pStyle w:val="42"/>
              <w:ind w:firstLine="0" w:firstLineChars="0"/>
              <w:rPr>
                <w:rFonts w:ascii="Times New Roman" w:hAnsi="Times New Roman" w:eastAsia="宋体" w:cs="Times New Roman"/>
                <w:color w:val="auto"/>
                <w:sz w:val="21"/>
                <w:szCs w:val="22"/>
                <w:lang w:val="en-US" w:eastAsia="zh-CN" w:bidi="ar-SA"/>
              </w:rPr>
            </w:pPr>
            <w:r>
              <w:rPr>
                <w:color w:val="auto"/>
              </w:rPr>
              <w:t>地表裸露、水土流失</w:t>
            </w:r>
          </w:p>
        </w:tc>
        <w:tc>
          <w:tcPr>
            <w:tcW w:w="604" w:type="pct"/>
            <w:shd w:val="clear" w:color="auto" w:fill="auto"/>
            <w:vAlign w:val="center"/>
          </w:tcPr>
          <w:p w14:paraId="194C0EDE">
            <w:pPr>
              <w:pStyle w:val="42"/>
              <w:ind w:firstLine="0" w:firstLineChars="0"/>
              <w:rPr>
                <w:rFonts w:ascii="Times New Roman" w:hAnsi="Times New Roman" w:eastAsia="宋体" w:cs="Times New Roman"/>
                <w:color w:val="auto"/>
                <w:sz w:val="21"/>
                <w:szCs w:val="22"/>
                <w:lang w:val="en-US" w:eastAsia="zh-CN" w:bidi="ar-SA"/>
              </w:rPr>
            </w:pPr>
            <w:r>
              <w:rPr>
                <w:color w:val="auto"/>
              </w:rPr>
              <w:t>植被破坏</w:t>
            </w:r>
          </w:p>
        </w:tc>
        <w:tc>
          <w:tcPr>
            <w:tcW w:w="619" w:type="pct"/>
            <w:shd w:val="clear" w:color="auto" w:fill="auto"/>
            <w:vAlign w:val="center"/>
          </w:tcPr>
          <w:p w14:paraId="1FD0E945">
            <w:pPr>
              <w:pStyle w:val="42"/>
              <w:ind w:firstLine="0" w:firstLineChars="0"/>
              <w:rPr>
                <w:rFonts w:ascii="Times New Roman" w:hAnsi="Times New Roman" w:eastAsia="宋体" w:cs="Times New Roman"/>
                <w:color w:val="auto"/>
                <w:sz w:val="21"/>
                <w:szCs w:val="22"/>
                <w:lang w:val="en-US" w:eastAsia="zh-CN" w:bidi="ar-SA"/>
              </w:rPr>
            </w:pPr>
            <w:r>
              <w:rPr>
                <w:color w:val="auto"/>
              </w:rPr>
              <w:t>/</w:t>
            </w:r>
          </w:p>
        </w:tc>
      </w:tr>
      <w:tr w14:paraId="292E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restart"/>
            <w:vAlign w:val="center"/>
          </w:tcPr>
          <w:p w14:paraId="69570EFC">
            <w:pPr>
              <w:pStyle w:val="42"/>
              <w:rPr>
                <w:color w:val="auto"/>
              </w:rPr>
            </w:pPr>
            <w:r>
              <w:rPr>
                <w:rFonts w:hint="eastAsia"/>
                <w:color w:val="auto"/>
                <w:lang w:eastAsia="zh-CN"/>
              </w:rPr>
              <w:t>运营</w:t>
            </w:r>
            <w:r>
              <w:rPr>
                <w:color w:val="auto"/>
              </w:rPr>
              <w:t>期</w:t>
            </w:r>
          </w:p>
        </w:tc>
        <w:tc>
          <w:tcPr>
            <w:tcW w:w="523" w:type="pct"/>
            <w:vAlign w:val="center"/>
          </w:tcPr>
          <w:p w14:paraId="457BB4FD">
            <w:pPr>
              <w:pStyle w:val="42"/>
              <w:rPr>
                <w:color w:val="auto"/>
              </w:rPr>
            </w:pPr>
            <w:r>
              <w:rPr>
                <w:color w:val="auto"/>
              </w:rPr>
              <w:t>井场</w:t>
            </w:r>
          </w:p>
        </w:tc>
        <w:tc>
          <w:tcPr>
            <w:tcW w:w="603" w:type="pct"/>
            <w:vAlign w:val="center"/>
          </w:tcPr>
          <w:p w14:paraId="62184704">
            <w:pPr>
              <w:pStyle w:val="42"/>
              <w:rPr>
                <w:rFonts w:hint="default" w:eastAsia="宋体"/>
                <w:color w:val="auto"/>
                <w:lang w:val="en-US" w:eastAsia="zh-CN"/>
              </w:rPr>
            </w:pPr>
            <w:r>
              <w:rPr>
                <w:color w:val="auto"/>
              </w:rPr>
              <w:t>烃类气体</w:t>
            </w:r>
          </w:p>
        </w:tc>
        <w:tc>
          <w:tcPr>
            <w:tcW w:w="604" w:type="pct"/>
            <w:vAlign w:val="center"/>
          </w:tcPr>
          <w:p w14:paraId="713B50C0">
            <w:pPr>
              <w:pStyle w:val="42"/>
              <w:rPr>
                <w:color w:val="auto"/>
              </w:rPr>
            </w:pPr>
            <w:r>
              <w:rPr>
                <w:rFonts w:hint="eastAsia"/>
                <w:color w:val="auto"/>
                <w:lang w:val="en-US" w:eastAsia="zh-CN"/>
              </w:rPr>
              <w:t>采出液、井下作业废水</w:t>
            </w:r>
          </w:p>
        </w:tc>
        <w:tc>
          <w:tcPr>
            <w:tcW w:w="604" w:type="pct"/>
            <w:vAlign w:val="center"/>
          </w:tcPr>
          <w:p w14:paraId="5DE308A2">
            <w:pPr>
              <w:pStyle w:val="42"/>
              <w:rPr>
                <w:rFonts w:hint="eastAsia" w:eastAsia="宋体"/>
                <w:color w:val="auto"/>
                <w:lang w:val="en-US" w:eastAsia="zh-CN"/>
              </w:rPr>
            </w:pPr>
            <w:r>
              <w:rPr>
                <w:rFonts w:hint="eastAsia"/>
                <w:color w:val="auto"/>
                <w:lang w:val="en-US" w:eastAsia="zh-CN"/>
              </w:rPr>
              <w:t>机械</w:t>
            </w:r>
            <w:r>
              <w:rPr>
                <w:color w:val="auto"/>
              </w:rPr>
              <w:t>噪声</w:t>
            </w:r>
          </w:p>
        </w:tc>
        <w:tc>
          <w:tcPr>
            <w:tcW w:w="604" w:type="pct"/>
            <w:vAlign w:val="center"/>
          </w:tcPr>
          <w:p w14:paraId="46A9E468">
            <w:pPr>
              <w:pStyle w:val="42"/>
              <w:rPr>
                <w:rFonts w:hint="default"/>
                <w:color w:val="auto"/>
                <w:lang w:val="en-US"/>
              </w:rPr>
            </w:pPr>
            <w:r>
              <w:rPr>
                <w:color w:val="auto"/>
              </w:rPr>
              <w:t>落地油、</w:t>
            </w:r>
            <w:r>
              <w:rPr>
                <w:rFonts w:hint="eastAsia"/>
                <w:color w:val="auto"/>
                <w:lang w:val="en-US" w:eastAsia="zh-CN"/>
              </w:rPr>
              <w:t>含油污泥、沾油废物</w:t>
            </w:r>
          </w:p>
        </w:tc>
        <w:tc>
          <w:tcPr>
            <w:tcW w:w="604" w:type="pct"/>
            <w:vAlign w:val="center"/>
          </w:tcPr>
          <w:p w14:paraId="0F97B88D">
            <w:pPr>
              <w:pStyle w:val="42"/>
              <w:rPr>
                <w:color w:val="auto"/>
              </w:rPr>
            </w:pPr>
            <w:r>
              <w:rPr>
                <w:color w:val="auto"/>
              </w:rPr>
              <w:t>/</w:t>
            </w:r>
          </w:p>
        </w:tc>
        <w:tc>
          <w:tcPr>
            <w:tcW w:w="604" w:type="pct"/>
            <w:vAlign w:val="center"/>
          </w:tcPr>
          <w:p w14:paraId="4CD623D8">
            <w:pPr>
              <w:pStyle w:val="42"/>
              <w:rPr>
                <w:color w:val="auto"/>
              </w:rPr>
            </w:pPr>
            <w:r>
              <w:rPr>
                <w:color w:val="auto"/>
              </w:rPr>
              <w:t>落地油</w:t>
            </w:r>
          </w:p>
        </w:tc>
        <w:tc>
          <w:tcPr>
            <w:tcW w:w="619" w:type="pct"/>
            <w:vAlign w:val="center"/>
          </w:tcPr>
          <w:p w14:paraId="7FE68160">
            <w:pPr>
              <w:pStyle w:val="42"/>
              <w:rPr>
                <w:color w:val="auto"/>
              </w:rPr>
            </w:pPr>
            <w:r>
              <w:rPr>
                <w:color w:val="auto"/>
              </w:rPr>
              <w:t>/</w:t>
            </w:r>
          </w:p>
        </w:tc>
      </w:tr>
      <w:tr w14:paraId="7CDE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vAlign w:val="center"/>
          </w:tcPr>
          <w:p w14:paraId="0396262F">
            <w:pPr>
              <w:pStyle w:val="42"/>
              <w:rPr>
                <w:color w:val="auto"/>
              </w:rPr>
            </w:pPr>
          </w:p>
        </w:tc>
        <w:tc>
          <w:tcPr>
            <w:tcW w:w="523" w:type="pct"/>
            <w:vAlign w:val="center"/>
          </w:tcPr>
          <w:p w14:paraId="520F0DFA">
            <w:pPr>
              <w:pStyle w:val="42"/>
              <w:rPr>
                <w:color w:val="auto"/>
              </w:rPr>
            </w:pPr>
            <w:r>
              <w:rPr>
                <w:rFonts w:hint="eastAsia"/>
                <w:color w:val="auto"/>
                <w:lang w:val="en-US" w:eastAsia="zh-CN"/>
              </w:rPr>
              <w:t>原油</w:t>
            </w:r>
            <w:r>
              <w:rPr>
                <w:color w:val="auto"/>
              </w:rPr>
              <w:t>管线爆裂</w:t>
            </w:r>
            <w:r>
              <w:rPr>
                <w:rFonts w:hint="eastAsia"/>
                <w:color w:val="auto"/>
                <w:lang w:eastAsia="zh-CN"/>
              </w:rPr>
              <w:t>、</w:t>
            </w:r>
            <w:r>
              <w:rPr>
                <w:rFonts w:hint="eastAsia"/>
                <w:color w:val="auto"/>
                <w:lang w:val="en-US" w:eastAsia="zh-CN"/>
              </w:rPr>
              <w:t>井喷</w:t>
            </w:r>
            <w:r>
              <w:rPr>
                <w:color w:val="auto"/>
              </w:rPr>
              <w:t>（事故）</w:t>
            </w:r>
          </w:p>
        </w:tc>
        <w:tc>
          <w:tcPr>
            <w:tcW w:w="603" w:type="pct"/>
            <w:vAlign w:val="center"/>
          </w:tcPr>
          <w:p w14:paraId="2ED118B1">
            <w:pPr>
              <w:pStyle w:val="42"/>
              <w:rPr>
                <w:rFonts w:hint="default" w:eastAsia="宋体"/>
                <w:color w:val="auto"/>
                <w:lang w:val="en-US" w:eastAsia="zh-CN"/>
              </w:rPr>
            </w:pPr>
            <w:r>
              <w:rPr>
                <w:color w:val="auto"/>
              </w:rPr>
              <w:t>烃类气体</w:t>
            </w:r>
          </w:p>
        </w:tc>
        <w:tc>
          <w:tcPr>
            <w:tcW w:w="604" w:type="pct"/>
            <w:vAlign w:val="center"/>
          </w:tcPr>
          <w:p w14:paraId="1514B8A0">
            <w:pPr>
              <w:pStyle w:val="42"/>
              <w:rPr>
                <w:rFonts w:hint="default" w:eastAsia="宋体"/>
                <w:color w:val="auto"/>
                <w:lang w:val="en-US" w:eastAsia="zh-CN"/>
              </w:rPr>
            </w:pPr>
            <w:r>
              <w:rPr>
                <w:rFonts w:hint="eastAsia"/>
                <w:color w:val="auto"/>
                <w:lang w:val="en-US" w:eastAsia="zh-CN"/>
              </w:rPr>
              <w:t>采出液</w:t>
            </w:r>
          </w:p>
        </w:tc>
        <w:tc>
          <w:tcPr>
            <w:tcW w:w="604" w:type="pct"/>
            <w:vAlign w:val="center"/>
          </w:tcPr>
          <w:p w14:paraId="736476AE">
            <w:pPr>
              <w:pStyle w:val="42"/>
              <w:rPr>
                <w:color w:val="auto"/>
              </w:rPr>
            </w:pPr>
            <w:r>
              <w:rPr>
                <w:color w:val="auto"/>
              </w:rPr>
              <w:t>/</w:t>
            </w:r>
          </w:p>
        </w:tc>
        <w:tc>
          <w:tcPr>
            <w:tcW w:w="604" w:type="pct"/>
            <w:vAlign w:val="center"/>
          </w:tcPr>
          <w:p w14:paraId="44873BCB">
            <w:pPr>
              <w:pStyle w:val="42"/>
              <w:rPr>
                <w:color w:val="auto"/>
              </w:rPr>
            </w:pPr>
            <w:r>
              <w:rPr>
                <w:color w:val="auto"/>
              </w:rPr>
              <w:t>/</w:t>
            </w:r>
          </w:p>
        </w:tc>
        <w:tc>
          <w:tcPr>
            <w:tcW w:w="604" w:type="pct"/>
            <w:vAlign w:val="center"/>
          </w:tcPr>
          <w:p w14:paraId="6333A918">
            <w:pPr>
              <w:pStyle w:val="42"/>
              <w:rPr>
                <w:color w:val="auto"/>
              </w:rPr>
            </w:pPr>
            <w:r>
              <w:rPr>
                <w:color w:val="auto"/>
              </w:rPr>
              <w:t>/</w:t>
            </w:r>
          </w:p>
        </w:tc>
        <w:tc>
          <w:tcPr>
            <w:tcW w:w="604" w:type="pct"/>
            <w:vAlign w:val="center"/>
          </w:tcPr>
          <w:p w14:paraId="6459FFD3">
            <w:pPr>
              <w:pStyle w:val="42"/>
              <w:rPr>
                <w:rFonts w:hint="eastAsia" w:eastAsia="宋体"/>
                <w:color w:val="auto"/>
                <w:lang w:eastAsia="zh-CN"/>
              </w:rPr>
            </w:pPr>
            <w:r>
              <w:rPr>
                <w:rFonts w:hint="eastAsia"/>
                <w:color w:val="auto"/>
                <w:lang w:val="en-US" w:eastAsia="zh-CN"/>
              </w:rPr>
              <w:t>落地油</w:t>
            </w:r>
          </w:p>
        </w:tc>
        <w:tc>
          <w:tcPr>
            <w:tcW w:w="619" w:type="pct"/>
            <w:vAlign w:val="center"/>
          </w:tcPr>
          <w:p w14:paraId="49C3C5B5">
            <w:pPr>
              <w:pStyle w:val="42"/>
              <w:rPr>
                <w:color w:val="auto"/>
              </w:rPr>
            </w:pPr>
            <w:r>
              <w:rPr>
                <w:color w:val="auto"/>
              </w:rPr>
              <w:t>泄漏、火灾爆炸</w:t>
            </w:r>
          </w:p>
        </w:tc>
      </w:tr>
      <w:tr w14:paraId="1FE4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restart"/>
            <w:vAlign w:val="center"/>
          </w:tcPr>
          <w:p w14:paraId="7D0D00F7">
            <w:pPr>
              <w:pStyle w:val="42"/>
              <w:rPr>
                <w:color w:val="auto"/>
              </w:rPr>
            </w:pPr>
            <w:r>
              <w:rPr>
                <w:color w:val="auto"/>
              </w:rPr>
              <w:t>退役期</w:t>
            </w:r>
          </w:p>
        </w:tc>
        <w:tc>
          <w:tcPr>
            <w:tcW w:w="523" w:type="pct"/>
            <w:vAlign w:val="center"/>
          </w:tcPr>
          <w:p w14:paraId="1E970248">
            <w:pPr>
              <w:pStyle w:val="42"/>
              <w:rPr>
                <w:color w:val="auto"/>
              </w:rPr>
            </w:pPr>
            <w:r>
              <w:rPr>
                <w:color w:val="auto"/>
              </w:rPr>
              <w:t>井场</w:t>
            </w:r>
          </w:p>
        </w:tc>
        <w:tc>
          <w:tcPr>
            <w:tcW w:w="603" w:type="pct"/>
            <w:vAlign w:val="center"/>
          </w:tcPr>
          <w:p w14:paraId="4381F841">
            <w:pPr>
              <w:pStyle w:val="42"/>
              <w:rPr>
                <w:color w:val="auto"/>
              </w:rPr>
            </w:pPr>
            <w:r>
              <w:rPr>
                <w:color w:val="auto"/>
              </w:rPr>
              <w:t>烃类气体、扬尘</w:t>
            </w:r>
          </w:p>
        </w:tc>
        <w:tc>
          <w:tcPr>
            <w:tcW w:w="604" w:type="pct"/>
            <w:vAlign w:val="center"/>
          </w:tcPr>
          <w:p w14:paraId="2F662DAF">
            <w:pPr>
              <w:pStyle w:val="42"/>
              <w:rPr>
                <w:color w:val="auto"/>
              </w:rPr>
            </w:pPr>
            <w:r>
              <w:rPr>
                <w:color w:val="auto"/>
              </w:rPr>
              <w:t>/</w:t>
            </w:r>
          </w:p>
        </w:tc>
        <w:tc>
          <w:tcPr>
            <w:tcW w:w="604" w:type="pct"/>
            <w:vAlign w:val="center"/>
          </w:tcPr>
          <w:p w14:paraId="45E4695D">
            <w:pPr>
              <w:pStyle w:val="42"/>
              <w:rPr>
                <w:color w:val="auto"/>
              </w:rPr>
            </w:pPr>
            <w:r>
              <w:rPr>
                <w:color w:val="auto"/>
              </w:rPr>
              <w:t>机械噪声</w:t>
            </w:r>
          </w:p>
        </w:tc>
        <w:tc>
          <w:tcPr>
            <w:tcW w:w="604" w:type="pct"/>
            <w:vAlign w:val="center"/>
          </w:tcPr>
          <w:p w14:paraId="06DA26C0">
            <w:pPr>
              <w:pStyle w:val="42"/>
              <w:rPr>
                <w:color w:val="auto"/>
              </w:rPr>
            </w:pPr>
            <w:r>
              <w:rPr>
                <w:color w:val="auto"/>
              </w:rPr>
              <w:t>建筑垃圾</w:t>
            </w:r>
          </w:p>
        </w:tc>
        <w:tc>
          <w:tcPr>
            <w:tcW w:w="604" w:type="pct"/>
            <w:vAlign w:val="center"/>
          </w:tcPr>
          <w:p w14:paraId="2796CADC">
            <w:pPr>
              <w:pStyle w:val="42"/>
              <w:rPr>
                <w:color w:val="auto"/>
              </w:rPr>
            </w:pPr>
            <w:r>
              <w:rPr>
                <w:color w:val="auto"/>
              </w:rPr>
              <w:t>/</w:t>
            </w:r>
          </w:p>
        </w:tc>
        <w:tc>
          <w:tcPr>
            <w:tcW w:w="604" w:type="pct"/>
            <w:vAlign w:val="center"/>
          </w:tcPr>
          <w:p w14:paraId="627881FA">
            <w:pPr>
              <w:pStyle w:val="42"/>
              <w:rPr>
                <w:color w:val="auto"/>
              </w:rPr>
            </w:pPr>
            <w:r>
              <w:rPr>
                <w:color w:val="auto"/>
              </w:rPr>
              <w:t>/</w:t>
            </w:r>
          </w:p>
        </w:tc>
        <w:tc>
          <w:tcPr>
            <w:tcW w:w="619" w:type="pct"/>
            <w:vAlign w:val="center"/>
          </w:tcPr>
          <w:p w14:paraId="13572A69">
            <w:pPr>
              <w:pStyle w:val="42"/>
              <w:rPr>
                <w:color w:val="auto"/>
              </w:rPr>
            </w:pPr>
            <w:r>
              <w:rPr>
                <w:color w:val="auto"/>
              </w:rPr>
              <w:t>/</w:t>
            </w:r>
          </w:p>
        </w:tc>
      </w:tr>
      <w:tr w14:paraId="41C8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vAlign w:val="center"/>
          </w:tcPr>
          <w:p w14:paraId="45176409">
            <w:pPr>
              <w:pStyle w:val="42"/>
              <w:rPr>
                <w:color w:val="auto"/>
              </w:rPr>
            </w:pPr>
          </w:p>
        </w:tc>
        <w:tc>
          <w:tcPr>
            <w:tcW w:w="523" w:type="pct"/>
            <w:vAlign w:val="center"/>
          </w:tcPr>
          <w:p w14:paraId="6369F9CE">
            <w:pPr>
              <w:pStyle w:val="42"/>
              <w:rPr>
                <w:color w:val="auto"/>
                <w:lang w:bidi="ar"/>
              </w:rPr>
            </w:pPr>
            <w:r>
              <w:rPr>
                <w:rFonts w:hint="eastAsia"/>
                <w:color w:val="auto"/>
                <w:lang w:val="en-US" w:eastAsia="zh-CN"/>
              </w:rPr>
              <w:t>原油</w:t>
            </w:r>
            <w:r>
              <w:rPr>
                <w:color w:val="auto"/>
              </w:rPr>
              <w:t>管线</w:t>
            </w:r>
          </w:p>
        </w:tc>
        <w:tc>
          <w:tcPr>
            <w:tcW w:w="603" w:type="pct"/>
            <w:vAlign w:val="center"/>
          </w:tcPr>
          <w:p w14:paraId="1F0F4E3B">
            <w:pPr>
              <w:pStyle w:val="42"/>
              <w:rPr>
                <w:color w:val="auto"/>
              </w:rPr>
            </w:pPr>
            <w:r>
              <w:rPr>
                <w:color w:val="auto"/>
              </w:rPr>
              <w:t>扬尘</w:t>
            </w:r>
          </w:p>
        </w:tc>
        <w:tc>
          <w:tcPr>
            <w:tcW w:w="604" w:type="pct"/>
            <w:vAlign w:val="center"/>
          </w:tcPr>
          <w:p w14:paraId="07235791">
            <w:pPr>
              <w:pStyle w:val="42"/>
              <w:rPr>
                <w:rFonts w:hint="default" w:eastAsia="宋体"/>
                <w:color w:val="auto"/>
                <w:lang w:val="en-US" w:eastAsia="zh-CN"/>
              </w:rPr>
            </w:pPr>
            <w:r>
              <w:rPr>
                <w:rFonts w:hint="eastAsia"/>
                <w:color w:val="auto"/>
                <w:lang w:val="en-US" w:eastAsia="zh-CN"/>
              </w:rPr>
              <w:t>清管废水</w:t>
            </w:r>
          </w:p>
        </w:tc>
        <w:tc>
          <w:tcPr>
            <w:tcW w:w="604" w:type="pct"/>
            <w:vAlign w:val="center"/>
          </w:tcPr>
          <w:p w14:paraId="2EC7BD37">
            <w:pPr>
              <w:pStyle w:val="42"/>
              <w:rPr>
                <w:color w:val="auto"/>
              </w:rPr>
            </w:pPr>
            <w:r>
              <w:rPr>
                <w:color w:val="auto"/>
              </w:rPr>
              <w:t>机械噪声</w:t>
            </w:r>
          </w:p>
        </w:tc>
        <w:tc>
          <w:tcPr>
            <w:tcW w:w="604" w:type="pct"/>
            <w:vAlign w:val="center"/>
          </w:tcPr>
          <w:p w14:paraId="064C82F8">
            <w:pPr>
              <w:pStyle w:val="42"/>
              <w:rPr>
                <w:color w:val="auto"/>
              </w:rPr>
            </w:pPr>
            <w:r>
              <w:rPr>
                <w:rFonts w:hint="eastAsia"/>
                <w:color w:val="auto"/>
                <w:lang w:val="en-US" w:eastAsia="zh-CN"/>
              </w:rPr>
              <w:t>拆除</w:t>
            </w:r>
            <w:r>
              <w:rPr>
                <w:color w:val="auto"/>
              </w:rPr>
              <w:t>管线</w:t>
            </w:r>
          </w:p>
        </w:tc>
        <w:tc>
          <w:tcPr>
            <w:tcW w:w="604" w:type="pct"/>
            <w:vAlign w:val="center"/>
          </w:tcPr>
          <w:p w14:paraId="5F2CC069">
            <w:pPr>
              <w:pStyle w:val="42"/>
              <w:rPr>
                <w:color w:val="auto"/>
                <w:lang w:bidi="ar"/>
              </w:rPr>
            </w:pPr>
            <w:r>
              <w:rPr>
                <w:color w:val="auto"/>
              </w:rPr>
              <w:t>地表裸露、水土流失</w:t>
            </w:r>
          </w:p>
        </w:tc>
        <w:tc>
          <w:tcPr>
            <w:tcW w:w="604" w:type="pct"/>
            <w:vAlign w:val="center"/>
          </w:tcPr>
          <w:p w14:paraId="781255CE">
            <w:pPr>
              <w:pStyle w:val="42"/>
              <w:rPr>
                <w:color w:val="auto"/>
                <w:lang w:bidi="ar"/>
              </w:rPr>
            </w:pPr>
            <w:r>
              <w:rPr>
                <w:color w:val="auto"/>
              </w:rPr>
              <w:t>植被破坏</w:t>
            </w:r>
          </w:p>
        </w:tc>
        <w:tc>
          <w:tcPr>
            <w:tcW w:w="619" w:type="pct"/>
            <w:vAlign w:val="center"/>
          </w:tcPr>
          <w:p w14:paraId="67663A93">
            <w:pPr>
              <w:pStyle w:val="42"/>
              <w:rPr>
                <w:color w:val="auto"/>
              </w:rPr>
            </w:pPr>
            <w:r>
              <w:rPr>
                <w:color w:val="auto"/>
              </w:rPr>
              <w:t>/</w:t>
            </w:r>
          </w:p>
        </w:tc>
      </w:tr>
      <w:tr w14:paraId="3448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vAlign w:val="center"/>
          </w:tcPr>
          <w:p w14:paraId="09717F06">
            <w:pPr>
              <w:pStyle w:val="42"/>
              <w:rPr>
                <w:color w:val="auto"/>
              </w:rPr>
            </w:pPr>
          </w:p>
        </w:tc>
        <w:tc>
          <w:tcPr>
            <w:tcW w:w="523" w:type="pct"/>
            <w:vAlign w:val="center"/>
          </w:tcPr>
          <w:p w14:paraId="67BC76D7">
            <w:pPr>
              <w:pStyle w:val="42"/>
              <w:rPr>
                <w:color w:val="auto"/>
              </w:rPr>
            </w:pPr>
            <w:r>
              <w:rPr>
                <w:color w:val="auto"/>
              </w:rPr>
              <w:t>其它</w:t>
            </w:r>
          </w:p>
        </w:tc>
        <w:tc>
          <w:tcPr>
            <w:tcW w:w="603" w:type="pct"/>
            <w:vAlign w:val="center"/>
          </w:tcPr>
          <w:p w14:paraId="6986F32C">
            <w:pPr>
              <w:pStyle w:val="42"/>
              <w:rPr>
                <w:color w:val="auto"/>
              </w:rPr>
            </w:pPr>
            <w:r>
              <w:rPr>
                <w:color w:val="auto"/>
              </w:rPr>
              <w:t>/</w:t>
            </w:r>
          </w:p>
        </w:tc>
        <w:tc>
          <w:tcPr>
            <w:tcW w:w="604" w:type="pct"/>
            <w:vAlign w:val="center"/>
          </w:tcPr>
          <w:p w14:paraId="77FB9790">
            <w:pPr>
              <w:pStyle w:val="42"/>
              <w:rPr>
                <w:color w:val="auto"/>
              </w:rPr>
            </w:pPr>
            <w:r>
              <w:rPr>
                <w:color w:val="auto"/>
              </w:rPr>
              <w:t>/</w:t>
            </w:r>
          </w:p>
        </w:tc>
        <w:tc>
          <w:tcPr>
            <w:tcW w:w="604" w:type="pct"/>
            <w:vAlign w:val="center"/>
          </w:tcPr>
          <w:p w14:paraId="4D8712DF">
            <w:pPr>
              <w:pStyle w:val="42"/>
              <w:rPr>
                <w:color w:val="auto"/>
              </w:rPr>
            </w:pPr>
            <w:r>
              <w:rPr>
                <w:color w:val="auto"/>
              </w:rPr>
              <w:t>/</w:t>
            </w:r>
          </w:p>
        </w:tc>
        <w:tc>
          <w:tcPr>
            <w:tcW w:w="604" w:type="pct"/>
            <w:vAlign w:val="center"/>
          </w:tcPr>
          <w:p w14:paraId="2A03E609">
            <w:pPr>
              <w:pStyle w:val="42"/>
              <w:rPr>
                <w:color w:val="auto"/>
              </w:rPr>
            </w:pPr>
            <w:r>
              <w:rPr>
                <w:color w:val="auto"/>
              </w:rPr>
              <w:t>/</w:t>
            </w:r>
          </w:p>
        </w:tc>
        <w:tc>
          <w:tcPr>
            <w:tcW w:w="604" w:type="pct"/>
            <w:vAlign w:val="center"/>
          </w:tcPr>
          <w:p w14:paraId="41509FA2">
            <w:pPr>
              <w:pStyle w:val="42"/>
              <w:rPr>
                <w:color w:val="auto"/>
              </w:rPr>
            </w:pPr>
            <w:r>
              <w:rPr>
                <w:color w:val="auto"/>
              </w:rPr>
              <w:t>植被恢复</w:t>
            </w:r>
          </w:p>
        </w:tc>
        <w:tc>
          <w:tcPr>
            <w:tcW w:w="604" w:type="pct"/>
          </w:tcPr>
          <w:p w14:paraId="2E9C0958">
            <w:pPr>
              <w:pStyle w:val="42"/>
              <w:rPr>
                <w:color w:val="auto"/>
              </w:rPr>
            </w:pPr>
            <w:r>
              <w:rPr>
                <w:color w:val="auto"/>
              </w:rPr>
              <w:t>/</w:t>
            </w:r>
          </w:p>
        </w:tc>
        <w:tc>
          <w:tcPr>
            <w:tcW w:w="619" w:type="pct"/>
          </w:tcPr>
          <w:p w14:paraId="3AFCF6CC">
            <w:pPr>
              <w:pStyle w:val="42"/>
              <w:rPr>
                <w:color w:val="auto"/>
              </w:rPr>
            </w:pPr>
            <w:r>
              <w:rPr>
                <w:color w:val="auto"/>
              </w:rPr>
              <w:t>/</w:t>
            </w:r>
          </w:p>
        </w:tc>
      </w:tr>
    </w:tbl>
    <w:p w14:paraId="6795D1E2">
      <w:pPr>
        <w:bidi w:val="0"/>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6513F3D">
      <w:pPr>
        <w:pStyle w:val="43"/>
        <w:bidi w:val="0"/>
        <w:rPr>
          <w:rFonts w:hint="default" w:eastAsia="宋体"/>
          <w:color w:val="auto"/>
          <w:lang w:val="en-US" w:eastAsia="zh-CN"/>
        </w:rPr>
      </w:pPr>
      <w:r>
        <w:rPr>
          <w:rFonts w:hint="eastAsia" w:eastAsia="宋体"/>
          <w:color w:val="auto"/>
          <w:lang w:val="en-US" w:eastAsia="zh-CN"/>
        </w:rPr>
        <w:t>表2.3-3  建设项目生态影响评价因子筛选一览表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701"/>
        <w:gridCol w:w="669"/>
        <w:gridCol w:w="2665"/>
        <w:gridCol w:w="1130"/>
        <w:gridCol w:w="1612"/>
      </w:tblGrid>
      <w:tr w14:paraId="641B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7204D303">
            <w:pPr>
              <w:bidi w:val="0"/>
              <w:jc w:val="center"/>
              <w:rPr>
                <w:rFonts w:hint="default"/>
                <w:b/>
                <w:bCs/>
                <w:color w:val="auto"/>
                <w:vertAlign w:val="baseline"/>
                <w:lang w:val="en-US" w:eastAsia="zh-CN"/>
              </w:rPr>
            </w:pPr>
            <w:r>
              <w:rPr>
                <w:rFonts w:hint="eastAsia"/>
                <w:b/>
                <w:bCs/>
                <w:color w:val="auto"/>
                <w:vertAlign w:val="baseline"/>
                <w:lang w:val="en-US" w:eastAsia="zh-CN"/>
              </w:rPr>
              <w:t>受影响对象</w:t>
            </w:r>
          </w:p>
        </w:tc>
        <w:tc>
          <w:tcPr>
            <w:tcW w:w="1701" w:type="dxa"/>
            <w:vAlign w:val="center"/>
          </w:tcPr>
          <w:p w14:paraId="5B590224">
            <w:pPr>
              <w:bidi w:val="0"/>
              <w:jc w:val="center"/>
              <w:rPr>
                <w:rFonts w:hint="default"/>
                <w:b/>
                <w:bCs/>
                <w:color w:val="auto"/>
                <w:vertAlign w:val="baseline"/>
                <w:lang w:val="en-US" w:eastAsia="zh-CN"/>
              </w:rPr>
            </w:pPr>
            <w:r>
              <w:rPr>
                <w:rFonts w:hint="eastAsia"/>
                <w:b/>
                <w:bCs/>
                <w:color w:val="auto"/>
                <w:vertAlign w:val="baseline"/>
                <w:lang w:val="en-US" w:eastAsia="zh-CN"/>
              </w:rPr>
              <w:t>评价因子</w:t>
            </w:r>
          </w:p>
        </w:tc>
        <w:tc>
          <w:tcPr>
            <w:tcW w:w="669" w:type="dxa"/>
            <w:vAlign w:val="center"/>
          </w:tcPr>
          <w:p w14:paraId="1A9F7D76">
            <w:pPr>
              <w:bidi w:val="0"/>
              <w:jc w:val="center"/>
              <w:rPr>
                <w:rFonts w:hint="default"/>
                <w:b/>
                <w:bCs/>
                <w:color w:val="auto"/>
                <w:vertAlign w:val="baseline"/>
                <w:lang w:val="en-US" w:eastAsia="zh-CN"/>
              </w:rPr>
            </w:pPr>
            <w:r>
              <w:rPr>
                <w:rFonts w:hint="eastAsia"/>
                <w:b/>
                <w:bCs/>
                <w:color w:val="auto"/>
                <w:vertAlign w:val="baseline"/>
                <w:lang w:val="en-US" w:eastAsia="zh-CN"/>
              </w:rPr>
              <w:t>时期</w:t>
            </w:r>
          </w:p>
        </w:tc>
        <w:tc>
          <w:tcPr>
            <w:tcW w:w="2665" w:type="dxa"/>
            <w:vAlign w:val="center"/>
          </w:tcPr>
          <w:p w14:paraId="77CA74AF">
            <w:pPr>
              <w:bidi w:val="0"/>
              <w:jc w:val="center"/>
              <w:rPr>
                <w:rFonts w:hint="default"/>
                <w:b/>
                <w:bCs/>
                <w:color w:val="auto"/>
                <w:vertAlign w:val="baseline"/>
                <w:lang w:val="en-US" w:eastAsia="zh-CN"/>
              </w:rPr>
            </w:pPr>
            <w:r>
              <w:rPr>
                <w:rFonts w:hint="eastAsia"/>
                <w:b/>
                <w:bCs/>
                <w:color w:val="auto"/>
                <w:vertAlign w:val="baseline"/>
                <w:lang w:val="en-US" w:eastAsia="zh-CN"/>
              </w:rPr>
              <w:t>工程内容及影响方式</w:t>
            </w:r>
          </w:p>
        </w:tc>
        <w:tc>
          <w:tcPr>
            <w:tcW w:w="1130" w:type="dxa"/>
            <w:vAlign w:val="center"/>
          </w:tcPr>
          <w:p w14:paraId="13359406">
            <w:pPr>
              <w:bidi w:val="0"/>
              <w:jc w:val="center"/>
              <w:rPr>
                <w:rFonts w:hint="default"/>
                <w:b/>
                <w:bCs/>
                <w:color w:val="auto"/>
                <w:vertAlign w:val="baseline"/>
                <w:lang w:val="en-US" w:eastAsia="zh-CN"/>
              </w:rPr>
            </w:pPr>
            <w:r>
              <w:rPr>
                <w:rFonts w:hint="eastAsia"/>
                <w:b/>
                <w:bCs/>
                <w:color w:val="auto"/>
                <w:vertAlign w:val="baseline"/>
                <w:lang w:val="en-US" w:eastAsia="zh-CN"/>
              </w:rPr>
              <w:t>影响性质</w:t>
            </w:r>
          </w:p>
        </w:tc>
        <w:tc>
          <w:tcPr>
            <w:tcW w:w="1612" w:type="dxa"/>
            <w:vAlign w:val="center"/>
          </w:tcPr>
          <w:p w14:paraId="12DFBE64">
            <w:pPr>
              <w:bidi w:val="0"/>
              <w:jc w:val="center"/>
              <w:rPr>
                <w:rFonts w:hint="default"/>
                <w:b/>
                <w:bCs/>
                <w:color w:val="auto"/>
                <w:vertAlign w:val="baseline"/>
                <w:lang w:val="en-US" w:eastAsia="zh-CN"/>
              </w:rPr>
            </w:pPr>
            <w:r>
              <w:rPr>
                <w:rFonts w:hint="eastAsia"/>
                <w:b/>
                <w:bCs/>
                <w:color w:val="auto"/>
                <w:vertAlign w:val="baseline"/>
                <w:lang w:val="en-US" w:eastAsia="zh-CN"/>
              </w:rPr>
              <w:t>影响程度</w:t>
            </w:r>
          </w:p>
        </w:tc>
      </w:tr>
      <w:tr w14:paraId="304D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3" w:type="dxa"/>
            <w:vMerge w:val="restart"/>
            <w:vAlign w:val="center"/>
          </w:tcPr>
          <w:p w14:paraId="04D914CF">
            <w:pPr>
              <w:bidi w:val="0"/>
              <w:jc w:val="center"/>
              <w:rPr>
                <w:rFonts w:hint="default"/>
                <w:color w:val="auto"/>
                <w:vertAlign w:val="baseline"/>
                <w:lang w:val="en-US" w:eastAsia="zh-CN"/>
              </w:rPr>
            </w:pPr>
            <w:r>
              <w:rPr>
                <w:rFonts w:hint="eastAsia"/>
                <w:color w:val="auto"/>
                <w:vertAlign w:val="baseline"/>
                <w:lang w:val="en-US" w:eastAsia="zh-CN"/>
              </w:rPr>
              <w:t>物种</w:t>
            </w:r>
          </w:p>
        </w:tc>
        <w:tc>
          <w:tcPr>
            <w:tcW w:w="1701" w:type="dxa"/>
            <w:vMerge w:val="restart"/>
            <w:vAlign w:val="center"/>
          </w:tcPr>
          <w:p w14:paraId="06D55193">
            <w:pPr>
              <w:bidi w:val="0"/>
              <w:jc w:val="center"/>
              <w:rPr>
                <w:rFonts w:hint="default"/>
                <w:color w:val="auto"/>
                <w:vertAlign w:val="baseline"/>
                <w:lang w:val="en-US" w:eastAsia="zh-CN"/>
              </w:rPr>
            </w:pPr>
            <w:r>
              <w:rPr>
                <w:rFonts w:hint="eastAsia"/>
                <w:color w:val="auto"/>
                <w:vertAlign w:val="baseline"/>
                <w:lang w:val="en-US" w:eastAsia="zh-CN"/>
              </w:rPr>
              <w:t>分布范围、种群数量、种群结构、行为等</w:t>
            </w:r>
          </w:p>
        </w:tc>
        <w:tc>
          <w:tcPr>
            <w:tcW w:w="669" w:type="dxa"/>
            <w:vAlign w:val="center"/>
          </w:tcPr>
          <w:p w14:paraId="77961B85">
            <w:pPr>
              <w:bidi w:val="0"/>
              <w:jc w:val="center"/>
              <w:rPr>
                <w:rFonts w:hint="default"/>
                <w:color w:val="auto"/>
                <w:vertAlign w:val="baseline"/>
                <w:lang w:val="en-US" w:eastAsia="zh-CN"/>
              </w:rPr>
            </w:pPr>
            <w:r>
              <w:rPr>
                <w:rFonts w:hint="eastAsia"/>
                <w:color w:val="auto"/>
                <w:vertAlign w:val="baseline"/>
                <w:lang w:val="en-US" w:eastAsia="zh-CN"/>
              </w:rPr>
              <w:t>施工期</w:t>
            </w:r>
          </w:p>
        </w:tc>
        <w:tc>
          <w:tcPr>
            <w:tcW w:w="2665" w:type="dxa"/>
            <w:vAlign w:val="center"/>
          </w:tcPr>
          <w:p w14:paraId="52730CE4">
            <w:pPr>
              <w:bidi w:val="0"/>
              <w:jc w:val="center"/>
              <w:rPr>
                <w:rFonts w:hint="default"/>
                <w:color w:val="auto"/>
                <w:vertAlign w:val="baseline"/>
                <w:lang w:val="en-US" w:eastAsia="zh-CN"/>
              </w:rPr>
            </w:pPr>
            <w:r>
              <w:rPr>
                <w:rFonts w:hint="eastAsia"/>
                <w:color w:val="auto"/>
                <w:vertAlign w:val="baseline"/>
                <w:lang w:val="en-US" w:eastAsia="zh-CN"/>
              </w:rPr>
              <w:t>直接影响为主，主要为施工活动噪声、振动等对野生动物行为产生干扰</w:t>
            </w:r>
          </w:p>
        </w:tc>
        <w:tc>
          <w:tcPr>
            <w:tcW w:w="1130" w:type="dxa"/>
            <w:vMerge w:val="restart"/>
            <w:vAlign w:val="center"/>
          </w:tcPr>
          <w:p w14:paraId="392E913E">
            <w:pPr>
              <w:bidi w:val="0"/>
              <w:jc w:val="center"/>
              <w:rPr>
                <w:rFonts w:hint="default"/>
                <w:color w:val="auto"/>
                <w:vertAlign w:val="baseline"/>
                <w:lang w:val="en-US" w:eastAsia="zh-CN"/>
              </w:rPr>
            </w:pPr>
            <w:r>
              <w:rPr>
                <w:rFonts w:hint="eastAsia"/>
                <w:color w:val="auto"/>
                <w:vertAlign w:val="baseline"/>
                <w:lang w:val="en-US" w:eastAsia="zh-CN"/>
              </w:rPr>
              <w:t>短期、可逆影响</w:t>
            </w:r>
          </w:p>
        </w:tc>
        <w:tc>
          <w:tcPr>
            <w:tcW w:w="1612" w:type="dxa"/>
            <w:vMerge w:val="restart"/>
            <w:vAlign w:val="center"/>
          </w:tcPr>
          <w:p w14:paraId="0FE862D2">
            <w:pPr>
              <w:bidi w:val="0"/>
              <w:jc w:val="center"/>
              <w:rPr>
                <w:rFonts w:hint="default"/>
                <w:color w:val="auto"/>
                <w:vertAlign w:val="baseline"/>
                <w:lang w:val="en-US" w:eastAsia="zh-CN"/>
              </w:rPr>
            </w:pPr>
            <w:r>
              <w:rPr>
                <w:rFonts w:hint="eastAsia"/>
                <w:color w:val="auto"/>
                <w:vertAlign w:val="baseline"/>
                <w:lang w:val="en-US" w:eastAsia="zh-CN"/>
              </w:rPr>
              <w:t>弱影响，暂时性干扰，物种种类、种群数量、种群结构变化不大</w:t>
            </w:r>
          </w:p>
        </w:tc>
      </w:tr>
      <w:tr w14:paraId="743D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3" w:type="dxa"/>
            <w:vMerge w:val="continue"/>
            <w:vAlign w:val="center"/>
          </w:tcPr>
          <w:p w14:paraId="076302DF">
            <w:pPr>
              <w:bidi w:val="0"/>
              <w:jc w:val="center"/>
              <w:rPr>
                <w:rFonts w:hint="eastAsia"/>
                <w:color w:val="auto"/>
                <w:vertAlign w:val="baseline"/>
                <w:lang w:val="en-US" w:eastAsia="zh-CN"/>
              </w:rPr>
            </w:pPr>
          </w:p>
        </w:tc>
        <w:tc>
          <w:tcPr>
            <w:tcW w:w="1701" w:type="dxa"/>
            <w:vMerge w:val="continue"/>
            <w:vAlign w:val="center"/>
          </w:tcPr>
          <w:p w14:paraId="5FB701E7">
            <w:pPr>
              <w:bidi w:val="0"/>
              <w:jc w:val="center"/>
              <w:rPr>
                <w:rFonts w:hint="eastAsia"/>
                <w:color w:val="auto"/>
                <w:vertAlign w:val="baseline"/>
                <w:lang w:val="en-US" w:eastAsia="zh-CN"/>
              </w:rPr>
            </w:pPr>
          </w:p>
        </w:tc>
        <w:tc>
          <w:tcPr>
            <w:tcW w:w="669" w:type="dxa"/>
            <w:vAlign w:val="center"/>
          </w:tcPr>
          <w:p w14:paraId="2FAF8063">
            <w:pPr>
              <w:bidi w:val="0"/>
              <w:jc w:val="center"/>
              <w:rPr>
                <w:rFonts w:hint="default"/>
                <w:color w:val="auto"/>
                <w:vertAlign w:val="baseline"/>
                <w:lang w:val="en-US" w:eastAsia="zh-CN"/>
              </w:rPr>
            </w:pPr>
            <w:r>
              <w:rPr>
                <w:rFonts w:hint="eastAsia"/>
                <w:color w:val="auto"/>
                <w:vertAlign w:val="baseline"/>
                <w:lang w:val="en-US" w:eastAsia="zh-CN"/>
              </w:rPr>
              <w:t>运营期</w:t>
            </w:r>
          </w:p>
        </w:tc>
        <w:tc>
          <w:tcPr>
            <w:tcW w:w="2665" w:type="dxa"/>
            <w:vAlign w:val="center"/>
          </w:tcPr>
          <w:p w14:paraId="490DC1C6">
            <w:pPr>
              <w:bidi w:val="0"/>
              <w:jc w:val="center"/>
              <w:rPr>
                <w:rFonts w:hint="default"/>
                <w:color w:val="auto"/>
                <w:vertAlign w:val="baseline"/>
                <w:lang w:val="en-US" w:eastAsia="zh-CN"/>
              </w:rPr>
            </w:pPr>
            <w:r>
              <w:rPr>
                <w:rFonts w:hint="eastAsia"/>
                <w:color w:val="auto"/>
                <w:vertAlign w:val="baseline"/>
                <w:lang w:val="en-US" w:eastAsia="zh-CN"/>
              </w:rPr>
              <w:t>随着临时地植被的恢复，占地范围的物种将恢复</w:t>
            </w:r>
          </w:p>
        </w:tc>
        <w:tc>
          <w:tcPr>
            <w:tcW w:w="1130" w:type="dxa"/>
            <w:vMerge w:val="continue"/>
            <w:vAlign w:val="center"/>
          </w:tcPr>
          <w:p w14:paraId="72D9CD77">
            <w:pPr>
              <w:bidi w:val="0"/>
              <w:jc w:val="center"/>
              <w:rPr>
                <w:rFonts w:hint="eastAsia"/>
                <w:color w:val="auto"/>
                <w:vertAlign w:val="baseline"/>
                <w:lang w:val="en-US" w:eastAsia="zh-CN"/>
              </w:rPr>
            </w:pPr>
          </w:p>
        </w:tc>
        <w:tc>
          <w:tcPr>
            <w:tcW w:w="1612" w:type="dxa"/>
            <w:vMerge w:val="continue"/>
            <w:vAlign w:val="center"/>
          </w:tcPr>
          <w:p w14:paraId="4BDB6415">
            <w:pPr>
              <w:bidi w:val="0"/>
              <w:jc w:val="center"/>
              <w:rPr>
                <w:rFonts w:hint="eastAsia"/>
                <w:color w:val="auto"/>
                <w:vertAlign w:val="baseline"/>
                <w:lang w:val="en-US" w:eastAsia="zh-CN"/>
              </w:rPr>
            </w:pPr>
          </w:p>
        </w:tc>
      </w:tr>
      <w:tr w14:paraId="3C71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3" w:type="dxa"/>
            <w:vMerge w:val="restart"/>
            <w:vAlign w:val="center"/>
          </w:tcPr>
          <w:p w14:paraId="6E32E753">
            <w:pPr>
              <w:bidi w:val="0"/>
              <w:jc w:val="center"/>
              <w:rPr>
                <w:rFonts w:hint="default"/>
                <w:color w:val="auto"/>
                <w:vertAlign w:val="baseline"/>
                <w:lang w:val="en-US" w:eastAsia="zh-CN"/>
              </w:rPr>
            </w:pPr>
            <w:r>
              <w:rPr>
                <w:rFonts w:hint="eastAsia"/>
                <w:color w:val="auto"/>
                <w:vertAlign w:val="baseline"/>
                <w:lang w:val="en-US" w:eastAsia="zh-CN"/>
              </w:rPr>
              <w:t>生境</w:t>
            </w:r>
          </w:p>
        </w:tc>
        <w:tc>
          <w:tcPr>
            <w:tcW w:w="1701" w:type="dxa"/>
            <w:vMerge w:val="restart"/>
            <w:vAlign w:val="center"/>
          </w:tcPr>
          <w:p w14:paraId="339D36B1">
            <w:pPr>
              <w:bidi w:val="0"/>
              <w:jc w:val="center"/>
              <w:rPr>
                <w:rFonts w:hint="default"/>
                <w:color w:val="auto"/>
                <w:vertAlign w:val="baseline"/>
                <w:lang w:val="en-US" w:eastAsia="zh-CN"/>
              </w:rPr>
            </w:pPr>
            <w:r>
              <w:rPr>
                <w:rFonts w:hint="eastAsia"/>
                <w:color w:val="auto"/>
                <w:vertAlign w:val="baseline"/>
                <w:lang w:val="en-US" w:eastAsia="zh-CN"/>
              </w:rPr>
              <w:t>生境面积、质量、连通性等</w:t>
            </w:r>
          </w:p>
        </w:tc>
        <w:tc>
          <w:tcPr>
            <w:tcW w:w="669" w:type="dxa"/>
            <w:vAlign w:val="center"/>
          </w:tcPr>
          <w:p w14:paraId="2B150A6D">
            <w:pPr>
              <w:bidi w:val="0"/>
              <w:jc w:val="center"/>
              <w:rPr>
                <w:rFonts w:hint="eastAsia"/>
                <w:color w:val="auto"/>
                <w:vertAlign w:val="baseline"/>
                <w:lang w:val="en-US" w:eastAsia="zh-CN"/>
              </w:rPr>
            </w:pPr>
            <w:r>
              <w:rPr>
                <w:rFonts w:hint="eastAsia"/>
                <w:color w:val="auto"/>
                <w:vertAlign w:val="baseline"/>
                <w:lang w:val="en-US" w:eastAsia="zh-CN"/>
              </w:rPr>
              <w:t>施工期</w:t>
            </w:r>
          </w:p>
        </w:tc>
        <w:tc>
          <w:tcPr>
            <w:tcW w:w="2665" w:type="dxa"/>
            <w:vAlign w:val="center"/>
          </w:tcPr>
          <w:p w14:paraId="21B0A0CD">
            <w:pPr>
              <w:bidi w:val="0"/>
              <w:jc w:val="center"/>
              <w:rPr>
                <w:rFonts w:hint="default"/>
                <w:color w:val="auto"/>
                <w:sz w:val="21"/>
                <w:szCs w:val="21"/>
                <w:vertAlign w:val="baseline"/>
                <w:lang w:val="en-US" w:eastAsia="zh-CN"/>
              </w:rPr>
            </w:pPr>
            <w:r>
              <w:rPr>
                <w:rFonts w:hint="eastAsia"/>
                <w:color w:val="auto"/>
                <w:sz w:val="21"/>
                <w:szCs w:val="21"/>
                <w:vertAlign w:val="baseline"/>
                <w:lang w:val="en-US" w:eastAsia="zh-CN"/>
              </w:rPr>
              <w:t>直接影响为主，主要为工程临时、永久占地导致生境直接破坏或丧失</w:t>
            </w:r>
          </w:p>
        </w:tc>
        <w:tc>
          <w:tcPr>
            <w:tcW w:w="1130" w:type="dxa"/>
            <w:vMerge w:val="restart"/>
            <w:vAlign w:val="center"/>
          </w:tcPr>
          <w:p w14:paraId="0357C8D9">
            <w:pPr>
              <w:bidi w:val="0"/>
              <w:jc w:val="center"/>
              <w:rPr>
                <w:rFonts w:hint="eastAsia"/>
                <w:color w:val="auto"/>
                <w:vertAlign w:val="baseline"/>
                <w:lang w:val="en-US" w:eastAsia="zh-CN"/>
              </w:rPr>
            </w:pPr>
            <w:r>
              <w:rPr>
                <w:rFonts w:hint="eastAsia"/>
                <w:color w:val="auto"/>
                <w:vertAlign w:val="baseline"/>
                <w:lang w:val="en-US" w:eastAsia="zh-CN"/>
              </w:rPr>
              <w:t>短期、可逆影响</w:t>
            </w:r>
          </w:p>
        </w:tc>
        <w:tc>
          <w:tcPr>
            <w:tcW w:w="1612" w:type="dxa"/>
            <w:vMerge w:val="restart"/>
            <w:vAlign w:val="center"/>
          </w:tcPr>
          <w:p w14:paraId="303D6411">
            <w:pPr>
              <w:bidi w:val="0"/>
              <w:jc w:val="center"/>
              <w:rPr>
                <w:rFonts w:hint="default"/>
                <w:color w:val="auto"/>
                <w:vertAlign w:val="baseline"/>
                <w:lang w:val="en-US" w:eastAsia="zh-CN"/>
              </w:rPr>
            </w:pPr>
            <w:r>
              <w:rPr>
                <w:rFonts w:hint="eastAsia"/>
                <w:color w:val="auto"/>
                <w:vertAlign w:val="baseline"/>
                <w:lang w:val="en-US" w:eastAsia="zh-CN"/>
              </w:rPr>
              <w:t>弱影响，生境受到暂时性破坏</w:t>
            </w:r>
          </w:p>
        </w:tc>
      </w:tr>
      <w:tr w14:paraId="138D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3" w:type="dxa"/>
            <w:vMerge w:val="continue"/>
            <w:vAlign w:val="center"/>
          </w:tcPr>
          <w:p w14:paraId="239697BB">
            <w:pPr>
              <w:bidi w:val="0"/>
              <w:jc w:val="center"/>
              <w:rPr>
                <w:rFonts w:hint="eastAsia"/>
                <w:color w:val="auto"/>
                <w:vertAlign w:val="baseline"/>
                <w:lang w:val="en-US" w:eastAsia="zh-CN"/>
              </w:rPr>
            </w:pPr>
          </w:p>
        </w:tc>
        <w:tc>
          <w:tcPr>
            <w:tcW w:w="1701" w:type="dxa"/>
            <w:vMerge w:val="continue"/>
            <w:vAlign w:val="center"/>
          </w:tcPr>
          <w:p w14:paraId="597BA57B">
            <w:pPr>
              <w:bidi w:val="0"/>
              <w:jc w:val="center"/>
              <w:rPr>
                <w:rFonts w:hint="eastAsia"/>
                <w:color w:val="auto"/>
                <w:vertAlign w:val="baseline"/>
                <w:lang w:val="en-US" w:eastAsia="zh-CN"/>
              </w:rPr>
            </w:pPr>
          </w:p>
        </w:tc>
        <w:tc>
          <w:tcPr>
            <w:tcW w:w="669" w:type="dxa"/>
            <w:vAlign w:val="center"/>
          </w:tcPr>
          <w:p w14:paraId="1CD44694">
            <w:pPr>
              <w:bidi w:val="0"/>
              <w:jc w:val="center"/>
              <w:rPr>
                <w:rFonts w:hint="eastAsia"/>
                <w:color w:val="auto"/>
                <w:vertAlign w:val="baseline"/>
                <w:lang w:val="en-US" w:eastAsia="zh-CN"/>
              </w:rPr>
            </w:pPr>
            <w:r>
              <w:rPr>
                <w:rFonts w:hint="eastAsia"/>
                <w:color w:val="auto"/>
                <w:vertAlign w:val="baseline"/>
                <w:lang w:val="en-US" w:eastAsia="zh-CN"/>
              </w:rPr>
              <w:t>运营期</w:t>
            </w:r>
          </w:p>
        </w:tc>
        <w:tc>
          <w:tcPr>
            <w:tcW w:w="2665" w:type="dxa"/>
            <w:vAlign w:val="center"/>
          </w:tcPr>
          <w:p w14:paraId="690212C5">
            <w:pPr>
              <w:bidi w:val="0"/>
              <w:jc w:val="center"/>
              <w:rPr>
                <w:rFonts w:hint="default"/>
                <w:color w:val="auto"/>
                <w:sz w:val="21"/>
                <w:szCs w:val="21"/>
                <w:vertAlign w:val="baseline"/>
                <w:lang w:val="en-US" w:eastAsia="zh-CN"/>
              </w:rPr>
            </w:pPr>
            <w:r>
              <w:rPr>
                <w:rFonts w:hint="eastAsia"/>
                <w:color w:val="auto"/>
                <w:sz w:val="21"/>
                <w:szCs w:val="21"/>
                <w:vertAlign w:val="baseline"/>
                <w:lang w:val="en-US" w:eastAsia="zh-CN"/>
              </w:rPr>
              <w:t>随着临时占用土地的恢复，区域动植物生境将予以恢复</w:t>
            </w:r>
          </w:p>
        </w:tc>
        <w:tc>
          <w:tcPr>
            <w:tcW w:w="1130" w:type="dxa"/>
            <w:vMerge w:val="continue"/>
            <w:vAlign w:val="center"/>
          </w:tcPr>
          <w:p w14:paraId="200F4F0E">
            <w:pPr>
              <w:bidi w:val="0"/>
              <w:jc w:val="center"/>
              <w:rPr>
                <w:rFonts w:hint="eastAsia"/>
                <w:color w:val="auto"/>
                <w:vertAlign w:val="baseline"/>
                <w:lang w:val="en-US" w:eastAsia="zh-CN"/>
              </w:rPr>
            </w:pPr>
          </w:p>
        </w:tc>
        <w:tc>
          <w:tcPr>
            <w:tcW w:w="1612" w:type="dxa"/>
            <w:vMerge w:val="continue"/>
            <w:vAlign w:val="center"/>
          </w:tcPr>
          <w:p w14:paraId="7EA7CC62">
            <w:pPr>
              <w:bidi w:val="0"/>
              <w:jc w:val="center"/>
              <w:rPr>
                <w:rFonts w:hint="eastAsia"/>
                <w:color w:val="auto"/>
                <w:vertAlign w:val="baseline"/>
                <w:lang w:val="en-US" w:eastAsia="zh-CN"/>
              </w:rPr>
            </w:pPr>
          </w:p>
        </w:tc>
      </w:tr>
      <w:tr w14:paraId="6499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43" w:type="dxa"/>
            <w:vMerge w:val="restart"/>
            <w:vAlign w:val="center"/>
          </w:tcPr>
          <w:p w14:paraId="735F8B9C">
            <w:pPr>
              <w:bidi w:val="0"/>
              <w:jc w:val="center"/>
              <w:rPr>
                <w:rFonts w:hint="default"/>
                <w:color w:val="auto"/>
                <w:vertAlign w:val="baseline"/>
                <w:lang w:val="en-US" w:eastAsia="zh-CN"/>
              </w:rPr>
            </w:pPr>
            <w:r>
              <w:rPr>
                <w:rFonts w:hint="eastAsia"/>
                <w:color w:val="auto"/>
                <w:vertAlign w:val="baseline"/>
                <w:lang w:val="en-US" w:eastAsia="zh-CN"/>
              </w:rPr>
              <w:t>生物群落</w:t>
            </w:r>
          </w:p>
        </w:tc>
        <w:tc>
          <w:tcPr>
            <w:tcW w:w="1701" w:type="dxa"/>
            <w:vMerge w:val="restart"/>
            <w:vAlign w:val="center"/>
          </w:tcPr>
          <w:p w14:paraId="767645C7">
            <w:pPr>
              <w:bidi w:val="0"/>
              <w:jc w:val="center"/>
              <w:rPr>
                <w:rFonts w:hint="default"/>
                <w:color w:val="auto"/>
                <w:vertAlign w:val="baseline"/>
                <w:lang w:val="en-US" w:eastAsia="zh-CN"/>
              </w:rPr>
            </w:pPr>
            <w:r>
              <w:rPr>
                <w:rFonts w:hint="eastAsia"/>
                <w:color w:val="auto"/>
                <w:vertAlign w:val="baseline"/>
                <w:lang w:val="en-US" w:eastAsia="zh-CN"/>
              </w:rPr>
              <w:t>物种组成、群落结构等</w:t>
            </w:r>
          </w:p>
        </w:tc>
        <w:tc>
          <w:tcPr>
            <w:tcW w:w="669" w:type="dxa"/>
            <w:vAlign w:val="center"/>
          </w:tcPr>
          <w:p w14:paraId="294C4612">
            <w:pPr>
              <w:bidi w:val="0"/>
              <w:jc w:val="center"/>
              <w:rPr>
                <w:rFonts w:hint="eastAsia"/>
                <w:color w:val="auto"/>
                <w:vertAlign w:val="baseline"/>
                <w:lang w:val="en-US" w:eastAsia="zh-CN"/>
              </w:rPr>
            </w:pPr>
            <w:r>
              <w:rPr>
                <w:rFonts w:hint="eastAsia"/>
                <w:color w:val="auto"/>
                <w:vertAlign w:val="baseline"/>
                <w:lang w:val="en-US" w:eastAsia="zh-CN"/>
              </w:rPr>
              <w:t>施工期</w:t>
            </w:r>
          </w:p>
        </w:tc>
        <w:tc>
          <w:tcPr>
            <w:tcW w:w="2665" w:type="dxa"/>
            <w:vAlign w:val="center"/>
          </w:tcPr>
          <w:p w14:paraId="760D2EF5">
            <w:pPr>
              <w:bidi w:val="0"/>
              <w:jc w:val="center"/>
              <w:rPr>
                <w:rFonts w:hint="eastAsia"/>
                <w:color w:val="auto"/>
                <w:sz w:val="21"/>
                <w:szCs w:val="21"/>
                <w:vertAlign w:val="baseline"/>
                <w:lang w:val="en-US" w:eastAsia="zh-CN"/>
              </w:rPr>
            </w:pPr>
            <w:r>
              <w:rPr>
                <w:rFonts w:ascii="宋体" w:hAnsi="宋体" w:eastAsia="宋体" w:cs="宋体"/>
                <w:color w:val="auto"/>
                <w:sz w:val="21"/>
                <w:szCs w:val="21"/>
              </w:rPr>
              <w:t>直接影响为主，主要为工程施工导致个体直接死亡</w:t>
            </w:r>
          </w:p>
        </w:tc>
        <w:tc>
          <w:tcPr>
            <w:tcW w:w="1130" w:type="dxa"/>
            <w:vMerge w:val="restart"/>
            <w:vAlign w:val="center"/>
          </w:tcPr>
          <w:p w14:paraId="6FC3B6D4">
            <w:pPr>
              <w:bidi w:val="0"/>
              <w:jc w:val="center"/>
              <w:rPr>
                <w:rFonts w:hint="eastAsia"/>
                <w:color w:val="auto"/>
                <w:vertAlign w:val="baseline"/>
                <w:lang w:val="en-US" w:eastAsia="zh-CN"/>
              </w:rPr>
            </w:pPr>
            <w:r>
              <w:rPr>
                <w:rFonts w:hint="eastAsia"/>
                <w:color w:val="auto"/>
                <w:vertAlign w:val="baseline"/>
                <w:lang w:val="en-US" w:eastAsia="zh-CN"/>
              </w:rPr>
              <w:t>短期、可逆影响</w:t>
            </w:r>
          </w:p>
        </w:tc>
        <w:tc>
          <w:tcPr>
            <w:tcW w:w="1612" w:type="dxa"/>
            <w:vMerge w:val="restart"/>
            <w:vAlign w:val="center"/>
          </w:tcPr>
          <w:p w14:paraId="72734BE5">
            <w:pPr>
              <w:bidi w:val="0"/>
              <w:jc w:val="center"/>
              <w:rPr>
                <w:rFonts w:hint="default"/>
                <w:color w:val="auto"/>
                <w:vertAlign w:val="baseline"/>
                <w:lang w:val="en-US" w:eastAsia="zh-CN"/>
              </w:rPr>
            </w:pPr>
            <w:r>
              <w:rPr>
                <w:rFonts w:hint="eastAsia"/>
                <w:color w:val="auto"/>
                <w:vertAlign w:val="baseline"/>
                <w:lang w:val="en-US" w:eastAsia="zh-CN"/>
              </w:rPr>
              <w:t>无影响，生物多样性、生态系统结构、功能以及生态系统稳定性维持现状</w:t>
            </w:r>
          </w:p>
        </w:tc>
      </w:tr>
      <w:tr w14:paraId="20A6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43" w:type="dxa"/>
            <w:vMerge w:val="continue"/>
            <w:vAlign w:val="center"/>
          </w:tcPr>
          <w:p w14:paraId="6596C03A">
            <w:pPr>
              <w:bidi w:val="0"/>
              <w:jc w:val="center"/>
              <w:rPr>
                <w:rFonts w:hint="eastAsia"/>
                <w:color w:val="auto"/>
                <w:vertAlign w:val="baseline"/>
                <w:lang w:val="en-US" w:eastAsia="zh-CN"/>
              </w:rPr>
            </w:pPr>
          </w:p>
        </w:tc>
        <w:tc>
          <w:tcPr>
            <w:tcW w:w="1701" w:type="dxa"/>
            <w:vMerge w:val="continue"/>
            <w:vAlign w:val="center"/>
          </w:tcPr>
          <w:p w14:paraId="0A31F724">
            <w:pPr>
              <w:bidi w:val="0"/>
              <w:jc w:val="center"/>
              <w:rPr>
                <w:rFonts w:hint="eastAsia"/>
                <w:color w:val="auto"/>
                <w:vertAlign w:val="baseline"/>
                <w:lang w:val="en-US" w:eastAsia="zh-CN"/>
              </w:rPr>
            </w:pPr>
          </w:p>
        </w:tc>
        <w:tc>
          <w:tcPr>
            <w:tcW w:w="669" w:type="dxa"/>
            <w:vAlign w:val="center"/>
          </w:tcPr>
          <w:p w14:paraId="3F2F23AC">
            <w:pPr>
              <w:bidi w:val="0"/>
              <w:jc w:val="center"/>
              <w:rPr>
                <w:rFonts w:hint="eastAsia"/>
                <w:color w:val="auto"/>
                <w:vertAlign w:val="baseline"/>
                <w:lang w:val="en-US" w:eastAsia="zh-CN"/>
              </w:rPr>
            </w:pPr>
            <w:r>
              <w:rPr>
                <w:rFonts w:hint="eastAsia"/>
                <w:color w:val="auto"/>
                <w:vertAlign w:val="baseline"/>
                <w:lang w:val="en-US" w:eastAsia="zh-CN"/>
              </w:rPr>
              <w:t>运营期</w:t>
            </w:r>
          </w:p>
        </w:tc>
        <w:tc>
          <w:tcPr>
            <w:tcW w:w="2665" w:type="dxa"/>
            <w:vAlign w:val="center"/>
          </w:tcPr>
          <w:p w14:paraId="791CD629">
            <w:pPr>
              <w:bidi w:val="0"/>
              <w:jc w:val="center"/>
              <w:rPr>
                <w:rFonts w:hint="default"/>
                <w:color w:val="auto"/>
                <w:sz w:val="21"/>
                <w:szCs w:val="21"/>
                <w:vertAlign w:val="baseline"/>
                <w:lang w:val="en-US" w:eastAsia="zh-CN"/>
              </w:rPr>
            </w:pPr>
            <w:r>
              <w:rPr>
                <w:rFonts w:hint="eastAsia"/>
                <w:color w:val="auto"/>
                <w:sz w:val="21"/>
                <w:szCs w:val="21"/>
                <w:vertAlign w:val="baseline"/>
                <w:lang w:val="en-US" w:eastAsia="zh-CN"/>
              </w:rPr>
              <w:t>随着临时占用土地的恢复，生物群落逐步演化为施工前</w:t>
            </w:r>
          </w:p>
        </w:tc>
        <w:tc>
          <w:tcPr>
            <w:tcW w:w="1130" w:type="dxa"/>
            <w:vMerge w:val="continue"/>
            <w:vAlign w:val="center"/>
          </w:tcPr>
          <w:p w14:paraId="18037547">
            <w:pPr>
              <w:bidi w:val="0"/>
              <w:jc w:val="center"/>
              <w:rPr>
                <w:rFonts w:hint="eastAsia"/>
                <w:color w:val="auto"/>
                <w:vertAlign w:val="baseline"/>
                <w:lang w:val="en-US" w:eastAsia="zh-CN"/>
              </w:rPr>
            </w:pPr>
          </w:p>
        </w:tc>
        <w:tc>
          <w:tcPr>
            <w:tcW w:w="1612" w:type="dxa"/>
            <w:vMerge w:val="continue"/>
            <w:vAlign w:val="center"/>
          </w:tcPr>
          <w:p w14:paraId="3BF48DC7">
            <w:pPr>
              <w:bidi w:val="0"/>
              <w:jc w:val="center"/>
              <w:rPr>
                <w:rFonts w:hint="eastAsia"/>
                <w:color w:val="auto"/>
                <w:vertAlign w:val="baseline"/>
                <w:lang w:val="en-US" w:eastAsia="zh-CN"/>
              </w:rPr>
            </w:pPr>
          </w:p>
        </w:tc>
      </w:tr>
      <w:tr w14:paraId="14C7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43" w:type="dxa"/>
            <w:vMerge w:val="restart"/>
            <w:vAlign w:val="center"/>
          </w:tcPr>
          <w:p w14:paraId="3226A7AE">
            <w:pPr>
              <w:bidi w:val="0"/>
              <w:jc w:val="center"/>
              <w:rPr>
                <w:rFonts w:hint="default"/>
                <w:color w:val="auto"/>
                <w:vertAlign w:val="baseline"/>
                <w:lang w:val="en-US" w:eastAsia="zh-CN"/>
              </w:rPr>
            </w:pPr>
            <w:r>
              <w:rPr>
                <w:rFonts w:hint="eastAsia"/>
                <w:color w:val="auto"/>
                <w:vertAlign w:val="baseline"/>
                <w:lang w:val="en-US" w:eastAsia="zh-CN"/>
              </w:rPr>
              <w:t>生态系统</w:t>
            </w:r>
          </w:p>
        </w:tc>
        <w:tc>
          <w:tcPr>
            <w:tcW w:w="1701" w:type="dxa"/>
            <w:vMerge w:val="restart"/>
            <w:vAlign w:val="center"/>
          </w:tcPr>
          <w:p w14:paraId="41F00D0C">
            <w:pPr>
              <w:bidi w:val="0"/>
              <w:jc w:val="center"/>
              <w:rPr>
                <w:rFonts w:hint="default"/>
                <w:color w:val="auto"/>
                <w:vertAlign w:val="baseline"/>
                <w:lang w:val="en-US" w:eastAsia="zh-CN"/>
              </w:rPr>
            </w:pPr>
            <w:r>
              <w:rPr>
                <w:rFonts w:hint="eastAsia"/>
                <w:color w:val="auto"/>
                <w:vertAlign w:val="baseline"/>
                <w:lang w:val="en-US" w:eastAsia="zh-CN"/>
              </w:rPr>
              <w:t>植被覆盖度、生产力、生物量、生态系统功能等</w:t>
            </w:r>
          </w:p>
        </w:tc>
        <w:tc>
          <w:tcPr>
            <w:tcW w:w="669" w:type="dxa"/>
            <w:vAlign w:val="center"/>
          </w:tcPr>
          <w:p w14:paraId="420CE797">
            <w:pPr>
              <w:bidi w:val="0"/>
              <w:jc w:val="center"/>
              <w:rPr>
                <w:rFonts w:hint="eastAsia"/>
                <w:color w:val="auto"/>
                <w:vertAlign w:val="baseline"/>
                <w:lang w:val="en-US" w:eastAsia="zh-CN"/>
              </w:rPr>
            </w:pPr>
            <w:r>
              <w:rPr>
                <w:rFonts w:hint="eastAsia"/>
                <w:color w:val="auto"/>
                <w:vertAlign w:val="baseline"/>
                <w:lang w:val="en-US" w:eastAsia="zh-CN"/>
              </w:rPr>
              <w:t>施工期</w:t>
            </w:r>
          </w:p>
        </w:tc>
        <w:tc>
          <w:tcPr>
            <w:tcW w:w="2665" w:type="dxa"/>
            <w:vAlign w:val="center"/>
          </w:tcPr>
          <w:p w14:paraId="74ACAE1D">
            <w:pPr>
              <w:bidi w:val="0"/>
              <w:jc w:val="center"/>
              <w:rPr>
                <w:rFonts w:hint="eastAsia"/>
                <w:color w:val="auto"/>
                <w:sz w:val="21"/>
                <w:szCs w:val="21"/>
                <w:vertAlign w:val="baseline"/>
                <w:lang w:val="en-US" w:eastAsia="zh-CN"/>
              </w:rPr>
            </w:pPr>
            <w:r>
              <w:rPr>
                <w:rFonts w:ascii="宋体" w:hAnsi="宋体" w:eastAsia="宋体" w:cs="宋体"/>
                <w:color w:val="auto"/>
                <w:sz w:val="21"/>
                <w:szCs w:val="21"/>
              </w:rPr>
              <w:t>直接影响为主，主要为工程临时、永久占地对植被覆盖度、生产力、生物量和生态系统功能的影响等</w:t>
            </w:r>
          </w:p>
        </w:tc>
        <w:tc>
          <w:tcPr>
            <w:tcW w:w="1130" w:type="dxa"/>
            <w:vMerge w:val="restart"/>
            <w:vAlign w:val="center"/>
          </w:tcPr>
          <w:p w14:paraId="20A00DC3">
            <w:pPr>
              <w:bidi w:val="0"/>
              <w:jc w:val="center"/>
              <w:rPr>
                <w:rFonts w:hint="eastAsia"/>
                <w:color w:val="auto"/>
                <w:vertAlign w:val="baseline"/>
                <w:lang w:val="en-US" w:eastAsia="zh-CN"/>
              </w:rPr>
            </w:pPr>
            <w:r>
              <w:rPr>
                <w:rFonts w:hint="eastAsia"/>
                <w:color w:val="auto"/>
                <w:vertAlign w:val="baseline"/>
                <w:lang w:val="en-US" w:eastAsia="zh-CN"/>
              </w:rPr>
              <w:t>短期、可逆影响</w:t>
            </w:r>
          </w:p>
        </w:tc>
        <w:tc>
          <w:tcPr>
            <w:tcW w:w="1612" w:type="dxa"/>
            <w:vMerge w:val="continue"/>
            <w:vAlign w:val="center"/>
          </w:tcPr>
          <w:p w14:paraId="702330AB">
            <w:pPr>
              <w:bidi w:val="0"/>
              <w:jc w:val="center"/>
              <w:rPr>
                <w:rFonts w:hint="eastAsia"/>
                <w:color w:val="auto"/>
                <w:vertAlign w:val="baseline"/>
                <w:lang w:val="en-US" w:eastAsia="zh-CN"/>
              </w:rPr>
            </w:pPr>
          </w:p>
        </w:tc>
      </w:tr>
      <w:tr w14:paraId="4A42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43" w:type="dxa"/>
            <w:vMerge w:val="continue"/>
            <w:vAlign w:val="center"/>
          </w:tcPr>
          <w:p w14:paraId="049DF8B6">
            <w:pPr>
              <w:bidi w:val="0"/>
              <w:jc w:val="center"/>
              <w:rPr>
                <w:rFonts w:hint="eastAsia"/>
                <w:color w:val="auto"/>
                <w:vertAlign w:val="baseline"/>
                <w:lang w:val="en-US" w:eastAsia="zh-CN"/>
              </w:rPr>
            </w:pPr>
          </w:p>
        </w:tc>
        <w:tc>
          <w:tcPr>
            <w:tcW w:w="1701" w:type="dxa"/>
            <w:vMerge w:val="continue"/>
            <w:vAlign w:val="center"/>
          </w:tcPr>
          <w:p w14:paraId="4B23B499">
            <w:pPr>
              <w:bidi w:val="0"/>
              <w:jc w:val="center"/>
              <w:rPr>
                <w:rFonts w:hint="eastAsia"/>
                <w:color w:val="auto"/>
                <w:vertAlign w:val="baseline"/>
                <w:lang w:val="en-US" w:eastAsia="zh-CN"/>
              </w:rPr>
            </w:pPr>
          </w:p>
        </w:tc>
        <w:tc>
          <w:tcPr>
            <w:tcW w:w="669" w:type="dxa"/>
            <w:vAlign w:val="center"/>
          </w:tcPr>
          <w:p w14:paraId="4981E315">
            <w:pPr>
              <w:bidi w:val="0"/>
              <w:jc w:val="center"/>
              <w:rPr>
                <w:rFonts w:hint="eastAsia"/>
                <w:color w:val="auto"/>
                <w:vertAlign w:val="baseline"/>
                <w:lang w:val="en-US" w:eastAsia="zh-CN"/>
              </w:rPr>
            </w:pPr>
            <w:r>
              <w:rPr>
                <w:rFonts w:hint="eastAsia"/>
                <w:color w:val="auto"/>
                <w:vertAlign w:val="baseline"/>
                <w:lang w:val="en-US" w:eastAsia="zh-CN"/>
              </w:rPr>
              <w:t>运营期</w:t>
            </w:r>
          </w:p>
        </w:tc>
        <w:tc>
          <w:tcPr>
            <w:tcW w:w="2665" w:type="dxa"/>
            <w:vAlign w:val="center"/>
          </w:tcPr>
          <w:p w14:paraId="0BB23343">
            <w:pPr>
              <w:bidi w:val="0"/>
              <w:jc w:val="center"/>
              <w:rPr>
                <w:rFonts w:hint="default"/>
                <w:color w:val="auto"/>
                <w:sz w:val="21"/>
                <w:szCs w:val="21"/>
                <w:vertAlign w:val="baseline"/>
                <w:lang w:val="en-US" w:eastAsia="zh-CN"/>
              </w:rPr>
            </w:pPr>
            <w:r>
              <w:rPr>
                <w:rFonts w:hint="eastAsia"/>
                <w:color w:val="auto"/>
                <w:sz w:val="21"/>
                <w:szCs w:val="21"/>
                <w:vertAlign w:val="baseline"/>
                <w:lang w:val="en-US" w:eastAsia="zh-CN"/>
              </w:rPr>
              <w:t>随着临时占用土地的恢复，植被覆盖度、生产力、生物量和生态系统功能将逐步恢复</w:t>
            </w:r>
          </w:p>
        </w:tc>
        <w:tc>
          <w:tcPr>
            <w:tcW w:w="1130" w:type="dxa"/>
            <w:vMerge w:val="continue"/>
            <w:vAlign w:val="center"/>
          </w:tcPr>
          <w:p w14:paraId="282F234A">
            <w:pPr>
              <w:bidi w:val="0"/>
              <w:jc w:val="center"/>
              <w:rPr>
                <w:rFonts w:hint="eastAsia"/>
                <w:color w:val="auto"/>
                <w:vertAlign w:val="baseline"/>
                <w:lang w:val="en-US" w:eastAsia="zh-CN"/>
              </w:rPr>
            </w:pPr>
          </w:p>
        </w:tc>
        <w:tc>
          <w:tcPr>
            <w:tcW w:w="1612" w:type="dxa"/>
            <w:vMerge w:val="continue"/>
            <w:vAlign w:val="center"/>
          </w:tcPr>
          <w:p w14:paraId="4D5A0AE8">
            <w:pPr>
              <w:bidi w:val="0"/>
              <w:jc w:val="center"/>
              <w:rPr>
                <w:rFonts w:hint="eastAsia"/>
                <w:color w:val="auto"/>
                <w:vertAlign w:val="baseline"/>
                <w:lang w:val="en-US" w:eastAsia="zh-CN"/>
              </w:rPr>
            </w:pPr>
          </w:p>
        </w:tc>
      </w:tr>
      <w:tr w14:paraId="175C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vMerge w:val="restart"/>
            <w:vAlign w:val="center"/>
          </w:tcPr>
          <w:p w14:paraId="2EE97EBC">
            <w:pPr>
              <w:bidi w:val="0"/>
              <w:jc w:val="center"/>
              <w:rPr>
                <w:rFonts w:hint="default"/>
                <w:color w:val="auto"/>
                <w:vertAlign w:val="baseline"/>
                <w:lang w:val="en-US" w:eastAsia="zh-CN"/>
              </w:rPr>
            </w:pPr>
            <w:r>
              <w:rPr>
                <w:rFonts w:hint="eastAsia"/>
                <w:color w:val="auto"/>
                <w:vertAlign w:val="baseline"/>
                <w:lang w:val="en-US" w:eastAsia="zh-CN"/>
              </w:rPr>
              <w:t>生物多样性</w:t>
            </w:r>
          </w:p>
        </w:tc>
        <w:tc>
          <w:tcPr>
            <w:tcW w:w="1701" w:type="dxa"/>
            <w:vMerge w:val="restart"/>
            <w:vAlign w:val="center"/>
          </w:tcPr>
          <w:p w14:paraId="3C2B17BE">
            <w:pPr>
              <w:bidi w:val="0"/>
              <w:jc w:val="center"/>
              <w:rPr>
                <w:rFonts w:hint="default"/>
                <w:color w:val="auto"/>
                <w:vertAlign w:val="baseline"/>
                <w:lang w:val="en-US" w:eastAsia="zh-CN"/>
              </w:rPr>
            </w:pPr>
            <w:r>
              <w:rPr>
                <w:rFonts w:hint="eastAsia"/>
                <w:color w:val="auto"/>
                <w:vertAlign w:val="baseline"/>
                <w:lang w:val="en-US" w:eastAsia="zh-CN"/>
              </w:rPr>
              <w:t>物种丰富度、均匀度、优势度等</w:t>
            </w:r>
          </w:p>
        </w:tc>
        <w:tc>
          <w:tcPr>
            <w:tcW w:w="669" w:type="dxa"/>
            <w:vAlign w:val="center"/>
          </w:tcPr>
          <w:p w14:paraId="47C29252">
            <w:pPr>
              <w:bidi w:val="0"/>
              <w:jc w:val="center"/>
              <w:rPr>
                <w:rFonts w:hint="eastAsia"/>
                <w:color w:val="auto"/>
                <w:vertAlign w:val="baseline"/>
                <w:lang w:val="en-US" w:eastAsia="zh-CN"/>
              </w:rPr>
            </w:pPr>
            <w:r>
              <w:rPr>
                <w:rFonts w:hint="eastAsia"/>
                <w:color w:val="auto"/>
                <w:vertAlign w:val="baseline"/>
                <w:lang w:val="en-US" w:eastAsia="zh-CN"/>
              </w:rPr>
              <w:t>施工期</w:t>
            </w:r>
          </w:p>
        </w:tc>
        <w:tc>
          <w:tcPr>
            <w:tcW w:w="2665" w:type="dxa"/>
            <w:vAlign w:val="center"/>
          </w:tcPr>
          <w:p w14:paraId="3FC671F3">
            <w:pPr>
              <w:bidi w:val="0"/>
              <w:jc w:val="center"/>
              <w:rPr>
                <w:rFonts w:hint="eastAsia"/>
                <w:color w:val="auto"/>
                <w:sz w:val="21"/>
                <w:szCs w:val="21"/>
                <w:vertAlign w:val="baseline"/>
                <w:lang w:val="en-US" w:eastAsia="zh-CN"/>
              </w:rPr>
            </w:pPr>
            <w:r>
              <w:rPr>
                <w:rFonts w:ascii="宋体" w:hAnsi="宋体" w:eastAsia="宋体" w:cs="宋体"/>
                <w:color w:val="auto"/>
                <w:sz w:val="21"/>
                <w:szCs w:val="21"/>
              </w:rPr>
              <w:t>直接影响为主，主要为工程临时、永久占地对植物的影响，工程施工导致个体直接死亡；施工活动噪声、振动等对野生动物行为产生干扰。导致生物多样性变化</w:t>
            </w:r>
          </w:p>
        </w:tc>
        <w:tc>
          <w:tcPr>
            <w:tcW w:w="1130" w:type="dxa"/>
            <w:vMerge w:val="restart"/>
            <w:vAlign w:val="center"/>
          </w:tcPr>
          <w:p w14:paraId="4620A848">
            <w:pPr>
              <w:bidi w:val="0"/>
              <w:jc w:val="center"/>
              <w:rPr>
                <w:rFonts w:hint="eastAsia"/>
                <w:color w:val="auto"/>
                <w:vertAlign w:val="baseline"/>
                <w:lang w:val="en-US" w:eastAsia="zh-CN"/>
              </w:rPr>
            </w:pPr>
            <w:r>
              <w:rPr>
                <w:rFonts w:hint="eastAsia"/>
                <w:color w:val="auto"/>
                <w:vertAlign w:val="baseline"/>
                <w:lang w:val="en-US" w:eastAsia="zh-CN"/>
              </w:rPr>
              <w:t>短期、可逆影响</w:t>
            </w:r>
          </w:p>
        </w:tc>
        <w:tc>
          <w:tcPr>
            <w:tcW w:w="1612" w:type="dxa"/>
            <w:vMerge w:val="continue"/>
            <w:vAlign w:val="center"/>
          </w:tcPr>
          <w:p w14:paraId="6BADD7B9">
            <w:pPr>
              <w:bidi w:val="0"/>
              <w:jc w:val="center"/>
              <w:rPr>
                <w:rFonts w:hint="eastAsia"/>
                <w:color w:val="auto"/>
                <w:vertAlign w:val="baseline"/>
                <w:lang w:val="en-US" w:eastAsia="zh-CN"/>
              </w:rPr>
            </w:pPr>
          </w:p>
        </w:tc>
      </w:tr>
      <w:tr w14:paraId="0B03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43" w:type="dxa"/>
            <w:vMerge w:val="continue"/>
            <w:vAlign w:val="center"/>
          </w:tcPr>
          <w:p w14:paraId="61C445D3">
            <w:pPr>
              <w:bidi w:val="0"/>
              <w:jc w:val="center"/>
              <w:rPr>
                <w:rFonts w:hint="eastAsia"/>
                <w:color w:val="auto"/>
                <w:vertAlign w:val="baseline"/>
                <w:lang w:val="en-US" w:eastAsia="zh-CN"/>
              </w:rPr>
            </w:pPr>
          </w:p>
        </w:tc>
        <w:tc>
          <w:tcPr>
            <w:tcW w:w="1701" w:type="dxa"/>
            <w:vMerge w:val="continue"/>
            <w:vAlign w:val="center"/>
          </w:tcPr>
          <w:p w14:paraId="0AD3A43C">
            <w:pPr>
              <w:bidi w:val="0"/>
              <w:jc w:val="center"/>
              <w:rPr>
                <w:rFonts w:hint="eastAsia"/>
                <w:color w:val="auto"/>
                <w:vertAlign w:val="baseline"/>
                <w:lang w:val="en-US" w:eastAsia="zh-CN"/>
              </w:rPr>
            </w:pPr>
          </w:p>
        </w:tc>
        <w:tc>
          <w:tcPr>
            <w:tcW w:w="669" w:type="dxa"/>
            <w:vAlign w:val="center"/>
          </w:tcPr>
          <w:p w14:paraId="0498970E">
            <w:pPr>
              <w:bidi w:val="0"/>
              <w:jc w:val="center"/>
              <w:rPr>
                <w:rFonts w:hint="eastAsia"/>
                <w:color w:val="auto"/>
                <w:vertAlign w:val="baseline"/>
                <w:lang w:val="en-US" w:eastAsia="zh-CN"/>
              </w:rPr>
            </w:pPr>
            <w:r>
              <w:rPr>
                <w:rFonts w:hint="eastAsia"/>
                <w:color w:val="auto"/>
                <w:vertAlign w:val="baseline"/>
                <w:lang w:val="en-US" w:eastAsia="zh-CN"/>
              </w:rPr>
              <w:t>运营期</w:t>
            </w:r>
          </w:p>
        </w:tc>
        <w:tc>
          <w:tcPr>
            <w:tcW w:w="2665" w:type="dxa"/>
            <w:vAlign w:val="center"/>
          </w:tcPr>
          <w:p w14:paraId="7968FB62">
            <w:pPr>
              <w:bidi w:val="0"/>
              <w:jc w:val="center"/>
              <w:rPr>
                <w:rFonts w:hint="default"/>
                <w:color w:val="auto"/>
                <w:vertAlign w:val="baseline"/>
                <w:lang w:val="en-US" w:eastAsia="zh-CN"/>
              </w:rPr>
            </w:pPr>
            <w:r>
              <w:rPr>
                <w:rFonts w:hint="eastAsia"/>
                <w:color w:val="auto"/>
                <w:sz w:val="21"/>
                <w:szCs w:val="21"/>
                <w:vertAlign w:val="baseline"/>
                <w:lang w:val="en-US" w:eastAsia="zh-CN"/>
              </w:rPr>
              <w:t>随着临时占用土地的恢复，生物多样性将逐步恢复</w:t>
            </w:r>
          </w:p>
        </w:tc>
        <w:tc>
          <w:tcPr>
            <w:tcW w:w="1130" w:type="dxa"/>
            <w:vMerge w:val="continue"/>
            <w:vAlign w:val="center"/>
          </w:tcPr>
          <w:p w14:paraId="28263F72">
            <w:pPr>
              <w:bidi w:val="0"/>
              <w:jc w:val="center"/>
              <w:rPr>
                <w:rFonts w:hint="eastAsia"/>
                <w:color w:val="auto"/>
                <w:vertAlign w:val="baseline"/>
                <w:lang w:val="en-US" w:eastAsia="zh-CN"/>
              </w:rPr>
            </w:pPr>
          </w:p>
        </w:tc>
        <w:tc>
          <w:tcPr>
            <w:tcW w:w="1612" w:type="dxa"/>
            <w:vMerge w:val="continue"/>
            <w:vAlign w:val="center"/>
          </w:tcPr>
          <w:p w14:paraId="58ABEECE">
            <w:pPr>
              <w:bidi w:val="0"/>
              <w:jc w:val="center"/>
              <w:rPr>
                <w:rFonts w:hint="eastAsia"/>
                <w:color w:val="auto"/>
                <w:vertAlign w:val="baseline"/>
                <w:lang w:val="en-US" w:eastAsia="zh-CN"/>
              </w:rPr>
            </w:pPr>
          </w:p>
        </w:tc>
      </w:tr>
      <w:tr w14:paraId="4AC0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3" w:type="dxa"/>
            <w:vMerge w:val="restart"/>
            <w:vAlign w:val="center"/>
          </w:tcPr>
          <w:p w14:paraId="5F11D6D2">
            <w:pPr>
              <w:bidi w:val="0"/>
              <w:jc w:val="center"/>
              <w:rPr>
                <w:rFonts w:hint="default"/>
                <w:color w:val="auto"/>
                <w:vertAlign w:val="baseline"/>
                <w:lang w:val="en-US" w:eastAsia="zh-CN"/>
              </w:rPr>
            </w:pPr>
            <w:r>
              <w:rPr>
                <w:rFonts w:hint="eastAsia"/>
                <w:color w:val="auto"/>
                <w:vertAlign w:val="baseline"/>
                <w:lang w:val="en-US" w:eastAsia="zh-CN"/>
              </w:rPr>
              <w:t>生态敏感区</w:t>
            </w:r>
          </w:p>
        </w:tc>
        <w:tc>
          <w:tcPr>
            <w:tcW w:w="1701" w:type="dxa"/>
            <w:vMerge w:val="restart"/>
            <w:vAlign w:val="center"/>
          </w:tcPr>
          <w:p w14:paraId="59F52638">
            <w:pPr>
              <w:bidi w:val="0"/>
              <w:jc w:val="center"/>
              <w:rPr>
                <w:rFonts w:hint="default"/>
                <w:color w:val="auto"/>
                <w:vertAlign w:val="baseline"/>
                <w:lang w:val="en-US" w:eastAsia="zh-CN"/>
              </w:rPr>
            </w:pPr>
            <w:r>
              <w:rPr>
                <w:rFonts w:hint="eastAsia"/>
                <w:color w:val="auto"/>
                <w:vertAlign w:val="baseline"/>
                <w:lang w:val="en-US" w:eastAsia="zh-CN"/>
              </w:rPr>
              <w:t>主要保护对象、生态功能等</w:t>
            </w:r>
          </w:p>
        </w:tc>
        <w:tc>
          <w:tcPr>
            <w:tcW w:w="669" w:type="dxa"/>
            <w:vAlign w:val="center"/>
          </w:tcPr>
          <w:p w14:paraId="62217793">
            <w:pPr>
              <w:bidi w:val="0"/>
              <w:jc w:val="center"/>
              <w:rPr>
                <w:rFonts w:hint="eastAsia"/>
                <w:color w:val="auto"/>
                <w:vertAlign w:val="baseline"/>
                <w:lang w:val="en-US" w:eastAsia="zh-CN"/>
              </w:rPr>
            </w:pPr>
            <w:r>
              <w:rPr>
                <w:rFonts w:hint="eastAsia"/>
                <w:color w:val="auto"/>
                <w:vertAlign w:val="baseline"/>
                <w:lang w:val="en-US" w:eastAsia="zh-CN"/>
              </w:rPr>
              <w:t>施工期</w:t>
            </w:r>
          </w:p>
        </w:tc>
        <w:tc>
          <w:tcPr>
            <w:tcW w:w="2665" w:type="dxa"/>
            <w:vAlign w:val="center"/>
          </w:tcPr>
          <w:p w14:paraId="169F9B0C">
            <w:pPr>
              <w:bidi w:val="0"/>
              <w:jc w:val="center"/>
              <w:rPr>
                <w:rFonts w:hint="default"/>
                <w:color w:val="auto"/>
                <w:sz w:val="21"/>
                <w:szCs w:val="21"/>
                <w:vertAlign w:val="baseline"/>
                <w:lang w:val="en-US" w:eastAsia="zh-CN"/>
              </w:rPr>
            </w:pPr>
            <w:r>
              <w:rPr>
                <w:rFonts w:hint="eastAsia"/>
                <w:color w:val="auto"/>
                <w:sz w:val="21"/>
                <w:szCs w:val="21"/>
                <w:vertAlign w:val="baseline"/>
                <w:lang w:val="en-US" w:eastAsia="zh-CN"/>
              </w:rPr>
              <w:t>工程占地不涉及生态敏感区</w:t>
            </w:r>
          </w:p>
        </w:tc>
        <w:tc>
          <w:tcPr>
            <w:tcW w:w="1130" w:type="dxa"/>
            <w:vMerge w:val="restart"/>
            <w:vAlign w:val="center"/>
          </w:tcPr>
          <w:p w14:paraId="377F8682">
            <w:pPr>
              <w:bidi w:val="0"/>
              <w:jc w:val="center"/>
              <w:rPr>
                <w:rFonts w:hint="eastAsia"/>
                <w:color w:val="auto"/>
                <w:vertAlign w:val="baseline"/>
                <w:lang w:val="en-US" w:eastAsia="zh-CN"/>
              </w:rPr>
            </w:pPr>
            <w:r>
              <w:rPr>
                <w:rFonts w:hint="eastAsia"/>
                <w:color w:val="auto"/>
                <w:vertAlign w:val="baseline"/>
                <w:lang w:val="en-US" w:eastAsia="zh-CN"/>
              </w:rPr>
              <w:t>短期、可逆影响</w:t>
            </w:r>
          </w:p>
        </w:tc>
        <w:tc>
          <w:tcPr>
            <w:tcW w:w="1612" w:type="dxa"/>
            <w:vMerge w:val="restart"/>
            <w:vAlign w:val="center"/>
          </w:tcPr>
          <w:p w14:paraId="0691D109">
            <w:pPr>
              <w:bidi w:val="0"/>
              <w:jc w:val="center"/>
              <w:rPr>
                <w:rFonts w:hint="default"/>
                <w:color w:val="auto"/>
                <w:vertAlign w:val="baseline"/>
                <w:lang w:val="en-US" w:eastAsia="zh-CN"/>
              </w:rPr>
            </w:pPr>
            <w:r>
              <w:rPr>
                <w:rFonts w:hint="eastAsia"/>
                <w:color w:val="auto"/>
                <w:vertAlign w:val="baseline"/>
                <w:lang w:val="en-US" w:eastAsia="zh-CN"/>
              </w:rPr>
              <w:t>无影响，工程所在区域无生态敏感区</w:t>
            </w:r>
          </w:p>
        </w:tc>
      </w:tr>
      <w:tr w14:paraId="7D75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43" w:type="dxa"/>
            <w:vMerge w:val="continue"/>
            <w:vAlign w:val="center"/>
          </w:tcPr>
          <w:p w14:paraId="5AFE0E5C">
            <w:pPr>
              <w:bidi w:val="0"/>
              <w:jc w:val="center"/>
              <w:rPr>
                <w:rFonts w:hint="eastAsia"/>
                <w:color w:val="auto"/>
                <w:vertAlign w:val="baseline"/>
                <w:lang w:val="en-US" w:eastAsia="zh-CN"/>
              </w:rPr>
            </w:pPr>
          </w:p>
        </w:tc>
        <w:tc>
          <w:tcPr>
            <w:tcW w:w="1701" w:type="dxa"/>
            <w:vMerge w:val="continue"/>
            <w:vAlign w:val="center"/>
          </w:tcPr>
          <w:p w14:paraId="6FF35339">
            <w:pPr>
              <w:bidi w:val="0"/>
              <w:jc w:val="center"/>
              <w:rPr>
                <w:rFonts w:hint="eastAsia"/>
                <w:color w:val="auto"/>
                <w:vertAlign w:val="baseline"/>
                <w:lang w:val="en-US" w:eastAsia="zh-CN"/>
              </w:rPr>
            </w:pPr>
          </w:p>
        </w:tc>
        <w:tc>
          <w:tcPr>
            <w:tcW w:w="669" w:type="dxa"/>
            <w:vAlign w:val="center"/>
          </w:tcPr>
          <w:p w14:paraId="246A1D27">
            <w:pPr>
              <w:bidi w:val="0"/>
              <w:jc w:val="center"/>
              <w:rPr>
                <w:rFonts w:hint="eastAsia"/>
                <w:color w:val="auto"/>
                <w:vertAlign w:val="baseline"/>
                <w:lang w:val="en-US" w:eastAsia="zh-CN"/>
              </w:rPr>
            </w:pPr>
            <w:r>
              <w:rPr>
                <w:rFonts w:hint="eastAsia"/>
                <w:color w:val="auto"/>
                <w:vertAlign w:val="baseline"/>
                <w:lang w:val="en-US" w:eastAsia="zh-CN"/>
              </w:rPr>
              <w:t>运营期</w:t>
            </w:r>
          </w:p>
        </w:tc>
        <w:tc>
          <w:tcPr>
            <w:tcW w:w="2665" w:type="dxa"/>
            <w:vAlign w:val="center"/>
          </w:tcPr>
          <w:p w14:paraId="1054DA62">
            <w:pPr>
              <w:bidi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工程占地不涉及生态敏感区</w:t>
            </w:r>
          </w:p>
        </w:tc>
        <w:tc>
          <w:tcPr>
            <w:tcW w:w="1130" w:type="dxa"/>
            <w:vMerge w:val="continue"/>
            <w:vAlign w:val="center"/>
          </w:tcPr>
          <w:p w14:paraId="0C40F53A">
            <w:pPr>
              <w:bidi w:val="0"/>
              <w:jc w:val="center"/>
              <w:rPr>
                <w:rFonts w:hint="eastAsia"/>
                <w:color w:val="auto"/>
                <w:vertAlign w:val="baseline"/>
                <w:lang w:val="en-US" w:eastAsia="zh-CN"/>
              </w:rPr>
            </w:pPr>
          </w:p>
        </w:tc>
        <w:tc>
          <w:tcPr>
            <w:tcW w:w="1612" w:type="dxa"/>
            <w:vMerge w:val="continue"/>
            <w:vAlign w:val="center"/>
          </w:tcPr>
          <w:p w14:paraId="26EDF178">
            <w:pPr>
              <w:bidi w:val="0"/>
              <w:jc w:val="center"/>
              <w:rPr>
                <w:rFonts w:hint="eastAsia"/>
                <w:color w:val="auto"/>
                <w:vertAlign w:val="baseline"/>
                <w:lang w:val="en-US" w:eastAsia="zh-CN"/>
              </w:rPr>
            </w:pPr>
          </w:p>
        </w:tc>
      </w:tr>
      <w:tr w14:paraId="470E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43" w:type="dxa"/>
            <w:vMerge w:val="restart"/>
            <w:vAlign w:val="center"/>
          </w:tcPr>
          <w:p w14:paraId="6322A7E3">
            <w:pPr>
              <w:bidi w:val="0"/>
              <w:jc w:val="center"/>
              <w:rPr>
                <w:rFonts w:hint="default"/>
                <w:color w:val="auto"/>
                <w:vertAlign w:val="baseline"/>
                <w:lang w:val="en-US" w:eastAsia="zh-CN"/>
              </w:rPr>
            </w:pPr>
            <w:r>
              <w:rPr>
                <w:rFonts w:hint="eastAsia"/>
                <w:color w:val="auto"/>
                <w:vertAlign w:val="baseline"/>
                <w:lang w:val="en-US" w:eastAsia="zh-CN"/>
              </w:rPr>
              <w:t>自然景观</w:t>
            </w:r>
          </w:p>
        </w:tc>
        <w:tc>
          <w:tcPr>
            <w:tcW w:w="1701" w:type="dxa"/>
            <w:vMerge w:val="restart"/>
            <w:vAlign w:val="center"/>
          </w:tcPr>
          <w:p w14:paraId="349D5A42">
            <w:pPr>
              <w:bidi w:val="0"/>
              <w:jc w:val="center"/>
              <w:rPr>
                <w:rFonts w:hint="default"/>
                <w:color w:val="auto"/>
                <w:vertAlign w:val="baseline"/>
                <w:lang w:val="en-US" w:eastAsia="zh-CN"/>
              </w:rPr>
            </w:pPr>
            <w:r>
              <w:rPr>
                <w:rFonts w:hint="eastAsia"/>
                <w:color w:val="auto"/>
                <w:vertAlign w:val="baseline"/>
                <w:lang w:val="en-US" w:eastAsia="zh-CN"/>
              </w:rPr>
              <w:t>景观多样性、完整性</w:t>
            </w:r>
          </w:p>
        </w:tc>
        <w:tc>
          <w:tcPr>
            <w:tcW w:w="669" w:type="dxa"/>
            <w:vAlign w:val="center"/>
          </w:tcPr>
          <w:p w14:paraId="4FA3BC5E">
            <w:pPr>
              <w:bidi w:val="0"/>
              <w:jc w:val="center"/>
              <w:rPr>
                <w:rFonts w:hint="eastAsia"/>
                <w:color w:val="auto"/>
                <w:vertAlign w:val="baseline"/>
                <w:lang w:val="en-US" w:eastAsia="zh-CN"/>
              </w:rPr>
            </w:pPr>
            <w:r>
              <w:rPr>
                <w:rFonts w:hint="eastAsia"/>
                <w:color w:val="auto"/>
                <w:vertAlign w:val="baseline"/>
                <w:lang w:val="en-US" w:eastAsia="zh-CN"/>
              </w:rPr>
              <w:t>施工期</w:t>
            </w:r>
          </w:p>
        </w:tc>
        <w:tc>
          <w:tcPr>
            <w:tcW w:w="2665" w:type="dxa"/>
            <w:vAlign w:val="center"/>
          </w:tcPr>
          <w:p w14:paraId="57969C7C">
            <w:pPr>
              <w:bidi w:val="0"/>
              <w:jc w:val="center"/>
              <w:rPr>
                <w:rFonts w:hint="eastAsia"/>
                <w:color w:val="auto"/>
                <w:sz w:val="21"/>
                <w:szCs w:val="21"/>
                <w:vertAlign w:val="baseline"/>
                <w:lang w:val="en-US" w:eastAsia="zh-CN"/>
              </w:rPr>
            </w:pPr>
            <w:r>
              <w:rPr>
                <w:rFonts w:ascii="宋体" w:hAnsi="宋体" w:eastAsia="宋体" w:cs="宋体"/>
                <w:color w:val="auto"/>
                <w:sz w:val="21"/>
                <w:szCs w:val="21"/>
              </w:rPr>
              <w:t>直接影响为主，主要为工程临时、永久占地对植被覆盖度、生产力、生物量和生态系统功能的影响等</w:t>
            </w:r>
          </w:p>
        </w:tc>
        <w:tc>
          <w:tcPr>
            <w:tcW w:w="1130" w:type="dxa"/>
            <w:vMerge w:val="restart"/>
            <w:vAlign w:val="center"/>
          </w:tcPr>
          <w:p w14:paraId="137E46F3">
            <w:pPr>
              <w:bidi w:val="0"/>
              <w:jc w:val="center"/>
              <w:rPr>
                <w:rFonts w:hint="eastAsia"/>
                <w:color w:val="auto"/>
                <w:vertAlign w:val="baseline"/>
                <w:lang w:val="en-US" w:eastAsia="zh-CN"/>
              </w:rPr>
            </w:pPr>
            <w:r>
              <w:rPr>
                <w:rFonts w:hint="eastAsia"/>
                <w:color w:val="auto"/>
                <w:vertAlign w:val="baseline"/>
                <w:lang w:val="en-US" w:eastAsia="zh-CN"/>
              </w:rPr>
              <w:t>短期、可逆影响</w:t>
            </w:r>
          </w:p>
        </w:tc>
        <w:tc>
          <w:tcPr>
            <w:tcW w:w="1612" w:type="dxa"/>
            <w:vMerge w:val="restart"/>
            <w:vAlign w:val="center"/>
          </w:tcPr>
          <w:p w14:paraId="632E3C9B">
            <w:pPr>
              <w:bidi w:val="0"/>
              <w:jc w:val="center"/>
              <w:rPr>
                <w:rFonts w:hint="eastAsia"/>
                <w:color w:val="auto"/>
                <w:vertAlign w:val="baseline"/>
                <w:lang w:val="en-US" w:eastAsia="zh-CN"/>
              </w:rPr>
            </w:pPr>
            <w:r>
              <w:rPr>
                <w:rFonts w:ascii="宋体" w:hAnsi="宋体" w:eastAsia="宋体" w:cs="宋体"/>
                <w:color w:val="auto"/>
                <w:sz w:val="21"/>
                <w:szCs w:val="21"/>
              </w:rPr>
              <w:t>弱影响，自然景观基本未受到破坏；在干扰消失后可以修复或自然恢复</w:t>
            </w:r>
          </w:p>
        </w:tc>
      </w:tr>
      <w:tr w14:paraId="6BDE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3" w:type="dxa"/>
            <w:vMerge w:val="continue"/>
            <w:vAlign w:val="center"/>
          </w:tcPr>
          <w:p w14:paraId="748C14ED">
            <w:pPr>
              <w:bidi w:val="0"/>
              <w:jc w:val="center"/>
              <w:rPr>
                <w:rFonts w:hint="eastAsia"/>
                <w:color w:val="auto"/>
                <w:vertAlign w:val="baseline"/>
                <w:lang w:val="en-US" w:eastAsia="zh-CN"/>
              </w:rPr>
            </w:pPr>
          </w:p>
        </w:tc>
        <w:tc>
          <w:tcPr>
            <w:tcW w:w="1701" w:type="dxa"/>
            <w:vMerge w:val="continue"/>
            <w:vAlign w:val="center"/>
          </w:tcPr>
          <w:p w14:paraId="3E78E146">
            <w:pPr>
              <w:bidi w:val="0"/>
              <w:jc w:val="center"/>
              <w:rPr>
                <w:rFonts w:hint="eastAsia"/>
                <w:color w:val="auto"/>
                <w:vertAlign w:val="baseline"/>
                <w:lang w:val="en-US" w:eastAsia="zh-CN"/>
              </w:rPr>
            </w:pPr>
          </w:p>
        </w:tc>
        <w:tc>
          <w:tcPr>
            <w:tcW w:w="669" w:type="dxa"/>
            <w:vAlign w:val="center"/>
          </w:tcPr>
          <w:p w14:paraId="6A5880FC">
            <w:pPr>
              <w:bidi w:val="0"/>
              <w:jc w:val="center"/>
              <w:rPr>
                <w:rFonts w:hint="eastAsia"/>
                <w:color w:val="auto"/>
                <w:vertAlign w:val="baseline"/>
                <w:lang w:val="en-US" w:eastAsia="zh-CN"/>
              </w:rPr>
            </w:pPr>
            <w:r>
              <w:rPr>
                <w:rFonts w:hint="eastAsia"/>
                <w:color w:val="auto"/>
                <w:vertAlign w:val="baseline"/>
                <w:lang w:val="en-US" w:eastAsia="zh-CN"/>
              </w:rPr>
              <w:t>运营期</w:t>
            </w:r>
          </w:p>
        </w:tc>
        <w:tc>
          <w:tcPr>
            <w:tcW w:w="2665" w:type="dxa"/>
            <w:vAlign w:val="center"/>
          </w:tcPr>
          <w:p w14:paraId="7826964B">
            <w:pPr>
              <w:bidi w:val="0"/>
              <w:jc w:val="center"/>
              <w:rPr>
                <w:rFonts w:hint="default"/>
                <w:color w:val="auto"/>
                <w:sz w:val="21"/>
                <w:szCs w:val="21"/>
                <w:vertAlign w:val="baseline"/>
                <w:lang w:val="en-US" w:eastAsia="zh-CN"/>
              </w:rPr>
            </w:pPr>
            <w:r>
              <w:rPr>
                <w:rFonts w:hint="eastAsia"/>
                <w:color w:val="auto"/>
                <w:sz w:val="21"/>
                <w:szCs w:val="21"/>
                <w:vertAlign w:val="baseline"/>
                <w:lang w:val="en-US" w:eastAsia="zh-CN"/>
              </w:rPr>
              <w:t>随着临时占用土地的恢复，将逐步恢复原有自然景观</w:t>
            </w:r>
          </w:p>
        </w:tc>
        <w:tc>
          <w:tcPr>
            <w:tcW w:w="1130" w:type="dxa"/>
            <w:vMerge w:val="continue"/>
            <w:vAlign w:val="center"/>
          </w:tcPr>
          <w:p w14:paraId="30094DE2">
            <w:pPr>
              <w:bidi w:val="0"/>
              <w:jc w:val="center"/>
              <w:rPr>
                <w:rFonts w:hint="eastAsia"/>
                <w:color w:val="auto"/>
                <w:vertAlign w:val="baseline"/>
                <w:lang w:val="en-US" w:eastAsia="zh-CN"/>
              </w:rPr>
            </w:pPr>
          </w:p>
        </w:tc>
        <w:tc>
          <w:tcPr>
            <w:tcW w:w="1612" w:type="dxa"/>
            <w:vMerge w:val="continue"/>
            <w:vAlign w:val="center"/>
          </w:tcPr>
          <w:p w14:paraId="2B483B02">
            <w:pPr>
              <w:bidi w:val="0"/>
              <w:jc w:val="center"/>
              <w:rPr>
                <w:rFonts w:hint="eastAsia"/>
                <w:color w:val="auto"/>
                <w:vertAlign w:val="baseline"/>
                <w:lang w:val="en-US" w:eastAsia="zh-CN"/>
              </w:rPr>
            </w:pPr>
          </w:p>
        </w:tc>
      </w:tr>
      <w:tr w14:paraId="3194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43" w:type="dxa"/>
            <w:vMerge w:val="restart"/>
            <w:vAlign w:val="center"/>
          </w:tcPr>
          <w:p w14:paraId="27B1E354">
            <w:pPr>
              <w:bidi w:val="0"/>
              <w:jc w:val="center"/>
              <w:rPr>
                <w:rFonts w:hint="default"/>
                <w:color w:val="auto"/>
                <w:vertAlign w:val="baseline"/>
                <w:lang w:val="en-US" w:eastAsia="zh-CN"/>
              </w:rPr>
            </w:pPr>
            <w:r>
              <w:rPr>
                <w:rFonts w:hint="eastAsia"/>
                <w:color w:val="auto"/>
                <w:vertAlign w:val="baseline"/>
                <w:lang w:val="en-US" w:eastAsia="zh-CN"/>
              </w:rPr>
              <w:t>自然遗迹</w:t>
            </w:r>
          </w:p>
        </w:tc>
        <w:tc>
          <w:tcPr>
            <w:tcW w:w="1701" w:type="dxa"/>
            <w:vMerge w:val="restart"/>
            <w:vAlign w:val="center"/>
          </w:tcPr>
          <w:p w14:paraId="01AD1601">
            <w:pPr>
              <w:bidi w:val="0"/>
              <w:jc w:val="center"/>
              <w:rPr>
                <w:rFonts w:hint="default"/>
                <w:color w:val="auto"/>
                <w:vertAlign w:val="baseline"/>
                <w:lang w:val="en-US" w:eastAsia="zh-CN"/>
              </w:rPr>
            </w:pPr>
            <w:r>
              <w:rPr>
                <w:rFonts w:hint="eastAsia"/>
                <w:color w:val="auto"/>
                <w:vertAlign w:val="baseline"/>
                <w:lang w:val="en-US" w:eastAsia="zh-CN"/>
              </w:rPr>
              <w:t>遗迹多样性、完整性等</w:t>
            </w:r>
          </w:p>
        </w:tc>
        <w:tc>
          <w:tcPr>
            <w:tcW w:w="669" w:type="dxa"/>
            <w:vAlign w:val="center"/>
          </w:tcPr>
          <w:p w14:paraId="3338F1DE">
            <w:pPr>
              <w:bidi w:val="0"/>
              <w:jc w:val="center"/>
              <w:rPr>
                <w:rFonts w:hint="eastAsia"/>
                <w:color w:val="auto"/>
                <w:vertAlign w:val="baseline"/>
                <w:lang w:val="en-US" w:eastAsia="zh-CN"/>
              </w:rPr>
            </w:pPr>
            <w:r>
              <w:rPr>
                <w:rFonts w:hint="eastAsia"/>
                <w:color w:val="auto"/>
                <w:vertAlign w:val="baseline"/>
                <w:lang w:val="en-US" w:eastAsia="zh-CN"/>
              </w:rPr>
              <w:t>施工期</w:t>
            </w:r>
          </w:p>
        </w:tc>
        <w:tc>
          <w:tcPr>
            <w:tcW w:w="2665" w:type="dxa"/>
            <w:vAlign w:val="center"/>
          </w:tcPr>
          <w:p w14:paraId="0FB55761">
            <w:pPr>
              <w:bidi w:val="0"/>
              <w:jc w:val="center"/>
              <w:rPr>
                <w:rFonts w:hint="eastAsia"/>
                <w:color w:val="auto"/>
                <w:sz w:val="21"/>
                <w:szCs w:val="21"/>
                <w:vertAlign w:val="baseline"/>
                <w:lang w:val="en-US" w:eastAsia="zh-CN"/>
              </w:rPr>
            </w:pPr>
            <w:r>
              <w:rPr>
                <w:rFonts w:ascii="宋体" w:hAnsi="宋体" w:eastAsia="宋体" w:cs="宋体"/>
                <w:color w:val="auto"/>
                <w:sz w:val="21"/>
                <w:szCs w:val="21"/>
              </w:rPr>
              <w:t>工程不涉及自然遗迹区</w:t>
            </w:r>
          </w:p>
        </w:tc>
        <w:tc>
          <w:tcPr>
            <w:tcW w:w="1130" w:type="dxa"/>
            <w:vMerge w:val="restart"/>
            <w:vAlign w:val="center"/>
          </w:tcPr>
          <w:p w14:paraId="60FCE574">
            <w:pPr>
              <w:bidi w:val="0"/>
              <w:jc w:val="center"/>
              <w:rPr>
                <w:rFonts w:hint="default"/>
                <w:color w:val="auto"/>
                <w:vertAlign w:val="baseline"/>
                <w:lang w:val="en-US" w:eastAsia="zh-CN"/>
              </w:rPr>
            </w:pPr>
            <w:r>
              <w:rPr>
                <w:rFonts w:hint="eastAsia"/>
                <w:color w:val="auto"/>
                <w:vertAlign w:val="baseline"/>
                <w:lang w:val="en-US" w:eastAsia="zh-CN"/>
              </w:rPr>
              <w:t>短期、可逆影响</w:t>
            </w:r>
          </w:p>
        </w:tc>
        <w:tc>
          <w:tcPr>
            <w:tcW w:w="1612" w:type="dxa"/>
            <w:vMerge w:val="restart"/>
            <w:vAlign w:val="center"/>
          </w:tcPr>
          <w:p w14:paraId="290EAB4C">
            <w:pPr>
              <w:bidi w:val="0"/>
              <w:jc w:val="center"/>
              <w:rPr>
                <w:rFonts w:hint="default"/>
                <w:color w:val="auto"/>
                <w:vertAlign w:val="baseline"/>
                <w:lang w:val="en-US" w:eastAsia="zh-CN"/>
              </w:rPr>
            </w:pPr>
            <w:r>
              <w:rPr>
                <w:rFonts w:hint="eastAsia"/>
                <w:color w:val="auto"/>
                <w:vertAlign w:val="baseline"/>
                <w:lang w:val="en-US" w:eastAsia="zh-CN"/>
              </w:rPr>
              <w:t>无影响，项目所在区域无自然遗迹</w:t>
            </w:r>
          </w:p>
        </w:tc>
      </w:tr>
      <w:tr w14:paraId="1B2C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43" w:type="dxa"/>
            <w:vMerge w:val="continue"/>
            <w:vAlign w:val="center"/>
          </w:tcPr>
          <w:p w14:paraId="34D82CA5">
            <w:pPr>
              <w:bidi w:val="0"/>
              <w:jc w:val="center"/>
              <w:rPr>
                <w:rFonts w:hint="eastAsia"/>
                <w:color w:val="auto"/>
                <w:vertAlign w:val="baseline"/>
                <w:lang w:val="en-US" w:eastAsia="zh-CN"/>
              </w:rPr>
            </w:pPr>
          </w:p>
        </w:tc>
        <w:tc>
          <w:tcPr>
            <w:tcW w:w="1701" w:type="dxa"/>
            <w:vMerge w:val="continue"/>
            <w:vAlign w:val="center"/>
          </w:tcPr>
          <w:p w14:paraId="54818BC3">
            <w:pPr>
              <w:bidi w:val="0"/>
              <w:jc w:val="center"/>
              <w:rPr>
                <w:rFonts w:hint="eastAsia"/>
                <w:color w:val="auto"/>
                <w:vertAlign w:val="baseline"/>
                <w:lang w:val="en-US" w:eastAsia="zh-CN"/>
              </w:rPr>
            </w:pPr>
          </w:p>
        </w:tc>
        <w:tc>
          <w:tcPr>
            <w:tcW w:w="669" w:type="dxa"/>
            <w:vAlign w:val="center"/>
          </w:tcPr>
          <w:p w14:paraId="17DEB0FF">
            <w:pPr>
              <w:bidi w:val="0"/>
              <w:jc w:val="center"/>
              <w:rPr>
                <w:rFonts w:hint="eastAsia"/>
                <w:color w:val="auto"/>
                <w:vertAlign w:val="baseline"/>
                <w:lang w:val="en-US" w:eastAsia="zh-CN"/>
              </w:rPr>
            </w:pPr>
            <w:r>
              <w:rPr>
                <w:rFonts w:hint="eastAsia"/>
                <w:color w:val="auto"/>
                <w:vertAlign w:val="baseline"/>
                <w:lang w:val="en-US" w:eastAsia="zh-CN"/>
              </w:rPr>
              <w:t>运营期</w:t>
            </w:r>
          </w:p>
        </w:tc>
        <w:tc>
          <w:tcPr>
            <w:tcW w:w="2665" w:type="dxa"/>
            <w:vAlign w:val="center"/>
          </w:tcPr>
          <w:p w14:paraId="7852D485">
            <w:pPr>
              <w:bidi w:val="0"/>
              <w:jc w:val="center"/>
              <w:rPr>
                <w:rFonts w:hint="eastAsia"/>
                <w:color w:val="auto"/>
                <w:sz w:val="21"/>
                <w:szCs w:val="21"/>
                <w:vertAlign w:val="baseline"/>
                <w:lang w:val="en-US" w:eastAsia="zh-CN"/>
              </w:rPr>
            </w:pPr>
            <w:r>
              <w:rPr>
                <w:rFonts w:ascii="宋体" w:hAnsi="宋体" w:eastAsia="宋体" w:cs="宋体"/>
                <w:color w:val="auto"/>
                <w:sz w:val="21"/>
                <w:szCs w:val="21"/>
              </w:rPr>
              <w:t>工程不涉及自然遗迹区</w:t>
            </w:r>
          </w:p>
        </w:tc>
        <w:tc>
          <w:tcPr>
            <w:tcW w:w="1130" w:type="dxa"/>
            <w:vMerge w:val="continue"/>
            <w:vAlign w:val="center"/>
          </w:tcPr>
          <w:p w14:paraId="686B9008">
            <w:pPr>
              <w:bidi w:val="0"/>
              <w:jc w:val="center"/>
              <w:rPr>
                <w:rFonts w:hint="eastAsia"/>
                <w:color w:val="auto"/>
                <w:vertAlign w:val="baseline"/>
                <w:lang w:val="en-US" w:eastAsia="zh-CN"/>
              </w:rPr>
            </w:pPr>
          </w:p>
        </w:tc>
        <w:tc>
          <w:tcPr>
            <w:tcW w:w="1612" w:type="dxa"/>
            <w:vMerge w:val="continue"/>
            <w:vAlign w:val="center"/>
          </w:tcPr>
          <w:p w14:paraId="6C85681A">
            <w:pPr>
              <w:bidi w:val="0"/>
              <w:jc w:val="center"/>
              <w:rPr>
                <w:rFonts w:hint="eastAsia"/>
                <w:color w:val="auto"/>
                <w:vertAlign w:val="baseline"/>
                <w:lang w:val="en-US" w:eastAsia="zh-CN"/>
              </w:rPr>
            </w:pPr>
          </w:p>
        </w:tc>
      </w:tr>
    </w:tbl>
    <w:p w14:paraId="28153EEC">
      <w:pPr>
        <w:pStyle w:val="2"/>
        <w:bidi w:val="0"/>
        <w:rPr>
          <w:rFonts w:hint="default"/>
          <w:color w:val="auto"/>
          <w:lang w:val="en-US" w:eastAsia="zh-CN"/>
        </w:rPr>
      </w:pPr>
      <w:bookmarkStart w:id="81" w:name="_Toc20742"/>
      <w:bookmarkStart w:id="82" w:name="_Toc13365"/>
      <w:bookmarkStart w:id="83" w:name="_Toc25661"/>
      <w:bookmarkStart w:id="84" w:name="_Toc16461"/>
      <w:bookmarkStart w:id="85" w:name="_Toc8279"/>
      <w:r>
        <w:rPr>
          <w:rFonts w:hint="eastAsia"/>
          <w:color w:val="auto"/>
          <w:lang w:val="en-US" w:eastAsia="zh-CN"/>
        </w:rPr>
        <w:t>2.4环境功能区划和评价标准</w:t>
      </w:r>
      <w:bookmarkEnd w:id="81"/>
      <w:bookmarkEnd w:id="82"/>
      <w:bookmarkEnd w:id="83"/>
      <w:bookmarkEnd w:id="84"/>
      <w:bookmarkEnd w:id="85"/>
    </w:p>
    <w:p w14:paraId="3E802FE5">
      <w:pPr>
        <w:pStyle w:val="5"/>
        <w:bidi w:val="0"/>
        <w:rPr>
          <w:rFonts w:hint="default"/>
          <w:color w:val="auto"/>
          <w:lang w:val="en-US" w:eastAsia="zh-CN"/>
        </w:rPr>
      </w:pPr>
      <w:bookmarkStart w:id="86" w:name="_Toc18741"/>
      <w:bookmarkStart w:id="87" w:name="_Toc10996"/>
      <w:r>
        <w:rPr>
          <w:rFonts w:hint="eastAsia"/>
          <w:color w:val="auto"/>
          <w:lang w:val="en-US" w:eastAsia="zh-CN"/>
        </w:rPr>
        <w:t>2.4.1环境功能区划</w:t>
      </w:r>
      <w:bookmarkEnd w:id="86"/>
      <w:bookmarkEnd w:id="87"/>
    </w:p>
    <w:p w14:paraId="38CA483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8"/>
          <w:lang w:eastAsia="zh-CN"/>
        </w:rPr>
        <w:t>（</w:t>
      </w:r>
      <w:r>
        <w:rPr>
          <w:rFonts w:hint="eastAsia"/>
          <w:color w:val="auto"/>
          <w:sz w:val="24"/>
          <w:szCs w:val="28"/>
          <w:lang w:val="en-US" w:eastAsia="zh-CN"/>
        </w:rPr>
        <w:t>1</w:t>
      </w:r>
      <w:r>
        <w:rPr>
          <w:rFonts w:hint="eastAsia"/>
          <w:color w:val="auto"/>
          <w:sz w:val="24"/>
          <w:szCs w:val="28"/>
          <w:lang w:eastAsia="zh-CN"/>
        </w:rPr>
        <w:t>）</w:t>
      </w:r>
      <w:r>
        <w:rPr>
          <w:rFonts w:hint="eastAsia"/>
          <w:color w:val="auto"/>
          <w:sz w:val="24"/>
          <w:szCs w:val="28"/>
          <w:lang w:val="en-US" w:eastAsia="zh-CN"/>
        </w:rPr>
        <w:t>环境空气</w:t>
      </w:r>
    </w:p>
    <w:p w14:paraId="2330E5F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lang w:eastAsia="zh-CN"/>
        </w:rPr>
      </w:pPr>
      <w:r>
        <w:rPr>
          <w:rFonts w:hint="eastAsia" w:eastAsia="宋体"/>
          <w:color w:val="auto"/>
          <w:sz w:val="24"/>
          <w:szCs w:val="28"/>
          <w:lang w:val="en-US" w:eastAsia="zh-CN"/>
        </w:rPr>
        <w:t>本工程位于克拉玛依市乌尔禾区、塔城地区和布克赛尔蒙</w:t>
      </w:r>
      <w:r>
        <w:rPr>
          <w:rFonts w:hint="eastAsia"/>
          <w:color w:val="auto"/>
          <w:sz w:val="24"/>
          <w:szCs w:val="28"/>
          <w:lang w:val="en-US" w:eastAsia="zh-CN"/>
        </w:rPr>
        <w:t>古</w:t>
      </w:r>
      <w:r>
        <w:rPr>
          <w:rFonts w:hint="eastAsia" w:eastAsia="宋体"/>
          <w:color w:val="auto"/>
          <w:sz w:val="24"/>
          <w:szCs w:val="28"/>
          <w:lang w:val="en-US" w:eastAsia="zh-CN"/>
        </w:rPr>
        <w:t>自治县，按照《环境空气质量标准》（</w:t>
      </w:r>
      <w:r>
        <w:rPr>
          <w:rFonts w:hint="default" w:eastAsia="宋体"/>
          <w:color w:val="auto"/>
          <w:sz w:val="24"/>
          <w:szCs w:val="28"/>
          <w:lang w:val="en-US" w:eastAsia="zh-CN"/>
        </w:rPr>
        <w:t>GB3095-2012</w:t>
      </w:r>
      <w:r>
        <w:rPr>
          <w:rFonts w:hint="eastAsia" w:eastAsia="宋体"/>
          <w:color w:val="auto"/>
          <w:sz w:val="24"/>
          <w:szCs w:val="28"/>
          <w:lang w:val="en-US" w:eastAsia="zh-CN"/>
        </w:rPr>
        <w:t>）及其修改单的规定，该区域的环境空气质量功能区划属于二类功能区。</w:t>
      </w:r>
    </w:p>
    <w:p w14:paraId="60EC9C6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eastAsia="宋体"/>
          <w:color w:val="auto"/>
          <w:sz w:val="24"/>
          <w:szCs w:val="28"/>
          <w:lang w:eastAsia="zh-CN"/>
        </w:rPr>
        <w:t>（</w:t>
      </w:r>
      <w:r>
        <w:rPr>
          <w:rFonts w:hint="eastAsia" w:eastAsia="宋体"/>
          <w:color w:val="auto"/>
          <w:sz w:val="24"/>
          <w:szCs w:val="28"/>
          <w:lang w:val="en-US" w:eastAsia="zh-CN"/>
        </w:rPr>
        <w:t>2</w:t>
      </w:r>
      <w:r>
        <w:rPr>
          <w:rFonts w:hint="eastAsia" w:eastAsia="宋体"/>
          <w:color w:val="auto"/>
          <w:sz w:val="24"/>
          <w:szCs w:val="28"/>
          <w:lang w:eastAsia="zh-CN"/>
        </w:rPr>
        <w:t>）</w:t>
      </w:r>
      <w:r>
        <w:rPr>
          <w:rFonts w:hint="eastAsia" w:eastAsia="宋体"/>
          <w:color w:val="auto"/>
          <w:sz w:val="24"/>
          <w:szCs w:val="28"/>
          <w:lang w:val="en-US" w:eastAsia="zh-CN"/>
        </w:rPr>
        <w:t>水环境</w:t>
      </w:r>
    </w:p>
    <w:p w14:paraId="25F24A1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lang w:eastAsia="zh-CN"/>
        </w:rPr>
      </w:pPr>
      <w:r>
        <w:rPr>
          <w:rFonts w:hint="eastAsia" w:eastAsia="宋体"/>
          <w:color w:val="auto"/>
          <w:sz w:val="24"/>
          <w:szCs w:val="28"/>
          <w:lang w:val="en-US" w:eastAsia="zh-CN"/>
        </w:rPr>
        <w:t>项目建设不与地表水体发生联系，故不对区域内地表水进行现状调查。</w:t>
      </w:r>
    </w:p>
    <w:p w14:paraId="7C48816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lang w:eastAsia="zh-CN"/>
        </w:rPr>
      </w:pPr>
      <w:r>
        <w:rPr>
          <w:rFonts w:hint="eastAsia" w:eastAsia="宋体"/>
          <w:color w:val="auto"/>
          <w:sz w:val="24"/>
          <w:szCs w:val="28"/>
          <w:lang w:val="en-US" w:eastAsia="zh-CN"/>
        </w:rPr>
        <w:t>本项目地下水功能主要用途为工业用水，根据《地下水质量标准》（</w:t>
      </w:r>
      <w:r>
        <w:rPr>
          <w:rFonts w:hint="default" w:eastAsia="宋体"/>
          <w:color w:val="auto"/>
          <w:sz w:val="24"/>
          <w:szCs w:val="28"/>
          <w:lang w:val="en-US" w:eastAsia="zh-CN"/>
        </w:rPr>
        <w:t>GB/T14848-2017</w:t>
      </w:r>
      <w:r>
        <w:rPr>
          <w:rFonts w:hint="eastAsia" w:eastAsia="宋体"/>
          <w:color w:val="auto"/>
          <w:sz w:val="24"/>
          <w:szCs w:val="28"/>
          <w:lang w:val="en-US" w:eastAsia="zh-CN"/>
        </w:rPr>
        <w:t>）中地下水分类标准，该区域地下水划分为</w:t>
      </w:r>
      <w:r>
        <w:rPr>
          <w:rFonts w:hint="default" w:eastAsia="宋体"/>
          <w:color w:val="auto"/>
          <w:sz w:val="24"/>
          <w:szCs w:val="28"/>
          <w:lang w:val="en-US" w:eastAsia="zh-CN"/>
        </w:rPr>
        <w:t>Ⅲ</w:t>
      </w:r>
      <w:r>
        <w:rPr>
          <w:rFonts w:hint="eastAsia" w:eastAsia="宋体"/>
          <w:color w:val="auto"/>
          <w:sz w:val="24"/>
          <w:szCs w:val="28"/>
          <w:lang w:val="en-US" w:eastAsia="zh-CN"/>
        </w:rPr>
        <w:t>类，地下水水质执行《地下水质量标准》（</w:t>
      </w:r>
      <w:r>
        <w:rPr>
          <w:rFonts w:hint="default" w:eastAsia="宋体"/>
          <w:color w:val="auto"/>
          <w:sz w:val="24"/>
          <w:szCs w:val="28"/>
          <w:lang w:val="en-US" w:eastAsia="zh-CN"/>
        </w:rPr>
        <w:t>GB/T14848-2017</w:t>
      </w:r>
      <w:r>
        <w:rPr>
          <w:rFonts w:hint="eastAsia" w:eastAsia="宋体"/>
          <w:color w:val="auto"/>
          <w:sz w:val="24"/>
          <w:szCs w:val="28"/>
          <w:lang w:val="en-US" w:eastAsia="zh-CN"/>
        </w:rPr>
        <w:t>）</w:t>
      </w:r>
      <w:r>
        <w:rPr>
          <w:rFonts w:hint="default" w:eastAsia="宋体"/>
          <w:color w:val="auto"/>
          <w:sz w:val="24"/>
          <w:szCs w:val="28"/>
          <w:lang w:val="en-US" w:eastAsia="zh-CN"/>
        </w:rPr>
        <w:t>Ⅲ</w:t>
      </w:r>
      <w:r>
        <w:rPr>
          <w:rFonts w:hint="eastAsia" w:eastAsia="宋体"/>
          <w:color w:val="auto"/>
          <w:sz w:val="24"/>
          <w:szCs w:val="28"/>
          <w:lang w:val="en-US" w:eastAsia="zh-CN"/>
        </w:rPr>
        <w:t>类标准。</w:t>
      </w:r>
    </w:p>
    <w:p w14:paraId="72902B50">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3</w:t>
      </w:r>
      <w:r>
        <w:rPr>
          <w:rFonts w:hint="eastAsia"/>
          <w:color w:val="auto"/>
          <w:sz w:val="24"/>
          <w:szCs w:val="28"/>
          <w:lang w:eastAsia="zh-CN"/>
        </w:rPr>
        <w:t>）</w:t>
      </w:r>
      <w:r>
        <w:rPr>
          <w:rFonts w:hint="eastAsia"/>
          <w:color w:val="auto"/>
          <w:sz w:val="24"/>
          <w:szCs w:val="28"/>
          <w:lang w:val="en-US" w:eastAsia="zh-CN"/>
        </w:rPr>
        <w:t>声环境</w:t>
      </w:r>
    </w:p>
    <w:p w14:paraId="0865C24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lang w:val="en-US" w:eastAsia="zh-CN"/>
        </w:rPr>
      </w:pPr>
      <w:r>
        <w:rPr>
          <w:rFonts w:hint="default" w:ascii="Times New Roman" w:hAnsi="Times New Roman" w:eastAsia="宋体" w:cs="Times New Roman"/>
          <w:color w:val="auto"/>
          <w:sz w:val="24"/>
          <w:szCs w:val="24"/>
        </w:rPr>
        <w:t>根据《声环境质量标准》（GB3096-2008）的规定和油区及周围的环境状况，确定声环境功能为2类</w:t>
      </w:r>
      <w:r>
        <w:rPr>
          <w:rFonts w:hint="eastAsia" w:ascii="Times New Roman" w:hAnsi="Times New Roman" w:eastAsia="宋体" w:cs="Times New Roman"/>
          <w:color w:val="auto"/>
          <w:sz w:val="24"/>
          <w:szCs w:val="24"/>
          <w:lang w:eastAsia="zh-CN"/>
        </w:rPr>
        <w:t>。</w:t>
      </w:r>
    </w:p>
    <w:p w14:paraId="32241B09">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4</w:t>
      </w:r>
      <w:r>
        <w:rPr>
          <w:rFonts w:hint="eastAsia"/>
          <w:color w:val="auto"/>
          <w:sz w:val="24"/>
          <w:szCs w:val="28"/>
          <w:lang w:eastAsia="zh-CN"/>
        </w:rPr>
        <w:t>）</w:t>
      </w:r>
      <w:r>
        <w:rPr>
          <w:rFonts w:hint="eastAsia"/>
          <w:color w:val="auto"/>
          <w:sz w:val="24"/>
          <w:szCs w:val="28"/>
          <w:lang w:val="en-US" w:eastAsia="zh-CN"/>
        </w:rPr>
        <w:t>生态环境</w:t>
      </w:r>
    </w:p>
    <w:p w14:paraId="1153B6D2">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8"/>
          <w:lang w:eastAsia="zh-CN"/>
        </w:rPr>
      </w:pPr>
      <w:r>
        <w:rPr>
          <w:rFonts w:hint="default" w:ascii="Times New Roman" w:hAnsi="Times New Roman" w:cs="Times New Roman"/>
          <w:color w:val="auto"/>
          <w:sz w:val="24"/>
        </w:rPr>
        <w:t>根据《新疆生态功能区划》</w:t>
      </w:r>
      <w:r>
        <w:rPr>
          <w:rFonts w:hint="eastAsia" w:cs="Times New Roman"/>
          <w:color w:val="auto"/>
          <w:sz w:val="24"/>
          <w:lang w:eastAsia="zh-CN"/>
        </w:rPr>
        <w:t>（</w:t>
      </w:r>
      <w:r>
        <w:rPr>
          <w:rFonts w:hint="eastAsia" w:cs="Times New Roman"/>
          <w:color w:val="auto"/>
          <w:sz w:val="24"/>
          <w:lang w:val="en-US" w:eastAsia="zh-CN"/>
        </w:rPr>
        <w:t>见附图4</w:t>
      </w:r>
      <w:r>
        <w:rPr>
          <w:rFonts w:hint="eastAsia" w:cs="Times New Roman"/>
          <w:color w:val="auto"/>
          <w:sz w:val="24"/>
          <w:lang w:eastAsia="zh-CN"/>
        </w:rPr>
        <w:t>）</w:t>
      </w:r>
      <w:r>
        <w:rPr>
          <w:rFonts w:hint="default" w:ascii="Times New Roman" w:hAnsi="Times New Roman" w:cs="Times New Roman"/>
          <w:color w:val="auto"/>
          <w:sz w:val="24"/>
        </w:rPr>
        <w:t>，</w:t>
      </w:r>
      <w:r>
        <w:rPr>
          <w:rFonts w:hint="eastAsia" w:cs="Times New Roman"/>
          <w:color w:val="auto"/>
          <w:sz w:val="24"/>
          <w:lang w:val="en-US" w:eastAsia="zh-CN"/>
        </w:rPr>
        <w:t>本工程</w:t>
      </w:r>
      <w:r>
        <w:rPr>
          <w:rFonts w:hint="eastAsia" w:ascii="Times New Roman" w:hAnsi="Times New Roman" w:cs="Times New Roman"/>
          <w:color w:val="auto"/>
          <w:sz w:val="24"/>
          <w:lang w:val="en-US" w:eastAsia="zh-CN"/>
        </w:rPr>
        <w:t>属于</w:t>
      </w:r>
      <w:r>
        <w:rPr>
          <w:rFonts w:hint="default" w:ascii="Times New Roman" w:hAnsi="Times New Roman" w:eastAsia="宋体" w:cs="Times New Roman"/>
          <w:color w:val="auto"/>
          <w:sz w:val="24"/>
          <w:szCs w:val="24"/>
        </w:rPr>
        <w:t>Ⅱ准噶尔盆地温</w:t>
      </w:r>
      <w:r>
        <w:rPr>
          <w:rFonts w:hint="eastAsia" w:cs="Times New Roman"/>
          <w:color w:val="auto"/>
          <w:sz w:val="24"/>
          <w:szCs w:val="24"/>
          <w:lang w:val="en-US" w:eastAsia="zh-CN"/>
        </w:rPr>
        <w:t>性</w:t>
      </w:r>
      <w:r>
        <w:rPr>
          <w:rFonts w:hint="default" w:ascii="Times New Roman" w:hAnsi="Times New Roman" w:eastAsia="宋体" w:cs="Times New Roman"/>
          <w:color w:val="auto"/>
          <w:sz w:val="24"/>
          <w:szCs w:val="24"/>
        </w:rPr>
        <w:t>荒漠与绿洲</w:t>
      </w:r>
      <w:r>
        <w:rPr>
          <w:rFonts w:hint="eastAsia" w:cs="Times New Roman"/>
          <w:color w:val="auto"/>
          <w:sz w:val="24"/>
          <w:szCs w:val="24"/>
          <w:lang w:val="en-US" w:eastAsia="zh-CN"/>
        </w:rPr>
        <w:t>农业</w:t>
      </w:r>
      <w:r>
        <w:rPr>
          <w:rFonts w:hint="default" w:ascii="Times New Roman" w:hAnsi="Times New Roman" w:eastAsia="宋体" w:cs="Times New Roman"/>
          <w:color w:val="auto"/>
          <w:sz w:val="24"/>
          <w:szCs w:val="24"/>
        </w:rPr>
        <w:t>生态区—Ⅱ</w:t>
      </w:r>
      <w:r>
        <w:rPr>
          <w:rFonts w:hint="eastAsia" w:cs="Times New Roman"/>
          <w:color w:val="auto"/>
          <w:sz w:val="24"/>
          <w:szCs w:val="24"/>
          <w:vertAlign w:val="subscript"/>
          <w:lang w:val="en-US" w:eastAsia="zh-CN"/>
        </w:rPr>
        <w:t>1</w:t>
      </w:r>
      <w:r>
        <w:rPr>
          <w:rFonts w:hint="default" w:ascii="Times New Roman" w:hAnsi="Times New Roman" w:eastAsia="宋体" w:cs="Times New Roman"/>
          <w:color w:val="auto"/>
          <w:sz w:val="24"/>
          <w:szCs w:val="24"/>
        </w:rPr>
        <w:t>准噶尔盆地</w:t>
      </w:r>
      <w:r>
        <w:rPr>
          <w:rFonts w:hint="eastAsia" w:cs="Times New Roman"/>
          <w:color w:val="auto"/>
          <w:sz w:val="24"/>
          <w:szCs w:val="24"/>
          <w:lang w:val="en-US" w:eastAsia="zh-CN"/>
        </w:rPr>
        <w:t>北</w:t>
      </w:r>
      <w:r>
        <w:rPr>
          <w:rFonts w:hint="default" w:ascii="Times New Roman" w:hAnsi="Times New Roman" w:eastAsia="宋体" w:cs="Times New Roman"/>
          <w:color w:val="auto"/>
          <w:sz w:val="24"/>
          <w:szCs w:val="24"/>
        </w:rPr>
        <w:t>部</w:t>
      </w:r>
      <w:r>
        <w:rPr>
          <w:rFonts w:hint="eastAsia" w:cs="Times New Roman"/>
          <w:color w:val="auto"/>
          <w:sz w:val="24"/>
          <w:szCs w:val="24"/>
          <w:lang w:val="en-US" w:eastAsia="zh-CN"/>
        </w:rPr>
        <w:t>灌木半灌木荒漠</w:t>
      </w:r>
      <w:r>
        <w:rPr>
          <w:rFonts w:hint="default" w:ascii="Times New Roman" w:hAnsi="Times New Roman" w:eastAsia="宋体" w:cs="Times New Roman"/>
          <w:color w:val="auto"/>
          <w:sz w:val="24"/>
          <w:szCs w:val="24"/>
        </w:rPr>
        <w:t>生态亚区—16白杨河河谷林、乌尔禾雅丹地貌保护生态功能区</w:t>
      </w:r>
      <w:r>
        <w:rPr>
          <w:rFonts w:hint="eastAsia" w:ascii="Times New Roman" w:hAnsi="Times New Roman" w:eastAsia="宋体" w:cs="Times New Roman"/>
          <w:color w:val="auto"/>
          <w:sz w:val="24"/>
          <w:szCs w:val="24"/>
          <w:lang w:eastAsia="zh-CN"/>
        </w:rPr>
        <w:t>。</w:t>
      </w:r>
    </w:p>
    <w:p w14:paraId="332CBF2C">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环境功能区划情况见表2.4-1。</w:t>
      </w:r>
    </w:p>
    <w:p w14:paraId="21A035D3">
      <w:pPr>
        <w:pStyle w:val="43"/>
        <w:bidi w:val="0"/>
        <w:rPr>
          <w:rFonts w:hint="default" w:eastAsia="宋体"/>
          <w:color w:val="auto"/>
          <w:lang w:val="en-US" w:eastAsia="zh-CN"/>
        </w:rPr>
      </w:pPr>
      <w:r>
        <w:rPr>
          <w:rFonts w:hint="eastAsia" w:eastAsia="宋体"/>
          <w:color w:val="auto"/>
          <w:lang w:val="en-US" w:eastAsia="zh-CN"/>
        </w:rPr>
        <w:t>表2.4-1  区域环境功能区划一览表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4800"/>
        <w:gridCol w:w="2468"/>
      </w:tblGrid>
      <w:tr w14:paraId="0735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Align w:val="center"/>
          </w:tcPr>
          <w:p w14:paraId="2C5CAB6F">
            <w:pPr>
              <w:bidi w:val="0"/>
              <w:jc w:val="center"/>
              <w:rPr>
                <w:rFonts w:hint="default"/>
                <w:b/>
                <w:bCs/>
                <w:color w:val="auto"/>
                <w:lang w:val="en-US" w:eastAsia="zh-CN"/>
              </w:rPr>
            </w:pPr>
            <w:r>
              <w:rPr>
                <w:rFonts w:hint="eastAsia"/>
                <w:b/>
                <w:bCs/>
                <w:color w:val="auto"/>
                <w:lang w:val="en-US" w:eastAsia="zh-CN"/>
              </w:rPr>
              <w:t>环境要素</w:t>
            </w:r>
          </w:p>
        </w:tc>
        <w:tc>
          <w:tcPr>
            <w:tcW w:w="4800" w:type="dxa"/>
            <w:vAlign w:val="center"/>
          </w:tcPr>
          <w:p w14:paraId="68F001D7">
            <w:pPr>
              <w:bidi w:val="0"/>
              <w:jc w:val="center"/>
              <w:rPr>
                <w:rFonts w:hint="eastAsia"/>
                <w:b/>
                <w:bCs/>
                <w:color w:val="auto"/>
                <w:lang w:val="en-US" w:eastAsia="zh-CN"/>
              </w:rPr>
            </w:pPr>
            <w:r>
              <w:rPr>
                <w:rFonts w:hint="eastAsia"/>
                <w:b/>
                <w:bCs/>
                <w:color w:val="auto"/>
                <w:lang w:val="en-US" w:eastAsia="zh-CN"/>
              </w:rPr>
              <w:t>保护对象</w:t>
            </w:r>
          </w:p>
        </w:tc>
        <w:tc>
          <w:tcPr>
            <w:tcW w:w="2468" w:type="dxa"/>
            <w:vAlign w:val="center"/>
          </w:tcPr>
          <w:p w14:paraId="1905B332">
            <w:pPr>
              <w:bidi w:val="0"/>
              <w:jc w:val="center"/>
              <w:rPr>
                <w:rFonts w:hint="default"/>
                <w:b/>
                <w:bCs/>
                <w:color w:val="auto"/>
                <w:lang w:val="en-US" w:eastAsia="zh-CN"/>
              </w:rPr>
            </w:pPr>
            <w:r>
              <w:rPr>
                <w:rFonts w:hint="eastAsia"/>
                <w:b/>
                <w:bCs/>
                <w:color w:val="auto"/>
                <w:lang w:val="en-US" w:eastAsia="zh-CN"/>
              </w:rPr>
              <w:t>功能区划</w:t>
            </w:r>
          </w:p>
        </w:tc>
      </w:tr>
      <w:tr w14:paraId="22B5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Align w:val="center"/>
          </w:tcPr>
          <w:p w14:paraId="5FE5CE0E">
            <w:pPr>
              <w:bidi w:val="0"/>
              <w:jc w:val="center"/>
              <w:rPr>
                <w:rFonts w:hint="default"/>
                <w:color w:val="auto"/>
                <w:lang w:val="en-US" w:eastAsia="zh-CN"/>
              </w:rPr>
            </w:pPr>
            <w:r>
              <w:rPr>
                <w:rFonts w:hint="eastAsia"/>
                <w:color w:val="auto"/>
                <w:lang w:val="en-US" w:eastAsia="zh-CN"/>
              </w:rPr>
              <w:t>环境空气</w:t>
            </w:r>
          </w:p>
        </w:tc>
        <w:tc>
          <w:tcPr>
            <w:tcW w:w="4800" w:type="dxa"/>
            <w:vAlign w:val="center"/>
          </w:tcPr>
          <w:p w14:paraId="58B2B226">
            <w:pPr>
              <w:bidi w:val="0"/>
              <w:rPr>
                <w:rFonts w:hint="default"/>
                <w:color w:val="auto"/>
                <w:lang w:val="en-US" w:eastAsia="zh-CN"/>
              </w:rPr>
            </w:pPr>
            <w:r>
              <w:rPr>
                <w:rFonts w:hint="eastAsia"/>
                <w:color w:val="auto"/>
                <w:lang w:val="en-US" w:eastAsia="zh-CN"/>
              </w:rPr>
              <w:t>项目区占地范围</w:t>
            </w:r>
          </w:p>
        </w:tc>
        <w:tc>
          <w:tcPr>
            <w:tcW w:w="2468" w:type="dxa"/>
            <w:vAlign w:val="center"/>
          </w:tcPr>
          <w:p w14:paraId="55F65AFC">
            <w:pPr>
              <w:bidi w:val="0"/>
              <w:rPr>
                <w:color w:val="auto"/>
              </w:rPr>
            </w:pPr>
            <w:r>
              <w:rPr>
                <w:color w:val="auto"/>
              </w:rPr>
              <w:t>《环境空气质量标准》二类功能区</w:t>
            </w:r>
          </w:p>
        </w:tc>
      </w:tr>
      <w:tr w14:paraId="145A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Align w:val="center"/>
          </w:tcPr>
          <w:p w14:paraId="2F57AAA3">
            <w:pPr>
              <w:bidi w:val="0"/>
              <w:jc w:val="center"/>
              <w:rPr>
                <w:rFonts w:hint="eastAsia"/>
                <w:color w:val="auto"/>
                <w:lang w:val="en-US" w:eastAsia="zh-CN"/>
              </w:rPr>
            </w:pPr>
            <w:r>
              <w:rPr>
                <w:rFonts w:hint="eastAsia"/>
                <w:color w:val="auto"/>
                <w:lang w:val="en-US" w:eastAsia="zh-CN"/>
              </w:rPr>
              <w:t>水环境</w:t>
            </w:r>
          </w:p>
        </w:tc>
        <w:tc>
          <w:tcPr>
            <w:tcW w:w="4800" w:type="dxa"/>
            <w:vAlign w:val="center"/>
          </w:tcPr>
          <w:p w14:paraId="5C897035">
            <w:pPr>
              <w:bidi w:val="0"/>
              <w:rPr>
                <w:rFonts w:hint="default"/>
                <w:color w:val="auto"/>
                <w:lang w:val="en-US" w:eastAsia="zh-CN"/>
              </w:rPr>
            </w:pPr>
            <w:r>
              <w:rPr>
                <w:rFonts w:hint="eastAsia"/>
                <w:color w:val="auto"/>
                <w:lang w:val="en-US" w:eastAsia="zh-CN"/>
              </w:rPr>
              <w:t>项目区地下水</w:t>
            </w:r>
          </w:p>
        </w:tc>
        <w:tc>
          <w:tcPr>
            <w:tcW w:w="2468" w:type="dxa"/>
            <w:vAlign w:val="center"/>
          </w:tcPr>
          <w:p w14:paraId="353C6839">
            <w:pPr>
              <w:bidi w:val="0"/>
              <w:rPr>
                <w:rFonts w:hint="default"/>
                <w:color w:val="auto"/>
                <w:lang w:val="en-US" w:eastAsia="zh-CN"/>
              </w:rPr>
            </w:pPr>
            <w:r>
              <w:rPr>
                <w:rFonts w:hint="default" w:eastAsia="宋体"/>
                <w:color w:val="auto"/>
                <w:sz w:val="21"/>
                <w:szCs w:val="22"/>
                <w:lang w:val="en-US" w:eastAsia="zh-CN"/>
              </w:rPr>
              <w:t>Ⅲ</w:t>
            </w:r>
            <w:r>
              <w:rPr>
                <w:rFonts w:hint="eastAsia"/>
                <w:color w:val="auto"/>
                <w:lang w:val="en-US" w:eastAsia="zh-CN"/>
              </w:rPr>
              <w:t>类功能区</w:t>
            </w:r>
          </w:p>
        </w:tc>
      </w:tr>
      <w:tr w14:paraId="7AA0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Align w:val="center"/>
          </w:tcPr>
          <w:p w14:paraId="2F963CCB">
            <w:pPr>
              <w:bidi w:val="0"/>
              <w:jc w:val="center"/>
              <w:rPr>
                <w:rFonts w:hint="eastAsia"/>
                <w:color w:val="auto"/>
                <w:lang w:val="en-US" w:eastAsia="zh-CN"/>
              </w:rPr>
            </w:pPr>
            <w:r>
              <w:rPr>
                <w:rFonts w:hint="eastAsia"/>
                <w:color w:val="auto"/>
                <w:lang w:val="en-US" w:eastAsia="zh-CN"/>
              </w:rPr>
              <w:t>声环境</w:t>
            </w:r>
          </w:p>
        </w:tc>
        <w:tc>
          <w:tcPr>
            <w:tcW w:w="4800" w:type="dxa"/>
            <w:vAlign w:val="center"/>
          </w:tcPr>
          <w:p w14:paraId="49AD0FAD">
            <w:pPr>
              <w:bidi w:val="0"/>
              <w:rPr>
                <w:rFonts w:hint="default"/>
                <w:color w:val="auto"/>
                <w:lang w:val="en-US" w:eastAsia="zh-CN"/>
              </w:rPr>
            </w:pPr>
            <w:r>
              <w:rPr>
                <w:rFonts w:hint="eastAsia"/>
                <w:color w:val="auto"/>
                <w:lang w:val="en-US" w:eastAsia="zh-CN"/>
              </w:rPr>
              <w:t>站场及管线两侧200m范围</w:t>
            </w:r>
          </w:p>
        </w:tc>
        <w:tc>
          <w:tcPr>
            <w:tcW w:w="2468" w:type="dxa"/>
            <w:vAlign w:val="center"/>
          </w:tcPr>
          <w:p w14:paraId="2B938747">
            <w:pPr>
              <w:bidi w:val="0"/>
              <w:rPr>
                <w:rFonts w:hint="default"/>
                <w:color w:val="auto"/>
                <w:lang w:val="en-US" w:eastAsia="zh-CN"/>
              </w:rPr>
            </w:pPr>
            <w:r>
              <w:rPr>
                <w:rFonts w:hint="eastAsia"/>
                <w:color w:val="auto"/>
                <w:lang w:val="en-US" w:eastAsia="zh-CN"/>
              </w:rPr>
              <w:t>2类功能区</w:t>
            </w:r>
          </w:p>
        </w:tc>
      </w:tr>
      <w:tr w14:paraId="4CC2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Align w:val="center"/>
          </w:tcPr>
          <w:p w14:paraId="167CEA96">
            <w:pPr>
              <w:bidi w:val="0"/>
              <w:jc w:val="center"/>
              <w:rPr>
                <w:rFonts w:hint="default"/>
                <w:color w:val="auto"/>
                <w:lang w:val="en-US" w:eastAsia="zh-CN"/>
              </w:rPr>
            </w:pPr>
            <w:r>
              <w:rPr>
                <w:rFonts w:hint="eastAsia"/>
                <w:color w:val="auto"/>
                <w:lang w:val="en-US" w:eastAsia="zh-CN"/>
              </w:rPr>
              <w:t>生态环境</w:t>
            </w:r>
          </w:p>
        </w:tc>
        <w:tc>
          <w:tcPr>
            <w:tcW w:w="4800" w:type="dxa"/>
            <w:vAlign w:val="center"/>
          </w:tcPr>
          <w:p w14:paraId="6CBD275E">
            <w:pPr>
              <w:bidi w:val="0"/>
              <w:rPr>
                <w:color w:val="auto"/>
              </w:rPr>
            </w:pPr>
            <w:r>
              <w:rPr>
                <w:rFonts w:hint="default"/>
                <w:color w:val="auto"/>
              </w:rPr>
              <w:t>Ⅱ准噶尔盆地温</w:t>
            </w:r>
            <w:r>
              <w:rPr>
                <w:rFonts w:hint="eastAsia"/>
                <w:color w:val="auto"/>
                <w:lang w:val="en-US" w:eastAsia="zh-CN"/>
              </w:rPr>
              <w:t>性</w:t>
            </w:r>
            <w:r>
              <w:rPr>
                <w:rFonts w:hint="default"/>
                <w:color w:val="auto"/>
              </w:rPr>
              <w:t>荒漠与绿洲</w:t>
            </w:r>
            <w:r>
              <w:rPr>
                <w:rFonts w:hint="eastAsia"/>
                <w:color w:val="auto"/>
                <w:lang w:val="en-US" w:eastAsia="zh-CN"/>
              </w:rPr>
              <w:t>农业</w:t>
            </w:r>
            <w:r>
              <w:rPr>
                <w:rFonts w:hint="default"/>
                <w:color w:val="auto"/>
              </w:rPr>
              <w:t>生态区—Ⅱ</w:t>
            </w:r>
            <w:r>
              <w:rPr>
                <w:rFonts w:hint="eastAsia"/>
                <w:color w:val="auto"/>
                <w:lang w:val="en-US" w:eastAsia="zh-CN"/>
              </w:rPr>
              <w:t>1</w:t>
            </w:r>
            <w:r>
              <w:rPr>
                <w:rFonts w:hint="default"/>
                <w:color w:val="auto"/>
              </w:rPr>
              <w:t>准噶尔盆地</w:t>
            </w:r>
            <w:r>
              <w:rPr>
                <w:rFonts w:hint="eastAsia"/>
                <w:color w:val="auto"/>
                <w:lang w:val="en-US" w:eastAsia="zh-CN"/>
              </w:rPr>
              <w:t>北</w:t>
            </w:r>
            <w:r>
              <w:rPr>
                <w:rFonts w:hint="default"/>
                <w:color w:val="auto"/>
              </w:rPr>
              <w:t>部</w:t>
            </w:r>
            <w:r>
              <w:rPr>
                <w:rFonts w:hint="eastAsia"/>
                <w:color w:val="auto"/>
                <w:lang w:val="en-US" w:eastAsia="zh-CN"/>
              </w:rPr>
              <w:t>灌木半灌木荒漠</w:t>
            </w:r>
            <w:r>
              <w:rPr>
                <w:rFonts w:hint="default"/>
                <w:color w:val="auto"/>
              </w:rPr>
              <w:t>生态亚区—16白杨河河谷林、乌尔禾雅丹地貌保护生态功能区</w:t>
            </w:r>
          </w:p>
        </w:tc>
        <w:tc>
          <w:tcPr>
            <w:tcW w:w="2468" w:type="dxa"/>
            <w:vAlign w:val="center"/>
          </w:tcPr>
          <w:p w14:paraId="2D0552DB">
            <w:pPr>
              <w:bidi w:val="0"/>
              <w:rPr>
                <w:rFonts w:hint="default"/>
                <w:color w:val="auto"/>
                <w:lang w:val="en-US" w:eastAsia="zh-CN"/>
              </w:rPr>
            </w:pPr>
            <w:r>
              <w:rPr>
                <w:rFonts w:hint="eastAsia"/>
                <w:color w:val="auto"/>
                <w:lang w:val="en-US" w:eastAsia="zh-CN"/>
              </w:rPr>
              <w:t>/</w:t>
            </w:r>
          </w:p>
        </w:tc>
      </w:tr>
    </w:tbl>
    <w:p w14:paraId="1C88F2D6">
      <w:pPr>
        <w:pStyle w:val="5"/>
        <w:bidi w:val="0"/>
        <w:rPr>
          <w:rFonts w:hint="default"/>
          <w:color w:val="auto"/>
          <w:lang w:val="en-US" w:eastAsia="zh-CN"/>
        </w:rPr>
      </w:pPr>
      <w:bookmarkStart w:id="88" w:name="_Toc23363"/>
      <w:bookmarkStart w:id="89" w:name="_Toc25054"/>
      <w:r>
        <w:rPr>
          <w:rFonts w:hint="eastAsia"/>
          <w:color w:val="auto"/>
          <w:lang w:val="en-US" w:eastAsia="zh-CN"/>
        </w:rPr>
        <w:t>2.4.2评价标准</w:t>
      </w:r>
      <w:bookmarkEnd w:id="88"/>
      <w:bookmarkEnd w:id="89"/>
    </w:p>
    <w:p w14:paraId="2E5E12B3">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eastAsia="宋体"/>
          <w:color w:val="auto"/>
          <w:sz w:val="24"/>
          <w:szCs w:val="28"/>
          <w:lang w:eastAsia="zh-CN"/>
        </w:rPr>
      </w:pPr>
      <w:r>
        <w:rPr>
          <w:rFonts w:hint="eastAsia" w:eastAsia="宋体"/>
          <w:color w:val="auto"/>
          <w:sz w:val="24"/>
          <w:szCs w:val="28"/>
          <w:lang w:eastAsia="zh-CN"/>
        </w:rPr>
        <w:t>（1）环境空气</w:t>
      </w:r>
    </w:p>
    <w:p w14:paraId="67D8C59A">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eastAsia="宋体"/>
          <w:color w:val="auto"/>
          <w:sz w:val="24"/>
          <w:szCs w:val="28"/>
          <w:lang w:eastAsia="zh-CN"/>
        </w:rPr>
      </w:pPr>
      <w:r>
        <w:rPr>
          <w:rFonts w:hint="eastAsia" w:eastAsia="宋体"/>
          <w:color w:val="auto"/>
          <w:sz w:val="24"/>
          <w:szCs w:val="28"/>
          <w:lang w:eastAsia="zh-CN"/>
        </w:rPr>
        <w:t>项目所在区域属于二类区，环境空气质量执行《环境空气质量标准》（GB3095-2012）表1中二级标准</w:t>
      </w:r>
      <w:r>
        <w:rPr>
          <w:rFonts w:hint="eastAsia"/>
          <w:color w:val="auto"/>
          <w:sz w:val="24"/>
          <w:szCs w:val="28"/>
          <w:lang w:eastAsia="zh-CN"/>
        </w:rPr>
        <w:t>；</w:t>
      </w:r>
      <w:r>
        <w:rPr>
          <w:rFonts w:hint="eastAsia"/>
          <w:color w:val="auto"/>
          <w:sz w:val="24"/>
          <w:szCs w:val="28"/>
          <w:lang w:val="en-US" w:eastAsia="zh-CN"/>
        </w:rPr>
        <w:t>非甲烷总烃执行《大气污染物综合排放标准详解》中规定限值；硫化氢执行《环境影响评价技术导则 大气环境》（HJ2.2-2018）附录D限值</w:t>
      </w:r>
      <w:r>
        <w:rPr>
          <w:rFonts w:hint="eastAsia" w:eastAsia="宋体"/>
          <w:color w:val="auto"/>
          <w:sz w:val="24"/>
          <w:szCs w:val="28"/>
          <w:lang w:eastAsia="zh-CN"/>
        </w:rPr>
        <w:t>。</w:t>
      </w:r>
    </w:p>
    <w:p w14:paraId="0F0316D0">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地下水质量执行《地下水质量标准》（GB/T14848-2017）III类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石油类参照《地表水环境质量标准》（GB3838-2002）中的Ⅲ类标准</w:t>
      </w:r>
      <w:r>
        <w:rPr>
          <w:rFonts w:hint="default" w:ascii="Times New Roman" w:hAnsi="Times New Roman" w:eastAsia="宋体" w:cs="Times New Roman"/>
          <w:color w:val="auto"/>
          <w:sz w:val="24"/>
          <w:szCs w:val="24"/>
          <w:lang w:eastAsia="zh-CN"/>
        </w:rPr>
        <w:t>。</w:t>
      </w:r>
    </w:p>
    <w:p w14:paraId="3827ED14">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声环境质量执行《声环境质量标准》（GB3096-2008）2类区标准</w:t>
      </w:r>
      <w:r>
        <w:rPr>
          <w:rFonts w:hint="default" w:ascii="Times New Roman" w:hAnsi="Times New Roman" w:eastAsia="宋体" w:cs="Times New Roman"/>
          <w:color w:val="auto"/>
          <w:sz w:val="24"/>
          <w:szCs w:val="24"/>
          <w:lang w:eastAsia="zh-CN"/>
        </w:rPr>
        <w:t>。</w:t>
      </w:r>
    </w:p>
    <w:p w14:paraId="2251E92F">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土壤环境质量执行《土壤环境质量 建设用地土壤污染风险管控标准（试行）》（GB36600-2018）和《土壤环境质量 农用地土壤污染风险管控标准（试行）》（GB15618-2018）</w:t>
      </w:r>
      <w:r>
        <w:rPr>
          <w:rFonts w:hint="default" w:ascii="Times New Roman" w:hAnsi="Times New Roman" w:eastAsia="宋体" w:cs="Times New Roman"/>
          <w:color w:val="auto"/>
          <w:sz w:val="24"/>
          <w:szCs w:val="24"/>
          <w:lang w:eastAsia="zh-CN"/>
        </w:rPr>
        <w:t>。</w:t>
      </w:r>
    </w:p>
    <w:p w14:paraId="5A283FED">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ascii="Times New Roman" w:hAnsi="Times New Roman" w:cs="Times New Roman"/>
          <w:color w:val="auto"/>
          <w:sz w:val="24"/>
          <w:szCs w:val="28"/>
          <w:lang w:val="en-US" w:eastAsia="zh-CN"/>
        </w:rPr>
        <w:t>具体标准限值见表2.4-2。</w:t>
      </w:r>
    </w:p>
    <w:p w14:paraId="48862CCE">
      <w:pPr>
        <w:pStyle w:val="43"/>
        <w:bidi w:val="0"/>
        <w:rPr>
          <w:rFonts w:hint="default"/>
          <w:color w:val="auto"/>
          <w:lang w:val="en-US" w:eastAsia="zh-CN"/>
        </w:rPr>
      </w:pPr>
      <w:r>
        <w:rPr>
          <w:rFonts w:hint="eastAsia"/>
          <w:color w:val="auto"/>
          <w:lang w:val="en-US" w:eastAsia="zh-CN"/>
        </w:rPr>
        <w:t>表2.4-2  环境质量标准一览表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130"/>
        <w:gridCol w:w="1694"/>
        <w:gridCol w:w="1875"/>
        <w:gridCol w:w="960"/>
        <w:gridCol w:w="1133"/>
      </w:tblGrid>
      <w:tr w14:paraId="4954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restart"/>
            <w:vAlign w:val="center"/>
          </w:tcPr>
          <w:p w14:paraId="6DF939C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b/>
                <w:bCs/>
                <w:color w:val="auto"/>
                <w:sz w:val="21"/>
                <w:szCs w:val="22"/>
                <w:vertAlign w:val="baseline"/>
                <w:lang w:val="en-US" w:eastAsia="zh-CN"/>
              </w:rPr>
            </w:pPr>
            <w:r>
              <w:rPr>
                <w:rFonts w:hint="eastAsia"/>
                <w:b/>
                <w:bCs/>
                <w:color w:val="auto"/>
                <w:sz w:val="21"/>
                <w:szCs w:val="22"/>
                <w:vertAlign w:val="baseline"/>
                <w:lang w:val="en-US" w:eastAsia="zh-CN"/>
              </w:rPr>
              <w:t>要素</w:t>
            </w:r>
          </w:p>
        </w:tc>
        <w:tc>
          <w:tcPr>
            <w:tcW w:w="2130" w:type="dxa"/>
            <w:vMerge w:val="restart"/>
            <w:vAlign w:val="center"/>
          </w:tcPr>
          <w:p w14:paraId="7A9525B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b/>
                <w:bCs/>
                <w:color w:val="auto"/>
                <w:sz w:val="21"/>
                <w:szCs w:val="22"/>
                <w:vertAlign w:val="baseline"/>
                <w:lang w:val="en-US" w:eastAsia="zh-CN"/>
              </w:rPr>
            </w:pPr>
            <w:r>
              <w:rPr>
                <w:rFonts w:hint="eastAsia"/>
                <w:b/>
                <w:bCs/>
                <w:color w:val="auto"/>
                <w:sz w:val="21"/>
                <w:szCs w:val="22"/>
                <w:vertAlign w:val="baseline"/>
                <w:lang w:val="en-US" w:eastAsia="zh-CN"/>
              </w:rPr>
              <w:t>标准名称及级（类）别</w:t>
            </w:r>
          </w:p>
        </w:tc>
        <w:tc>
          <w:tcPr>
            <w:tcW w:w="1694" w:type="dxa"/>
            <w:vMerge w:val="restart"/>
            <w:vAlign w:val="center"/>
          </w:tcPr>
          <w:p w14:paraId="620F8DA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b/>
                <w:bCs/>
                <w:color w:val="auto"/>
                <w:sz w:val="21"/>
                <w:szCs w:val="22"/>
                <w:vertAlign w:val="baseline"/>
                <w:lang w:val="en-US" w:eastAsia="zh-CN"/>
              </w:rPr>
            </w:pPr>
            <w:r>
              <w:rPr>
                <w:rFonts w:hint="eastAsia"/>
                <w:b/>
                <w:bCs/>
                <w:color w:val="auto"/>
                <w:sz w:val="21"/>
                <w:szCs w:val="22"/>
                <w:vertAlign w:val="baseline"/>
                <w:lang w:val="en-US" w:eastAsia="zh-CN"/>
              </w:rPr>
              <w:t>污染因子</w:t>
            </w:r>
          </w:p>
        </w:tc>
        <w:tc>
          <w:tcPr>
            <w:tcW w:w="3968" w:type="dxa"/>
            <w:gridSpan w:val="3"/>
            <w:vAlign w:val="center"/>
          </w:tcPr>
          <w:p w14:paraId="1CB936A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b/>
                <w:bCs/>
                <w:color w:val="auto"/>
                <w:sz w:val="21"/>
                <w:szCs w:val="22"/>
                <w:vertAlign w:val="baseline"/>
                <w:lang w:val="en-US" w:eastAsia="zh-CN"/>
              </w:rPr>
            </w:pPr>
            <w:r>
              <w:rPr>
                <w:rFonts w:hint="eastAsia"/>
                <w:b/>
                <w:bCs/>
                <w:color w:val="auto"/>
                <w:sz w:val="21"/>
                <w:szCs w:val="22"/>
                <w:vertAlign w:val="baseline"/>
                <w:lang w:val="en-US" w:eastAsia="zh-CN"/>
              </w:rPr>
              <w:t>标准值</w:t>
            </w:r>
          </w:p>
        </w:tc>
      </w:tr>
      <w:tr w14:paraId="1509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DF048E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b/>
                <w:bCs/>
                <w:color w:val="auto"/>
                <w:sz w:val="21"/>
                <w:szCs w:val="22"/>
                <w:vertAlign w:val="baseline"/>
              </w:rPr>
            </w:pPr>
          </w:p>
        </w:tc>
        <w:tc>
          <w:tcPr>
            <w:tcW w:w="2130" w:type="dxa"/>
            <w:vMerge w:val="continue"/>
            <w:vAlign w:val="center"/>
          </w:tcPr>
          <w:p w14:paraId="3A5D3FF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b/>
                <w:bCs/>
                <w:color w:val="auto"/>
                <w:sz w:val="21"/>
                <w:szCs w:val="22"/>
                <w:vertAlign w:val="baseline"/>
              </w:rPr>
            </w:pPr>
          </w:p>
        </w:tc>
        <w:tc>
          <w:tcPr>
            <w:tcW w:w="1694" w:type="dxa"/>
            <w:vMerge w:val="continue"/>
            <w:vAlign w:val="center"/>
          </w:tcPr>
          <w:p w14:paraId="3C7670F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b/>
                <w:bCs/>
                <w:color w:val="auto"/>
                <w:sz w:val="21"/>
                <w:szCs w:val="22"/>
                <w:vertAlign w:val="baseline"/>
              </w:rPr>
            </w:pPr>
          </w:p>
        </w:tc>
        <w:tc>
          <w:tcPr>
            <w:tcW w:w="2835" w:type="dxa"/>
            <w:gridSpan w:val="2"/>
            <w:vAlign w:val="center"/>
          </w:tcPr>
          <w:p w14:paraId="53FE397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b/>
                <w:bCs/>
                <w:color w:val="auto"/>
                <w:sz w:val="21"/>
                <w:szCs w:val="22"/>
                <w:vertAlign w:val="baseline"/>
              </w:rPr>
            </w:pPr>
            <w:r>
              <w:rPr>
                <w:rFonts w:hint="eastAsia"/>
                <w:b/>
                <w:bCs/>
                <w:color w:val="auto"/>
                <w:sz w:val="21"/>
                <w:szCs w:val="22"/>
                <w:vertAlign w:val="baseline"/>
                <w:lang w:val="en-US" w:eastAsia="zh-CN"/>
              </w:rPr>
              <w:t>单位</w:t>
            </w:r>
          </w:p>
        </w:tc>
        <w:tc>
          <w:tcPr>
            <w:tcW w:w="1133" w:type="dxa"/>
            <w:vAlign w:val="center"/>
          </w:tcPr>
          <w:p w14:paraId="7E253A8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b/>
                <w:bCs/>
                <w:color w:val="auto"/>
                <w:sz w:val="21"/>
                <w:szCs w:val="22"/>
                <w:vertAlign w:val="baseline"/>
                <w:lang w:val="en-US" w:eastAsia="zh-CN"/>
              </w:rPr>
            </w:pPr>
            <w:r>
              <w:rPr>
                <w:rFonts w:hint="eastAsia"/>
                <w:b/>
                <w:bCs/>
                <w:color w:val="auto"/>
                <w:sz w:val="21"/>
                <w:szCs w:val="22"/>
                <w:vertAlign w:val="baseline"/>
                <w:lang w:val="en-US" w:eastAsia="zh-CN"/>
              </w:rPr>
              <w:t>二级限值</w:t>
            </w:r>
          </w:p>
        </w:tc>
      </w:tr>
      <w:tr w14:paraId="1AC6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restart"/>
            <w:vAlign w:val="center"/>
          </w:tcPr>
          <w:p w14:paraId="636F284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环境空气</w:t>
            </w:r>
          </w:p>
        </w:tc>
        <w:tc>
          <w:tcPr>
            <w:tcW w:w="2130" w:type="dxa"/>
            <w:vMerge w:val="restart"/>
            <w:vAlign w:val="center"/>
          </w:tcPr>
          <w:p w14:paraId="3E666C5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eastAsia="zh-CN"/>
              </w:rPr>
              <w:t>《</w:t>
            </w:r>
            <w:r>
              <w:rPr>
                <w:rFonts w:hint="eastAsia"/>
                <w:color w:val="auto"/>
                <w:sz w:val="21"/>
                <w:szCs w:val="22"/>
                <w:vertAlign w:val="baseline"/>
                <w:lang w:val="en-US" w:eastAsia="zh-CN"/>
              </w:rPr>
              <w:t>环境空气质量标准</w:t>
            </w:r>
            <w:r>
              <w:rPr>
                <w:rFonts w:hint="eastAsia"/>
                <w:color w:val="auto"/>
                <w:sz w:val="21"/>
                <w:szCs w:val="22"/>
                <w:vertAlign w:val="baseline"/>
                <w:lang w:eastAsia="zh-CN"/>
              </w:rPr>
              <w:t>》（</w:t>
            </w:r>
            <w:r>
              <w:rPr>
                <w:rFonts w:hint="eastAsia"/>
                <w:color w:val="auto"/>
                <w:sz w:val="21"/>
                <w:szCs w:val="22"/>
                <w:vertAlign w:val="baseline"/>
                <w:lang w:val="en-US" w:eastAsia="zh-CN"/>
              </w:rPr>
              <w:t>GB3095-2012</w:t>
            </w:r>
            <w:r>
              <w:rPr>
                <w:rFonts w:hint="eastAsia"/>
                <w:color w:val="auto"/>
                <w:sz w:val="21"/>
                <w:szCs w:val="22"/>
                <w:vertAlign w:val="baseline"/>
                <w:lang w:eastAsia="zh-CN"/>
              </w:rPr>
              <w:t>）</w:t>
            </w:r>
            <w:r>
              <w:rPr>
                <w:rFonts w:hint="eastAsia"/>
                <w:color w:val="auto"/>
                <w:sz w:val="21"/>
                <w:szCs w:val="22"/>
                <w:vertAlign w:val="baseline"/>
                <w:lang w:val="en-US" w:eastAsia="zh-CN"/>
              </w:rPr>
              <w:t>二级标准</w:t>
            </w:r>
          </w:p>
        </w:tc>
        <w:tc>
          <w:tcPr>
            <w:tcW w:w="1694" w:type="dxa"/>
            <w:vMerge w:val="restart"/>
            <w:vAlign w:val="center"/>
          </w:tcPr>
          <w:p w14:paraId="3D678D1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SO</w:t>
            </w:r>
            <w:r>
              <w:rPr>
                <w:rFonts w:hint="eastAsia"/>
                <w:color w:val="auto"/>
                <w:sz w:val="21"/>
                <w:szCs w:val="22"/>
                <w:vertAlign w:val="subscript"/>
                <w:lang w:val="en-US" w:eastAsia="zh-CN"/>
              </w:rPr>
              <w:t>2</w:t>
            </w:r>
          </w:p>
        </w:tc>
        <w:tc>
          <w:tcPr>
            <w:tcW w:w="1875" w:type="dxa"/>
            <w:vAlign w:val="center"/>
          </w:tcPr>
          <w:p w14:paraId="32DBDC9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年平均</w:t>
            </w:r>
          </w:p>
        </w:tc>
        <w:tc>
          <w:tcPr>
            <w:tcW w:w="960" w:type="dxa"/>
            <w:vMerge w:val="restart"/>
            <w:vAlign w:val="center"/>
          </w:tcPr>
          <w:p w14:paraId="5040A15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default" w:ascii="Times New Roman" w:hAnsi="Times New Roman" w:cs="Times New Roman"/>
                <w:color w:val="auto"/>
                <w:sz w:val="21"/>
                <w:szCs w:val="22"/>
                <w:vertAlign w:val="baseline"/>
                <w:lang w:val="en-US" w:eastAsia="zh-CN"/>
              </w:rPr>
              <w:t>μg</w:t>
            </w:r>
            <w:r>
              <w:rPr>
                <w:rFonts w:hint="eastAsia"/>
                <w:color w:val="auto"/>
                <w:sz w:val="21"/>
                <w:szCs w:val="22"/>
                <w:vertAlign w:val="baseline"/>
                <w:lang w:val="en-US" w:eastAsia="zh-CN"/>
              </w:rPr>
              <w:t>/m</w:t>
            </w:r>
            <w:r>
              <w:rPr>
                <w:rFonts w:hint="eastAsia"/>
                <w:color w:val="auto"/>
                <w:sz w:val="21"/>
                <w:szCs w:val="22"/>
                <w:vertAlign w:val="superscript"/>
                <w:lang w:val="en-US" w:eastAsia="zh-CN"/>
              </w:rPr>
              <w:t>3</w:t>
            </w:r>
          </w:p>
        </w:tc>
        <w:tc>
          <w:tcPr>
            <w:tcW w:w="1133" w:type="dxa"/>
            <w:vAlign w:val="center"/>
          </w:tcPr>
          <w:p w14:paraId="3EDA03A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60</w:t>
            </w:r>
          </w:p>
        </w:tc>
      </w:tr>
      <w:tr w14:paraId="1BDC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B421DD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p>
        </w:tc>
        <w:tc>
          <w:tcPr>
            <w:tcW w:w="2130" w:type="dxa"/>
            <w:vMerge w:val="continue"/>
            <w:vAlign w:val="center"/>
          </w:tcPr>
          <w:p w14:paraId="667CCBE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p>
        </w:tc>
        <w:tc>
          <w:tcPr>
            <w:tcW w:w="1694" w:type="dxa"/>
            <w:vMerge w:val="continue"/>
            <w:vAlign w:val="center"/>
          </w:tcPr>
          <w:p w14:paraId="03787A4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p>
        </w:tc>
        <w:tc>
          <w:tcPr>
            <w:tcW w:w="1875" w:type="dxa"/>
            <w:vAlign w:val="center"/>
          </w:tcPr>
          <w:p w14:paraId="09A1928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24小时平均</w:t>
            </w:r>
          </w:p>
        </w:tc>
        <w:tc>
          <w:tcPr>
            <w:tcW w:w="960" w:type="dxa"/>
            <w:vMerge w:val="continue"/>
            <w:vAlign w:val="center"/>
          </w:tcPr>
          <w:p w14:paraId="2BD55D8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B1FDDA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150</w:t>
            </w:r>
          </w:p>
        </w:tc>
      </w:tr>
      <w:tr w14:paraId="129C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998A80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F74117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070A778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p>
        </w:tc>
        <w:tc>
          <w:tcPr>
            <w:tcW w:w="1875" w:type="dxa"/>
            <w:vAlign w:val="center"/>
          </w:tcPr>
          <w:p w14:paraId="1439035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1小时平均</w:t>
            </w:r>
          </w:p>
        </w:tc>
        <w:tc>
          <w:tcPr>
            <w:tcW w:w="960" w:type="dxa"/>
            <w:vMerge w:val="continue"/>
            <w:vAlign w:val="center"/>
          </w:tcPr>
          <w:p w14:paraId="023D5AA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FBBBE2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500</w:t>
            </w:r>
          </w:p>
        </w:tc>
      </w:tr>
      <w:tr w14:paraId="4A8B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5DD717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45135B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restart"/>
            <w:vAlign w:val="center"/>
          </w:tcPr>
          <w:p w14:paraId="20417D5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PM</w:t>
            </w:r>
            <w:r>
              <w:rPr>
                <w:rFonts w:hint="eastAsia"/>
                <w:color w:val="auto"/>
                <w:sz w:val="21"/>
                <w:szCs w:val="22"/>
                <w:vertAlign w:val="subscript"/>
                <w:lang w:val="en-US" w:eastAsia="zh-CN"/>
              </w:rPr>
              <w:t>10</w:t>
            </w:r>
          </w:p>
        </w:tc>
        <w:tc>
          <w:tcPr>
            <w:tcW w:w="1875" w:type="dxa"/>
            <w:vAlign w:val="center"/>
          </w:tcPr>
          <w:p w14:paraId="0367DDA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r>
              <w:rPr>
                <w:rFonts w:hint="eastAsia"/>
                <w:color w:val="auto"/>
                <w:sz w:val="21"/>
                <w:szCs w:val="22"/>
                <w:vertAlign w:val="baseline"/>
                <w:lang w:val="en-US" w:eastAsia="zh-CN"/>
              </w:rPr>
              <w:t>年平均</w:t>
            </w:r>
          </w:p>
        </w:tc>
        <w:tc>
          <w:tcPr>
            <w:tcW w:w="960" w:type="dxa"/>
            <w:vMerge w:val="continue"/>
            <w:vAlign w:val="center"/>
          </w:tcPr>
          <w:p w14:paraId="09B7EF9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A669E7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70</w:t>
            </w:r>
          </w:p>
        </w:tc>
      </w:tr>
      <w:tr w14:paraId="0B83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562A74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4EE8D2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219260B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p>
        </w:tc>
        <w:tc>
          <w:tcPr>
            <w:tcW w:w="1875" w:type="dxa"/>
            <w:vAlign w:val="center"/>
          </w:tcPr>
          <w:p w14:paraId="216AFFC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eastAsia"/>
                <w:color w:val="auto"/>
                <w:sz w:val="21"/>
                <w:szCs w:val="22"/>
                <w:vertAlign w:val="baseline"/>
                <w:lang w:val="en-US" w:eastAsia="zh-CN"/>
              </w:rPr>
              <w:t>24小时平均</w:t>
            </w:r>
          </w:p>
        </w:tc>
        <w:tc>
          <w:tcPr>
            <w:tcW w:w="960" w:type="dxa"/>
            <w:vMerge w:val="continue"/>
            <w:vAlign w:val="center"/>
          </w:tcPr>
          <w:p w14:paraId="1B7A2E7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30D58D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150</w:t>
            </w:r>
          </w:p>
        </w:tc>
      </w:tr>
      <w:tr w14:paraId="5BFC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701515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F18DDA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restart"/>
            <w:vAlign w:val="center"/>
          </w:tcPr>
          <w:p w14:paraId="5BA220A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NO</w:t>
            </w:r>
            <w:r>
              <w:rPr>
                <w:rFonts w:hint="eastAsia"/>
                <w:color w:val="auto"/>
                <w:sz w:val="21"/>
                <w:szCs w:val="22"/>
                <w:vertAlign w:val="subscript"/>
                <w:lang w:val="en-US" w:eastAsia="zh-CN"/>
              </w:rPr>
              <w:t>2</w:t>
            </w:r>
          </w:p>
        </w:tc>
        <w:tc>
          <w:tcPr>
            <w:tcW w:w="1875" w:type="dxa"/>
            <w:vAlign w:val="center"/>
          </w:tcPr>
          <w:p w14:paraId="71DC1C0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bidi="ar-SA"/>
              </w:rPr>
              <w:t>年平均</w:t>
            </w:r>
          </w:p>
        </w:tc>
        <w:tc>
          <w:tcPr>
            <w:tcW w:w="960" w:type="dxa"/>
            <w:vMerge w:val="continue"/>
            <w:vAlign w:val="center"/>
          </w:tcPr>
          <w:p w14:paraId="7D95875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4F1B094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bidi="ar-SA"/>
              </w:rPr>
              <w:t>40</w:t>
            </w:r>
          </w:p>
        </w:tc>
      </w:tr>
      <w:tr w14:paraId="0AC4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04E160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0E08AA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1B6334E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p>
        </w:tc>
        <w:tc>
          <w:tcPr>
            <w:tcW w:w="1875" w:type="dxa"/>
            <w:vAlign w:val="center"/>
          </w:tcPr>
          <w:p w14:paraId="2F1F1B4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r>
              <w:rPr>
                <w:rFonts w:hint="eastAsia"/>
                <w:color w:val="auto"/>
                <w:sz w:val="21"/>
                <w:szCs w:val="22"/>
                <w:vertAlign w:val="baseline"/>
                <w:lang w:val="en-US" w:eastAsia="zh-CN"/>
              </w:rPr>
              <w:t>24小时平均</w:t>
            </w:r>
          </w:p>
        </w:tc>
        <w:tc>
          <w:tcPr>
            <w:tcW w:w="960" w:type="dxa"/>
            <w:vMerge w:val="continue"/>
            <w:vAlign w:val="center"/>
          </w:tcPr>
          <w:p w14:paraId="2BBAFC4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3A8AB8C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r>
              <w:rPr>
                <w:rFonts w:hint="eastAsia"/>
                <w:color w:val="auto"/>
                <w:sz w:val="21"/>
                <w:szCs w:val="22"/>
                <w:vertAlign w:val="baseline"/>
                <w:lang w:val="en-US" w:eastAsia="zh-CN"/>
              </w:rPr>
              <w:t>80</w:t>
            </w:r>
          </w:p>
        </w:tc>
      </w:tr>
      <w:tr w14:paraId="57F7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FEF89A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1F6EB3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251A6F0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p>
        </w:tc>
        <w:tc>
          <w:tcPr>
            <w:tcW w:w="1875" w:type="dxa"/>
            <w:vAlign w:val="center"/>
          </w:tcPr>
          <w:p w14:paraId="26BF5CC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1小时平均</w:t>
            </w:r>
          </w:p>
        </w:tc>
        <w:tc>
          <w:tcPr>
            <w:tcW w:w="960" w:type="dxa"/>
            <w:vMerge w:val="continue"/>
            <w:vAlign w:val="center"/>
          </w:tcPr>
          <w:p w14:paraId="1695E3D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600F63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200</w:t>
            </w:r>
          </w:p>
        </w:tc>
      </w:tr>
      <w:tr w14:paraId="7B21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0A37CD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D9E5F9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restart"/>
            <w:vAlign w:val="center"/>
          </w:tcPr>
          <w:p w14:paraId="0CB8723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CO</w:t>
            </w:r>
          </w:p>
        </w:tc>
        <w:tc>
          <w:tcPr>
            <w:tcW w:w="1875" w:type="dxa"/>
            <w:vAlign w:val="center"/>
          </w:tcPr>
          <w:p w14:paraId="699705C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24小时平均</w:t>
            </w:r>
          </w:p>
        </w:tc>
        <w:tc>
          <w:tcPr>
            <w:tcW w:w="960" w:type="dxa"/>
            <w:vMerge w:val="restart"/>
            <w:vAlign w:val="center"/>
          </w:tcPr>
          <w:p w14:paraId="6B1F2AD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eastAsia"/>
                <w:color w:val="auto"/>
                <w:sz w:val="21"/>
                <w:szCs w:val="22"/>
                <w:vertAlign w:val="baseline"/>
                <w:lang w:val="en-US" w:eastAsia="zh-CN"/>
              </w:rPr>
              <w:t>mg/m</w:t>
            </w:r>
            <w:r>
              <w:rPr>
                <w:rFonts w:hint="eastAsia"/>
                <w:color w:val="auto"/>
                <w:sz w:val="21"/>
                <w:szCs w:val="22"/>
                <w:vertAlign w:val="superscript"/>
                <w:lang w:val="en-US" w:eastAsia="zh-CN"/>
              </w:rPr>
              <w:t>3</w:t>
            </w:r>
          </w:p>
        </w:tc>
        <w:tc>
          <w:tcPr>
            <w:tcW w:w="1133" w:type="dxa"/>
            <w:vAlign w:val="center"/>
          </w:tcPr>
          <w:p w14:paraId="571031D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4</w:t>
            </w:r>
          </w:p>
        </w:tc>
      </w:tr>
      <w:tr w14:paraId="679C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A198FA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74924C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11FB617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p>
        </w:tc>
        <w:tc>
          <w:tcPr>
            <w:tcW w:w="1875" w:type="dxa"/>
            <w:vAlign w:val="center"/>
          </w:tcPr>
          <w:p w14:paraId="319C354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1小时平均</w:t>
            </w:r>
          </w:p>
        </w:tc>
        <w:tc>
          <w:tcPr>
            <w:tcW w:w="960" w:type="dxa"/>
            <w:vMerge w:val="continue"/>
            <w:vAlign w:val="center"/>
          </w:tcPr>
          <w:p w14:paraId="014D340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085FBF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10</w:t>
            </w:r>
          </w:p>
        </w:tc>
      </w:tr>
      <w:tr w14:paraId="3FF3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93B979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25FC77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restart"/>
            <w:vAlign w:val="center"/>
          </w:tcPr>
          <w:p w14:paraId="79665C2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TSP</w:t>
            </w:r>
          </w:p>
        </w:tc>
        <w:tc>
          <w:tcPr>
            <w:tcW w:w="1875" w:type="dxa"/>
            <w:vAlign w:val="center"/>
          </w:tcPr>
          <w:p w14:paraId="7D3457A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r>
              <w:rPr>
                <w:rFonts w:hint="eastAsia" w:cs="Times New Roman"/>
                <w:color w:val="auto"/>
                <w:sz w:val="21"/>
                <w:szCs w:val="22"/>
                <w:vertAlign w:val="baseline"/>
                <w:lang w:val="en-US" w:eastAsia="zh-CN" w:bidi="ar-SA"/>
              </w:rPr>
              <w:t>年平均</w:t>
            </w:r>
          </w:p>
        </w:tc>
        <w:tc>
          <w:tcPr>
            <w:tcW w:w="960" w:type="dxa"/>
            <w:vMerge w:val="restart"/>
            <w:vAlign w:val="center"/>
          </w:tcPr>
          <w:p w14:paraId="6CF2E73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default" w:ascii="Times New Roman" w:hAnsi="Times New Roman" w:cs="Times New Roman"/>
                <w:color w:val="auto"/>
                <w:sz w:val="21"/>
                <w:szCs w:val="22"/>
                <w:vertAlign w:val="baseline"/>
                <w:lang w:val="en-US" w:eastAsia="zh-CN"/>
              </w:rPr>
              <w:t>μg</w:t>
            </w:r>
            <w:r>
              <w:rPr>
                <w:rFonts w:hint="eastAsia"/>
                <w:color w:val="auto"/>
                <w:sz w:val="21"/>
                <w:szCs w:val="22"/>
                <w:vertAlign w:val="baseline"/>
                <w:lang w:val="en-US" w:eastAsia="zh-CN"/>
              </w:rPr>
              <w:t>/m</w:t>
            </w:r>
            <w:r>
              <w:rPr>
                <w:rFonts w:hint="eastAsia"/>
                <w:color w:val="auto"/>
                <w:sz w:val="21"/>
                <w:szCs w:val="22"/>
                <w:vertAlign w:val="superscript"/>
                <w:lang w:val="en-US" w:eastAsia="zh-CN"/>
              </w:rPr>
              <w:t>3</w:t>
            </w:r>
          </w:p>
        </w:tc>
        <w:tc>
          <w:tcPr>
            <w:tcW w:w="1133" w:type="dxa"/>
            <w:vAlign w:val="center"/>
          </w:tcPr>
          <w:p w14:paraId="54F0F89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200</w:t>
            </w:r>
          </w:p>
        </w:tc>
      </w:tr>
      <w:tr w14:paraId="609A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887F1C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758468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62F06E2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p>
        </w:tc>
        <w:tc>
          <w:tcPr>
            <w:tcW w:w="1875" w:type="dxa"/>
            <w:vAlign w:val="center"/>
          </w:tcPr>
          <w:p w14:paraId="7EF658C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eastAsia"/>
                <w:color w:val="auto"/>
                <w:sz w:val="21"/>
                <w:szCs w:val="22"/>
                <w:vertAlign w:val="baseline"/>
                <w:lang w:val="en-US" w:eastAsia="zh-CN"/>
              </w:rPr>
              <w:t>24小时平均</w:t>
            </w:r>
          </w:p>
        </w:tc>
        <w:tc>
          <w:tcPr>
            <w:tcW w:w="960" w:type="dxa"/>
            <w:vMerge w:val="continue"/>
            <w:vAlign w:val="center"/>
          </w:tcPr>
          <w:p w14:paraId="781341F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D800C0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300</w:t>
            </w:r>
          </w:p>
        </w:tc>
      </w:tr>
      <w:tr w14:paraId="6293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8C4079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2593A6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restart"/>
            <w:vAlign w:val="center"/>
          </w:tcPr>
          <w:p w14:paraId="7AEA3A7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NO</w:t>
            </w:r>
            <w:r>
              <w:rPr>
                <w:rFonts w:hint="eastAsia"/>
                <w:color w:val="auto"/>
                <w:sz w:val="21"/>
                <w:szCs w:val="22"/>
                <w:vertAlign w:val="subscript"/>
                <w:lang w:val="en-US" w:eastAsia="zh-CN"/>
              </w:rPr>
              <w:t>x</w:t>
            </w:r>
          </w:p>
        </w:tc>
        <w:tc>
          <w:tcPr>
            <w:tcW w:w="1875" w:type="dxa"/>
            <w:vAlign w:val="center"/>
          </w:tcPr>
          <w:p w14:paraId="7EE2E1E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r>
              <w:rPr>
                <w:rFonts w:hint="eastAsia" w:cs="Times New Roman"/>
                <w:color w:val="auto"/>
                <w:sz w:val="21"/>
                <w:szCs w:val="22"/>
                <w:vertAlign w:val="baseline"/>
                <w:lang w:val="en-US" w:eastAsia="zh-CN" w:bidi="ar-SA"/>
              </w:rPr>
              <w:t>年平均</w:t>
            </w:r>
          </w:p>
        </w:tc>
        <w:tc>
          <w:tcPr>
            <w:tcW w:w="960" w:type="dxa"/>
            <w:vMerge w:val="continue"/>
            <w:vAlign w:val="center"/>
          </w:tcPr>
          <w:p w14:paraId="3CB3AA2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CF455B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50</w:t>
            </w:r>
          </w:p>
        </w:tc>
      </w:tr>
      <w:tr w14:paraId="615A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29DD64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A1FF54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323C48B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p>
        </w:tc>
        <w:tc>
          <w:tcPr>
            <w:tcW w:w="1875" w:type="dxa"/>
            <w:vAlign w:val="center"/>
          </w:tcPr>
          <w:p w14:paraId="374BEAB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24小时平均</w:t>
            </w:r>
          </w:p>
        </w:tc>
        <w:tc>
          <w:tcPr>
            <w:tcW w:w="960" w:type="dxa"/>
            <w:vMerge w:val="continue"/>
            <w:vAlign w:val="center"/>
          </w:tcPr>
          <w:p w14:paraId="29DE7D1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3A82EC9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100</w:t>
            </w:r>
          </w:p>
        </w:tc>
      </w:tr>
      <w:tr w14:paraId="7258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5C6D69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2C3EE29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46C013B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p>
        </w:tc>
        <w:tc>
          <w:tcPr>
            <w:tcW w:w="1875" w:type="dxa"/>
            <w:vAlign w:val="center"/>
          </w:tcPr>
          <w:p w14:paraId="4445A39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1小时平均</w:t>
            </w:r>
          </w:p>
        </w:tc>
        <w:tc>
          <w:tcPr>
            <w:tcW w:w="960" w:type="dxa"/>
            <w:vMerge w:val="continue"/>
            <w:vAlign w:val="center"/>
          </w:tcPr>
          <w:p w14:paraId="7C7BFB4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28233D2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250</w:t>
            </w:r>
          </w:p>
        </w:tc>
      </w:tr>
      <w:tr w14:paraId="72BB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B9D5B5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DBECFD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restart"/>
            <w:vAlign w:val="center"/>
          </w:tcPr>
          <w:p w14:paraId="2A3D52F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O</w:t>
            </w:r>
            <w:r>
              <w:rPr>
                <w:rFonts w:hint="eastAsia"/>
                <w:color w:val="auto"/>
                <w:sz w:val="21"/>
                <w:szCs w:val="22"/>
                <w:vertAlign w:val="subscript"/>
                <w:lang w:val="en-US" w:eastAsia="zh-CN"/>
              </w:rPr>
              <w:t>3</w:t>
            </w:r>
          </w:p>
        </w:tc>
        <w:tc>
          <w:tcPr>
            <w:tcW w:w="1875" w:type="dxa"/>
            <w:vAlign w:val="center"/>
          </w:tcPr>
          <w:p w14:paraId="17B6815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日最大8小时平均</w:t>
            </w:r>
          </w:p>
        </w:tc>
        <w:tc>
          <w:tcPr>
            <w:tcW w:w="960" w:type="dxa"/>
            <w:vMerge w:val="restart"/>
            <w:vAlign w:val="center"/>
          </w:tcPr>
          <w:p w14:paraId="43AA105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mg/m</w:t>
            </w:r>
            <w:r>
              <w:rPr>
                <w:rFonts w:hint="eastAsia"/>
                <w:color w:val="auto"/>
                <w:sz w:val="21"/>
                <w:szCs w:val="22"/>
                <w:vertAlign w:val="superscript"/>
                <w:lang w:val="en-US" w:eastAsia="zh-CN"/>
              </w:rPr>
              <w:t>3</w:t>
            </w:r>
          </w:p>
        </w:tc>
        <w:tc>
          <w:tcPr>
            <w:tcW w:w="1133" w:type="dxa"/>
            <w:vAlign w:val="center"/>
          </w:tcPr>
          <w:p w14:paraId="5B8915F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10</w:t>
            </w:r>
          </w:p>
        </w:tc>
      </w:tr>
      <w:tr w14:paraId="274F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224DFE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AF5D57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2F963E7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p>
        </w:tc>
        <w:tc>
          <w:tcPr>
            <w:tcW w:w="1875" w:type="dxa"/>
            <w:vAlign w:val="center"/>
          </w:tcPr>
          <w:p w14:paraId="4609384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eastAsia"/>
                <w:color w:val="auto"/>
                <w:sz w:val="21"/>
                <w:szCs w:val="22"/>
                <w:vertAlign w:val="baseline"/>
                <w:lang w:val="en-US" w:eastAsia="zh-CN"/>
              </w:rPr>
              <w:t>1小时平均</w:t>
            </w:r>
          </w:p>
        </w:tc>
        <w:tc>
          <w:tcPr>
            <w:tcW w:w="960" w:type="dxa"/>
            <w:vMerge w:val="continue"/>
            <w:vAlign w:val="center"/>
          </w:tcPr>
          <w:p w14:paraId="2A6750E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294984F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olor w:val="auto"/>
                <w:sz w:val="21"/>
                <w:szCs w:val="22"/>
                <w:vertAlign w:val="baseline"/>
                <w:lang w:val="en-US" w:eastAsia="zh-CN"/>
              </w:rPr>
              <w:t>100</w:t>
            </w:r>
          </w:p>
        </w:tc>
      </w:tr>
      <w:tr w14:paraId="6BC0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534B8B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Align w:val="center"/>
          </w:tcPr>
          <w:p w14:paraId="7A7EDA2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eastAsia="zh-CN"/>
              </w:rPr>
              <w:t>《</w:t>
            </w:r>
            <w:r>
              <w:rPr>
                <w:rFonts w:hint="eastAsia"/>
                <w:color w:val="auto"/>
                <w:sz w:val="21"/>
                <w:szCs w:val="22"/>
                <w:vertAlign w:val="baseline"/>
                <w:lang w:val="en-US" w:eastAsia="zh-CN"/>
              </w:rPr>
              <w:t>大气污染物综合排放标准详解</w:t>
            </w:r>
            <w:r>
              <w:rPr>
                <w:rFonts w:hint="eastAsia"/>
                <w:color w:val="auto"/>
                <w:sz w:val="21"/>
                <w:szCs w:val="22"/>
                <w:vertAlign w:val="baseline"/>
                <w:lang w:eastAsia="zh-CN"/>
              </w:rPr>
              <w:t>》</w:t>
            </w:r>
            <w:r>
              <w:rPr>
                <w:rFonts w:hint="eastAsia"/>
                <w:color w:val="auto"/>
                <w:sz w:val="21"/>
                <w:szCs w:val="22"/>
                <w:vertAlign w:val="baseline"/>
                <w:lang w:val="en-US" w:eastAsia="zh-CN"/>
              </w:rPr>
              <w:t>中规定限值</w:t>
            </w:r>
          </w:p>
        </w:tc>
        <w:tc>
          <w:tcPr>
            <w:tcW w:w="1694" w:type="dxa"/>
            <w:vAlign w:val="center"/>
          </w:tcPr>
          <w:p w14:paraId="24E96A1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非甲烷总烃</w:t>
            </w:r>
          </w:p>
        </w:tc>
        <w:tc>
          <w:tcPr>
            <w:tcW w:w="1875" w:type="dxa"/>
            <w:vAlign w:val="center"/>
          </w:tcPr>
          <w:p w14:paraId="421EDA2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1小时平均</w:t>
            </w:r>
          </w:p>
        </w:tc>
        <w:tc>
          <w:tcPr>
            <w:tcW w:w="960" w:type="dxa"/>
            <w:vAlign w:val="center"/>
          </w:tcPr>
          <w:p w14:paraId="3613908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eastAsia"/>
                <w:color w:val="auto"/>
                <w:sz w:val="21"/>
                <w:szCs w:val="22"/>
                <w:vertAlign w:val="baseline"/>
                <w:lang w:val="en-US" w:eastAsia="zh-CN"/>
              </w:rPr>
              <w:t>mg/m</w:t>
            </w:r>
            <w:r>
              <w:rPr>
                <w:rFonts w:hint="eastAsia"/>
                <w:color w:val="auto"/>
                <w:sz w:val="21"/>
                <w:szCs w:val="22"/>
                <w:vertAlign w:val="superscript"/>
                <w:lang w:val="en-US" w:eastAsia="zh-CN"/>
              </w:rPr>
              <w:t>3</w:t>
            </w:r>
          </w:p>
        </w:tc>
        <w:tc>
          <w:tcPr>
            <w:tcW w:w="1133" w:type="dxa"/>
            <w:vAlign w:val="center"/>
          </w:tcPr>
          <w:p w14:paraId="053F0B7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2</w:t>
            </w:r>
          </w:p>
        </w:tc>
      </w:tr>
      <w:tr w14:paraId="0138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FBE9CC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Align w:val="center"/>
          </w:tcPr>
          <w:p w14:paraId="24E18FA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eastAsia="zh-CN"/>
              </w:rPr>
              <w:t>《</w:t>
            </w:r>
            <w:r>
              <w:rPr>
                <w:rFonts w:hint="eastAsia"/>
                <w:color w:val="auto"/>
                <w:sz w:val="21"/>
                <w:szCs w:val="22"/>
                <w:vertAlign w:val="baseline"/>
                <w:lang w:val="en-US" w:eastAsia="zh-CN"/>
              </w:rPr>
              <w:t>环境影响评价技术导则 大气环境</w:t>
            </w:r>
            <w:r>
              <w:rPr>
                <w:rFonts w:hint="eastAsia"/>
                <w:color w:val="auto"/>
                <w:sz w:val="21"/>
                <w:szCs w:val="22"/>
                <w:vertAlign w:val="baseline"/>
                <w:lang w:eastAsia="zh-CN"/>
              </w:rPr>
              <w:t>》（</w:t>
            </w:r>
            <w:r>
              <w:rPr>
                <w:rFonts w:hint="eastAsia"/>
                <w:color w:val="auto"/>
                <w:sz w:val="21"/>
                <w:szCs w:val="22"/>
                <w:vertAlign w:val="baseline"/>
                <w:lang w:val="en-US" w:eastAsia="zh-CN"/>
              </w:rPr>
              <w:t>HJ2.2-2018</w:t>
            </w:r>
            <w:r>
              <w:rPr>
                <w:rFonts w:hint="eastAsia"/>
                <w:color w:val="auto"/>
                <w:sz w:val="21"/>
                <w:szCs w:val="22"/>
                <w:vertAlign w:val="baseline"/>
                <w:lang w:eastAsia="zh-CN"/>
              </w:rPr>
              <w:t>）</w:t>
            </w:r>
            <w:r>
              <w:rPr>
                <w:rFonts w:hint="eastAsia"/>
                <w:color w:val="auto"/>
                <w:sz w:val="21"/>
                <w:szCs w:val="22"/>
                <w:vertAlign w:val="baseline"/>
                <w:lang w:val="en-US" w:eastAsia="zh-CN"/>
              </w:rPr>
              <w:t>附录D</w:t>
            </w:r>
          </w:p>
        </w:tc>
        <w:tc>
          <w:tcPr>
            <w:tcW w:w="1694" w:type="dxa"/>
            <w:vAlign w:val="center"/>
          </w:tcPr>
          <w:p w14:paraId="587E007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硫化氢</w:t>
            </w:r>
          </w:p>
        </w:tc>
        <w:tc>
          <w:tcPr>
            <w:tcW w:w="1875" w:type="dxa"/>
            <w:vAlign w:val="center"/>
          </w:tcPr>
          <w:p w14:paraId="6C55EC8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eastAsia"/>
                <w:color w:val="auto"/>
                <w:sz w:val="21"/>
                <w:szCs w:val="22"/>
                <w:vertAlign w:val="baseline"/>
                <w:lang w:val="en-US" w:eastAsia="zh-CN"/>
              </w:rPr>
              <w:t>1小时平均</w:t>
            </w:r>
          </w:p>
        </w:tc>
        <w:tc>
          <w:tcPr>
            <w:tcW w:w="960" w:type="dxa"/>
            <w:vAlign w:val="center"/>
          </w:tcPr>
          <w:p w14:paraId="3369DDB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default" w:ascii="Times New Roman" w:hAnsi="Times New Roman" w:cs="Times New Roman"/>
                <w:color w:val="auto"/>
                <w:sz w:val="21"/>
                <w:szCs w:val="22"/>
                <w:vertAlign w:val="baseline"/>
                <w:lang w:val="en-US" w:eastAsia="zh-CN"/>
              </w:rPr>
              <w:t>μg</w:t>
            </w:r>
            <w:r>
              <w:rPr>
                <w:rFonts w:hint="eastAsia"/>
                <w:color w:val="auto"/>
                <w:sz w:val="21"/>
                <w:szCs w:val="22"/>
                <w:vertAlign w:val="baseline"/>
                <w:lang w:val="en-US" w:eastAsia="zh-CN"/>
              </w:rPr>
              <w:t>/m</w:t>
            </w:r>
            <w:r>
              <w:rPr>
                <w:rFonts w:hint="eastAsia"/>
                <w:color w:val="auto"/>
                <w:sz w:val="21"/>
                <w:szCs w:val="22"/>
                <w:vertAlign w:val="superscript"/>
                <w:lang w:val="en-US" w:eastAsia="zh-CN"/>
              </w:rPr>
              <w:t>3</w:t>
            </w:r>
          </w:p>
        </w:tc>
        <w:tc>
          <w:tcPr>
            <w:tcW w:w="1133" w:type="dxa"/>
            <w:vAlign w:val="center"/>
          </w:tcPr>
          <w:p w14:paraId="286B6D8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10</w:t>
            </w:r>
          </w:p>
        </w:tc>
      </w:tr>
      <w:tr w14:paraId="1B9B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restart"/>
            <w:vAlign w:val="center"/>
          </w:tcPr>
          <w:p w14:paraId="5A741E2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地下水</w:t>
            </w:r>
          </w:p>
        </w:tc>
        <w:tc>
          <w:tcPr>
            <w:tcW w:w="2130" w:type="dxa"/>
            <w:vMerge w:val="restart"/>
            <w:vAlign w:val="center"/>
          </w:tcPr>
          <w:p w14:paraId="01E19E0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eastAsia="zh-CN"/>
              </w:rPr>
              <w:t>《</w:t>
            </w:r>
            <w:r>
              <w:rPr>
                <w:rFonts w:hint="eastAsia"/>
                <w:color w:val="auto"/>
                <w:sz w:val="21"/>
                <w:szCs w:val="22"/>
                <w:vertAlign w:val="baseline"/>
                <w:lang w:val="en-US" w:eastAsia="zh-CN"/>
              </w:rPr>
              <w:t>地下水质量标准</w:t>
            </w:r>
            <w:r>
              <w:rPr>
                <w:rFonts w:hint="eastAsia"/>
                <w:color w:val="auto"/>
                <w:sz w:val="21"/>
                <w:szCs w:val="22"/>
                <w:vertAlign w:val="baseline"/>
                <w:lang w:eastAsia="zh-CN"/>
              </w:rPr>
              <w:t>》（</w:t>
            </w:r>
            <w:r>
              <w:rPr>
                <w:rFonts w:hint="eastAsia"/>
                <w:color w:val="auto"/>
                <w:sz w:val="21"/>
                <w:szCs w:val="22"/>
                <w:vertAlign w:val="baseline"/>
                <w:lang w:val="en-US" w:eastAsia="zh-CN"/>
              </w:rPr>
              <w:t>GB/T14848-2017</w:t>
            </w:r>
            <w:r>
              <w:rPr>
                <w:rFonts w:hint="eastAsia"/>
                <w:color w:val="auto"/>
                <w:sz w:val="21"/>
                <w:szCs w:val="22"/>
                <w:vertAlign w:val="baseline"/>
                <w:lang w:eastAsia="zh-CN"/>
              </w:rPr>
              <w:t>）</w:t>
            </w:r>
            <w:r>
              <w:rPr>
                <w:rFonts w:hint="eastAsia"/>
                <w:color w:val="auto"/>
                <w:sz w:val="21"/>
                <w:szCs w:val="22"/>
                <w:vertAlign w:val="baseline"/>
                <w:lang w:val="en-US" w:eastAsia="zh-CN"/>
              </w:rPr>
              <w:t>III类标准</w:t>
            </w:r>
          </w:p>
        </w:tc>
        <w:tc>
          <w:tcPr>
            <w:tcW w:w="1694" w:type="dxa"/>
            <w:vAlign w:val="center"/>
          </w:tcPr>
          <w:p w14:paraId="52F86DB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pH</w:t>
            </w:r>
          </w:p>
        </w:tc>
        <w:tc>
          <w:tcPr>
            <w:tcW w:w="2835" w:type="dxa"/>
            <w:gridSpan w:val="2"/>
            <w:vAlign w:val="center"/>
          </w:tcPr>
          <w:p w14:paraId="4968279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无量纲</w:t>
            </w:r>
          </w:p>
        </w:tc>
        <w:tc>
          <w:tcPr>
            <w:tcW w:w="1133" w:type="dxa"/>
            <w:vAlign w:val="center"/>
          </w:tcPr>
          <w:p w14:paraId="5DB655F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6.5~8.5</w:t>
            </w:r>
          </w:p>
        </w:tc>
      </w:tr>
      <w:tr w14:paraId="3EFE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2FE964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3C2D05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CCE0BA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钾</w:t>
            </w:r>
          </w:p>
        </w:tc>
        <w:tc>
          <w:tcPr>
            <w:tcW w:w="2835" w:type="dxa"/>
            <w:gridSpan w:val="2"/>
            <w:vMerge w:val="restart"/>
            <w:vAlign w:val="center"/>
          </w:tcPr>
          <w:p w14:paraId="664A123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mg/L</w:t>
            </w:r>
          </w:p>
        </w:tc>
        <w:tc>
          <w:tcPr>
            <w:tcW w:w="1133" w:type="dxa"/>
            <w:vAlign w:val="center"/>
          </w:tcPr>
          <w:p w14:paraId="2AA3664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w:t>
            </w:r>
          </w:p>
        </w:tc>
      </w:tr>
      <w:tr w14:paraId="00D2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D42E26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2F95482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6A6422E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钠</w:t>
            </w:r>
          </w:p>
        </w:tc>
        <w:tc>
          <w:tcPr>
            <w:tcW w:w="2835" w:type="dxa"/>
            <w:gridSpan w:val="2"/>
            <w:vMerge w:val="continue"/>
            <w:vAlign w:val="center"/>
          </w:tcPr>
          <w:p w14:paraId="7857EA6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F4F3DF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200</w:t>
            </w:r>
          </w:p>
        </w:tc>
      </w:tr>
      <w:tr w14:paraId="2442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F959E4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360E0A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73C521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钙</w:t>
            </w:r>
          </w:p>
        </w:tc>
        <w:tc>
          <w:tcPr>
            <w:tcW w:w="2835" w:type="dxa"/>
            <w:gridSpan w:val="2"/>
            <w:vMerge w:val="continue"/>
            <w:vAlign w:val="center"/>
          </w:tcPr>
          <w:p w14:paraId="0FAC5D2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EBBD03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w:t>
            </w:r>
          </w:p>
        </w:tc>
      </w:tr>
      <w:tr w14:paraId="7851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155285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BE7CF4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50EF43C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镁</w:t>
            </w:r>
          </w:p>
        </w:tc>
        <w:tc>
          <w:tcPr>
            <w:tcW w:w="2835" w:type="dxa"/>
            <w:gridSpan w:val="2"/>
            <w:vMerge w:val="continue"/>
            <w:vAlign w:val="center"/>
          </w:tcPr>
          <w:p w14:paraId="011AE05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F42C77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w:t>
            </w:r>
          </w:p>
        </w:tc>
      </w:tr>
      <w:tr w14:paraId="161F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AAB3E8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2C39D7E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EBA207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碳酸根</w:t>
            </w:r>
          </w:p>
        </w:tc>
        <w:tc>
          <w:tcPr>
            <w:tcW w:w="2835" w:type="dxa"/>
            <w:gridSpan w:val="2"/>
            <w:vMerge w:val="continue"/>
            <w:vAlign w:val="center"/>
          </w:tcPr>
          <w:p w14:paraId="0DEB878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8EB896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w:t>
            </w:r>
          </w:p>
        </w:tc>
      </w:tr>
      <w:tr w14:paraId="4A71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54870F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4382D4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65A1153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碳酸氢根</w:t>
            </w:r>
          </w:p>
        </w:tc>
        <w:tc>
          <w:tcPr>
            <w:tcW w:w="2835" w:type="dxa"/>
            <w:gridSpan w:val="2"/>
            <w:vMerge w:val="continue"/>
            <w:vAlign w:val="center"/>
          </w:tcPr>
          <w:p w14:paraId="1E16915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4235E1E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w:t>
            </w:r>
          </w:p>
        </w:tc>
      </w:tr>
      <w:tr w14:paraId="21A9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35FE36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98083B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60B71AD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氯化物</w:t>
            </w:r>
          </w:p>
        </w:tc>
        <w:tc>
          <w:tcPr>
            <w:tcW w:w="2835" w:type="dxa"/>
            <w:gridSpan w:val="2"/>
            <w:vMerge w:val="continue"/>
            <w:vAlign w:val="center"/>
          </w:tcPr>
          <w:p w14:paraId="484E501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EEFF67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250</w:t>
            </w:r>
          </w:p>
        </w:tc>
      </w:tr>
      <w:tr w14:paraId="4584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DFDBA0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7E7E7CD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7EEA94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硫酸盐</w:t>
            </w:r>
          </w:p>
        </w:tc>
        <w:tc>
          <w:tcPr>
            <w:tcW w:w="2835" w:type="dxa"/>
            <w:gridSpan w:val="2"/>
            <w:vMerge w:val="continue"/>
            <w:vAlign w:val="center"/>
          </w:tcPr>
          <w:p w14:paraId="2F5C8B7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4A04F6A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250</w:t>
            </w:r>
          </w:p>
        </w:tc>
      </w:tr>
      <w:tr w14:paraId="17BE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78BCE4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B613CE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58A6478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氨氮</w:t>
            </w:r>
          </w:p>
        </w:tc>
        <w:tc>
          <w:tcPr>
            <w:tcW w:w="2835" w:type="dxa"/>
            <w:gridSpan w:val="2"/>
            <w:vMerge w:val="continue"/>
            <w:vAlign w:val="center"/>
          </w:tcPr>
          <w:p w14:paraId="740A477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40B90CE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0.50</w:t>
            </w:r>
          </w:p>
        </w:tc>
      </w:tr>
      <w:tr w14:paraId="7A9E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2EAB97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8B1191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48AA473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硝酸盐氮</w:t>
            </w:r>
          </w:p>
        </w:tc>
        <w:tc>
          <w:tcPr>
            <w:tcW w:w="2835" w:type="dxa"/>
            <w:gridSpan w:val="2"/>
            <w:vMerge w:val="continue"/>
            <w:vAlign w:val="center"/>
          </w:tcPr>
          <w:p w14:paraId="0C4C561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33997A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20.0</w:t>
            </w:r>
          </w:p>
        </w:tc>
      </w:tr>
      <w:tr w14:paraId="1DED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365454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26F131E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5B5B6CD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亚硝酸盐氮</w:t>
            </w:r>
          </w:p>
        </w:tc>
        <w:tc>
          <w:tcPr>
            <w:tcW w:w="2835" w:type="dxa"/>
            <w:gridSpan w:val="2"/>
            <w:vMerge w:val="continue"/>
            <w:vAlign w:val="center"/>
          </w:tcPr>
          <w:p w14:paraId="3963210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3F7AA81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1.00</w:t>
            </w:r>
          </w:p>
        </w:tc>
      </w:tr>
      <w:tr w14:paraId="0DE7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BC65A8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FAB66C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2944AF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挥发酚</w:t>
            </w:r>
          </w:p>
        </w:tc>
        <w:tc>
          <w:tcPr>
            <w:tcW w:w="2835" w:type="dxa"/>
            <w:gridSpan w:val="2"/>
            <w:vMerge w:val="continue"/>
            <w:vAlign w:val="center"/>
          </w:tcPr>
          <w:p w14:paraId="46B39B9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342EE48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0.002</w:t>
            </w:r>
          </w:p>
        </w:tc>
      </w:tr>
      <w:tr w14:paraId="3197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EB2289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EEB0D1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DC1E32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氰化物</w:t>
            </w:r>
          </w:p>
        </w:tc>
        <w:tc>
          <w:tcPr>
            <w:tcW w:w="2835" w:type="dxa"/>
            <w:gridSpan w:val="2"/>
            <w:vMerge w:val="continue"/>
            <w:vAlign w:val="center"/>
          </w:tcPr>
          <w:p w14:paraId="3F9BE7D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475A5F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0.05</w:t>
            </w:r>
          </w:p>
        </w:tc>
      </w:tr>
      <w:tr w14:paraId="2BBF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096E53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7AC0B4F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F317C4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砷</w:t>
            </w:r>
          </w:p>
        </w:tc>
        <w:tc>
          <w:tcPr>
            <w:tcW w:w="2835" w:type="dxa"/>
            <w:gridSpan w:val="2"/>
            <w:vMerge w:val="continue"/>
            <w:vAlign w:val="center"/>
          </w:tcPr>
          <w:p w14:paraId="766B36E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D5C373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0.01</w:t>
            </w:r>
          </w:p>
        </w:tc>
      </w:tr>
      <w:tr w14:paraId="7699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E840B9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2C8532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2ED925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汞</w:t>
            </w:r>
          </w:p>
        </w:tc>
        <w:tc>
          <w:tcPr>
            <w:tcW w:w="2835" w:type="dxa"/>
            <w:gridSpan w:val="2"/>
            <w:vMerge w:val="continue"/>
            <w:vAlign w:val="center"/>
          </w:tcPr>
          <w:p w14:paraId="392392B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259EA4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0.001</w:t>
            </w:r>
          </w:p>
        </w:tc>
      </w:tr>
      <w:tr w14:paraId="5C5D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D4046C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A089F5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6F88BA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六价铬</w:t>
            </w:r>
          </w:p>
        </w:tc>
        <w:tc>
          <w:tcPr>
            <w:tcW w:w="2835" w:type="dxa"/>
            <w:gridSpan w:val="2"/>
            <w:vMerge w:val="continue"/>
            <w:vAlign w:val="center"/>
          </w:tcPr>
          <w:p w14:paraId="35AD293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3BE2A9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0.05</w:t>
            </w:r>
          </w:p>
        </w:tc>
      </w:tr>
      <w:tr w14:paraId="182B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77CA91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2B133E4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2C8D7D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总硬度</w:t>
            </w:r>
          </w:p>
        </w:tc>
        <w:tc>
          <w:tcPr>
            <w:tcW w:w="2835" w:type="dxa"/>
            <w:gridSpan w:val="2"/>
            <w:vMerge w:val="continue"/>
            <w:vAlign w:val="center"/>
          </w:tcPr>
          <w:p w14:paraId="11DD003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1DC3583">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450</w:t>
            </w:r>
          </w:p>
        </w:tc>
      </w:tr>
      <w:tr w14:paraId="7D02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4E4574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336977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119C1A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铅</w:t>
            </w:r>
          </w:p>
        </w:tc>
        <w:tc>
          <w:tcPr>
            <w:tcW w:w="2835" w:type="dxa"/>
            <w:gridSpan w:val="2"/>
            <w:vMerge w:val="continue"/>
            <w:vAlign w:val="center"/>
          </w:tcPr>
          <w:p w14:paraId="4E44269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1505D63">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0.01</w:t>
            </w:r>
          </w:p>
        </w:tc>
      </w:tr>
      <w:tr w14:paraId="68DE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612FB1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325EB3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59324C6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氟化物</w:t>
            </w:r>
          </w:p>
        </w:tc>
        <w:tc>
          <w:tcPr>
            <w:tcW w:w="2835" w:type="dxa"/>
            <w:gridSpan w:val="2"/>
            <w:vMerge w:val="continue"/>
            <w:vAlign w:val="center"/>
          </w:tcPr>
          <w:p w14:paraId="0E8CC20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DA74F6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1.0</w:t>
            </w:r>
          </w:p>
        </w:tc>
      </w:tr>
      <w:tr w14:paraId="3CDF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5180A7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F891B1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62286DA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镉</w:t>
            </w:r>
          </w:p>
        </w:tc>
        <w:tc>
          <w:tcPr>
            <w:tcW w:w="2835" w:type="dxa"/>
            <w:gridSpan w:val="2"/>
            <w:vMerge w:val="continue"/>
            <w:vAlign w:val="center"/>
          </w:tcPr>
          <w:p w14:paraId="53D4391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2095413">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0.005</w:t>
            </w:r>
          </w:p>
        </w:tc>
      </w:tr>
      <w:tr w14:paraId="653C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219924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B9DD98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533ADF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铁</w:t>
            </w:r>
          </w:p>
        </w:tc>
        <w:tc>
          <w:tcPr>
            <w:tcW w:w="2835" w:type="dxa"/>
            <w:gridSpan w:val="2"/>
            <w:vMerge w:val="continue"/>
            <w:vAlign w:val="center"/>
          </w:tcPr>
          <w:p w14:paraId="0EB5538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2CB932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0.3</w:t>
            </w:r>
          </w:p>
        </w:tc>
      </w:tr>
      <w:tr w14:paraId="50F2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4D1DC9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8EAE3D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128521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锰</w:t>
            </w:r>
          </w:p>
        </w:tc>
        <w:tc>
          <w:tcPr>
            <w:tcW w:w="2835" w:type="dxa"/>
            <w:gridSpan w:val="2"/>
            <w:vMerge w:val="continue"/>
            <w:vAlign w:val="center"/>
          </w:tcPr>
          <w:p w14:paraId="534786C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9D3528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0.10</w:t>
            </w:r>
          </w:p>
        </w:tc>
      </w:tr>
      <w:tr w14:paraId="3389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63BB9C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9CF1B7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C7248F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溶解性总固体</w:t>
            </w:r>
          </w:p>
        </w:tc>
        <w:tc>
          <w:tcPr>
            <w:tcW w:w="2835" w:type="dxa"/>
            <w:gridSpan w:val="2"/>
            <w:vMerge w:val="continue"/>
            <w:vAlign w:val="center"/>
          </w:tcPr>
          <w:p w14:paraId="7C3D4E7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4CFA5E2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1000</w:t>
            </w:r>
          </w:p>
        </w:tc>
      </w:tr>
      <w:tr w14:paraId="6278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274B34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1923D5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4A3CC59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耗氧量</w:t>
            </w:r>
          </w:p>
        </w:tc>
        <w:tc>
          <w:tcPr>
            <w:tcW w:w="2835" w:type="dxa"/>
            <w:gridSpan w:val="2"/>
            <w:vMerge w:val="continue"/>
            <w:vAlign w:val="center"/>
          </w:tcPr>
          <w:p w14:paraId="4F7E39C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9E3346A">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3.0</w:t>
            </w:r>
          </w:p>
        </w:tc>
      </w:tr>
      <w:tr w14:paraId="7351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F0F8A5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05621A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D2EEDE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硫化物</w:t>
            </w:r>
          </w:p>
        </w:tc>
        <w:tc>
          <w:tcPr>
            <w:tcW w:w="2835" w:type="dxa"/>
            <w:gridSpan w:val="2"/>
            <w:vMerge w:val="continue"/>
            <w:vAlign w:val="center"/>
          </w:tcPr>
          <w:p w14:paraId="364909F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12DAF83">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0.2</w:t>
            </w:r>
          </w:p>
        </w:tc>
      </w:tr>
      <w:tr w14:paraId="7FBF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745259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0E3B66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D05087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色度</w:t>
            </w:r>
          </w:p>
        </w:tc>
        <w:tc>
          <w:tcPr>
            <w:tcW w:w="2835" w:type="dxa"/>
            <w:gridSpan w:val="2"/>
            <w:vAlign w:val="center"/>
          </w:tcPr>
          <w:p w14:paraId="064C6E2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度</w:t>
            </w:r>
          </w:p>
        </w:tc>
        <w:tc>
          <w:tcPr>
            <w:tcW w:w="1133" w:type="dxa"/>
            <w:vAlign w:val="center"/>
          </w:tcPr>
          <w:p w14:paraId="078B0AE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15</w:t>
            </w:r>
          </w:p>
        </w:tc>
      </w:tr>
      <w:tr w14:paraId="63CA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C1B03C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C4B0A2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58D573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浊度</w:t>
            </w:r>
          </w:p>
        </w:tc>
        <w:tc>
          <w:tcPr>
            <w:tcW w:w="2835" w:type="dxa"/>
            <w:gridSpan w:val="2"/>
            <w:vAlign w:val="center"/>
          </w:tcPr>
          <w:p w14:paraId="321A27C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NTU</w:t>
            </w:r>
          </w:p>
        </w:tc>
        <w:tc>
          <w:tcPr>
            <w:tcW w:w="1133" w:type="dxa"/>
            <w:vAlign w:val="center"/>
          </w:tcPr>
          <w:p w14:paraId="1345434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3</w:t>
            </w:r>
          </w:p>
        </w:tc>
      </w:tr>
      <w:tr w14:paraId="14B3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8DD3D3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56D1BE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E6E96E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肉眼可见物</w:t>
            </w:r>
          </w:p>
        </w:tc>
        <w:tc>
          <w:tcPr>
            <w:tcW w:w="2835" w:type="dxa"/>
            <w:gridSpan w:val="2"/>
            <w:vAlign w:val="center"/>
          </w:tcPr>
          <w:p w14:paraId="09DB247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无量纲</w:t>
            </w:r>
          </w:p>
        </w:tc>
        <w:tc>
          <w:tcPr>
            <w:tcW w:w="1133" w:type="dxa"/>
            <w:vAlign w:val="center"/>
          </w:tcPr>
          <w:p w14:paraId="46E2D2D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w:t>
            </w:r>
          </w:p>
        </w:tc>
      </w:tr>
      <w:tr w14:paraId="2527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AA576C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03F28D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2A2C6C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总大肠菌群</w:t>
            </w:r>
          </w:p>
        </w:tc>
        <w:tc>
          <w:tcPr>
            <w:tcW w:w="2835" w:type="dxa"/>
            <w:gridSpan w:val="2"/>
            <w:vAlign w:val="center"/>
          </w:tcPr>
          <w:p w14:paraId="04A9A7E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MPN/100mL</w:t>
            </w:r>
          </w:p>
        </w:tc>
        <w:tc>
          <w:tcPr>
            <w:tcW w:w="1133" w:type="dxa"/>
            <w:vAlign w:val="center"/>
          </w:tcPr>
          <w:p w14:paraId="29C414B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3.0</w:t>
            </w:r>
          </w:p>
        </w:tc>
      </w:tr>
      <w:tr w14:paraId="7EF1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3D03FF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7EBD321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6469C17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菌落总数</w:t>
            </w:r>
          </w:p>
        </w:tc>
        <w:tc>
          <w:tcPr>
            <w:tcW w:w="2835" w:type="dxa"/>
            <w:gridSpan w:val="2"/>
            <w:vAlign w:val="center"/>
          </w:tcPr>
          <w:p w14:paraId="09FD535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CFU/mL</w:t>
            </w:r>
          </w:p>
        </w:tc>
        <w:tc>
          <w:tcPr>
            <w:tcW w:w="1133" w:type="dxa"/>
            <w:vAlign w:val="center"/>
          </w:tcPr>
          <w:p w14:paraId="207D151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cs="Times New Roman"/>
                <w:color w:val="auto"/>
                <w:sz w:val="21"/>
                <w:szCs w:val="22"/>
                <w:vertAlign w:val="baseline"/>
                <w:lang w:val="en-US" w:eastAsia="zh-CN"/>
              </w:rPr>
              <w:t>100</w:t>
            </w:r>
          </w:p>
        </w:tc>
      </w:tr>
      <w:tr w14:paraId="559C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3CD83F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Align w:val="center"/>
          </w:tcPr>
          <w:p w14:paraId="5EB49FC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参照《地表水环境质量标准》（GB3838-2002）III类标准</w:t>
            </w:r>
          </w:p>
        </w:tc>
        <w:tc>
          <w:tcPr>
            <w:tcW w:w="1694" w:type="dxa"/>
            <w:vAlign w:val="center"/>
          </w:tcPr>
          <w:p w14:paraId="5D9E154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石油类</w:t>
            </w:r>
          </w:p>
        </w:tc>
        <w:tc>
          <w:tcPr>
            <w:tcW w:w="2835" w:type="dxa"/>
            <w:gridSpan w:val="2"/>
            <w:vAlign w:val="center"/>
          </w:tcPr>
          <w:p w14:paraId="3E96C0E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mg/L</w:t>
            </w:r>
          </w:p>
        </w:tc>
        <w:tc>
          <w:tcPr>
            <w:tcW w:w="1133" w:type="dxa"/>
            <w:vAlign w:val="center"/>
          </w:tcPr>
          <w:p w14:paraId="74AFE0A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color w:val="auto"/>
                <w:sz w:val="21"/>
                <w:szCs w:val="22"/>
                <w:vertAlign w:val="baseline"/>
                <w:lang w:val="en-US" w:eastAsia="zh-CN"/>
              </w:rPr>
              <w:t>0.05</w:t>
            </w:r>
          </w:p>
        </w:tc>
      </w:tr>
      <w:tr w14:paraId="2EF3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restart"/>
            <w:vAlign w:val="center"/>
          </w:tcPr>
          <w:p w14:paraId="23AEE28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声</w:t>
            </w:r>
          </w:p>
        </w:tc>
        <w:tc>
          <w:tcPr>
            <w:tcW w:w="2130" w:type="dxa"/>
            <w:vMerge w:val="restart"/>
            <w:vAlign w:val="center"/>
          </w:tcPr>
          <w:p w14:paraId="459CBBB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《声环境质量标准》（GB3096-2008）2类</w:t>
            </w:r>
          </w:p>
        </w:tc>
        <w:tc>
          <w:tcPr>
            <w:tcW w:w="1694" w:type="dxa"/>
            <w:vMerge w:val="restart"/>
            <w:vAlign w:val="center"/>
          </w:tcPr>
          <w:p w14:paraId="3F0BEAC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等效A声级</w:t>
            </w:r>
          </w:p>
        </w:tc>
        <w:tc>
          <w:tcPr>
            <w:tcW w:w="1875" w:type="dxa"/>
            <w:vMerge w:val="restart"/>
            <w:vAlign w:val="center"/>
          </w:tcPr>
          <w:p w14:paraId="14F44FF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dB(A)</w:t>
            </w:r>
          </w:p>
        </w:tc>
        <w:tc>
          <w:tcPr>
            <w:tcW w:w="960" w:type="dxa"/>
            <w:vAlign w:val="center"/>
          </w:tcPr>
          <w:p w14:paraId="7EE1FB3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昼间</w:t>
            </w:r>
          </w:p>
        </w:tc>
        <w:tc>
          <w:tcPr>
            <w:tcW w:w="1133" w:type="dxa"/>
            <w:vAlign w:val="center"/>
          </w:tcPr>
          <w:p w14:paraId="4445EFD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60</w:t>
            </w:r>
          </w:p>
        </w:tc>
      </w:tr>
      <w:tr w14:paraId="2789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BC91D3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323308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Merge w:val="continue"/>
            <w:vAlign w:val="center"/>
          </w:tcPr>
          <w:p w14:paraId="4363BCE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2"/>
                <w:vertAlign w:val="baseline"/>
                <w:lang w:val="en-US" w:eastAsia="zh-CN"/>
              </w:rPr>
            </w:pPr>
          </w:p>
        </w:tc>
        <w:tc>
          <w:tcPr>
            <w:tcW w:w="1875" w:type="dxa"/>
            <w:vMerge w:val="continue"/>
            <w:vAlign w:val="center"/>
          </w:tcPr>
          <w:p w14:paraId="67491BE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960" w:type="dxa"/>
            <w:vAlign w:val="center"/>
          </w:tcPr>
          <w:p w14:paraId="3F966AA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夜间</w:t>
            </w:r>
          </w:p>
        </w:tc>
        <w:tc>
          <w:tcPr>
            <w:tcW w:w="1133" w:type="dxa"/>
            <w:vAlign w:val="center"/>
          </w:tcPr>
          <w:p w14:paraId="79E52AC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default" w:ascii="Times New Roman" w:hAnsi="Times New Roman" w:cs="Times New Roman"/>
                <w:color w:val="auto"/>
                <w:sz w:val="21"/>
                <w:szCs w:val="22"/>
                <w:vertAlign w:val="baseline"/>
              </w:rPr>
              <w:t>≤</w:t>
            </w:r>
            <w:r>
              <w:rPr>
                <w:rFonts w:hint="eastAsia" w:ascii="Times New Roman" w:hAnsi="Times New Roman" w:cs="Times New Roman"/>
                <w:color w:val="auto"/>
                <w:sz w:val="21"/>
                <w:szCs w:val="22"/>
                <w:vertAlign w:val="baseline"/>
                <w:lang w:val="en-US" w:eastAsia="zh-CN"/>
              </w:rPr>
              <w:t>50</w:t>
            </w:r>
          </w:p>
        </w:tc>
      </w:tr>
      <w:tr w14:paraId="08E2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restart"/>
            <w:vAlign w:val="center"/>
          </w:tcPr>
          <w:p w14:paraId="3A48A0C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土壤</w:t>
            </w:r>
          </w:p>
        </w:tc>
        <w:tc>
          <w:tcPr>
            <w:tcW w:w="2130" w:type="dxa"/>
            <w:vMerge w:val="restart"/>
            <w:vAlign w:val="center"/>
          </w:tcPr>
          <w:p w14:paraId="7976234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default" w:ascii="Times New Roman" w:hAnsi="Times New Roman" w:eastAsia="宋体" w:cs="Times New Roman"/>
                <w:color w:val="auto"/>
                <w:sz w:val="21"/>
                <w:szCs w:val="21"/>
              </w:rPr>
              <w:t>《土壤环境质量</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建设用地土壤污染风险管控标准（试行）》（GB36600-2018）第二类用地筛选值</w:t>
            </w:r>
          </w:p>
        </w:tc>
        <w:tc>
          <w:tcPr>
            <w:tcW w:w="1694" w:type="dxa"/>
            <w:vAlign w:val="center"/>
          </w:tcPr>
          <w:p w14:paraId="522BBE4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砷</w:t>
            </w:r>
          </w:p>
        </w:tc>
        <w:tc>
          <w:tcPr>
            <w:tcW w:w="2835" w:type="dxa"/>
            <w:gridSpan w:val="2"/>
            <w:vMerge w:val="restart"/>
            <w:vAlign w:val="center"/>
          </w:tcPr>
          <w:p w14:paraId="7779782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eastAsia"/>
                <w:color w:val="auto"/>
                <w:sz w:val="21"/>
                <w:szCs w:val="22"/>
                <w:vertAlign w:val="baseline"/>
                <w:lang w:val="en-US" w:eastAsia="zh-CN"/>
              </w:rPr>
              <w:t>mg/kg</w:t>
            </w:r>
          </w:p>
        </w:tc>
        <w:tc>
          <w:tcPr>
            <w:tcW w:w="1133" w:type="dxa"/>
            <w:vAlign w:val="center"/>
          </w:tcPr>
          <w:p w14:paraId="6EE2E1F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60</w:t>
            </w:r>
          </w:p>
        </w:tc>
      </w:tr>
      <w:tr w14:paraId="0042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B1EDF4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3CFF73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F6925C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镉</w:t>
            </w:r>
          </w:p>
        </w:tc>
        <w:tc>
          <w:tcPr>
            <w:tcW w:w="2835" w:type="dxa"/>
            <w:gridSpan w:val="2"/>
            <w:vMerge w:val="continue"/>
            <w:vAlign w:val="center"/>
          </w:tcPr>
          <w:p w14:paraId="1C99FE6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3AF158D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65</w:t>
            </w:r>
          </w:p>
        </w:tc>
      </w:tr>
      <w:tr w14:paraId="40A0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2B9F5B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7CC9B9D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A2C636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铬（六价）</w:t>
            </w:r>
          </w:p>
        </w:tc>
        <w:tc>
          <w:tcPr>
            <w:tcW w:w="2835" w:type="dxa"/>
            <w:gridSpan w:val="2"/>
            <w:vMerge w:val="continue"/>
            <w:vAlign w:val="center"/>
          </w:tcPr>
          <w:p w14:paraId="38933B7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8FC4E9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5.7</w:t>
            </w:r>
          </w:p>
        </w:tc>
      </w:tr>
      <w:tr w14:paraId="724E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6BCD41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90E73C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DF8C17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铜</w:t>
            </w:r>
          </w:p>
        </w:tc>
        <w:tc>
          <w:tcPr>
            <w:tcW w:w="2835" w:type="dxa"/>
            <w:gridSpan w:val="2"/>
            <w:vMerge w:val="continue"/>
            <w:vAlign w:val="center"/>
          </w:tcPr>
          <w:p w14:paraId="42202F3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40F771D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18000</w:t>
            </w:r>
          </w:p>
        </w:tc>
      </w:tr>
      <w:tr w14:paraId="5445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DF0EC8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653FE5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A01B0A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铅</w:t>
            </w:r>
          </w:p>
        </w:tc>
        <w:tc>
          <w:tcPr>
            <w:tcW w:w="2835" w:type="dxa"/>
            <w:gridSpan w:val="2"/>
            <w:vMerge w:val="continue"/>
            <w:vAlign w:val="center"/>
          </w:tcPr>
          <w:p w14:paraId="67ACF67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D7F4A9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800</w:t>
            </w:r>
          </w:p>
        </w:tc>
      </w:tr>
      <w:tr w14:paraId="6062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5A2C89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DE216C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9DF44A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汞</w:t>
            </w:r>
          </w:p>
        </w:tc>
        <w:tc>
          <w:tcPr>
            <w:tcW w:w="2835" w:type="dxa"/>
            <w:gridSpan w:val="2"/>
            <w:vMerge w:val="continue"/>
            <w:vAlign w:val="center"/>
          </w:tcPr>
          <w:p w14:paraId="177E2F5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89A773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38</w:t>
            </w:r>
          </w:p>
        </w:tc>
      </w:tr>
      <w:tr w14:paraId="5327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958988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BAF2D3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59395A5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镍</w:t>
            </w:r>
          </w:p>
        </w:tc>
        <w:tc>
          <w:tcPr>
            <w:tcW w:w="2835" w:type="dxa"/>
            <w:gridSpan w:val="2"/>
            <w:vMerge w:val="continue"/>
            <w:vAlign w:val="center"/>
          </w:tcPr>
          <w:p w14:paraId="10E114B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A3C1DE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900</w:t>
            </w:r>
          </w:p>
        </w:tc>
      </w:tr>
      <w:tr w14:paraId="0F4C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7A707D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0C040B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97A6FF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四氯化碳</w:t>
            </w:r>
          </w:p>
        </w:tc>
        <w:tc>
          <w:tcPr>
            <w:tcW w:w="2835" w:type="dxa"/>
            <w:gridSpan w:val="2"/>
            <w:vMerge w:val="continue"/>
            <w:vAlign w:val="center"/>
          </w:tcPr>
          <w:p w14:paraId="248AABA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D9AB3D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2.8</w:t>
            </w:r>
          </w:p>
        </w:tc>
      </w:tr>
      <w:tr w14:paraId="5CB5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F6E598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AB584E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81EC18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氯仿</w:t>
            </w:r>
          </w:p>
        </w:tc>
        <w:tc>
          <w:tcPr>
            <w:tcW w:w="2835" w:type="dxa"/>
            <w:gridSpan w:val="2"/>
            <w:vMerge w:val="continue"/>
            <w:vAlign w:val="center"/>
          </w:tcPr>
          <w:p w14:paraId="164CE2D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EA7D4D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0.9</w:t>
            </w:r>
          </w:p>
        </w:tc>
      </w:tr>
      <w:tr w14:paraId="051E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7201DC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752244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FC3E68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氯甲烷</w:t>
            </w:r>
          </w:p>
        </w:tc>
        <w:tc>
          <w:tcPr>
            <w:tcW w:w="2835" w:type="dxa"/>
            <w:gridSpan w:val="2"/>
            <w:vMerge w:val="continue"/>
            <w:vAlign w:val="center"/>
          </w:tcPr>
          <w:p w14:paraId="5B7982F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C80CBE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37</w:t>
            </w:r>
          </w:p>
        </w:tc>
      </w:tr>
      <w:tr w14:paraId="5F91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5556D6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C2363B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E433D0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rPr>
              <w:t>1,1-二氯乙烷</w:t>
            </w:r>
          </w:p>
        </w:tc>
        <w:tc>
          <w:tcPr>
            <w:tcW w:w="2835" w:type="dxa"/>
            <w:gridSpan w:val="2"/>
            <w:vMerge w:val="continue"/>
            <w:vAlign w:val="center"/>
          </w:tcPr>
          <w:p w14:paraId="050F0FB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545A88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9</w:t>
            </w:r>
          </w:p>
        </w:tc>
      </w:tr>
      <w:tr w14:paraId="1EAF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02C4B9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96D03E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1126C4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w:t>
            </w:r>
          </w:p>
        </w:tc>
        <w:tc>
          <w:tcPr>
            <w:tcW w:w="2835" w:type="dxa"/>
            <w:gridSpan w:val="2"/>
            <w:vMerge w:val="continue"/>
            <w:vAlign w:val="center"/>
          </w:tcPr>
          <w:p w14:paraId="01DFE10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B8E122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5</w:t>
            </w:r>
          </w:p>
        </w:tc>
      </w:tr>
      <w:tr w14:paraId="5082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4773CE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A998DA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42C3D2D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1,1-二氯乙烯</w:t>
            </w:r>
          </w:p>
        </w:tc>
        <w:tc>
          <w:tcPr>
            <w:tcW w:w="2835" w:type="dxa"/>
            <w:gridSpan w:val="2"/>
            <w:vMerge w:val="continue"/>
            <w:vAlign w:val="center"/>
          </w:tcPr>
          <w:p w14:paraId="373B2C0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2361E13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66</w:t>
            </w:r>
          </w:p>
        </w:tc>
      </w:tr>
      <w:tr w14:paraId="1103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C7076C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031927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446CB6F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顺-1,2-二氯乙烯</w:t>
            </w:r>
          </w:p>
        </w:tc>
        <w:tc>
          <w:tcPr>
            <w:tcW w:w="2835" w:type="dxa"/>
            <w:gridSpan w:val="2"/>
            <w:vMerge w:val="continue"/>
            <w:vAlign w:val="center"/>
          </w:tcPr>
          <w:p w14:paraId="78B0768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402BAA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596</w:t>
            </w:r>
          </w:p>
        </w:tc>
      </w:tr>
      <w:tr w14:paraId="6261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07D778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06FA63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CF1968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反-1,2-二氯乙烯</w:t>
            </w:r>
          </w:p>
        </w:tc>
        <w:tc>
          <w:tcPr>
            <w:tcW w:w="2835" w:type="dxa"/>
            <w:gridSpan w:val="2"/>
            <w:vMerge w:val="continue"/>
            <w:vAlign w:val="center"/>
          </w:tcPr>
          <w:p w14:paraId="20D966F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1236F9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54</w:t>
            </w:r>
          </w:p>
        </w:tc>
      </w:tr>
      <w:tr w14:paraId="689F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1D0749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3C81B4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1F2DEF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2835" w:type="dxa"/>
            <w:gridSpan w:val="2"/>
            <w:vMerge w:val="continue"/>
            <w:vAlign w:val="center"/>
          </w:tcPr>
          <w:p w14:paraId="72CB101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F8C7BF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616</w:t>
            </w:r>
          </w:p>
        </w:tc>
      </w:tr>
      <w:tr w14:paraId="1131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3BCCFF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71A0BF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5848398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1,2-二氯丙烷</w:t>
            </w:r>
          </w:p>
        </w:tc>
        <w:tc>
          <w:tcPr>
            <w:tcW w:w="2835" w:type="dxa"/>
            <w:gridSpan w:val="2"/>
            <w:vMerge w:val="continue"/>
            <w:vAlign w:val="center"/>
          </w:tcPr>
          <w:p w14:paraId="4E5802A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8B9E64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5</w:t>
            </w:r>
          </w:p>
        </w:tc>
      </w:tr>
      <w:tr w14:paraId="5718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811C4E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3CA66B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8A1BE6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1,1,1,2-四氯乙烷</w:t>
            </w:r>
          </w:p>
        </w:tc>
        <w:tc>
          <w:tcPr>
            <w:tcW w:w="2835" w:type="dxa"/>
            <w:gridSpan w:val="2"/>
            <w:vMerge w:val="continue"/>
            <w:vAlign w:val="center"/>
          </w:tcPr>
          <w:p w14:paraId="01F0FC2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1C9875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10</w:t>
            </w:r>
          </w:p>
        </w:tc>
      </w:tr>
      <w:tr w14:paraId="65E4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EBB49D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4D88E1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DFBE72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1,1,2,2-四氯乙烷</w:t>
            </w:r>
          </w:p>
        </w:tc>
        <w:tc>
          <w:tcPr>
            <w:tcW w:w="2835" w:type="dxa"/>
            <w:gridSpan w:val="2"/>
            <w:vMerge w:val="continue"/>
            <w:vAlign w:val="center"/>
          </w:tcPr>
          <w:p w14:paraId="7174D4A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3E4871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6.8</w:t>
            </w:r>
          </w:p>
        </w:tc>
      </w:tr>
      <w:tr w14:paraId="4B92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146568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7FC650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4712CB3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2835" w:type="dxa"/>
            <w:gridSpan w:val="2"/>
            <w:vMerge w:val="continue"/>
            <w:vAlign w:val="center"/>
          </w:tcPr>
          <w:p w14:paraId="1402685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566240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53</w:t>
            </w:r>
          </w:p>
        </w:tc>
      </w:tr>
      <w:tr w14:paraId="0F46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AF09BF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01E137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51D523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1,1,1-三氯乙烷</w:t>
            </w:r>
          </w:p>
        </w:tc>
        <w:tc>
          <w:tcPr>
            <w:tcW w:w="2835" w:type="dxa"/>
            <w:gridSpan w:val="2"/>
            <w:vMerge w:val="continue"/>
            <w:vAlign w:val="center"/>
          </w:tcPr>
          <w:p w14:paraId="0B913E2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252D85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840</w:t>
            </w:r>
          </w:p>
        </w:tc>
      </w:tr>
      <w:tr w14:paraId="423D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857799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F0D1A4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7A5A0A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1,1,2-三氯乙烷</w:t>
            </w:r>
          </w:p>
        </w:tc>
        <w:tc>
          <w:tcPr>
            <w:tcW w:w="2835" w:type="dxa"/>
            <w:gridSpan w:val="2"/>
            <w:vMerge w:val="continue"/>
            <w:vAlign w:val="center"/>
          </w:tcPr>
          <w:p w14:paraId="0379613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2BA9861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2.8</w:t>
            </w:r>
          </w:p>
        </w:tc>
      </w:tr>
      <w:tr w14:paraId="7BEF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F61818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AC278B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4D0F85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2835" w:type="dxa"/>
            <w:gridSpan w:val="2"/>
            <w:vMerge w:val="continue"/>
            <w:vAlign w:val="center"/>
          </w:tcPr>
          <w:p w14:paraId="7B8530D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E31245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2.8</w:t>
            </w:r>
          </w:p>
        </w:tc>
      </w:tr>
      <w:tr w14:paraId="02F0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370579D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73AF157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EF9890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1,2,3-三氯丙烷</w:t>
            </w:r>
          </w:p>
        </w:tc>
        <w:tc>
          <w:tcPr>
            <w:tcW w:w="2835" w:type="dxa"/>
            <w:gridSpan w:val="2"/>
            <w:vMerge w:val="continue"/>
            <w:vAlign w:val="center"/>
          </w:tcPr>
          <w:p w14:paraId="7051CA8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0A6125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0.5</w:t>
            </w:r>
          </w:p>
        </w:tc>
      </w:tr>
      <w:tr w14:paraId="15CB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08C0EB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7DA8F8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4267720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2835" w:type="dxa"/>
            <w:gridSpan w:val="2"/>
            <w:vMerge w:val="continue"/>
            <w:vAlign w:val="center"/>
          </w:tcPr>
          <w:p w14:paraId="6AFCCF5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FE287D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0.43</w:t>
            </w:r>
          </w:p>
        </w:tc>
      </w:tr>
      <w:tr w14:paraId="612A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5573EB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EF9E43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0A3280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2835" w:type="dxa"/>
            <w:gridSpan w:val="2"/>
            <w:vMerge w:val="continue"/>
            <w:vAlign w:val="center"/>
          </w:tcPr>
          <w:p w14:paraId="10B46F8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B74B94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4</w:t>
            </w:r>
          </w:p>
        </w:tc>
      </w:tr>
      <w:tr w14:paraId="7617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B1412A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75BBD0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6241D73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2835" w:type="dxa"/>
            <w:gridSpan w:val="2"/>
            <w:vMerge w:val="continue"/>
            <w:vAlign w:val="center"/>
          </w:tcPr>
          <w:p w14:paraId="0071EDC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281664D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270</w:t>
            </w:r>
          </w:p>
        </w:tc>
      </w:tr>
      <w:tr w14:paraId="5DD6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904715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7E321E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01AC6E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2835" w:type="dxa"/>
            <w:gridSpan w:val="2"/>
            <w:vMerge w:val="continue"/>
            <w:vAlign w:val="center"/>
          </w:tcPr>
          <w:p w14:paraId="2A6762D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26C33FF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560</w:t>
            </w:r>
          </w:p>
        </w:tc>
      </w:tr>
      <w:tr w14:paraId="32B5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D3C61C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E77120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9346BB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2835" w:type="dxa"/>
            <w:gridSpan w:val="2"/>
            <w:vMerge w:val="continue"/>
            <w:vAlign w:val="center"/>
          </w:tcPr>
          <w:p w14:paraId="6188ADA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521AE8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20</w:t>
            </w:r>
          </w:p>
        </w:tc>
      </w:tr>
      <w:tr w14:paraId="7830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2C33F3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7058A8C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424946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2835" w:type="dxa"/>
            <w:gridSpan w:val="2"/>
            <w:vMerge w:val="continue"/>
            <w:vAlign w:val="center"/>
          </w:tcPr>
          <w:p w14:paraId="0A3FD22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D11408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28</w:t>
            </w:r>
          </w:p>
        </w:tc>
      </w:tr>
      <w:tr w14:paraId="138D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0A6DF6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15B062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03C855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2835" w:type="dxa"/>
            <w:gridSpan w:val="2"/>
            <w:vMerge w:val="continue"/>
            <w:vAlign w:val="center"/>
          </w:tcPr>
          <w:p w14:paraId="16FA3AA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433838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1290</w:t>
            </w:r>
          </w:p>
        </w:tc>
      </w:tr>
      <w:tr w14:paraId="6410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9F2B20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899C11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EDCEFB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2835" w:type="dxa"/>
            <w:gridSpan w:val="2"/>
            <w:vMerge w:val="continue"/>
            <w:vAlign w:val="center"/>
          </w:tcPr>
          <w:p w14:paraId="4291AF5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380ED0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1200</w:t>
            </w:r>
          </w:p>
        </w:tc>
      </w:tr>
      <w:tr w14:paraId="6A42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039B85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500CE5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AE0308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间二甲苯+对二甲苯</w:t>
            </w:r>
          </w:p>
        </w:tc>
        <w:tc>
          <w:tcPr>
            <w:tcW w:w="2835" w:type="dxa"/>
            <w:gridSpan w:val="2"/>
            <w:vMerge w:val="continue"/>
            <w:vAlign w:val="center"/>
          </w:tcPr>
          <w:p w14:paraId="3786DEB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4F3907A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570</w:t>
            </w:r>
          </w:p>
        </w:tc>
      </w:tr>
      <w:tr w14:paraId="541F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CAE52C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C3B1A0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C4913F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2835" w:type="dxa"/>
            <w:gridSpan w:val="2"/>
            <w:vMerge w:val="continue"/>
            <w:vAlign w:val="center"/>
          </w:tcPr>
          <w:p w14:paraId="0AC283E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3BE243E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640</w:t>
            </w:r>
          </w:p>
        </w:tc>
      </w:tr>
      <w:tr w14:paraId="5F0A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92D5CE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973AAC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AFCFD2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2835" w:type="dxa"/>
            <w:gridSpan w:val="2"/>
            <w:vMerge w:val="continue"/>
            <w:vAlign w:val="center"/>
          </w:tcPr>
          <w:p w14:paraId="476804C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4E58516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76</w:t>
            </w:r>
          </w:p>
        </w:tc>
      </w:tr>
      <w:tr w14:paraId="720D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E487D0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285AA0E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FFD4CD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w:t>
            </w:r>
          </w:p>
        </w:tc>
        <w:tc>
          <w:tcPr>
            <w:tcW w:w="2835" w:type="dxa"/>
            <w:gridSpan w:val="2"/>
            <w:vMerge w:val="continue"/>
            <w:vAlign w:val="center"/>
          </w:tcPr>
          <w:p w14:paraId="7C9D86E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363372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260</w:t>
            </w:r>
          </w:p>
        </w:tc>
      </w:tr>
      <w:tr w14:paraId="0071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DC099D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BB5C54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4B2E6D6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2-氯酚</w:t>
            </w:r>
          </w:p>
        </w:tc>
        <w:tc>
          <w:tcPr>
            <w:tcW w:w="2835" w:type="dxa"/>
            <w:gridSpan w:val="2"/>
            <w:vMerge w:val="continue"/>
            <w:vAlign w:val="center"/>
          </w:tcPr>
          <w:p w14:paraId="101CCF8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4B1917B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2256</w:t>
            </w:r>
          </w:p>
        </w:tc>
      </w:tr>
      <w:tr w14:paraId="6E3E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A6D864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4F94E2C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DF6130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苯并[a]蒽</w:t>
            </w:r>
          </w:p>
        </w:tc>
        <w:tc>
          <w:tcPr>
            <w:tcW w:w="2835" w:type="dxa"/>
            <w:gridSpan w:val="2"/>
            <w:vMerge w:val="continue"/>
            <w:vAlign w:val="center"/>
          </w:tcPr>
          <w:p w14:paraId="5279392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9F1952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15</w:t>
            </w:r>
          </w:p>
        </w:tc>
      </w:tr>
      <w:tr w14:paraId="4A58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B264B4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F3BBD9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4ADA3E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2835" w:type="dxa"/>
            <w:gridSpan w:val="2"/>
            <w:vMerge w:val="continue"/>
            <w:vAlign w:val="center"/>
          </w:tcPr>
          <w:p w14:paraId="30E31D0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6263C2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1.5</w:t>
            </w:r>
          </w:p>
        </w:tc>
      </w:tr>
      <w:tr w14:paraId="1E2F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0EA3D2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71364B3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3D4D8AA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2835" w:type="dxa"/>
            <w:gridSpan w:val="2"/>
            <w:vMerge w:val="continue"/>
            <w:vAlign w:val="center"/>
          </w:tcPr>
          <w:p w14:paraId="3212E80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3E490F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15</w:t>
            </w:r>
          </w:p>
        </w:tc>
      </w:tr>
      <w:tr w14:paraId="4513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BF311A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B3A7F6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46CDC2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2835" w:type="dxa"/>
            <w:gridSpan w:val="2"/>
            <w:vMerge w:val="continue"/>
            <w:vAlign w:val="center"/>
          </w:tcPr>
          <w:p w14:paraId="4D929C8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21E0A7E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151</w:t>
            </w:r>
          </w:p>
        </w:tc>
      </w:tr>
      <w:tr w14:paraId="7EC1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979EFA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E66019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419ACB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2835" w:type="dxa"/>
            <w:gridSpan w:val="2"/>
            <w:vMerge w:val="continue"/>
            <w:vAlign w:val="center"/>
          </w:tcPr>
          <w:p w14:paraId="2D49A8F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3748E4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1293</w:t>
            </w:r>
          </w:p>
        </w:tc>
      </w:tr>
      <w:tr w14:paraId="62DE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763C49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305285D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0BF7AC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二苯并[a,h]蒽</w:t>
            </w:r>
          </w:p>
        </w:tc>
        <w:tc>
          <w:tcPr>
            <w:tcW w:w="2835" w:type="dxa"/>
            <w:gridSpan w:val="2"/>
            <w:vMerge w:val="continue"/>
            <w:vAlign w:val="center"/>
          </w:tcPr>
          <w:p w14:paraId="6F60B3E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47D4F5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1.5</w:t>
            </w:r>
          </w:p>
        </w:tc>
      </w:tr>
      <w:tr w14:paraId="6D89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8851A5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125BD7A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43631B8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茚并[1,2,3-cd]芘</w:t>
            </w:r>
          </w:p>
        </w:tc>
        <w:tc>
          <w:tcPr>
            <w:tcW w:w="2835" w:type="dxa"/>
            <w:gridSpan w:val="2"/>
            <w:vMerge w:val="continue"/>
            <w:vAlign w:val="center"/>
          </w:tcPr>
          <w:p w14:paraId="6EE7FD6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364D684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15</w:t>
            </w:r>
          </w:p>
        </w:tc>
      </w:tr>
      <w:tr w14:paraId="10E6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745D0B2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75F7D6C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2DACE84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2835" w:type="dxa"/>
            <w:gridSpan w:val="2"/>
            <w:vMerge w:val="continue"/>
            <w:vAlign w:val="center"/>
          </w:tcPr>
          <w:p w14:paraId="2606CD7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25FEDD7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70</w:t>
            </w:r>
          </w:p>
        </w:tc>
      </w:tr>
      <w:tr w14:paraId="0AC2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82869B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5797D4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70EBAA5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石油烃</w:t>
            </w:r>
          </w:p>
        </w:tc>
        <w:tc>
          <w:tcPr>
            <w:tcW w:w="2835" w:type="dxa"/>
            <w:gridSpan w:val="2"/>
            <w:vMerge w:val="continue"/>
            <w:vAlign w:val="center"/>
          </w:tcPr>
          <w:p w14:paraId="6ED8F03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5B7C33B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4500</w:t>
            </w:r>
          </w:p>
        </w:tc>
      </w:tr>
      <w:tr w14:paraId="5630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48FC377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restart"/>
            <w:vAlign w:val="center"/>
          </w:tcPr>
          <w:p w14:paraId="7B07326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r>
              <w:rPr>
                <w:rFonts w:hint="default" w:ascii="Times New Roman" w:hAnsi="Times New Roman" w:eastAsia="宋体" w:cs="Times New Roman"/>
                <w:color w:val="auto"/>
                <w:sz w:val="21"/>
                <w:szCs w:val="21"/>
              </w:rPr>
              <w:t>《土壤环境质量 农用地土壤污染风险管控标准（试行）》（GB15618-2018）风险筛选值（pH＞7.5）</w:t>
            </w:r>
          </w:p>
        </w:tc>
        <w:tc>
          <w:tcPr>
            <w:tcW w:w="1694" w:type="dxa"/>
            <w:vAlign w:val="center"/>
          </w:tcPr>
          <w:p w14:paraId="460C48F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2835" w:type="dxa"/>
            <w:gridSpan w:val="2"/>
            <w:vMerge w:val="restart"/>
            <w:vAlign w:val="center"/>
          </w:tcPr>
          <w:p w14:paraId="7A18D94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mg/kg</w:t>
            </w:r>
          </w:p>
        </w:tc>
        <w:tc>
          <w:tcPr>
            <w:tcW w:w="1133" w:type="dxa"/>
            <w:vAlign w:val="center"/>
          </w:tcPr>
          <w:p w14:paraId="3CEC95A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0.6</w:t>
            </w:r>
          </w:p>
        </w:tc>
      </w:tr>
      <w:tr w14:paraId="1D06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31AC77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2A04C3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CFB6F9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汞</w:t>
            </w:r>
          </w:p>
        </w:tc>
        <w:tc>
          <w:tcPr>
            <w:tcW w:w="2835" w:type="dxa"/>
            <w:gridSpan w:val="2"/>
            <w:vMerge w:val="continue"/>
            <w:vAlign w:val="center"/>
          </w:tcPr>
          <w:p w14:paraId="6A70A86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E122FA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3.4</w:t>
            </w:r>
          </w:p>
        </w:tc>
      </w:tr>
      <w:tr w14:paraId="509C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0E00A8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776763E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B3A865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砷</w:t>
            </w:r>
          </w:p>
        </w:tc>
        <w:tc>
          <w:tcPr>
            <w:tcW w:w="2835" w:type="dxa"/>
            <w:gridSpan w:val="2"/>
            <w:vMerge w:val="continue"/>
            <w:vAlign w:val="center"/>
          </w:tcPr>
          <w:p w14:paraId="6A6315B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7B4F805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25</w:t>
            </w:r>
          </w:p>
        </w:tc>
      </w:tr>
      <w:tr w14:paraId="7661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05F42A1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5BECEFA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652D287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铅</w:t>
            </w:r>
          </w:p>
        </w:tc>
        <w:tc>
          <w:tcPr>
            <w:tcW w:w="2835" w:type="dxa"/>
            <w:gridSpan w:val="2"/>
            <w:vMerge w:val="continue"/>
            <w:vAlign w:val="center"/>
          </w:tcPr>
          <w:p w14:paraId="49A72ED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B73344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170</w:t>
            </w:r>
          </w:p>
        </w:tc>
      </w:tr>
      <w:tr w14:paraId="24E7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6415D9D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60922E4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0AF9D14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铬</w:t>
            </w:r>
          </w:p>
        </w:tc>
        <w:tc>
          <w:tcPr>
            <w:tcW w:w="2835" w:type="dxa"/>
            <w:gridSpan w:val="2"/>
            <w:vMerge w:val="continue"/>
            <w:vAlign w:val="center"/>
          </w:tcPr>
          <w:p w14:paraId="69FC3BF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1E3396C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250</w:t>
            </w:r>
          </w:p>
        </w:tc>
      </w:tr>
      <w:tr w14:paraId="4DBD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54C7872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0D7EB8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4FF2A4B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铜</w:t>
            </w:r>
          </w:p>
        </w:tc>
        <w:tc>
          <w:tcPr>
            <w:tcW w:w="2835" w:type="dxa"/>
            <w:gridSpan w:val="2"/>
            <w:vMerge w:val="continue"/>
            <w:vAlign w:val="center"/>
          </w:tcPr>
          <w:p w14:paraId="7F04533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23FBCA4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100</w:t>
            </w:r>
          </w:p>
        </w:tc>
      </w:tr>
      <w:tr w14:paraId="549B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1E0C35D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96E940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5473ECD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镍</w:t>
            </w:r>
          </w:p>
        </w:tc>
        <w:tc>
          <w:tcPr>
            <w:tcW w:w="2835" w:type="dxa"/>
            <w:gridSpan w:val="2"/>
            <w:vMerge w:val="continue"/>
            <w:vAlign w:val="center"/>
          </w:tcPr>
          <w:p w14:paraId="331538D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09743A7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190</w:t>
            </w:r>
          </w:p>
        </w:tc>
      </w:tr>
      <w:tr w14:paraId="1388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vMerge w:val="continue"/>
            <w:vAlign w:val="center"/>
          </w:tcPr>
          <w:p w14:paraId="2EAEC90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2130" w:type="dxa"/>
            <w:vMerge w:val="continue"/>
            <w:vAlign w:val="center"/>
          </w:tcPr>
          <w:p w14:paraId="066F394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694" w:type="dxa"/>
            <w:vAlign w:val="center"/>
          </w:tcPr>
          <w:p w14:paraId="13CBAC7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锌</w:t>
            </w:r>
          </w:p>
        </w:tc>
        <w:tc>
          <w:tcPr>
            <w:tcW w:w="2835" w:type="dxa"/>
            <w:gridSpan w:val="2"/>
            <w:vMerge w:val="continue"/>
            <w:vAlign w:val="center"/>
          </w:tcPr>
          <w:p w14:paraId="4AA3974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2"/>
                <w:vertAlign w:val="baseline"/>
              </w:rPr>
            </w:pPr>
          </w:p>
        </w:tc>
        <w:tc>
          <w:tcPr>
            <w:tcW w:w="1133" w:type="dxa"/>
            <w:vAlign w:val="center"/>
          </w:tcPr>
          <w:p w14:paraId="688CEC2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300</w:t>
            </w:r>
          </w:p>
        </w:tc>
      </w:tr>
    </w:tbl>
    <w:p w14:paraId="6EA4D612">
      <w:pPr>
        <w:pStyle w:val="5"/>
        <w:bidi w:val="0"/>
        <w:rPr>
          <w:rFonts w:hint="default"/>
          <w:color w:val="auto"/>
          <w:lang w:val="en-US" w:eastAsia="zh-CN"/>
        </w:rPr>
      </w:pPr>
      <w:bookmarkStart w:id="90" w:name="_Toc28728"/>
      <w:bookmarkStart w:id="91" w:name="_Toc1171"/>
      <w:r>
        <w:rPr>
          <w:rFonts w:hint="eastAsia"/>
          <w:color w:val="auto"/>
          <w:lang w:val="en-US" w:eastAsia="zh-CN"/>
        </w:rPr>
        <w:t>2.4.3污染物排放标准</w:t>
      </w:r>
      <w:bookmarkEnd w:id="90"/>
      <w:bookmarkEnd w:id="91"/>
    </w:p>
    <w:p w14:paraId="5A3F5352">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1</w:t>
      </w:r>
      <w:r>
        <w:rPr>
          <w:rFonts w:hint="eastAsia"/>
          <w:color w:val="auto"/>
          <w:sz w:val="24"/>
          <w:szCs w:val="28"/>
          <w:lang w:eastAsia="zh-CN"/>
        </w:rPr>
        <w:t>）</w:t>
      </w:r>
      <w:r>
        <w:rPr>
          <w:rFonts w:hint="eastAsia"/>
          <w:color w:val="auto"/>
          <w:sz w:val="24"/>
          <w:szCs w:val="28"/>
          <w:lang w:val="en-US" w:eastAsia="zh-CN"/>
        </w:rPr>
        <w:t>废气</w:t>
      </w:r>
    </w:p>
    <w:p w14:paraId="5692E9E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default" w:ascii="Times New Roman" w:hAnsi="Times New Roman" w:eastAsia="宋体" w:cs="Times New Roman"/>
          <w:color w:val="auto"/>
          <w:sz w:val="24"/>
          <w:szCs w:val="24"/>
        </w:rPr>
        <w:t>施工期产生的颗粒物执行《大气污染物综合排放标准》（GB16297-1996）表2无组织排放监控浓度1.0mg/m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限值要求</w:t>
      </w:r>
      <w:r>
        <w:rPr>
          <w:rFonts w:hint="eastAsia" w:ascii="Times New Roman" w:hAnsi="Times New Roman" w:eastAsia="宋体" w:cs="Times New Roman"/>
          <w:color w:val="auto"/>
          <w:sz w:val="24"/>
          <w:szCs w:val="24"/>
          <w:lang w:eastAsia="zh-CN"/>
        </w:rPr>
        <w:t>；</w:t>
      </w:r>
      <w:r>
        <w:rPr>
          <w:color w:val="auto"/>
          <w:sz w:val="24"/>
          <w:szCs w:val="24"/>
        </w:rPr>
        <w:t>施工机械废气排放执行《非道路移动机械用柴油机排气污染物排放限值及测量方法（中国第三、四阶段）》（GB20891-2014）及其修改单要求。</w:t>
      </w:r>
    </w:p>
    <w:p w14:paraId="3578A8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lang w:val="en-US" w:eastAsia="zh-CN"/>
        </w:rPr>
      </w:pPr>
      <w:r>
        <w:rPr>
          <w:rFonts w:hint="eastAsia"/>
          <w:color w:val="auto"/>
          <w:sz w:val="24"/>
          <w:szCs w:val="32"/>
          <w:lang w:eastAsia="zh-CN"/>
        </w:rPr>
        <w:t>本工程</w:t>
      </w:r>
      <w:r>
        <w:rPr>
          <w:color w:val="auto"/>
          <w:sz w:val="24"/>
          <w:szCs w:val="32"/>
        </w:rPr>
        <w:t>非甲烷总烃无组织排放执行《陆上石油天然气开采工业污染物排放标准》（GB39728-2020）企业边界污染物控制要求</w:t>
      </w:r>
      <w:r>
        <w:rPr>
          <w:rFonts w:hint="eastAsia"/>
          <w:color w:val="auto"/>
          <w:sz w:val="24"/>
          <w:szCs w:val="32"/>
          <w:lang w:val="en-US" w:eastAsia="zh-CN"/>
        </w:rPr>
        <w:t>。</w:t>
      </w:r>
    </w:p>
    <w:p w14:paraId="4E8B0CCB">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2</w:t>
      </w:r>
      <w:r>
        <w:rPr>
          <w:rFonts w:hint="eastAsia"/>
          <w:color w:val="auto"/>
          <w:sz w:val="24"/>
          <w:szCs w:val="28"/>
          <w:lang w:eastAsia="zh-CN"/>
        </w:rPr>
        <w:t>）</w:t>
      </w:r>
      <w:r>
        <w:rPr>
          <w:rFonts w:hint="eastAsia"/>
          <w:color w:val="auto"/>
          <w:sz w:val="24"/>
          <w:szCs w:val="28"/>
          <w:lang w:val="en-US" w:eastAsia="zh-CN"/>
        </w:rPr>
        <w:t>废水</w:t>
      </w:r>
    </w:p>
    <w:p w14:paraId="48D25F4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lang w:eastAsia="zh-CN"/>
        </w:rPr>
      </w:pPr>
      <w:r>
        <w:rPr>
          <w:rFonts w:ascii="宋体" w:hAnsi="宋体" w:eastAsia="宋体" w:cs="宋体"/>
          <w:color w:val="auto"/>
          <w:sz w:val="24"/>
          <w:szCs w:val="24"/>
        </w:rPr>
        <w:t>运营期工作人员由油田内部调剂，不新增工作人员，不新增生活污水。</w:t>
      </w:r>
      <w:r>
        <w:rPr>
          <w:rFonts w:hint="default" w:ascii="Times New Roman" w:hAnsi="Times New Roman" w:eastAsia="宋体" w:cs="Times New Roman"/>
          <w:color w:val="auto"/>
          <w:sz w:val="24"/>
          <w:szCs w:val="24"/>
        </w:rPr>
        <w:t>项目运营期产生</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rPr>
        <w:t>依托</w:t>
      </w:r>
      <w:r>
        <w:rPr>
          <w:rFonts w:hint="eastAsia" w:ascii="Times New Roman" w:hAnsi="Times New Roman" w:eastAsia="宋体" w:cs="Times New Roman"/>
          <w:color w:val="auto"/>
          <w:sz w:val="24"/>
          <w:szCs w:val="24"/>
          <w:lang w:val="en-US" w:eastAsia="zh-CN"/>
        </w:rPr>
        <w:t>百口泉注输联合站处理</w:t>
      </w:r>
      <w:r>
        <w:rPr>
          <w:rFonts w:hint="default" w:ascii="Times New Roman" w:hAnsi="Times New Roman" w:eastAsia="宋体" w:cs="Times New Roman"/>
          <w:color w:val="auto"/>
          <w:sz w:val="24"/>
          <w:szCs w:val="24"/>
        </w:rPr>
        <w:t>达标后</w:t>
      </w:r>
      <w:r>
        <w:rPr>
          <w:rFonts w:hint="eastAsia" w:cs="Times New Roman"/>
          <w:color w:val="auto"/>
          <w:sz w:val="24"/>
          <w:szCs w:val="24"/>
          <w:lang w:val="en-US" w:eastAsia="zh-CN"/>
        </w:rPr>
        <w:t>回注地层</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回注满足</w:t>
      </w:r>
      <w:r>
        <w:rPr>
          <w:rFonts w:hint="eastAsia" w:cs="Times New Roman"/>
          <w:color w:val="auto"/>
          <w:sz w:val="24"/>
          <w:szCs w:val="24"/>
          <w:lang w:eastAsia="zh-CN"/>
        </w:rPr>
        <w:t>《</w:t>
      </w:r>
      <w:r>
        <w:rPr>
          <w:rFonts w:hint="eastAsia" w:cs="Times New Roman"/>
          <w:color w:val="auto"/>
          <w:sz w:val="24"/>
          <w:szCs w:val="24"/>
          <w:lang w:val="en-US" w:eastAsia="zh-CN"/>
        </w:rPr>
        <w:t>碎屑岩油藏注水水质指标技术要求及分析方法</w:t>
      </w:r>
      <w:r>
        <w:rPr>
          <w:rFonts w:hint="eastAsia" w:cs="Times New Roman"/>
          <w:color w:val="auto"/>
          <w:sz w:val="24"/>
          <w:szCs w:val="24"/>
          <w:lang w:eastAsia="zh-CN"/>
        </w:rPr>
        <w:t>》（</w:t>
      </w:r>
      <w:r>
        <w:rPr>
          <w:rFonts w:hint="eastAsia" w:cs="Times New Roman"/>
          <w:color w:val="auto"/>
          <w:sz w:val="24"/>
          <w:szCs w:val="24"/>
          <w:lang w:val="en-US" w:eastAsia="zh-CN"/>
        </w:rPr>
        <w:t>SY/T5329-2022</w:t>
      </w:r>
      <w:r>
        <w:rPr>
          <w:rFonts w:hint="eastAsia" w:cs="Times New Roman"/>
          <w:color w:val="auto"/>
          <w:sz w:val="24"/>
          <w:szCs w:val="24"/>
          <w:lang w:eastAsia="zh-CN"/>
        </w:rPr>
        <w:t>）</w:t>
      </w:r>
      <w:r>
        <w:rPr>
          <w:rFonts w:hint="eastAsia" w:cs="Times New Roman"/>
          <w:color w:val="auto"/>
          <w:sz w:val="24"/>
          <w:szCs w:val="24"/>
          <w:lang w:val="en-US" w:eastAsia="zh-CN"/>
        </w:rPr>
        <w:t>中的相关指标。</w:t>
      </w:r>
    </w:p>
    <w:p w14:paraId="4435A7D0">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3</w:t>
      </w:r>
      <w:r>
        <w:rPr>
          <w:rFonts w:hint="eastAsia"/>
          <w:color w:val="auto"/>
          <w:sz w:val="24"/>
          <w:szCs w:val="28"/>
          <w:lang w:eastAsia="zh-CN"/>
        </w:rPr>
        <w:t>）</w:t>
      </w:r>
      <w:r>
        <w:rPr>
          <w:rFonts w:hint="eastAsia"/>
          <w:color w:val="auto"/>
          <w:sz w:val="24"/>
          <w:szCs w:val="28"/>
          <w:lang w:val="en-US" w:eastAsia="zh-CN"/>
        </w:rPr>
        <w:t>噪声</w:t>
      </w:r>
    </w:p>
    <w:p w14:paraId="02379A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施工期采用《建筑施工场界环境噪声排放标准》（GB12523-2011）（即昼间70dB（A），夜间55dB（A））；运营期采用《工业企业厂界环境噪声排放标准》（GB12348-2008）中2类标准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即昼间60dB（A），夜间50dB（A）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14:paraId="011001DD">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4</w:t>
      </w:r>
      <w:r>
        <w:rPr>
          <w:rFonts w:hint="eastAsia"/>
          <w:color w:val="auto"/>
          <w:sz w:val="24"/>
          <w:szCs w:val="28"/>
          <w:lang w:eastAsia="zh-CN"/>
        </w:rPr>
        <w:t>）</w:t>
      </w:r>
      <w:r>
        <w:rPr>
          <w:rFonts w:hint="eastAsia"/>
          <w:color w:val="auto"/>
          <w:sz w:val="24"/>
          <w:szCs w:val="28"/>
          <w:lang w:val="en-US" w:eastAsia="zh-CN"/>
        </w:rPr>
        <w:t>固体废物</w:t>
      </w:r>
    </w:p>
    <w:p w14:paraId="5C7441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rPr>
        <w:t>危险废物收集、贮存和运输过程的污染控制执行《危险废物贮存污染控制标准》（GB18597-2023）、一般工业固体废物贮存执行《一般工业固体废物贮存和填埋污染控制标准》（GB18599-2020）。</w:t>
      </w:r>
    </w:p>
    <w:p w14:paraId="1AA961C5">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具体标准限值见表2.4-3、表</w:t>
      </w:r>
      <w:r>
        <w:rPr>
          <w:rFonts w:hint="eastAsia" w:eastAsia="宋体"/>
          <w:color w:val="auto"/>
          <w:sz w:val="24"/>
          <w:szCs w:val="24"/>
          <w:lang w:val="en-US" w:eastAsia="zh-CN"/>
        </w:rPr>
        <w:t>2.4-4</w:t>
      </w:r>
      <w:r>
        <w:rPr>
          <w:rFonts w:hint="eastAsia"/>
          <w:color w:val="auto"/>
          <w:sz w:val="24"/>
          <w:szCs w:val="24"/>
          <w:lang w:val="en-US" w:eastAsia="zh-CN"/>
        </w:rPr>
        <w:t>、表2.4-5</w:t>
      </w:r>
      <w:r>
        <w:rPr>
          <w:rFonts w:hint="eastAsia"/>
          <w:color w:val="auto"/>
          <w:sz w:val="24"/>
          <w:szCs w:val="28"/>
          <w:lang w:val="en-US" w:eastAsia="zh-CN"/>
        </w:rPr>
        <w:t>。</w:t>
      </w:r>
    </w:p>
    <w:p w14:paraId="29600B11">
      <w:pPr>
        <w:pStyle w:val="43"/>
        <w:bidi w:val="0"/>
        <w:rPr>
          <w:color w:val="auto"/>
        </w:rPr>
      </w:pPr>
      <w:r>
        <w:rPr>
          <w:color w:val="auto"/>
        </w:rPr>
        <w:t>表</w:t>
      </w:r>
      <w:r>
        <w:rPr>
          <w:rFonts w:hint="eastAsia"/>
          <w:color w:val="auto"/>
          <w:lang w:val="en-US" w:eastAsia="zh-CN"/>
        </w:rPr>
        <w:t xml:space="preserve">2.4-3  </w:t>
      </w:r>
      <w:r>
        <w:rPr>
          <w:color w:val="auto"/>
        </w:rPr>
        <w:t>非道路移动机械用柴油机排气污染物排放限值</w:t>
      </w:r>
    </w:p>
    <w:tbl>
      <w:tblPr>
        <w:tblStyle w:val="27"/>
        <w:tblW w:w="50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1"/>
        <w:gridCol w:w="1778"/>
        <w:gridCol w:w="1245"/>
        <w:gridCol w:w="1466"/>
        <w:gridCol w:w="1085"/>
        <w:gridCol w:w="1245"/>
        <w:gridCol w:w="1183"/>
      </w:tblGrid>
      <w:tr w14:paraId="5C34B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tcMar>
              <w:left w:w="28" w:type="dxa"/>
              <w:right w:w="28" w:type="dxa"/>
            </w:tcMar>
            <w:vAlign w:val="center"/>
          </w:tcPr>
          <w:p w14:paraId="670CF60C">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阶段</w:t>
            </w:r>
          </w:p>
        </w:tc>
        <w:tc>
          <w:tcPr>
            <w:tcW w:w="1044" w:type="pct"/>
            <w:vAlign w:val="center"/>
          </w:tcPr>
          <w:p w14:paraId="62582721">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额定净功率（Pmax）（kW）</w:t>
            </w:r>
          </w:p>
        </w:tc>
        <w:tc>
          <w:tcPr>
            <w:tcW w:w="731" w:type="pct"/>
            <w:vAlign w:val="center"/>
          </w:tcPr>
          <w:p w14:paraId="60380292">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CO</w:t>
            </w:r>
          </w:p>
          <w:p w14:paraId="5DB7B079">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（g/kWh）</w:t>
            </w:r>
          </w:p>
        </w:tc>
        <w:tc>
          <w:tcPr>
            <w:tcW w:w="861" w:type="pct"/>
            <w:tcMar>
              <w:left w:w="28" w:type="dxa"/>
              <w:right w:w="28" w:type="dxa"/>
            </w:tcMar>
            <w:vAlign w:val="center"/>
          </w:tcPr>
          <w:p w14:paraId="48E341EC">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HC</w:t>
            </w:r>
          </w:p>
          <w:p w14:paraId="04F140EE">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（g/kWh）</w:t>
            </w:r>
          </w:p>
        </w:tc>
        <w:tc>
          <w:tcPr>
            <w:tcW w:w="637" w:type="pct"/>
            <w:tcMar>
              <w:left w:w="28" w:type="dxa"/>
              <w:right w:w="28" w:type="dxa"/>
            </w:tcMar>
            <w:vAlign w:val="center"/>
          </w:tcPr>
          <w:p w14:paraId="38D422EA">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NO</w:t>
            </w:r>
          </w:p>
          <w:p w14:paraId="1871DAC4">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（g/kWh）</w:t>
            </w:r>
          </w:p>
        </w:tc>
        <w:tc>
          <w:tcPr>
            <w:tcW w:w="731" w:type="pct"/>
            <w:vAlign w:val="center"/>
          </w:tcPr>
          <w:p w14:paraId="2635F8B8">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vertAlign w:val="subscript"/>
              </w:rPr>
            </w:pPr>
            <w:r>
              <w:rPr>
                <w:rFonts w:hint="default" w:ascii="Times New Roman" w:hAnsi="Times New Roman" w:eastAsia="宋体" w:cs="Times New Roman"/>
                <w:b/>
                <w:bCs/>
                <w:color w:val="auto"/>
                <w:highlight w:val="none"/>
              </w:rPr>
              <w:t>HC+NO</w:t>
            </w:r>
            <w:r>
              <w:rPr>
                <w:rFonts w:hint="default" w:ascii="Times New Roman" w:hAnsi="Times New Roman" w:eastAsia="宋体" w:cs="Times New Roman"/>
                <w:b/>
                <w:bCs/>
                <w:color w:val="auto"/>
                <w:highlight w:val="none"/>
                <w:vertAlign w:val="subscript"/>
              </w:rPr>
              <w:t>x</w:t>
            </w:r>
          </w:p>
          <w:p w14:paraId="2E71FCF0">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vertAlign w:val="subscript"/>
              </w:rPr>
            </w:pPr>
            <w:r>
              <w:rPr>
                <w:rFonts w:hint="default" w:ascii="Times New Roman" w:hAnsi="Times New Roman" w:eastAsia="宋体" w:cs="Times New Roman"/>
                <w:b/>
                <w:bCs/>
                <w:color w:val="auto"/>
                <w:highlight w:val="none"/>
              </w:rPr>
              <w:t>（g/kWh）</w:t>
            </w:r>
          </w:p>
        </w:tc>
        <w:tc>
          <w:tcPr>
            <w:tcW w:w="693" w:type="pct"/>
            <w:tcMar>
              <w:left w:w="28" w:type="dxa"/>
              <w:right w:w="28" w:type="dxa"/>
            </w:tcMar>
            <w:vAlign w:val="center"/>
          </w:tcPr>
          <w:p w14:paraId="6DE31E4F">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PM</w:t>
            </w:r>
          </w:p>
          <w:p w14:paraId="7884B0C3">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（g/kWh）</w:t>
            </w:r>
          </w:p>
        </w:tc>
      </w:tr>
      <w:tr w14:paraId="750C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restart"/>
            <w:tcMar>
              <w:left w:w="28" w:type="dxa"/>
              <w:right w:w="28" w:type="dxa"/>
            </w:tcMar>
            <w:vAlign w:val="center"/>
          </w:tcPr>
          <w:p w14:paraId="0340753D">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第三阶段</w:t>
            </w:r>
          </w:p>
        </w:tc>
        <w:tc>
          <w:tcPr>
            <w:tcW w:w="1044" w:type="pct"/>
            <w:vAlign w:val="center"/>
          </w:tcPr>
          <w:p w14:paraId="371245C9">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Pmax＞560</w:t>
            </w:r>
          </w:p>
        </w:tc>
        <w:tc>
          <w:tcPr>
            <w:tcW w:w="731" w:type="pct"/>
            <w:vAlign w:val="center"/>
          </w:tcPr>
          <w:p w14:paraId="1DF8FD9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861" w:type="pct"/>
            <w:tcMar>
              <w:left w:w="28" w:type="dxa"/>
              <w:right w:w="28" w:type="dxa"/>
            </w:tcMar>
            <w:vAlign w:val="center"/>
          </w:tcPr>
          <w:p w14:paraId="02FD1774">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37" w:type="pct"/>
            <w:tcMar>
              <w:left w:w="28" w:type="dxa"/>
              <w:right w:w="28" w:type="dxa"/>
            </w:tcMar>
            <w:vAlign w:val="center"/>
          </w:tcPr>
          <w:p w14:paraId="00BE0905">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31" w:type="pct"/>
            <w:vAlign w:val="center"/>
          </w:tcPr>
          <w:p w14:paraId="2F94851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6.4</w:t>
            </w:r>
          </w:p>
        </w:tc>
        <w:tc>
          <w:tcPr>
            <w:tcW w:w="693" w:type="pct"/>
            <w:tcMar>
              <w:left w:w="28" w:type="dxa"/>
              <w:right w:w="28" w:type="dxa"/>
            </w:tcMar>
            <w:vAlign w:val="center"/>
          </w:tcPr>
          <w:p w14:paraId="0D6ED327">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0.20</w:t>
            </w:r>
          </w:p>
        </w:tc>
      </w:tr>
      <w:tr w14:paraId="12B2E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continue"/>
            <w:tcMar>
              <w:left w:w="28" w:type="dxa"/>
              <w:right w:w="28" w:type="dxa"/>
            </w:tcMar>
            <w:vAlign w:val="center"/>
          </w:tcPr>
          <w:p w14:paraId="36D6BAA5">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44" w:type="pct"/>
            <w:vAlign w:val="center"/>
          </w:tcPr>
          <w:p w14:paraId="56A36B82">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130≤Pmax≤560</w:t>
            </w:r>
          </w:p>
        </w:tc>
        <w:tc>
          <w:tcPr>
            <w:tcW w:w="731" w:type="pct"/>
            <w:vAlign w:val="center"/>
          </w:tcPr>
          <w:p w14:paraId="030CF00A">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861" w:type="pct"/>
            <w:tcMar>
              <w:left w:w="28" w:type="dxa"/>
              <w:right w:w="28" w:type="dxa"/>
            </w:tcMar>
            <w:vAlign w:val="center"/>
          </w:tcPr>
          <w:p w14:paraId="1F29A555">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37" w:type="pct"/>
            <w:tcMar>
              <w:left w:w="28" w:type="dxa"/>
              <w:right w:w="28" w:type="dxa"/>
            </w:tcMar>
            <w:vAlign w:val="center"/>
          </w:tcPr>
          <w:p w14:paraId="0B366E4A">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31" w:type="pct"/>
            <w:vAlign w:val="center"/>
          </w:tcPr>
          <w:p w14:paraId="0798419D">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w:t>
            </w:r>
          </w:p>
        </w:tc>
        <w:tc>
          <w:tcPr>
            <w:tcW w:w="693" w:type="pct"/>
            <w:tcMar>
              <w:left w:w="28" w:type="dxa"/>
              <w:right w:w="28" w:type="dxa"/>
            </w:tcMar>
            <w:vAlign w:val="center"/>
          </w:tcPr>
          <w:p w14:paraId="3F4423AF">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0.20</w:t>
            </w:r>
          </w:p>
        </w:tc>
      </w:tr>
      <w:tr w14:paraId="47A3D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continue"/>
            <w:tcMar>
              <w:left w:w="28" w:type="dxa"/>
              <w:right w:w="28" w:type="dxa"/>
            </w:tcMar>
            <w:vAlign w:val="center"/>
          </w:tcPr>
          <w:p w14:paraId="0BECD79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44" w:type="pct"/>
            <w:vAlign w:val="center"/>
          </w:tcPr>
          <w:p w14:paraId="6AB501F9">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75≤Pmax＜130</w:t>
            </w:r>
          </w:p>
        </w:tc>
        <w:tc>
          <w:tcPr>
            <w:tcW w:w="731" w:type="pct"/>
            <w:vAlign w:val="center"/>
          </w:tcPr>
          <w:p w14:paraId="211D1E1E">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861" w:type="pct"/>
            <w:tcMar>
              <w:left w:w="28" w:type="dxa"/>
              <w:right w:w="28" w:type="dxa"/>
            </w:tcMar>
            <w:vAlign w:val="center"/>
          </w:tcPr>
          <w:p w14:paraId="4AA1D098">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37" w:type="pct"/>
            <w:tcMar>
              <w:left w:w="28" w:type="dxa"/>
              <w:right w:w="28" w:type="dxa"/>
            </w:tcMar>
            <w:vAlign w:val="center"/>
          </w:tcPr>
          <w:p w14:paraId="372B1B50">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31" w:type="pct"/>
            <w:vAlign w:val="center"/>
          </w:tcPr>
          <w:p w14:paraId="43DC9C3C">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w:t>
            </w:r>
          </w:p>
        </w:tc>
        <w:tc>
          <w:tcPr>
            <w:tcW w:w="693" w:type="pct"/>
            <w:tcMar>
              <w:left w:w="28" w:type="dxa"/>
              <w:right w:w="28" w:type="dxa"/>
            </w:tcMar>
            <w:vAlign w:val="center"/>
          </w:tcPr>
          <w:p w14:paraId="0F26233F">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0.30</w:t>
            </w:r>
          </w:p>
        </w:tc>
      </w:tr>
      <w:tr w14:paraId="44621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continue"/>
            <w:tcMar>
              <w:left w:w="28" w:type="dxa"/>
              <w:right w:w="28" w:type="dxa"/>
            </w:tcMar>
            <w:vAlign w:val="center"/>
          </w:tcPr>
          <w:p w14:paraId="6E1A517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44" w:type="pct"/>
            <w:vAlign w:val="center"/>
          </w:tcPr>
          <w:p w14:paraId="02B30E85">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37≤Pmax＜75</w:t>
            </w:r>
          </w:p>
        </w:tc>
        <w:tc>
          <w:tcPr>
            <w:tcW w:w="731" w:type="pct"/>
            <w:vAlign w:val="center"/>
          </w:tcPr>
          <w:p w14:paraId="13EE01DD">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861" w:type="pct"/>
            <w:tcMar>
              <w:left w:w="28" w:type="dxa"/>
              <w:right w:w="28" w:type="dxa"/>
            </w:tcMar>
            <w:vAlign w:val="center"/>
          </w:tcPr>
          <w:p w14:paraId="17870CB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37" w:type="pct"/>
            <w:tcMar>
              <w:left w:w="28" w:type="dxa"/>
              <w:right w:w="28" w:type="dxa"/>
            </w:tcMar>
            <w:vAlign w:val="center"/>
          </w:tcPr>
          <w:p w14:paraId="62590616">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31" w:type="pct"/>
            <w:vAlign w:val="center"/>
          </w:tcPr>
          <w:p w14:paraId="38A14CA1">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w:t>
            </w:r>
          </w:p>
        </w:tc>
        <w:tc>
          <w:tcPr>
            <w:tcW w:w="693" w:type="pct"/>
            <w:tcMar>
              <w:left w:w="28" w:type="dxa"/>
              <w:right w:w="28" w:type="dxa"/>
            </w:tcMar>
            <w:vAlign w:val="center"/>
          </w:tcPr>
          <w:p w14:paraId="7C37D84C">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0.40</w:t>
            </w:r>
          </w:p>
        </w:tc>
      </w:tr>
      <w:tr w14:paraId="624F6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continue"/>
            <w:tcMar>
              <w:left w:w="28" w:type="dxa"/>
              <w:right w:w="28" w:type="dxa"/>
            </w:tcMar>
            <w:vAlign w:val="center"/>
          </w:tcPr>
          <w:p w14:paraId="7F36AF51">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44" w:type="pct"/>
            <w:vAlign w:val="center"/>
          </w:tcPr>
          <w:p w14:paraId="1C65F19C">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Pmax＜37</w:t>
            </w:r>
          </w:p>
        </w:tc>
        <w:tc>
          <w:tcPr>
            <w:tcW w:w="731" w:type="pct"/>
            <w:vAlign w:val="center"/>
          </w:tcPr>
          <w:p w14:paraId="1104A2C1">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5.5</w:t>
            </w:r>
          </w:p>
        </w:tc>
        <w:tc>
          <w:tcPr>
            <w:tcW w:w="861" w:type="pct"/>
            <w:tcMar>
              <w:left w:w="28" w:type="dxa"/>
              <w:right w:w="28" w:type="dxa"/>
            </w:tcMar>
            <w:vAlign w:val="center"/>
          </w:tcPr>
          <w:p w14:paraId="73A87F5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37" w:type="pct"/>
            <w:tcMar>
              <w:left w:w="28" w:type="dxa"/>
              <w:right w:w="28" w:type="dxa"/>
            </w:tcMar>
            <w:vAlign w:val="center"/>
          </w:tcPr>
          <w:p w14:paraId="3467C6F9">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31" w:type="pct"/>
            <w:vAlign w:val="center"/>
          </w:tcPr>
          <w:p w14:paraId="527D312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w:t>
            </w:r>
          </w:p>
        </w:tc>
        <w:tc>
          <w:tcPr>
            <w:tcW w:w="693" w:type="pct"/>
            <w:tcMar>
              <w:left w:w="28" w:type="dxa"/>
              <w:right w:w="28" w:type="dxa"/>
            </w:tcMar>
            <w:vAlign w:val="center"/>
          </w:tcPr>
          <w:p w14:paraId="736180A8">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0.60</w:t>
            </w:r>
          </w:p>
        </w:tc>
      </w:tr>
      <w:tr w14:paraId="238D8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restart"/>
            <w:tcMar>
              <w:left w:w="28" w:type="dxa"/>
              <w:right w:w="28" w:type="dxa"/>
            </w:tcMar>
            <w:vAlign w:val="center"/>
          </w:tcPr>
          <w:p w14:paraId="36C9EA30">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第四阶段</w:t>
            </w:r>
          </w:p>
        </w:tc>
        <w:tc>
          <w:tcPr>
            <w:tcW w:w="1044" w:type="pct"/>
            <w:vAlign w:val="center"/>
          </w:tcPr>
          <w:p w14:paraId="57EF7F0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Pmax＞560</w:t>
            </w:r>
          </w:p>
        </w:tc>
        <w:tc>
          <w:tcPr>
            <w:tcW w:w="731" w:type="pct"/>
            <w:vAlign w:val="center"/>
          </w:tcPr>
          <w:p w14:paraId="44D53B27">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861" w:type="pct"/>
            <w:tcMar>
              <w:left w:w="28" w:type="dxa"/>
              <w:right w:w="28" w:type="dxa"/>
            </w:tcMar>
            <w:vAlign w:val="center"/>
          </w:tcPr>
          <w:p w14:paraId="2DEFC484">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0.40</w:t>
            </w:r>
          </w:p>
        </w:tc>
        <w:tc>
          <w:tcPr>
            <w:tcW w:w="637" w:type="pct"/>
            <w:tcMar>
              <w:left w:w="28" w:type="dxa"/>
              <w:right w:w="28" w:type="dxa"/>
            </w:tcMar>
            <w:vAlign w:val="center"/>
          </w:tcPr>
          <w:p w14:paraId="5B238E5A">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vertAlign w:val="superscript"/>
              </w:rPr>
            </w:pPr>
            <w:r>
              <w:rPr>
                <w:rFonts w:hint="default" w:ascii="Times New Roman" w:hAnsi="Times New Roman" w:eastAsia="宋体" w:cs="Times New Roman"/>
                <w:color w:val="auto"/>
                <w:highlight w:val="none"/>
              </w:rPr>
              <w:t>3.5，0.67</w:t>
            </w:r>
            <w:r>
              <w:rPr>
                <w:rFonts w:hint="default" w:ascii="Times New Roman" w:hAnsi="Times New Roman" w:eastAsia="宋体" w:cs="Times New Roman"/>
                <w:color w:val="auto"/>
                <w:highlight w:val="none"/>
                <w:vertAlign w:val="superscript"/>
              </w:rPr>
              <w:t>（1）</w:t>
            </w:r>
          </w:p>
        </w:tc>
        <w:tc>
          <w:tcPr>
            <w:tcW w:w="731" w:type="pct"/>
            <w:vAlign w:val="center"/>
          </w:tcPr>
          <w:p w14:paraId="314126F8">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93" w:type="pct"/>
            <w:tcMar>
              <w:left w:w="28" w:type="dxa"/>
              <w:right w:w="28" w:type="dxa"/>
            </w:tcMar>
            <w:vAlign w:val="center"/>
          </w:tcPr>
          <w:p w14:paraId="73B51054">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0.10</w:t>
            </w:r>
          </w:p>
        </w:tc>
      </w:tr>
      <w:tr w14:paraId="2DE8A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continue"/>
            <w:tcMar>
              <w:left w:w="28" w:type="dxa"/>
              <w:right w:w="28" w:type="dxa"/>
            </w:tcMar>
            <w:vAlign w:val="center"/>
          </w:tcPr>
          <w:p w14:paraId="2806DA97">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44" w:type="pct"/>
            <w:vAlign w:val="center"/>
          </w:tcPr>
          <w:p w14:paraId="5CB50741">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130≤Pmax≤560</w:t>
            </w:r>
          </w:p>
        </w:tc>
        <w:tc>
          <w:tcPr>
            <w:tcW w:w="731" w:type="pct"/>
            <w:vAlign w:val="center"/>
          </w:tcPr>
          <w:p w14:paraId="07B107FA">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861" w:type="pct"/>
            <w:tcMar>
              <w:left w:w="28" w:type="dxa"/>
              <w:right w:w="28" w:type="dxa"/>
            </w:tcMar>
            <w:vAlign w:val="center"/>
          </w:tcPr>
          <w:p w14:paraId="6C03127A">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0.19</w:t>
            </w:r>
          </w:p>
        </w:tc>
        <w:tc>
          <w:tcPr>
            <w:tcW w:w="637" w:type="pct"/>
            <w:tcMar>
              <w:left w:w="28" w:type="dxa"/>
              <w:right w:w="28" w:type="dxa"/>
            </w:tcMar>
            <w:vAlign w:val="center"/>
          </w:tcPr>
          <w:p w14:paraId="4FC3D1B6">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731" w:type="pct"/>
            <w:vAlign w:val="center"/>
          </w:tcPr>
          <w:p w14:paraId="63913ADA">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93" w:type="pct"/>
            <w:tcMar>
              <w:left w:w="28" w:type="dxa"/>
              <w:right w:w="28" w:type="dxa"/>
            </w:tcMar>
            <w:vAlign w:val="center"/>
          </w:tcPr>
          <w:p w14:paraId="764513D6">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0.025</w:t>
            </w:r>
          </w:p>
        </w:tc>
      </w:tr>
      <w:tr w14:paraId="2CC97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continue"/>
            <w:tcMar>
              <w:left w:w="28" w:type="dxa"/>
              <w:right w:w="28" w:type="dxa"/>
            </w:tcMar>
            <w:vAlign w:val="center"/>
          </w:tcPr>
          <w:p w14:paraId="396F8B5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44" w:type="pct"/>
            <w:vAlign w:val="center"/>
          </w:tcPr>
          <w:p w14:paraId="17F3E4F1">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75≤Pmax＜130</w:t>
            </w:r>
          </w:p>
        </w:tc>
        <w:tc>
          <w:tcPr>
            <w:tcW w:w="731" w:type="pct"/>
            <w:vAlign w:val="center"/>
          </w:tcPr>
          <w:p w14:paraId="690C652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861" w:type="pct"/>
            <w:tcMar>
              <w:left w:w="28" w:type="dxa"/>
              <w:right w:w="28" w:type="dxa"/>
            </w:tcMar>
            <w:vAlign w:val="center"/>
          </w:tcPr>
          <w:p w14:paraId="4E25D7C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0.19</w:t>
            </w:r>
          </w:p>
        </w:tc>
        <w:tc>
          <w:tcPr>
            <w:tcW w:w="637" w:type="pct"/>
            <w:tcMar>
              <w:left w:w="28" w:type="dxa"/>
              <w:right w:w="28" w:type="dxa"/>
            </w:tcMar>
            <w:vAlign w:val="center"/>
          </w:tcPr>
          <w:p w14:paraId="7732DBB0">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w:t>
            </w:r>
          </w:p>
        </w:tc>
        <w:tc>
          <w:tcPr>
            <w:tcW w:w="731" w:type="pct"/>
            <w:vAlign w:val="center"/>
          </w:tcPr>
          <w:p w14:paraId="49AB6331">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93" w:type="pct"/>
            <w:tcMar>
              <w:left w:w="28" w:type="dxa"/>
              <w:right w:w="28" w:type="dxa"/>
            </w:tcMar>
            <w:vAlign w:val="center"/>
          </w:tcPr>
          <w:p w14:paraId="408DA5A2">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0.025</w:t>
            </w:r>
          </w:p>
        </w:tc>
      </w:tr>
      <w:tr w14:paraId="125A4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continue"/>
            <w:tcMar>
              <w:left w:w="28" w:type="dxa"/>
              <w:right w:w="28" w:type="dxa"/>
            </w:tcMar>
            <w:vAlign w:val="center"/>
          </w:tcPr>
          <w:p w14:paraId="548CFE84">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44" w:type="pct"/>
            <w:vAlign w:val="center"/>
          </w:tcPr>
          <w:p w14:paraId="4B203705">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56≤Pmax＜75</w:t>
            </w:r>
          </w:p>
        </w:tc>
        <w:tc>
          <w:tcPr>
            <w:tcW w:w="731" w:type="pct"/>
            <w:vAlign w:val="center"/>
          </w:tcPr>
          <w:p w14:paraId="3ECAC6AD">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861" w:type="pct"/>
            <w:tcMar>
              <w:left w:w="28" w:type="dxa"/>
              <w:right w:w="28" w:type="dxa"/>
            </w:tcMar>
            <w:vAlign w:val="center"/>
          </w:tcPr>
          <w:p w14:paraId="69C44886">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0.19</w:t>
            </w:r>
          </w:p>
        </w:tc>
        <w:tc>
          <w:tcPr>
            <w:tcW w:w="637" w:type="pct"/>
            <w:tcMar>
              <w:left w:w="28" w:type="dxa"/>
              <w:right w:w="28" w:type="dxa"/>
            </w:tcMar>
            <w:vAlign w:val="center"/>
          </w:tcPr>
          <w:p w14:paraId="5F8FCC6B">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w:t>
            </w:r>
          </w:p>
        </w:tc>
        <w:tc>
          <w:tcPr>
            <w:tcW w:w="731" w:type="pct"/>
            <w:vAlign w:val="center"/>
          </w:tcPr>
          <w:p w14:paraId="311ED73F">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93" w:type="pct"/>
            <w:tcMar>
              <w:left w:w="28" w:type="dxa"/>
              <w:right w:w="28" w:type="dxa"/>
            </w:tcMar>
            <w:vAlign w:val="center"/>
          </w:tcPr>
          <w:p w14:paraId="415FC949">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0.025</w:t>
            </w:r>
          </w:p>
        </w:tc>
      </w:tr>
      <w:tr w14:paraId="70B6F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continue"/>
            <w:tcMar>
              <w:left w:w="28" w:type="dxa"/>
              <w:right w:w="28" w:type="dxa"/>
            </w:tcMar>
            <w:vAlign w:val="center"/>
          </w:tcPr>
          <w:p w14:paraId="0888DCD9">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44" w:type="pct"/>
            <w:vAlign w:val="center"/>
          </w:tcPr>
          <w:p w14:paraId="144ECF6D">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37≤Pmax＜56</w:t>
            </w:r>
          </w:p>
        </w:tc>
        <w:tc>
          <w:tcPr>
            <w:tcW w:w="731" w:type="pct"/>
            <w:vAlign w:val="center"/>
          </w:tcPr>
          <w:p w14:paraId="2F38FFE6">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861" w:type="pct"/>
            <w:tcMar>
              <w:left w:w="28" w:type="dxa"/>
              <w:right w:w="28" w:type="dxa"/>
            </w:tcMar>
            <w:vAlign w:val="center"/>
          </w:tcPr>
          <w:p w14:paraId="603AB934">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37" w:type="pct"/>
            <w:tcMar>
              <w:left w:w="28" w:type="dxa"/>
              <w:right w:w="28" w:type="dxa"/>
            </w:tcMar>
            <w:vAlign w:val="center"/>
          </w:tcPr>
          <w:p w14:paraId="1DE10E29">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31" w:type="pct"/>
            <w:vAlign w:val="center"/>
          </w:tcPr>
          <w:p w14:paraId="500FCF48">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w:t>
            </w:r>
          </w:p>
        </w:tc>
        <w:tc>
          <w:tcPr>
            <w:tcW w:w="693" w:type="pct"/>
            <w:tcMar>
              <w:left w:w="28" w:type="dxa"/>
              <w:right w:w="28" w:type="dxa"/>
            </w:tcMar>
            <w:vAlign w:val="center"/>
          </w:tcPr>
          <w:p w14:paraId="17C5A702">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0.025</w:t>
            </w:r>
          </w:p>
        </w:tc>
      </w:tr>
      <w:tr w14:paraId="5133F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1" w:type="pct"/>
            <w:vMerge w:val="continue"/>
            <w:tcMar>
              <w:left w:w="28" w:type="dxa"/>
              <w:right w:w="28" w:type="dxa"/>
            </w:tcMar>
            <w:vAlign w:val="center"/>
          </w:tcPr>
          <w:p w14:paraId="600C05A0">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44" w:type="pct"/>
            <w:vAlign w:val="center"/>
          </w:tcPr>
          <w:p w14:paraId="05989555">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Pmax＜37</w:t>
            </w:r>
          </w:p>
        </w:tc>
        <w:tc>
          <w:tcPr>
            <w:tcW w:w="731" w:type="pct"/>
            <w:vAlign w:val="center"/>
          </w:tcPr>
          <w:p w14:paraId="46C29A62">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5.5</w:t>
            </w:r>
          </w:p>
        </w:tc>
        <w:tc>
          <w:tcPr>
            <w:tcW w:w="861" w:type="pct"/>
            <w:tcMar>
              <w:left w:w="28" w:type="dxa"/>
              <w:right w:w="28" w:type="dxa"/>
            </w:tcMar>
            <w:vAlign w:val="center"/>
          </w:tcPr>
          <w:p w14:paraId="18F76BEA">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37" w:type="pct"/>
            <w:tcMar>
              <w:left w:w="28" w:type="dxa"/>
              <w:right w:w="28" w:type="dxa"/>
            </w:tcMar>
            <w:vAlign w:val="center"/>
          </w:tcPr>
          <w:p w14:paraId="63617967">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31" w:type="pct"/>
            <w:vAlign w:val="center"/>
          </w:tcPr>
          <w:p w14:paraId="756AA0F0">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w:t>
            </w:r>
          </w:p>
        </w:tc>
        <w:tc>
          <w:tcPr>
            <w:tcW w:w="693" w:type="pct"/>
            <w:tcMar>
              <w:left w:w="28" w:type="dxa"/>
              <w:right w:w="28" w:type="dxa"/>
            </w:tcMar>
            <w:vAlign w:val="center"/>
          </w:tcPr>
          <w:p w14:paraId="53C8784C">
            <w:pPr>
              <w:pStyle w:val="45"/>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0.60</w:t>
            </w:r>
          </w:p>
        </w:tc>
      </w:tr>
      <w:tr w14:paraId="3E813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7"/>
            <w:tcMar>
              <w:left w:w="28" w:type="dxa"/>
              <w:right w:w="28" w:type="dxa"/>
            </w:tcMar>
            <w:vAlign w:val="center"/>
          </w:tcPr>
          <w:p w14:paraId="3095BA3C">
            <w:pPr>
              <w:pStyle w:val="45"/>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（1）适用于可移动式发电机组用P</w:t>
            </w:r>
            <w:r>
              <w:rPr>
                <w:rFonts w:hint="default" w:ascii="Times New Roman" w:hAnsi="Times New Roman" w:eastAsia="宋体" w:cs="Times New Roman"/>
                <w:color w:val="auto"/>
                <w:highlight w:val="none"/>
                <w:vertAlign w:val="subscript"/>
              </w:rPr>
              <w:t>max</w:t>
            </w:r>
            <w:r>
              <w:rPr>
                <w:rFonts w:hint="default" w:ascii="Times New Roman" w:hAnsi="Times New Roman" w:eastAsia="宋体" w:cs="Times New Roman"/>
                <w:color w:val="auto"/>
                <w:highlight w:val="none"/>
              </w:rPr>
              <w:t>＞900kW的柴油机</w:t>
            </w:r>
            <w:r>
              <w:rPr>
                <w:rFonts w:hint="eastAsia" w:eastAsia="宋体" w:cs="Times New Roman"/>
                <w:color w:val="auto"/>
                <w:highlight w:val="none"/>
                <w:lang w:eastAsia="zh-CN"/>
              </w:rPr>
              <w:t>。</w:t>
            </w:r>
          </w:p>
        </w:tc>
      </w:tr>
    </w:tbl>
    <w:p w14:paraId="6160706B">
      <w:pPr>
        <w:pStyle w:val="43"/>
        <w:bidi w:val="0"/>
        <w:rPr>
          <w:rFonts w:hint="default"/>
          <w:color w:val="auto"/>
          <w:lang w:val="en-US" w:eastAsia="zh-CN"/>
        </w:rPr>
      </w:pPr>
      <w:r>
        <w:rPr>
          <w:rFonts w:hint="eastAsia"/>
          <w:color w:val="auto"/>
          <w:lang w:val="en-US" w:eastAsia="zh-CN"/>
        </w:rPr>
        <w:t>表2.4-4  污染物排放标准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3664"/>
        <w:gridCol w:w="1378"/>
        <w:gridCol w:w="1433"/>
        <w:gridCol w:w="960"/>
      </w:tblGrid>
      <w:tr w14:paraId="5A9F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vMerge w:val="restart"/>
            <w:vAlign w:val="center"/>
          </w:tcPr>
          <w:p w14:paraId="58FD370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3664" w:type="dxa"/>
            <w:vMerge w:val="restart"/>
            <w:vAlign w:val="center"/>
          </w:tcPr>
          <w:p w14:paraId="6B7AF12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标准名称及级（类）别</w:t>
            </w:r>
          </w:p>
        </w:tc>
        <w:tc>
          <w:tcPr>
            <w:tcW w:w="1378" w:type="dxa"/>
            <w:vMerge w:val="restart"/>
            <w:vAlign w:val="center"/>
          </w:tcPr>
          <w:p w14:paraId="52D1ECB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污染因子</w:t>
            </w:r>
          </w:p>
        </w:tc>
        <w:tc>
          <w:tcPr>
            <w:tcW w:w="2393" w:type="dxa"/>
            <w:gridSpan w:val="2"/>
            <w:vAlign w:val="center"/>
          </w:tcPr>
          <w:p w14:paraId="0CF4E10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标准值</w:t>
            </w:r>
          </w:p>
        </w:tc>
      </w:tr>
      <w:tr w14:paraId="2E22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vMerge w:val="continue"/>
            <w:vAlign w:val="center"/>
          </w:tcPr>
          <w:p w14:paraId="70F2BBA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b/>
                <w:bCs/>
                <w:color w:val="auto"/>
                <w:sz w:val="21"/>
                <w:szCs w:val="21"/>
                <w:vertAlign w:val="baseline"/>
              </w:rPr>
            </w:pPr>
          </w:p>
        </w:tc>
        <w:tc>
          <w:tcPr>
            <w:tcW w:w="3664" w:type="dxa"/>
            <w:vMerge w:val="continue"/>
            <w:vAlign w:val="center"/>
          </w:tcPr>
          <w:p w14:paraId="5E1501C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b/>
                <w:bCs/>
                <w:color w:val="auto"/>
                <w:sz w:val="21"/>
                <w:szCs w:val="21"/>
                <w:vertAlign w:val="baseline"/>
              </w:rPr>
            </w:pPr>
          </w:p>
        </w:tc>
        <w:tc>
          <w:tcPr>
            <w:tcW w:w="1378" w:type="dxa"/>
            <w:vMerge w:val="continue"/>
            <w:vAlign w:val="center"/>
          </w:tcPr>
          <w:p w14:paraId="2B861DF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b/>
                <w:bCs/>
                <w:color w:val="auto"/>
                <w:sz w:val="21"/>
                <w:szCs w:val="21"/>
                <w:vertAlign w:val="baseline"/>
              </w:rPr>
            </w:pPr>
          </w:p>
        </w:tc>
        <w:tc>
          <w:tcPr>
            <w:tcW w:w="1433" w:type="dxa"/>
            <w:vAlign w:val="center"/>
          </w:tcPr>
          <w:p w14:paraId="16C9E16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单位</w:t>
            </w:r>
          </w:p>
        </w:tc>
        <w:tc>
          <w:tcPr>
            <w:tcW w:w="960" w:type="dxa"/>
            <w:vAlign w:val="center"/>
          </w:tcPr>
          <w:p w14:paraId="3FB0274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数值</w:t>
            </w:r>
          </w:p>
        </w:tc>
      </w:tr>
      <w:tr w14:paraId="1F86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vAlign w:val="center"/>
          </w:tcPr>
          <w:p w14:paraId="3F2D7C0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施工扬尘</w:t>
            </w:r>
          </w:p>
        </w:tc>
        <w:tc>
          <w:tcPr>
            <w:tcW w:w="3664" w:type="dxa"/>
            <w:vAlign w:val="center"/>
          </w:tcPr>
          <w:p w14:paraId="4E2EB3E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1"/>
                <w:vertAlign w:val="baseline"/>
                <w:lang w:eastAsia="zh-CN"/>
              </w:rPr>
            </w:pPr>
            <w:r>
              <w:rPr>
                <w:rFonts w:hint="eastAsia"/>
                <w:color w:val="auto"/>
                <w:sz w:val="21"/>
                <w:szCs w:val="21"/>
                <w:vertAlign w:val="baseline"/>
                <w:lang w:eastAsia="zh-CN"/>
              </w:rPr>
              <w:t>《</w:t>
            </w:r>
            <w:r>
              <w:rPr>
                <w:rFonts w:hint="eastAsia"/>
                <w:color w:val="auto"/>
                <w:sz w:val="21"/>
                <w:szCs w:val="21"/>
                <w:vertAlign w:val="baseline"/>
                <w:lang w:val="en-US" w:eastAsia="zh-CN"/>
              </w:rPr>
              <w:t>大气污染物综合排放标准</w:t>
            </w:r>
            <w:r>
              <w:rPr>
                <w:rFonts w:hint="eastAsia"/>
                <w:color w:val="auto"/>
                <w:sz w:val="21"/>
                <w:szCs w:val="21"/>
                <w:vertAlign w:val="baseline"/>
                <w:lang w:eastAsia="zh-CN"/>
              </w:rPr>
              <w:t>》（</w:t>
            </w:r>
            <w:r>
              <w:rPr>
                <w:rFonts w:hint="eastAsia"/>
                <w:color w:val="auto"/>
                <w:sz w:val="21"/>
                <w:szCs w:val="21"/>
                <w:vertAlign w:val="baseline"/>
                <w:lang w:val="en-US" w:eastAsia="zh-CN"/>
              </w:rPr>
              <w:t>GB16297-1996</w:t>
            </w:r>
            <w:r>
              <w:rPr>
                <w:rFonts w:hint="eastAsia"/>
                <w:color w:val="auto"/>
                <w:sz w:val="21"/>
                <w:szCs w:val="21"/>
                <w:vertAlign w:val="baseline"/>
                <w:lang w:eastAsia="zh-CN"/>
              </w:rPr>
              <w:t>）</w:t>
            </w:r>
          </w:p>
        </w:tc>
        <w:tc>
          <w:tcPr>
            <w:tcW w:w="1378" w:type="dxa"/>
            <w:vAlign w:val="center"/>
          </w:tcPr>
          <w:p w14:paraId="4EC5F01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TSP</w:t>
            </w:r>
          </w:p>
        </w:tc>
        <w:tc>
          <w:tcPr>
            <w:tcW w:w="1433" w:type="dxa"/>
            <w:vAlign w:val="center"/>
          </w:tcPr>
          <w:p w14:paraId="2E22366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1"/>
                <w:vertAlign w:val="baseline"/>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960" w:type="dxa"/>
            <w:vAlign w:val="center"/>
          </w:tcPr>
          <w:p w14:paraId="170536E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r>
      <w:tr w14:paraId="7D4B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vAlign w:val="center"/>
          </w:tcPr>
          <w:p w14:paraId="706397CD">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运营期厂界外无组织废气</w:t>
            </w:r>
          </w:p>
        </w:tc>
        <w:tc>
          <w:tcPr>
            <w:tcW w:w="3664" w:type="dxa"/>
            <w:vAlign w:val="center"/>
          </w:tcPr>
          <w:p w14:paraId="4108242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1"/>
                <w:vertAlign w:val="baseline"/>
              </w:rPr>
            </w:pPr>
            <w:r>
              <w:rPr>
                <w:rFonts w:hint="default" w:ascii="Times New Roman" w:hAnsi="Times New Roman" w:eastAsia="宋体" w:cs="Times New Roman"/>
                <w:color w:val="auto"/>
                <w:sz w:val="21"/>
                <w:szCs w:val="21"/>
              </w:rPr>
              <w:t>《陆上石油天然气开采工业大气污染物排放标准》（GB39728-2020）</w:t>
            </w:r>
          </w:p>
        </w:tc>
        <w:tc>
          <w:tcPr>
            <w:tcW w:w="1378" w:type="dxa"/>
            <w:vAlign w:val="center"/>
          </w:tcPr>
          <w:p w14:paraId="06152F7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非甲烷总烃</w:t>
            </w:r>
          </w:p>
        </w:tc>
        <w:tc>
          <w:tcPr>
            <w:tcW w:w="1433" w:type="dxa"/>
            <w:vAlign w:val="center"/>
          </w:tcPr>
          <w:p w14:paraId="6B00EFD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1"/>
                <w:vertAlign w:val="baseline"/>
              </w:rPr>
            </w:pPr>
            <w:r>
              <w:rPr>
                <w:rFonts w:hint="eastAsia" w:eastAsia="宋体" w:cs="Times New Roman"/>
                <w:color w:val="auto"/>
                <w:sz w:val="21"/>
                <w:szCs w:val="21"/>
                <w:lang w:val="en-US" w:eastAsia="zh-CN"/>
              </w:rPr>
              <w:t>企业边界污染物控制要求</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960" w:type="dxa"/>
            <w:vAlign w:val="center"/>
          </w:tcPr>
          <w:p w14:paraId="31396F2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w:t>
            </w:r>
          </w:p>
        </w:tc>
      </w:tr>
      <w:tr w14:paraId="0E1D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vMerge w:val="restart"/>
            <w:vAlign w:val="center"/>
          </w:tcPr>
          <w:p w14:paraId="4F6D87D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施工噪声</w:t>
            </w:r>
          </w:p>
        </w:tc>
        <w:tc>
          <w:tcPr>
            <w:tcW w:w="3664" w:type="dxa"/>
            <w:vMerge w:val="restart"/>
            <w:vAlign w:val="center"/>
          </w:tcPr>
          <w:p w14:paraId="4D8A133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eastAsia="宋体"/>
                <w:color w:val="auto"/>
                <w:sz w:val="21"/>
                <w:szCs w:val="21"/>
                <w:vertAlign w:val="baseline"/>
                <w:lang w:eastAsia="zh-CN"/>
              </w:rPr>
            </w:pPr>
            <w:r>
              <w:rPr>
                <w:rFonts w:hint="eastAsia"/>
                <w:color w:val="auto"/>
                <w:sz w:val="21"/>
                <w:szCs w:val="21"/>
                <w:vertAlign w:val="baseline"/>
                <w:lang w:eastAsia="zh-CN"/>
              </w:rPr>
              <w:t>《</w:t>
            </w:r>
            <w:r>
              <w:rPr>
                <w:rFonts w:hint="eastAsia"/>
                <w:color w:val="auto"/>
                <w:sz w:val="21"/>
                <w:szCs w:val="21"/>
                <w:vertAlign w:val="baseline"/>
                <w:lang w:val="en-US" w:eastAsia="zh-CN"/>
              </w:rPr>
              <w:t>建筑施工场界环境噪声排放标准</w:t>
            </w:r>
            <w:r>
              <w:rPr>
                <w:rFonts w:hint="eastAsia"/>
                <w:color w:val="auto"/>
                <w:sz w:val="21"/>
                <w:szCs w:val="21"/>
                <w:vertAlign w:val="baseline"/>
                <w:lang w:eastAsia="zh-CN"/>
              </w:rPr>
              <w:t>》（</w:t>
            </w:r>
            <w:r>
              <w:rPr>
                <w:rFonts w:hint="eastAsia"/>
                <w:color w:val="auto"/>
                <w:sz w:val="21"/>
                <w:szCs w:val="21"/>
                <w:vertAlign w:val="baseline"/>
                <w:lang w:val="en-US" w:eastAsia="zh-CN"/>
              </w:rPr>
              <w:t>GB12523-2011</w:t>
            </w:r>
            <w:r>
              <w:rPr>
                <w:rFonts w:hint="eastAsia"/>
                <w:color w:val="auto"/>
                <w:sz w:val="21"/>
                <w:szCs w:val="21"/>
                <w:vertAlign w:val="baseline"/>
                <w:lang w:eastAsia="zh-CN"/>
              </w:rPr>
              <w:t>）</w:t>
            </w:r>
          </w:p>
        </w:tc>
        <w:tc>
          <w:tcPr>
            <w:tcW w:w="1378" w:type="dxa"/>
            <w:vAlign w:val="center"/>
          </w:tcPr>
          <w:p w14:paraId="4FC23F7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昼间噪声</w:t>
            </w:r>
          </w:p>
        </w:tc>
        <w:tc>
          <w:tcPr>
            <w:tcW w:w="1433" w:type="dxa"/>
            <w:vMerge w:val="restart"/>
            <w:vAlign w:val="center"/>
          </w:tcPr>
          <w:p w14:paraId="1A06EF8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1"/>
                <w:vertAlign w:val="baseline"/>
              </w:rPr>
            </w:pPr>
            <w:r>
              <w:rPr>
                <w:rFonts w:hint="eastAsia"/>
                <w:color w:val="auto"/>
                <w:sz w:val="21"/>
                <w:szCs w:val="21"/>
                <w:vertAlign w:val="baseline"/>
                <w:lang w:val="en-US" w:eastAsia="zh-CN"/>
              </w:rPr>
              <w:t>dB(A)</w:t>
            </w:r>
          </w:p>
        </w:tc>
        <w:tc>
          <w:tcPr>
            <w:tcW w:w="960" w:type="dxa"/>
            <w:vAlign w:val="center"/>
          </w:tcPr>
          <w:p w14:paraId="7E9C07A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rPr>
              <w:t>≤</w:t>
            </w:r>
            <w:r>
              <w:rPr>
                <w:rFonts w:hint="default" w:ascii="Times New Roman" w:hAnsi="Times New Roman" w:cs="Times New Roman"/>
                <w:color w:val="auto"/>
                <w:sz w:val="21"/>
                <w:szCs w:val="21"/>
                <w:vertAlign w:val="baseline"/>
                <w:lang w:val="en-US" w:eastAsia="zh-CN"/>
              </w:rPr>
              <w:t>70</w:t>
            </w:r>
          </w:p>
        </w:tc>
      </w:tr>
      <w:tr w14:paraId="76D8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7" w:type="dxa"/>
            <w:vMerge w:val="continue"/>
            <w:vAlign w:val="center"/>
          </w:tcPr>
          <w:p w14:paraId="561EA09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1"/>
                <w:vertAlign w:val="baseline"/>
                <w:lang w:val="en-US" w:eastAsia="zh-CN"/>
              </w:rPr>
            </w:pPr>
          </w:p>
        </w:tc>
        <w:tc>
          <w:tcPr>
            <w:tcW w:w="3664" w:type="dxa"/>
            <w:vMerge w:val="continue"/>
            <w:vAlign w:val="center"/>
          </w:tcPr>
          <w:p w14:paraId="40C5BCD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1"/>
                <w:vertAlign w:val="baseline"/>
                <w:lang w:eastAsia="zh-CN"/>
              </w:rPr>
            </w:pPr>
          </w:p>
        </w:tc>
        <w:tc>
          <w:tcPr>
            <w:tcW w:w="1378" w:type="dxa"/>
            <w:vAlign w:val="center"/>
          </w:tcPr>
          <w:p w14:paraId="020D6D0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夜间噪声</w:t>
            </w:r>
          </w:p>
        </w:tc>
        <w:tc>
          <w:tcPr>
            <w:tcW w:w="1433" w:type="dxa"/>
            <w:vMerge w:val="continue"/>
            <w:vAlign w:val="center"/>
          </w:tcPr>
          <w:p w14:paraId="11C4791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1"/>
                <w:vertAlign w:val="baseline"/>
              </w:rPr>
            </w:pPr>
          </w:p>
        </w:tc>
        <w:tc>
          <w:tcPr>
            <w:tcW w:w="960" w:type="dxa"/>
            <w:vAlign w:val="center"/>
          </w:tcPr>
          <w:p w14:paraId="028B443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rPr>
              <w:t>≤</w:t>
            </w:r>
            <w:r>
              <w:rPr>
                <w:rFonts w:hint="default" w:ascii="Times New Roman" w:hAnsi="Times New Roman" w:cs="Times New Roman"/>
                <w:color w:val="auto"/>
                <w:sz w:val="21"/>
                <w:szCs w:val="21"/>
                <w:vertAlign w:val="baseline"/>
                <w:lang w:val="en-US" w:eastAsia="zh-CN"/>
              </w:rPr>
              <w:t>55</w:t>
            </w:r>
          </w:p>
        </w:tc>
      </w:tr>
      <w:tr w14:paraId="3B4F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vMerge w:val="restart"/>
            <w:vAlign w:val="center"/>
          </w:tcPr>
          <w:p w14:paraId="3346ED5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运营期噪声</w:t>
            </w:r>
          </w:p>
        </w:tc>
        <w:tc>
          <w:tcPr>
            <w:tcW w:w="3664" w:type="dxa"/>
            <w:vMerge w:val="restart"/>
            <w:vAlign w:val="center"/>
          </w:tcPr>
          <w:p w14:paraId="5B3AB7C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eastAsia="zh-CN"/>
              </w:rPr>
              <w:t>《</w:t>
            </w:r>
            <w:r>
              <w:rPr>
                <w:rFonts w:hint="eastAsia"/>
                <w:color w:val="auto"/>
                <w:sz w:val="21"/>
                <w:szCs w:val="21"/>
                <w:vertAlign w:val="baseline"/>
                <w:lang w:val="en-US" w:eastAsia="zh-CN"/>
              </w:rPr>
              <w:t>工业企业厂界环境噪声排放标准</w:t>
            </w:r>
            <w:r>
              <w:rPr>
                <w:rFonts w:hint="eastAsia"/>
                <w:color w:val="auto"/>
                <w:sz w:val="21"/>
                <w:szCs w:val="21"/>
                <w:vertAlign w:val="baseline"/>
                <w:lang w:eastAsia="zh-CN"/>
              </w:rPr>
              <w:t>》（</w:t>
            </w:r>
            <w:r>
              <w:rPr>
                <w:rFonts w:hint="eastAsia"/>
                <w:color w:val="auto"/>
                <w:sz w:val="21"/>
                <w:szCs w:val="21"/>
                <w:vertAlign w:val="baseline"/>
                <w:lang w:val="en-US" w:eastAsia="zh-CN"/>
              </w:rPr>
              <w:t>GB12348-2008</w:t>
            </w:r>
            <w:r>
              <w:rPr>
                <w:rFonts w:hint="eastAsia"/>
                <w:color w:val="auto"/>
                <w:sz w:val="21"/>
                <w:szCs w:val="21"/>
                <w:vertAlign w:val="baseline"/>
                <w:lang w:eastAsia="zh-CN"/>
              </w:rPr>
              <w:t>）</w:t>
            </w:r>
            <w:r>
              <w:rPr>
                <w:rFonts w:hint="eastAsia"/>
                <w:color w:val="auto"/>
                <w:sz w:val="21"/>
                <w:szCs w:val="21"/>
                <w:vertAlign w:val="baseline"/>
                <w:lang w:val="en-US" w:eastAsia="zh-CN"/>
              </w:rPr>
              <w:t>2类区标准</w:t>
            </w:r>
          </w:p>
        </w:tc>
        <w:tc>
          <w:tcPr>
            <w:tcW w:w="1378" w:type="dxa"/>
            <w:vAlign w:val="center"/>
          </w:tcPr>
          <w:p w14:paraId="6137B88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昼间噪声</w:t>
            </w:r>
          </w:p>
        </w:tc>
        <w:tc>
          <w:tcPr>
            <w:tcW w:w="1433" w:type="dxa"/>
            <w:vMerge w:val="restart"/>
            <w:vAlign w:val="center"/>
          </w:tcPr>
          <w:p w14:paraId="5A08208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1"/>
                <w:vertAlign w:val="baseline"/>
              </w:rPr>
            </w:pPr>
            <w:r>
              <w:rPr>
                <w:rFonts w:hint="eastAsia"/>
                <w:color w:val="auto"/>
                <w:sz w:val="21"/>
                <w:szCs w:val="21"/>
                <w:vertAlign w:val="baseline"/>
                <w:lang w:val="en-US" w:eastAsia="zh-CN"/>
              </w:rPr>
              <w:t>dB(A)</w:t>
            </w:r>
          </w:p>
        </w:tc>
        <w:tc>
          <w:tcPr>
            <w:tcW w:w="960" w:type="dxa"/>
            <w:vAlign w:val="center"/>
          </w:tcPr>
          <w:p w14:paraId="64AC6B6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rPr>
              <w:t>≤</w:t>
            </w:r>
            <w:r>
              <w:rPr>
                <w:rFonts w:hint="default" w:ascii="Times New Roman" w:hAnsi="Times New Roman" w:cs="Times New Roman"/>
                <w:color w:val="auto"/>
                <w:sz w:val="21"/>
                <w:szCs w:val="21"/>
                <w:vertAlign w:val="baseline"/>
                <w:lang w:val="en-US" w:eastAsia="zh-CN"/>
              </w:rPr>
              <w:t>60</w:t>
            </w:r>
          </w:p>
        </w:tc>
      </w:tr>
      <w:tr w14:paraId="79F5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vMerge w:val="continue"/>
            <w:vAlign w:val="center"/>
          </w:tcPr>
          <w:p w14:paraId="12EA6C9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p>
        </w:tc>
        <w:tc>
          <w:tcPr>
            <w:tcW w:w="3664" w:type="dxa"/>
            <w:vMerge w:val="continue"/>
            <w:vAlign w:val="center"/>
          </w:tcPr>
          <w:p w14:paraId="49B3B7C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p>
        </w:tc>
        <w:tc>
          <w:tcPr>
            <w:tcW w:w="1378" w:type="dxa"/>
            <w:vAlign w:val="center"/>
          </w:tcPr>
          <w:p w14:paraId="7DDFBF9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1"/>
                <w:vertAlign w:val="baseline"/>
              </w:rPr>
            </w:pPr>
            <w:r>
              <w:rPr>
                <w:rFonts w:hint="eastAsia"/>
                <w:color w:val="auto"/>
                <w:sz w:val="21"/>
                <w:szCs w:val="21"/>
                <w:vertAlign w:val="baseline"/>
                <w:lang w:val="en-US" w:eastAsia="zh-CN"/>
              </w:rPr>
              <w:t>夜间噪声</w:t>
            </w:r>
          </w:p>
        </w:tc>
        <w:tc>
          <w:tcPr>
            <w:tcW w:w="1433" w:type="dxa"/>
            <w:vMerge w:val="continue"/>
            <w:vAlign w:val="center"/>
          </w:tcPr>
          <w:p w14:paraId="7B74D40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color w:val="auto"/>
                <w:sz w:val="21"/>
                <w:szCs w:val="21"/>
                <w:vertAlign w:val="baseline"/>
              </w:rPr>
            </w:pPr>
          </w:p>
        </w:tc>
        <w:tc>
          <w:tcPr>
            <w:tcW w:w="960" w:type="dxa"/>
            <w:vAlign w:val="center"/>
          </w:tcPr>
          <w:p w14:paraId="6F9E2B9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rPr>
              <w:t>≤</w:t>
            </w:r>
            <w:r>
              <w:rPr>
                <w:rFonts w:hint="default" w:ascii="Times New Roman" w:hAnsi="Times New Roman" w:cs="Times New Roman"/>
                <w:color w:val="auto"/>
                <w:sz w:val="21"/>
                <w:szCs w:val="21"/>
                <w:vertAlign w:val="baseline"/>
                <w:lang w:val="en-US" w:eastAsia="zh-CN"/>
              </w:rPr>
              <w:t>50</w:t>
            </w:r>
          </w:p>
        </w:tc>
      </w:tr>
      <w:tr w14:paraId="4E06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vAlign w:val="center"/>
          </w:tcPr>
          <w:p w14:paraId="2078576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固废</w:t>
            </w:r>
          </w:p>
        </w:tc>
        <w:tc>
          <w:tcPr>
            <w:tcW w:w="7435" w:type="dxa"/>
            <w:gridSpan w:val="4"/>
            <w:vAlign w:val="center"/>
          </w:tcPr>
          <w:p w14:paraId="28C673C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一般固废执行《一般工业固体废物贮存和填埋污染控制标准》（GB18599-2020）、危险废物执行《危险废物贮存污染控制标准》（GB18597-2023）中有关规定</w:t>
            </w:r>
          </w:p>
        </w:tc>
      </w:tr>
    </w:tbl>
    <w:p w14:paraId="7FE51D75">
      <w:pPr>
        <w:pStyle w:val="43"/>
        <w:bidi w:val="0"/>
        <w:rPr>
          <w:rFonts w:cs="Times New Roman"/>
          <w:color w:val="auto"/>
          <w:szCs w:val="20"/>
        </w:rPr>
      </w:pPr>
      <w:bookmarkStart w:id="92" w:name="_Ref170124321"/>
      <w:bookmarkStart w:id="93" w:name="_Ref698"/>
      <w:bookmarkStart w:id="94" w:name="_Toc7083"/>
      <w:bookmarkStart w:id="95" w:name="_Toc17905"/>
      <w:bookmarkStart w:id="96" w:name="_Toc24643"/>
      <w:bookmarkStart w:id="97" w:name="_Toc8973"/>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2.4</w:t>
      </w:r>
      <w:r>
        <w:rPr>
          <w:rFonts w:cs="Times New Roman"/>
          <w:color w:val="auto"/>
        </w:rPr>
        <w:fldChar w:fldCharType="end"/>
      </w:r>
      <w:r>
        <w:rPr>
          <w:rFonts w:cs="Times New Roman"/>
          <w:color w:val="auto"/>
        </w:rPr>
        <w:noBreakHyphen/>
      </w:r>
      <w:bookmarkEnd w:id="92"/>
      <w:r>
        <w:rPr>
          <w:rFonts w:hint="eastAsia" w:cs="Times New Roman"/>
          <w:color w:val="auto"/>
          <w:lang w:val="en-US" w:eastAsia="zh-CN"/>
        </w:rPr>
        <w:t>5</w:t>
      </w:r>
      <w:r>
        <w:rPr>
          <w:rFonts w:cs="Times New Roman"/>
          <w:color w:val="auto"/>
        </w:rPr>
        <w:t xml:space="preserve">  碎屑岩油藏注水水质指标技术要求及分析方法</w:t>
      </w:r>
      <w:bookmarkEnd w:id="93"/>
    </w:p>
    <w:tbl>
      <w:tblPr>
        <w:tblStyle w:val="47"/>
        <w:tblW w:w="5086" w:type="pct"/>
        <w:tblInd w:w="-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2594"/>
        <w:gridCol w:w="1102"/>
        <w:gridCol w:w="1362"/>
        <w:gridCol w:w="1309"/>
        <w:gridCol w:w="1146"/>
        <w:gridCol w:w="1052"/>
      </w:tblGrid>
      <w:tr w14:paraId="19E61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1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1DB0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b/>
                <w:bCs/>
                <w:color w:val="auto"/>
                <w:lang w:val="en-US" w:eastAsia="zh-CN"/>
              </w:rPr>
            </w:pPr>
            <w:r>
              <w:rPr>
                <w:b/>
                <w:bCs/>
                <w:color w:val="auto"/>
              </w:rPr>
              <w:t>储层空气渗透率μm</w:t>
            </w:r>
            <w:r>
              <w:rPr>
                <w:rFonts w:hint="eastAsia"/>
                <w:b/>
                <w:bCs/>
                <w:color w:val="auto"/>
                <w:vertAlign w:val="superscript"/>
                <w:lang w:val="en-US" w:eastAsia="zh-CN"/>
              </w:rPr>
              <w:t>2</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2DDF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&lt;0.01</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B12D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w:t>
            </w:r>
            <w:r>
              <w:rPr>
                <w:b/>
                <w:bCs/>
                <w:color w:val="auto"/>
              </w:rPr>
              <w:fldChar w:fldCharType="begin"/>
            </w:r>
            <w:r>
              <w:rPr>
                <w:b/>
                <w:bCs/>
                <w:color w:val="auto"/>
              </w:rPr>
              <w:instrText xml:space="preserve"> HYPERLINK "file:///D:\\360MoveData\\Users\\123\\Desktop\\长庆油田分公司第三采油厂2023年产能建设工程（榆林区域）%20会后修改稿(评估中心意见修改稿)%201%20-%20二次修改（2024.6.11）\\0.01.0.05" </w:instrText>
            </w:r>
            <w:r>
              <w:rPr>
                <w:b/>
                <w:bCs/>
                <w:color w:val="auto"/>
              </w:rPr>
              <w:fldChar w:fldCharType="separate"/>
            </w:r>
            <w:r>
              <w:rPr>
                <w:b/>
                <w:bCs/>
                <w:color w:val="auto"/>
              </w:rPr>
              <w:t>0.01，0.05</w:t>
            </w:r>
            <w:r>
              <w:rPr>
                <w:b/>
                <w:bCs/>
                <w:color w:val="auto"/>
              </w:rPr>
              <w:fldChar w:fldCharType="end"/>
            </w:r>
            <w:r>
              <w:rPr>
                <w:b/>
                <w:bCs/>
                <w:color w:val="auto"/>
              </w:rPr>
              <w:t>）</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77D9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w:t>
            </w:r>
            <w:r>
              <w:rPr>
                <w:b/>
                <w:bCs/>
                <w:color w:val="auto"/>
              </w:rPr>
              <w:fldChar w:fldCharType="begin"/>
            </w:r>
            <w:r>
              <w:rPr>
                <w:b/>
                <w:bCs/>
                <w:color w:val="auto"/>
              </w:rPr>
              <w:instrText xml:space="preserve"> HYPERLINK "file:///D:\\360MoveData\\Users\\123\\Desktop\\长庆油田分公司第三采油厂2023年产能建设工程（榆林区域）%20会后修改稿(评估中心意见修改稿)%201%20-%20二次修改（2024.6.11）\\0.01.0.05" </w:instrText>
            </w:r>
            <w:r>
              <w:rPr>
                <w:b/>
                <w:bCs/>
                <w:color w:val="auto"/>
              </w:rPr>
              <w:fldChar w:fldCharType="separate"/>
            </w:r>
            <w:r>
              <w:rPr>
                <w:b/>
                <w:bCs/>
                <w:color w:val="auto"/>
              </w:rPr>
              <w:t>0.05，0.5</w:t>
            </w:r>
            <w:r>
              <w:rPr>
                <w:b/>
                <w:bCs/>
                <w:color w:val="auto"/>
              </w:rPr>
              <w:fldChar w:fldCharType="end"/>
            </w:r>
            <w:r>
              <w:rPr>
                <w:b/>
                <w:bCs/>
                <w:color w:val="auto"/>
              </w:rPr>
              <w:t>）</w:t>
            </w:r>
          </w:p>
        </w:tc>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4F06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w:t>
            </w:r>
            <w:r>
              <w:rPr>
                <w:b/>
                <w:bCs/>
                <w:color w:val="auto"/>
              </w:rPr>
              <w:fldChar w:fldCharType="begin"/>
            </w:r>
            <w:r>
              <w:rPr>
                <w:b/>
                <w:bCs/>
                <w:color w:val="auto"/>
              </w:rPr>
              <w:instrText xml:space="preserve"> HYPERLINK "file:///D:\\360MoveData\\Users\\123\\Desktop\\长庆油田分公司第三采油厂2023年产能建设工程（榆林区域）%20会后修改稿(评估中心意见修改稿)%201%20-%20二次修改（2024.6.11）\\0.01.0.05" </w:instrText>
            </w:r>
            <w:r>
              <w:rPr>
                <w:b/>
                <w:bCs/>
                <w:color w:val="auto"/>
              </w:rPr>
              <w:fldChar w:fldCharType="separate"/>
            </w:r>
            <w:r>
              <w:rPr>
                <w:b/>
                <w:bCs/>
                <w:color w:val="auto"/>
              </w:rPr>
              <w:t>0.5，2</w:t>
            </w:r>
            <w:r>
              <w:rPr>
                <w:b/>
                <w:bCs/>
                <w:color w:val="auto"/>
              </w:rPr>
              <w:fldChar w:fldCharType="end"/>
            </w:r>
            <w:r>
              <w:rPr>
                <w:b/>
                <w:bCs/>
                <w:color w:val="auto"/>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FAE8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&gt;2</w:t>
            </w:r>
          </w:p>
        </w:tc>
      </w:tr>
      <w:tr w14:paraId="4E705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1514" w:type="pct"/>
            <w:tcBorders>
              <w:top w:val="single" w:color="000000" w:sz="4" w:space="0"/>
              <w:left w:val="single" w:color="000000" w:sz="4" w:space="0"/>
              <w:bottom w:val="single" w:color="000000" w:sz="4" w:space="0"/>
              <w:right w:val="single" w:color="000000" w:sz="4" w:space="0"/>
            </w:tcBorders>
            <w:vAlign w:val="center"/>
          </w:tcPr>
          <w:p w14:paraId="76DC88E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水质标准分级</w:t>
            </w:r>
          </w:p>
        </w:tc>
        <w:tc>
          <w:tcPr>
            <w:tcW w:w="643" w:type="pct"/>
            <w:tcBorders>
              <w:top w:val="single" w:color="000000" w:sz="4" w:space="0"/>
              <w:left w:val="single" w:color="000000" w:sz="4" w:space="0"/>
              <w:bottom w:val="single" w:color="000000" w:sz="4" w:space="0"/>
              <w:right w:val="single" w:color="000000" w:sz="4" w:space="0"/>
            </w:tcBorders>
            <w:vAlign w:val="center"/>
          </w:tcPr>
          <w:p w14:paraId="5E657BA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I</w:t>
            </w:r>
          </w:p>
        </w:tc>
        <w:tc>
          <w:tcPr>
            <w:tcW w:w="795" w:type="pct"/>
            <w:tcBorders>
              <w:top w:val="single" w:color="000000" w:sz="4" w:space="0"/>
              <w:left w:val="single" w:color="000000" w:sz="4" w:space="0"/>
              <w:bottom w:val="single" w:color="000000" w:sz="4" w:space="0"/>
              <w:right w:val="single" w:color="000000" w:sz="4" w:space="0"/>
            </w:tcBorders>
            <w:vAlign w:val="center"/>
          </w:tcPr>
          <w:p w14:paraId="29C71A7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w:t>
            </w:r>
          </w:p>
        </w:tc>
        <w:tc>
          <w:tcPr>
            <w:tcW w:w="764" w:type="pct"/>
            <w:tcBorders>
              <w:top w:val="single" w:color="000000" w:sz="4" w:space="0"/>
              <w:left w:val="single" w:color="000000" w:sz="4" w:space="0"/>
              <w:bottom w:val="single" w:color="000000" w:sz="4" w:space="0"/>
              <w:right w:val="single" w:color="000000" w:sz="4" w:space="0"/>
            </w:tcBorders>
            <w:vAlign w:val="center"/>
          </w:tcPr>
          <w:p w14:paraId="637471A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Ⅲ</w:t>
            </w:r>
          </w:p>
        </w:tc>
        <w:tc>
          <w:tcPr>
            <w:tcW w:w="669" w:type="pct"/>
            <w:tcBorders>
              <w:top w:val="single" w:color="000000" w:sz="4" w:space="0"/>
              <w:left w:val="single" w:color="000000" w:sz="4" w:space="0"/>
              <w:bottom w:val="single" w:color="000000" w:sz="4" w:space="0"/>
              <w:right w:val="single" w:color="000000" w:sz="4" w:space="0"/>
            </w:tcBorders>
            <w:vAlign w:val="center"/>
          </w:tcPr>
          <w:p w14:paraId="4800597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IV</w:t>
            </w:r>
          </w:p>
        </w:tc>
        <w:tc>
          <w:tcPr>
            <w:tcW w:w="611" w:type="pct"/>
            <w:tcBorders>
              <w:top w:val="single" w:color="000000" w:sz="4" w:space="0"/>
              <w:left w:val="single" w:color="000000" w:sz="4" w:space="0"/>
              <w:bottom w:val="single" w:color="000000" w:sz="4" w:space="0"/>
              <w:right w:val="single" w:color="000000" w:sz="4" w:space="0"/>
            </w:tcBorders>
            <w:vAlign w:val="center"/>
          </w:tcPr>
          <w:p w14:paraId="0CEC58B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V</w:t>
            </w:r>
          </w:p>
        </w:tc>
      </w:tr>
      <w:tr w14:paraId="35AA7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1514" w:type="pct"/>
            <w:tcBorders>
              <w:top w:val="single" w:color="000000" w:sz="4" w:space="0"/>
              <w:left w:val="single" w:color="000000" w:sz="4" w:space="0"/>
              <w:bottom w:val="single" w:color="000000" w:sz="4" w:space="0"/>
              <w:right w:val="single" w:color="000000" w:sz="4" w:space="0"/>
            </w:tcBorders>
            <w:vAlign w:val="center"/>
          </w:tcPr>
          <w:p w14:paraId="1176FB1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悬浮固体含量mg/L</w:t>
            </w:r>
          </w:p>
        </w:tc>
        <w:tc>
          <w:tcPr>
            <w:tcW w:w="643" w:type="pct"/>
            <w:tcBorders>
              <w:top w:val="single" w:color="000000" w:sz="4" w:space="0"/>
              <w:left w:val="single" w:color="000000" w:sz="4" w:space="0"/>
              <w:bottom w:val="single" w:color="000000" w:sz="4" w:space="0"/>
              <w:right w:val="single" w:color="000000" w:sz="4" w:space="0"/>
            </w:tcBorders>
            <w:vAlign w:val="center"/>
          </w:tcPr>
          <w:p w14:paraId="735E363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≤8.0</w:t>
            </w:r>
          </w:p>
        </w:tc>
        <w:tc>
          <w:tcPr>
            <w:tcW w:w="795" w:type="pct"/>
            <w:tcBorders>
              <w:top w:val="single" w:color="000000" w:sz="4" w:space="0"/>
              <w:left w:val="single" w:color="000000" w:sz="4" w:space="0"/>
              <w:bottom w:val="single" w:color="000000" w:sz="4" w:space="0"/>
              <w:right w:val="single" w:color="000000" w:sz="4" w:space="0"/>
            </w:tcBorders>
            <w:vAlign w:val="center"/>
          </w:tcPr>
          <w:p w14:paraId="4A57845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≤15.0</w:t>
            </w:r>
          </w:p>
        </w:tc>
        <w:tc>
          <w:tcPr>
            <w:tcW w:w="764" w:type="pct"/>
            <w:tcBorders>
              <w:top w:val="single" w:color="000000" w:sz="4" w:space="0"/>
              <w:left w:val="single" w:color="000000" w:sz="4" w:space="0"/>
              <w:bottom w:val="single" w:color="000000" w:sz="4" w:space="0"/>
              <w:right w:val="single" w:color="000000" w:sz="4" w:space="0"/>
            </w:tcBorders>
            <w:vAlign w:val="center"/>
          </w:tcPr>
          <w:p w14:paraId="395384B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≤20.0</w:t>
            </w:r>
          </w:p>
        </w:tc>
        <w:tc>
          <w:tcPr>
            <w:tcW w:w="669" w:type="pct"/>
            <w:tcBorders>
              <w:top w:val="single" w:color="000000" w:sz="4" w:space="0"/>
              <w:left w:val="single" w:color="000000" w:sz="4" w:space="0"/>
              <w:bottom w:val="single" w:color="000000" w:sz="4" w:space="0"/>
              <w:right w:val="single" w:color="000000" w:sz="4" w:space="0"/>
            </w:tcBorders>
            <w:vAlign w:val="center"/>
          </w:tcPr>
          <w:p w14:paraId="2CBC2A0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&lt;25.0</w:t>
            </w:r>
          </w:p>
        </w:tc>
        <w:tc>
          <w:tcPr>
            <w:tcW w:w="611" w:type="pct"/>
            <w:tcBorders>
              <w:top w:val="single" w:color="000000" w:sz="4" w:space="0"/>
              <w:left w:val="single" w:color="000000" w:sz="4" w:space="0"/>
              <w:bottom w:val="single" w:color="000000" w:sz="4" w:space="0"/>
              <w:right w:val="single" w:color="000000" w:sz="4" w:space="0"/>
            </w:tcBorders>
            <w:vAlign w:val="center"/>
          </w:tcPr>
          <w:p w14:paraId="16D2A4D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≤35.0</w:t>
            </w:r>
          </w:p>
        </w:tc>
      </w:tr>
      <w:tr w14:paraId="4DFCF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1514" w:type="pct"/>
            <w:tcBorders>
              <w:top w:val="single" w:color="000000" w:sz="4" w:space="0"/>
              <w:left w:val="single" w:color="000000" w:sz="4" w:space="0"/>
              <w:bottom w:val="single" w:color="000000" w:sz="4" w:space="0"/>
              <w:right w:val="single" w:color="000000" w:sz="4" w:space="0"/>
            </w:tcBorders>
            <w:vAlign w:val="center"/>
          </w:tcPr>
          <w:p w14:paraId="51AD128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悬浮物颗粒直径中值μm</w:t>
            </w:r>
          </w:p>
        </w:tc>
        <w:tc>
          <w:tcPr>
            <w:tcW w:w="643" w:type="pct"/>
            <w:tcBorders>
              <w:top w:val="single" w:color="000000" w:sz="4" w:space="0"/>
              <w:left w:val="single" w:color="000000" w:sz="4" w:space="0"/>
              <w:bottom w:val="single" w:color="000000" w:sz="4" w:space="0"/>
              <w:right w:val="single" w:color="000000" w:sz="4" w:space="0"/>
            </w:tcBorders>
            <w:vAlign w:val="center"/>
          </w:tcPr>
          <w:p w14:paraId="568C946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≤3.0</w:t>
            </w:r>
          </w:p>
        </w:tc>
        <w:tc>
          <w:tcPr>
            <w:tcW w:w="795" w:type="pct"/>
            <w:tcBorders>
              <w:top w:val="single" w:color="000000" w:sz="4" w:space="0"/>
              <w:left w:val="single" w:color="000000" w:sz="4" w:space="0"/>
              <w:bottom w:val="single" w:color="000000" w:sz="4" w:space="0"/>
              <w:right w:val="single" w:color="000000" w:sz="4" w:space="0"/>
            </w:tcBorders>
            <w:vAlign w:val="center"/>
          </w:tcPr>
          <w:p w14:paraId="36554DC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≤5.0</w:t>
            </w:r>
          </w:p>
        </w:tc>
        <w:tc>
          <w:tcPr>
            <w:tcW w:w="764" w:type="pct"/>
            <w:tcBorders>
              <w:top w:val="single" w:color="000000" w:sz="4" w:space="0"/>
              <w:left w:val="single" w:color="000000" w:sz="4" w:space="0"/>
              <w:bottom w:val="single" w:color="000000" w:sz="4" w:space="0"/>
              <w:right w:val="single" w:color="000000" w:sz="4" w:space="0"/>
            </w:tcBorders>
            <w:vAlign w:val="center"/>
          </w:tcPr>
          <w:p w14:paraId="25F3A02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≤5.0</w:t>
            </w:r>
          </w:p>
        </w:tc>
        <w:tc>
          <w:tcPr>
            <w:tcW w:w="669" w:type="pct"/>
            <w:tcBorders>
              <w:top w:val="single" w:color="000000" w:sz="4" w:space="0"/>
              <w:left w:val="single" w:color="000000" w:sz="4" w:space="0"/>
              <w:bottom w:val="single" w:color="000000" w:sz="4" w:space="0"/>
              <w:right w:val="single" w:color="000000" w:sz="4" w:space="0"/>
            </w:tcBorders>
            <w:vAlign w:val="center"/>
          </w:tcPr>
          <w:p w14:paraId="7B54C62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≤5.0</w:t>
            </w:r>
          </w:p>
        </w:tc>
        <w:tc>
          <w:tcPr>
            <w:tcW w:w="611" w:type="pct"/>
            <w:tcBorders>
              <w:top w:val="single" w:color="000000" w:sz="4" w:space="0"/>
              <w:left w:val="single" w:color="000000" w:sz="4" w:space="0"/>
              <w:bottom w:val="single" w:color="000000" w:sz="4" w:space="0"/>
              <w:right w:val="single" w:color="000000" w:sz="4" w:space="0"/>
            </w:tcBorders>
            <w:vAlign w:val="center"/>
          </w:tcPr>
          <w:p w14:paraId="0E7F403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≤5.5</w:t>
            </w:r>
          </w:p>
        </w:tc>
      </w:tr>
      <w:tr w14:paraId="65CB1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1514" w:type="pct"/>
            <w:tcBorders>
              <w:top w:val="single" w:color="000000" w:sz="4" w:space="0"/>
              <w:left w:val="single" w:color="000000" w:sz="4" w:space="0"/>
              <w:bottom w:val="single" w:color="000000" w:sz="4" w:space="0"/>
              <w:right w:val="single" w:color="000000" w:sz="4" w:space="0"/>
            </w:tcBorders>
            <w:vAlign w:val="center"/>
          </w:tcPr>
          <w:p w14:paraId="1631A43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含油量mg/L</w:t>
            </w:r>
          </w:p>
        </w:tc>
        <w:tc>
          <w:tcPr>
            <w:tcW w:w="643" w:type="pct"/>
            <w:tcBorders>
              <w:top w:val="single" w:color="000000" w:sz="4" w:space="0"/>
              <w:left w:val="single" w:color="000000" w:sz="4" w:space="0"/>
              <w:bottom w:val="single" w:color="000000" w:sz="4" w:space="0"/>
              <w:right w:val="single" w:color="000000" w:sz="4" w:space="0"/>
            </w:tcBorders>
            <w:vAlign w:val="center"/>
          </w:tcPr>
          <w:p w14:paraId="1C0A464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≤5.0</w:t>
            </w:r>
          </w:p>
        </w:tc>
        <w:tc>
          <w:tcPr>
            <w:tcW w:w="795" w:type="pct"/>
            <w:tcBorders>
              <w:top w:val="single" w:color="000000" w:sz="4" w:space="0"/>
              <w:left w:val="single" w:color="000000" w:sz="4" w:space="0"/>
              <w:bottom w:val="single" w:color="000000" w:sz="4" w:space="0"/>
              <w:right w:val="single" w:color="000000" w:sz="4" w:space="0"/>
            </w:tcBorders>
            <w:vAlign w:val="center"/>
          </w:tcPr>
          <w:p w14:paraId="3426D3A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&lt;10.0</w:t>
            </w:r>
          </w:p>
        </w:tc>
        <w:tc>
          <w:tcPr>
            <w:tcW w:w="764" w:type="pct"/>
            <w:tcBorders>
              <w:top w:val="single" w:color="000000" w:sz="4" w:space="0"/>
              <w:left w:val="single" w:color="000000" w:sz="4" w:space="0"/>
              <w:bottom w:val="single" w:color="000000" w:sz="4" w:space="0"/>
              <w:right w:val="single" w:color="000000" w:sz="4" w:space="0"/>
            </w:tcBorders>
            <w:vAlign w:val="center"/>
          </w:tcPr>
          <w:p w14:paraId="658D91F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≤15.0</w:t>
            </w:r>
          </w:p>
        </w:tc>
        <w:tc>
          <w:tcPr>
            <w:tcW w:w="669" w:type="pct"/>
            <w:tcBorders>
              <w:top w:val="single" w:color="000000" w:sz="4" w:space="0"/>
              <w:left w:val="single" w:color="000000" w:sz="4" w:space="0"/>
              <w:bottom w:val="single" w:color="000000" w:sz="4" w:space="0"/>
              <w:right w:val="single" w:color="000000" w:sz="4" w:space="0"/>
            </w:tcBorders>
            <w:vAlign w:val="center"/>
          </w:tcPr>
          <w:p w14:paraId="4297215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&lt;30.0</w:t>
            </w:r>
          </w:p>
        </w:tc>
        <w:tc>
          <w:tcPr>
            <w:tcW w:w="611" w:type="pct"/>
            <w:tcBorders>
              <w:top w:val="single" w:color="000000" w:sz="4" w:space="0"/>
              <w:left w:val="single" w:color="000000" w:sz="4" w:space="0"/>
              <w:bottom w:val="single" w:color="000000" w:sz="4" w:space="0"/>
              <w:right w:val="single" w:color="000000" w:sz="4" w:space="0"/>
            </w:tcBorders>
            <w:vAlign w:val="center"/>
          </w:tcPr>
          <w:p w14:paraId="6A3B583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≤100.0</w:t>
            </w:r>
          </w:p>
        </w:tc>
      </w:tr>
      <w:tr w14:paraId="237EA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1514" w:type="pct"/>
            <w:tcBorders>
              <w:top w:val="single" w:color="000000" w:sz="4" w:space="0"/>
              <w:left w:val="single" w:color="000000" w:sz="4" w:space="0"/>
              <w:bottom w:val="single" w:color="000000" w:sz="4" w:space="0"/>
              <w:right w:val="single" w:color="000000" w:sz="4" w:space="0"/>
            </w:tcBorders>
            <w:vAlign w:val="center"/>
          </w:tcPr>
          <w:p w14:paraId="1A9F66D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平均腐蚀率mm/a</w:t>
            </w:r>
          </w:p>
        </w:tc>
        <w:tc>
          <w:tcPr>
            <w:tcW w:w="3485" w:type="pct"/>
            <w:gridSpan w:val="5"/>
            <w:tcBorders>
              <w:top w:val="single" w:color="000000" w:sz="4" w:space="0"/>
              <w:left w:val="single" w:color="000000" w:sz="4" w:space="0"/>
              <w:bottom w:val="single" w:color="000000" w:sz="4" w:space="0"/>
              <w:right w:val="single" w:color="000000" w:sz="4" w:space="0"/>
            </w:tcBorders>
            <w:vAlign w:val="center"/>
          </w:tcPr>
          <w:p w14:paraId="636C5A5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≤0.076</w:t>
            </w:r>
          </w:p>
        </w:tc>
      </w:tr>
    </w:tbl>
    <w:p w14:paraId="09CFE59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根据《陕西省生态环境厅关于碎屑岩油藏注水水质指标技术要求事宜的请示》（陕环字</w:t>
      </w:r>
      <w:r>
        <w:rPr>
          <w:rFonts w:hint="eastAsia" w:ascii="宋体" w:hAnsi="宋体" w:eastAsia="宋体" w:cs="宋体"/>
          <w:color w:val="auto"/>
          <w:sz w:val="24"/>
          <w:szCs w:val="28"/>
          <w:lang w:val="en-US" w:eastAsia="zh-CN"/>
        </w:rPr>
        <w:t>〔</w:t>
      </w:r>
      <w:r>
        <w:rPr>
          <w:rFonts w:hint="default" w:ascii="Times New Roman" w:hAnsi="Times New Roman" w:eastAsia="宋体" w:cs="Times New Roman"/>
          <w:color w:val="auto"/>
          <w:sz w:val="24"/>
          <w:szCs w:val="28"/>
          <w:lang w:val="en-US" w:eastAsia="zh-CN"/>
        </w:rPr>
        <w:t>2025</w:t>
      </w:r>
      <w:r>
        <w:rPr>
          <w:rFonts w:hint="eastAsia" w:ascii="宋体" w:hAnsi="宋体" w:eastAsia="宋体" w:cs="宋体"/>
          <w:color w:val="auto"/>
          <w:sz w:val="24"/>
          <w:szCs w:val="28"/>
          <w:lang w:val="en-US" w:eastAsia="zh-CN"/>
        </w:rPr>
        <w:t>〕</w:t>
      </w:r>
      <w:r>
        <w:rPr>
          <w:rFonts w:hint="default" w:ascii="Times New Roman" w:hAnsi="Times New Roman" w:eastAsia="宋体" w:cs="Times New Roman"/>
          <w:color w:val="auto"/>
          <w:sz w:val="24"/>
          <w:szCs w:val="28"/>
          <w:lang w:val="en-US" w:eastAsia="zh-CN"/>
        </w:rPr>
        <w:t>70</w:t>
      </w:r>
      <w:r>
        <w:rPr>
          <w:rFonts w:hint="eastAsia" w:ascii="宋体" w:hAnsi="宋体" w:eastAsia="宋体" w:cs="宋体"/>
          <w:color w:val="auto"/>
          <w:sz w:val="24"/>
          <w:szCs w:val="28"/>
          <w:lang w:val="en-US" w:eastAsia="zh-CN"/>
        </w:rPr>
        <w:t>号</w:t>
      </w:r>
      <w:r>
        <w:rPr>
          <w:rFonts w:hint="eastAsia"/>
          <w:color w:val="auto"/>
          <w:sz w:val="24"/>
          <w:szCs w:val="28"/>
          <w:lang w:val="en-US" w:eastAsia="zh-CN"/>
        </w:rPr>
        <w:t>），储层空气渗透率是指真实气测空气渗透率，即注水期间储层的实测空气渗透率；依据不同空气渗透率储层对水质的要求，油田注水执行相应的水质控制指标。</w:t>
      </w:r>
    </w:p>
    <w:p w14:paraId="6DBF968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lang w:val="en-US" w:eastAsia="zh-CN"/>
        </w:rPr>
      </w:pPr>
      <w:r>
        <w:rPr>
          <w:rFonts w:hint="eastAsia" w:eastAsia="宋体"/>
          <w:color w:val="auto"/>
          <w:sz w:val="24"/>
          <w:szCs w:val="28"/>
          <w:lang w:val="en-US" w:eastAsia="zh-CN"/>
        </w:rPr>
        <w:t>除上述水质控制指标外，回注过程还应执行《陆上油气田采出水地下注入环境保护技术规范》（SY/T7784-2024）有关要求。该规范规定了油气田采出水注水井位及注入层选择、注水井建井、注入作业、水质要求、运行监测、异常处置、弃置与常停等环节地下水环境保护要求。</w:t>
      </w:r>
    </w:p>
    <w:p w14:paraId="77CDA121">
      <w:pPr>
        <w:pStyle w:val="2"/>
        <w:bidi w:val="0"/>
        <w:rPr>
          <w:rFonts w:hint="default"/>
          <w:color w:val="auto"/>
          <w:lang w:val="en-US" w:eastAsia="zh-CN"/>
        </w:rPr>
      </w:pPr>
      <w:bookmarkStart w:id="98" w:name="_Toc4226"/>
      <w:r>
        <w:rPr>
          <w:rFonts w:hint="eastAsia"/>
          <w:color w:val="auto"/>
          <w:lang w:val="en-US" w:eastAsia="zh-CN"/>
        </w:rPr>
        <w:t>2.5评价工作等级和评价范围</w:t>
      </w:r>
      <w:bookmarkEnd w:id="94"/>
      <w:bookmarkEnd w:id="95"/>
      <w:bookmarkEnd w:id="96"/>
      <w:bookmarkEnd w:id="97"/>
      <w:bookmarkEnd w:id="98"/>
    </w:p>
    <w:p w14:paraId="6FC9338E">
      <w:pPr>
        <w:pStyle w:val="5"/>
        <w:bidi w:val="0"/>
        <w:rPr>
          <w:rFonts w:hint="default"/>
          <w:color w:val="auto"/>
          <w:lang w:val="en-US" w:eastAsia="zh-CN"/>
        </w:rPr>
      </w:pPr>
      <w:bookmarkStart w:id="99" w:name="_Toc23813"/>
      <w:bookmarkStart w:id="100" w:name="_Toc14154"/>
      <w:r>
        <w:rPr>
          <w:rFonts w:hint="eastAsia"/>
          <w:color w:val="auto"/>
          <w:lang w:val="en-US" w:eastAsia="zh-CN"/>
        </w:rPr>
        <w:t>2.5.1大气环境</w:t>
      </w:r>
      <w:bookmarkEnd w:id="99"/>
      <w:bookmarkEnd w:id="100"/>
    </w:p>
    <w:p w14:paraId="0190560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eastAsia="宋体"/>
          <w:color w:val="auto"/>
          <w:sz w:val="24"/>
          <w:szCs w:val="24"/>
          <w:lang w:val="en-US" w:eastAsia="zh-CN"/>
        </w:rPr>
        <w:t>（1）评价等级</w:t>
      </w:r>
    </w:p>
    <w:p w14:paraId="32D7F98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rPr>
      </w:pPr>
      <w:r>
        <w:rPr>
          <w:rFonts w:eastAsia="宋体"/>
          <w:color w:val="auto"/>
          <w:sz w:val="24"/>
          <w:szCs w:val="24"/>
        </w:rPr>
        <w:t>根据《环境影响评价技术导则 大气环境》（HJ2.2-2018），大气环境评价等级划分</w:t>
      </w:r>
      <w:r>
        <w:rPr>
          <w:rFonts w:hint="eastAsia"/>
          <w:color w:val="auto"/>
          <w:sz w:val="24"/>
          <w:szCs w:val="24"/>
          <w:lang w:val="en-US" w:eastAsia="zh-CN"/>
        </w:rPr>
        <w:t>依</w:t>
      </w:r>
      <w:r>
        <w:rPr>
          <w:rFonts w:eastAsia="宋体"/>
          <w:color w:val="auto"/>
          <w:sz w:val="24"/>
          <w:szCs w:val="24"/>
        </w:rPr>
        <w:t>据见</w:t>
      </w:r>
      <w:r>
        <w:rPr>
          <w:rFonts w:hint="default" w:eastAsia="宋体"/>
          <w:color w:val="auto"/>
          <w:sz w:val="24"/>
          <w:szCs w:val="24"/>
          <w:lang w:val="en-US"/>
        </w:rPr>
        <w:fldChar w:fldCharType="begin"/>
      </w:r>
      <w:r>
        <w:rPr>
          <w:rFonts w:hint="default" w:eastAsia="宋体"/>
          <w:color w:val="auto"/>
          <w:sz w:val="24"/>
          <w:szCs w:val="24"/>
          <w:lang w:val="en-US"/>
        </w:rPr>
        <w:instrText xml:space="preserve"> REF _Ref1482 \h </w:instrText>
      </w:r>
      <w:r>
        <w:rPr>
          <w:rFonts w:hint="default" w:eastAsia="宋体"/>
          <w:color w:val="auto"/>
          <w:sz w:val="24"/>
          <w:szCs w:val="24"/>
          <w:lang w:val="en-US"/>
        </w:rPr>
        <w:fldChar w:fldCharType="separate"/>
      </w:r>
      <w:r>
        <w:rPr>
          <w:rFonts w:eastAsia="宋体"/>
          <w:color w:val="auto"/>
          <w:sz w:val="24"/>
          <w:szCs w:val="24"/>
        </w:rPr>
        <w:t>表</w:t>
      </w:r>
      <w:r>
        <w:rPr>
          <w:rFonts w:eastAsia="宋体"/>
          <w:color w:val="auto"/>
          <w:sz w:val="24"/>
          <w:szCs w:val="24"/>
        </w:rPr>
        <w:fldChar w:fldCharType="begin"/>
      </w:r>
      <w:r>
        <w:rPr>
          <w:rFonts w:eastAsia="宋体"/>
          <w:color w:val="auto"/>
          <w:sz w:val="24"/>
          <w:szCs w:val="24"/>
        </w:rPr>
        <w:instrText xml:space="preserve"> STYLEREF 2 \s </w:instrText>
      </w:r>
      <w:r>
        <w:rPr>
          <w:rFonts w:eastAsia="宋体"/>
          <w:color w:val="auto"/>
          <w:sz w:val="24"/>
          <w:szCs w:val="24"/>
        </w:rPr>
        <w:fldChar w:fldCharType="separate"/>
      </w:r>
      <w:r>
        <w:rPr>
          <w:rFonts w:eastAsia="宋体"/>
          <w:color w:val="auto"/>
          <w:sz w:val="24"/>
          <w:szCs w:val="24"/>
        </w:rPr>
        <w:t>2.5</w:t>
      </w:r>
      <w:r>
        <w:rPr>
          <w:rFonts w:eastAsia="宋体"/>
          <w:color w:val="auto"/>
          <w:sz w:val="24"/>
          <w:szCs w:val="24"/>
        </w:rPr>
        <w:fldChar w:fldCharType="end"/>
      </w:r>
      <w:r>
        <w:rPr>
          <w:rFonts w:hint="eastAsia" w:eastAsia="宋体"/>
          <w:color w:val="auto"/>
          <w:sz w:val="24"/>
          <w:szCs w:val="24"/>
          <w:lang w:eastAsia="zh-CN"/>
        </w:rPr>
        <w:t>-</w:t>
      </w:r>
      <w:r>
        <w:rPr>
          <w:rFonts w:eastAsia="宋体"/>
          <w:color w:val="auto"/>
          <w:sz w:val="24"/>
          <w:szCs w:val="24"/>
        </w:rPr>
        <w:t>1</w:t>
      </w:r>
      <w:r>
        <w:rPr>
          <w:rFonts w:hint="default" w:eastAsia="宋体"/>
          <w:color w:val="auto"/>
          <w:sz w:val="24"/>
          <w:szCs w:val="24"/>
          <w:lang w:val="en-US"/>
        </w:rPr>
        <w:fldChar w:fldCharType="end"/>
      </w:r>
      <w:r>
        <w:rPr>
          <w:rFonts w:eastAsia="宋体"/>
          <w:color w:val="auto"/>
          <w:sz w:val="24"/>
          <w:szCs w:val="24"/>
        </w:rPr>
        <w:t>。</w:t>
      </w:r>
    </w:p>
    <w:p w14:paraId="149B3295">
      <w:pPr>
        <w:pStyle w:val="43"/>
        <w:bidi w:val="0"/>
        <w:rPr>
          <w:color w:val="auto"/>
        </w:rPr>
      </w:pPr>
      <w:bookmarkStart w:id="101" w:name="_Ref1482"/>
      <w:r>
        <w:rPr>
          <w:color w:val="auto"/>
        </w:rPr>
        <w:t>表</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101"/>
      <w:r>
        <w:rPr>
          <w:color w:val="auto"/>
        </w:rPr>
        <w:t xml:space="preserve">  大气环境评价工作等级</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4204"/>
        <w:gridCol w:w="4204"/>
      </w:tblGrid>
      <w:tr w14:paraId="3838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500" w:type="pct"/>
            <w:shd w:val="clear" w:color="auto" w:fill="auto"/>
            <w:vAlign w:val="center"/>
          </w:tcPr>
          <w:p w14:paraId="3108D6A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评价工作等级</w:t>
            </w:r>
          </w:p>
        </w:tc>
        <w:tc>
          <w:tcPr>
            <w:tcW w:w="2500" w:type="pct"/>
            <w:shd w:val="clear" w:color="auto" w:fill="auto"/>
            <w:vAlign w:val="center"/>
          </w:tcPr>
          <w:p w14:paraId="4D95EA6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评价工作分级判据</w:t>
            </w:r>
          </w:p>
        </w:tc>
      </w:tr>
      <w:tr w14:paraId="1347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500" w:type="pct"/>
            <w:vAlign w:val="center"/>
          </w:tcPr>
          <w:p w14:paraId="2296E4C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一级评价</w:t>
            </w:r>
          </w:p>
        </w:tc>
        <w:tc>
          <w:tcPr>
            <w:tcW w:w="2500" w:type="pct"/>
            <w:vAlign w:val="center"/>
          </w:tcPr>
          <w:p w14:paraId="7B5734C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P</w:t>
            </w:r>
            <w:r>
              <w:rPr>
                <w:color w:val="auto"/>
                <w:vertAlign w:val="subscript"/>
              </w:rPr>
              <w:t>max</w:t>
            </w:r>
            <w:r>
              <w:rPr>
                <w:color w:val="auto"/>
              </w:rPr>
              <w:t>≥10%</w:t>
            </w:r>
          </w:p>
        </w:tc>
      </w:tr>
      <w:tr w14:paraId="77AE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500" w:type="pct"/>
            <w:vAlign w:val="center"/>
          </w:tcPr>
          <w:p w14:paraId="3074891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二级评价</w:t>
            </w:r>
          </w:p>
        </w:tc>
        <w:tc>
          <w:tcPr>
            <w:tcW w:w="2500" w:type="pct"/>
            <w:vAlign w:val="center"/>
          </w:tcPr>
          <w:p w14:paraId="07E4D0A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1%≤P</w:t>
            </w:r>
            <w:r>
              <w:rPr>
                <w:color w:val="auto"/>
                <w:vertAlign w:val="subscript"/>
              </w:rPr>
              <w:t>max</w:t>
            </w:r>
            <w:r>
              <w:rPr>
                <w:color w:val="auto"/>
              </w:rPr>
              <w:t>＜10%</w:t>
            </w:r>
          </w:p>
        </w:tc>
      </w:tr>
      <w:tr w14:paraId="79D9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500" w:type="pct"/>
            <w:vAlign w:val="center"/>
          </w:tcPr>
          <w:p w14:paraId="7AA89CC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三级评价</w:t>
            </w:r>
          </w:p>
        </w:tc>
        <w:tc>
          <w:tcPr>
            <w:tcW w:w="2500" w:type="pct"/>
            <w:vAlign w:val="center"/>
          </w:tcPr>
          <w:p w14:paraId="07B0985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P</w:t>
            </w:r>
            <w:r>
              <w:rPr>
                <w:color w:val="auto"/>
                <w:vertAlign w:val="subscript"/>
              </w:rPr>
              <w:t>max</w:t>
            </w:r>
            <w:r>
              <w:rPr>
                <w:color w:val="auto"/>
              </w:rPr>
              <w:t>＜1%</w:t>
            </w:r>
          </w:p>
        </w:tc>
      </w:tr>
    </w:tbl>
    <w:p w14:paraId="5711649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sz w:val="24"/>
          <w:szCs w:val="24"/>
          <w:lang w:eastAsia="zh-CN"/>
        </w:rPr>
        <w:t>本工程运营</w:t>
      </w:r>
      <w:r>
        <w:rPr>
          <w:rFonts w:eastAsia="宋体"/>
          <w:color w:val="auto"/>
          <w:sz w:val="24"/>
          <w:szCs w:val="24"/>
        </w:rPr>
        <w:t>期主要污染物为</w:t>
      </w:r>
      <w:r>
        <w:rPr>
          <w:rFonts w:hint="eastAsia" w:eastAsia="宋体"/>
          <w:color w:val="auto"/>
          <w:sz w:val="24"/>
          <w:szCs w:val="24"/>
          <w:lang w:val="en-US" w:eastAsia="zh-CN"/>
        </w:rPr>
        <w:t>挥发性有机物的</w:t>
      </w:r>
      <w:r>
        <w:rPr>
          <w:rFonts w:eastAsia="宋体"/>
          <w:color w:val="auto"/>
          <w:sz w:val="24"/>
          <w:szCs w:val="24"/>
        </w:rPr>
        <w:t>无组织排放，采用AERSCREEN估算模式对项目的大气环境评价工作等级进行确定，</w:t>
      </w:r>
      <w:r>
        <w:rPr>
          <w:rFonts w:hint="eastAsia"/>
          <w:color w:val="auto"/>
          <w:sz w:val="24"/>
          <w:szCs w:val="24"/>
          <w:lang w:eastAsia="zh-CN"/>
        </w:rPr>
        <w:t>本工程</w:t>
      </w:r>
      <w:r>
        <w:rPr>
          <w:rFonts w:eastAsia="宋体"/>
          <w:color w:val="auto"/>
          <w:sz w:val="24"/>
          <w:szCs w:val="24"/>
        </w:rPr>
        <w:t>选取主要污染</w:t>
      </w:r>
      <w:r>
        <w:rPr>
          <w:rFonts w:hint="eastAsia" w:eastAsia="宋体"/>
          <w:color w:val="auto"/>
          <w:sz w:val="24"/>
          <w:szCs w:val="24"/>
          <w:lang w:val="en-US" w:eastAsia="zh-CN"/>
        </w:rPr>
        <w:t>因子</w:t>
      </w:r>
      <w:r>
        <w:rPr>
          <w:rFonts w:eastAsia="宋体"/>
          <w:color w:val="auto"/>
          <w:sz w:val="24"/>
          <w:szCs w:val="24"/>
        </w:rPr>
        <w:t>非甲烷总烃进行计算，采用估算模式计算各污染物在简单平坦地形、全气象组合情况条件下的最大浓度占标率Pmax和D10%，估算模型参数见</w:t>
      </w:r>
      <w:r>
        <w:rPr>
          <w:rFonts w:hint="default" w:eastAsia="宋体"/>
          <w:color w:val="auto"/>
          <w:sz w:val="24"/>
          <w:szCs w:val="24"/>
          <w:lang w:val="en-US"/>
        </w:rPr>
        <w:fldChar w:fldCharType="begin"/>
      </w:r>
      <w:r>
        <w:rPr>
          <w:rFonts w:hint="default" w:eastAsia="宋体"/>
          <w:color w:val="auto"/>
          <w:sz w:val="24"/>
          <w:szCs w:val="24"/>
          <w:lang w:val="en-US"/>
        </w:rPr>
        <w:instrText xml:space="preserve"> REF _Ref19591 \h </w:instrText>
      </w:r>
      <w:r>
        <w:rPr>
          <w:rFonts w:hint="default" w:eastAsia="宋体"/>
          <w:color w:val="auto"/>
          <w:sz w:val="24"/>
          <w:szCs w:val="24"/>
          <w:lang w:val="en-US"/>
        </w:rPr>
        <w:fldChar w:fldCharType="separate"/>
      </w:r>
      <w:r>
        <w:rPr>
          <w:rFonts w:eastAsia="宋体"/>
          <w:color w:val="auto"/>
          <w:sz w:val="24"/>
          <w:szCs w:val="24"/>
        </w:rPr>
        <w:t>表</w:t>
      </w:r>
      <w:r>
        <w:rPr>
          <w:rFonts w:eastAsia="宋体"/>
          <w:color w:val="auto"/>
          <w:sz w:val="24"/>
          <w:szCs w:val="24"/>
        </w:rPr>
        <w:fldChar w:fldCharType="begin"/>
      </w:r>
      <w:r>
        <w:rPr>
          <w:rFonts w:eastAsia="宋体"/>
          <w:color w:val="auto"/>
          <w:sz w:val="24"/>
          <w:szCs w:val="24"/>
        </w:rPr>
        <w:instrText xml:space="preserve"> STYLEREF 2 \s </w:instrText>
      </w:r>
      <w:r>
        <w:rPr>
          <w:rFonts w:eastAsia="宋体"/>
          <w:color w:val="auto"/>
          <w:sz w:val="24"/>
          <w:szCs w:val="24"/>
        </w:rPr>
        <w:fldChar w:fldCharType="separate"/>
      </w:r>
      <w:r>
        <w:rPr>
          <w:rFonts w:eastAsia="宋体"/>
          <w:color w:val="auto"/>
          <w:sz w:val="24"/>
          <w:szCs w:val="24"/>
        </w:rPr>
        <w:t>2.5</w:t>
      </w:r>
      <w:r>
        <w:rPr>
          <w:rFonts w:eastAsia="宋体"/>
          <w:color w:val="auto"/>
          <w:sz w:val="24"/>
          <w:szCs w:val="24"/>
        </w:rPr>
        <w:fldChar w:fldCharType="end"/>
      </w:r>
      <w:r>
        <w:rPr>
          <w:rFonts w:eastAsia="宋体"/>
          <w:color w:val="auto"/>
          <w:sz w:val="24"/>
          <w:szCs w:val="24"/>
        </w:rPr>
        <w:noBreakHyphen/>
      </w:r>
      <w:r>
        <w:rPr>
          <w:rFonts w:eastAsia="宋体"/>
          <w:color w:val="auto"/>
          <w:sz w:val="24"/>
          <w:szCs w:val="24"/>
        </w:rPr>
        <w:t>2</w:t>
      </w:r>
      <w:r>
        <w:rPr>
          <w:rFonts w:hint="default" w:eastAsia="宋体"/>
          <w:color w:val="auto"/>
          <w:sz w:val="24"/>
          <w:szCs w:val="24"/>
          <w:lang w:val="en-US"/>
        </w:rPr>
        <w:fldChar w:fldCharType="end"/>
      </w:r>
      <w:r>
        <w:rPr>
          <w:rFonts w:eastAsia="宋体"/>
          <w:color w:val="auto"/>
          <w:sz w:val="24"/>
          <w:szCs w:val="24"/>
        </w:rPr>
        <w:t>。计算结果见</w:t>
      </w:r>
      <w:r>
        <w:rPr>
          <w:rFonts w:hint="default" w:eastAsia="宋体"/>
          <w:color w:val="auto"/>
          <w:sz w:val="24"/>
          <w:szCs w:val="24"/>
          <w:lang w:val="en-US"/>
        </w:rPr>
        <w:fldChar w:fldCharType="begin"/>
      </w:r>
      <w:r>
        <w:rPr>
          <w:rFonts w:hint="default" w:eastAsia="宋体"/>
          <w:color w:val="auto"/>
          <w:sz w:val="24"/>
          <w:szCs w:val="24"/>
          <w:lang w:val="en-US"/>
        </w:rPr>
        <w:instrText xml:space="preserve"> REF _Ref2200 \h </w:instrText>
      </w:r>
      <w:r>
        <w:rPr>
          <w:rFonts w:hint="default" w:eastAsia="宋体"/>
          <w:color w:val="auto"/>
          <w:sz w:val="24"/>
          <w:szCs w:val="24"/>
          <w:lang w:val="en-US"/>
        </w:rPr>
        <w:fldChar w:fldCharType="separate"/>
      </w:r>
      <w:r>
        <w:rPr>
          <w:rFonts w:eastAsia="宋体"/>
          <w:color w:val="auto"/>
          <w:sz w:val="24"/>
          <w:szCs w:val="24"/>
        </w:rPr>
        <w:t>表</w:t>
      </w:r>
      <w:r>
        <w:rPr>
          <w:rFonts w:eastAsia="宋体"/>
          <w:color w:val="auto"/>
          <w:sz w:val="24"/>
          <w:szCs w:val="24"/>
        </w:rPr>
        <w:fldChar w:fldCharType="begin"/>
      </w:r>
      <w:r>
        <w:rPr>
          <w:rFonts w:eastAsia="宋体"/>
          <w:color w:val="auto"/>
          <w:sz w:val="24"/>
          <w:szCs w:val="24"/>
        </w:rPr>
        <w:instrText xml:space="preserve"> STYLEREF 2 \s </w:instrText>
      </w:r>
      <w:r>
        <w:rPr>
          <w:rFonts w:eastAsia="宋体"/>
          <w:color w:val="auto"/>
          <w:sz w:val="24"/>
          <w:szCs w:val="24"/>
        </w:rPr>
        <w:fldChar w:fldCharType="separate"/>
      </w:r>
      <w:r>
        <w:rPr>
          <w:rFonts w:eastAsia="宋体"/>
          <w:color w:val="auto"/>
          <w:sz w:val="24"/>
          <w:szCs w:val="24"/>
        </w:rPr>
        <w:t>2.5</w:t>
      </w:r>
      <w:r>
        <w:rPr>
          <w:rFonts w:eastAsia="宋体"/>
          <w:color w:val="auto"/>
          <w:sz w:val="24"/>
          <w:szCs w:val="24"/>
        </w:rPr>
        <w:fldChar w:fldCharType="end"/>
      </w:r>
      <w:r>
        <w:rPr>
          <w:rFonts w:eastAsia="宋体"/>
          <w:color w:val="auto"/>
          <w:sz w:val="24"/>
          <w:szCs w:val="24"/>
        </w:rPr>
        <w:noBreakHyphen/>
      </w:r>
      <w:r>
        <w:rPr>
          <w:rFonts w:eastAsia="宋体"/>
          <w:color w:val="auto"/>
          <w:sz w:val="24"/>
          <w:szCs w:val="24"/>
        </w:rPr>
        <w:t>3</w:t>
      </w:r>
      <w:r>
        <w:rPr>
          <w:rFonts w:hint="default" w:eastAsia="宋体"/>
          <w:color w:val="auto"/>
          <w:sz w:val="24"/>
          <w:szCs w:val="24"/>
          <w:lang w:val="en-US"/>
        </w:rPr>
        <w:fldChar w:fldCharType="end"/>
      </w:r>
      <w:r>
        <w:rPr>
          <w:rFonts w:eastAsia="宋体"/>
          <w:color w:val="auto"/>
          <w:sz w:val="24"/>
          <w:szCs w:val="24"/>
        </w:rPr>
        <w:t>。</w:t>
      </w:r>
    </w:p>
    <w:p w14:paraId="05C76468">
      <w:pPr>
        <w:pStyle w:val="43"/>
        <w:bidi w:val="0"/>
        <w:rPr>
          <w:rFonts w:cs="Times New Roman"/>
          <w:color w:val="auto"/>
        </w:rPr>
      </w:pPr>
      <w:bookmarkStart w:id="102" w:name="_Ref19591"/>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102"/>
      <w:r>
        <w:rPr>
          <w:rFonts w:cs="Times New Roman"/>
          <w:color w:val="auto"/>
        </w:rPr>
        <w:t xml:space="preserve">  估算模型参考表</w:t>
      </w:r>
    </w:p>
    <w:tbl>
      <w:tblPr>
        <w:tblStyle w:val="27"/>
        <w:tblW w:w="5134" w:type="pct"/>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 w:type="dxa"/>
          <w:bottom w:w="0" w:type="dxa"/>
          <w:right w:w="10" w:type="dxa"/>
        </w:tblCellMar>
      </w:tblPr>
      <w:tblGrid>
        <w:gridCol w:w="2079"/>
        <w:gridCol w:w="2203"/>
        <w:gridCol w:w="2408"/>
        <w:gridCol w:w="1859"/>
      </w:tblGrid>
      <w:tr w14:paraId="369B2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369" w:hRule="atLeast"/>
        </w:trPr>
        <w:tc>
          <w:tcPr>
            <w:tcW w:w="2504" w:type="pct"/>
            <w:gridSpan w:val="2"/>
            <w:shd w:val="clear" w:color="auto" w:fill="auto"/>
            <w:vAlign w:val="center"/>
          </w:tcPr>
          <w:p w14:paraId="5BB0ADF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1408" w:type="pct"/>
            <w:shd w:val="clear" w:color="auto" w:fill="auto"/>
            <w:vAlign w:val="center"/>
          </w:tcPr>
          <w:p w14:paraId="5223E2A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val="en-US" w:eastAsia="zh-CN"/>
              </w:rPr>
              <w:t>乌尔禾</w:t>
            </w:r>
            <w:r>
              <w:rPr>
                <w:rFonts w:hint="default" w:ascii="Times New Roman" w:hAnsi="Times New Roman" w:eastAsia="宋体" w:cs="Times New Roman"/>
                <w:b/>
                <w:bCs/>
                <w:color w:val="auto"/>
                <w:sz w:val="21"/>
                <w:szCs w:val="21"/>
              </w:rPr>
              <w:t>参数</w:t>
            </w:r>
          </w:p>
        </w:tc>
        <w:tc>
          <w:tcPr>
            <w:tcW w:w="1087" w:type="pct"/>
            <w:shd w:val="clear" w:color="auto" w:fill="auto"/>
            <w:vAlign w:val="center"/>
          </w:tcPr>
          <w:p w14:paraId="73EAA46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val="en-US" w:eastAsia="zh-CN"/>
              </w:rPr>
              <w:t>和布克赛尔蒙古自治县</w:t>
            </w:r>
            <w:r>
              <w:rPr>
                <w:rFonts w:hint="default" w:ascii="Times New Roman" w:hAnsi="Times New Roman" w:eastAsia="宋体" w:cs="Times New Roman"/>
                <w:b/>
                <w:bCs/>
                <w:color w:val="auto"/>
                <w:sz w:val="21"/>
                <w:szCs w:val="21"/>
              </w:rPr>
              <w:t>参数</w:t>
            </w:r>
          </w:p>
        </w:tc>
      </w:tr>
      <w:tr w14:paraId="251F0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restart"/>
            <w:shd w:val="clear" w:color="auto" w:fill="auto"/>
            <w:vAlign w:val="center"/>
          </w:tcPr>
          <w:p w14:paraId="26FD930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城市/农村选项</w:t>
            </w:r>
          </w:p>
        </w:tc>
        <w:tc>
          <w:tcPr>
            <w:tcW w:w="1287" w:type="pct"/>
            <w:shd w:val="clear" w:color="auto" w:fill="auto"/>
            <w:vAlign w:val="center"/>
          </w:tcPr>
          <w:p w14:paraId="6C58192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w:t>
            </w:r>
          </w:p>
        </w:tc>
        <w:tc>
          <w:tcPr>
            <w:tcW w:w="1408" w:type="pct"/>
            <w:shd w:val="clear" w:color="auto" w:fill="auto"/>
            <w:vAlign w:val="center"/>
          </w:tcPr>
          <w:p w14:paraId="2060BBC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农村</w:t>
            </w:r>
          </w:p>
        </w:tc>
        <w:tc>
          <w:tcPr>
            <w:tcW w:w="1087" w:type="pct"/>
            <w:shd w:val="clear" w:color="auto" w:fill="auto"/>
            <w:vAlign w:val="center"/>
          </w:tcPr>
          <w:p w14:paraId="4A10036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农村</w:t>
            </w:r>
          </w:p>
        </w:tc>
      </w:tr>
      <w:tr w14:paraId="6E482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continue"/>
            <w:shd w:val="clear" w:color="auto" w:fill="auto"/>
            <w:vAlign w:val="center"/>
          </w:tcPr>
          <w:p w14:paraId="50ABE9B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87" w:type="pct"/>
            <w:shd w:val="clear" w:color="auto" w:fill="auto"/>
            <w:vAlign w:val="center"/>
          </w:tcPr>
          <w:p w14:paraId="2DBF1CA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人口数（城市选项时）</w:t>
            </w:r>
          </w:p>
        </w:tc>
        <w:tc>
          <w:tcPr>
            <w:tcW w:w="1408" w:type="pct"/>
            <w:shd w:val="clear" w:color="auto" w:fill="auto"/>
            <w:vAlign w:val="center"/>
          </w:tcPr>
          <w:p w14:paraId="41A4AFE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87" w:type="pct"/>
            <w:shd w:val="clear" w:color="auto" w:fill="auto"/>
            <w:vAlign w:val="center"/>
          </w:tcPr>
          <w:p w14:paraId="11010D6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F91F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2504" w:type="pct"/>
            <w:gridSpan w:val="2"/>
            <w:shd w:val="clear" w:color="auto" w:fill="auto"/>
            <w:vAlign w:val="center"/>
          </w:tcPr>
          <w:p w14:paraId="2C8A690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最高环境温度/℃</w:t>
            </w:r>
          </w:p>
        </w:tc>
        <w:tc>
          <w:tcPr>
            <w:tcW w:w="1408" w:type="pct"/>
            <w:shd w:val="clear" w:color="auto" w:fill="auto"/>
            <w:vAlign w:val="center"/>
          </w:tcPr>
          <w:p w14:paraId="5F27BBA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42.9</w:t>
            </w:r>
          </w:p>
        </w:tc>
        <w:tc>
          <w:tcPr>
            <w:tcW w:w="1087" w:type="pct"/>
            <w:shd w:val="clear" w:color="auto" w:fill="auto"/>
            <w:vAlign w:val="center"/>
          </w:tcPr>
          <w:p w14:paraId="5E28ECD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42.3</w:t>
            </w:r>
          </w:p>
        </w:tc>
      </w:tr>
      <w:tr w14:paraId="0CFCC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2504" w:type="pct"/>
            <w:gridSpan w:val="2"/>
            <w:shd w:val="clear" w:color="auto" w:fill="auto"/>
            <w:vAlign w:val="center"/>
          </w:tcPr>
          <w:p w14:paraId="017654F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最低环境温度/℃</w:t>
            </w:r>
          </w:p>
        </w:tc>
        <w:tc>
          <w:tcPr>
            <w:tcW w:w="1408" w:type="pct"/>
            <w:shd w:val="clear" w:color="auto" w:fill="auto"/>
            <w:vAlign w:val="center"/>
          </w:tcPr>
          <w:p w14:paraId="7F49776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35.9</w:t>
            </w:r>
          </w:p>
        </w:tc>
        <w:tc>
          <w:tcPr>
            <w:tcW w:w="1087" w:type="pct"/>
            <w:shd w:val="clear" w:color="auto" w:fill="auto"/>
            <w:vAlign w:val="center"/>
          </w:tcPr>
          <w:p w14:paraId="69DE8C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34.5</w:t>
            </w:r>
          </w:p>
        </w:tc>
      </w:tr>
      <w:tr w14:paraId="6D70D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2504" w:type="pct"/>
            <w:gridSpan w:val="2"/>
            <w:shd w:val="clear" w:color="auto" w:fill="auto"/>
            <w:vAlign w:val="center"/>
          </w:tcPr>
          <w:p w14:paraId="69BBA08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1408" w:type="pct"/>
            <w:shd w:val="clear" w:color="auto" w:fill="auto"/>
            <w:vAlign w:val="center"/>
          </w:tcPr>
          <w:p w14:paraId="4CF5B95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草地</w:t>
            </w:r>
          </w:p>
        </w:tc>
        <w:tc>
          <w:tcPr>
            <w:tcW w:w="1087" w:type="pct"/>
            <w:shd w:val="clear" w:color="auto" w:fill="auto"/>
            <w:vAlign w:val="center"/>
          </w:tcPr>
          <w:p w14:paraId="4E96FCC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草地</w:t>
            </w:r>
          </w:p>
        </w:tc>
      </w:tr>
      <w:tr w14:paraId="7D048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2504" w:type="pct"/>
            <w:gridSpan w:val="2"/>
            <w:shd w:val="clear" w:color="auto" w:fill="auto"/>
            <w:vAlign w:val="center"/>
          </w:tcPr>
          <w:p w14:paraId="3507B8A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区域湿度条件</w:t>
            </w:r>
          </w:p>
        </w:tc>
        <w:tc>
          <w:tcPr>
            <w:tcW w:w="1408" w:type="pct"/>
            <w:shd w:val="clear" w:color="auto" w:fill="auto"/>
            <w:vAlign w:val="center"/>
          </w:tcPr>
          <w:p w14:paraId="495CD0A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干燥</w:t>
            </w:r>
          </w:p>
        </w:tc>
        <w:tc>
          <w:tcPr>
            <w:tcW w:w="1087" w:type="pct"/>
            <w:shd w:val="clear" w:color="auto" w:fill="auto"/>
            <w:vAlign w:val="center"/>
          </w:tcPr>
          <w:p w14:paraId="7DE5C07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干燥</w:t>
            </w:r>
          </w:p>
        </w:tc>
      </w:tr>
      <w:tr w14:paraId="3A380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restart"/>
            <w:shd w:val="clear" w:color="auto" w:fill="auto"/>
            <w:vAlign w:val="center"/>
          </w:tcPr>
          <w:p w14:paraId="4543CF2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1287" w:type="pct"/>
            <w:shd w:val="clear" w:color="auto" w:fill="auto"/>
            <w:vAlign w:val="center"/>
          </w:tcPr>
          <w:p w14:paraId="6282DA1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考虑地形</w:t>
            </w:r>
          </w:p>
        </w:tc>
        <w:tc>
          <w:tcPr>
            <w:tcW w:w="1408" w:type="pct"/>
            <w:shd w:val="clear" w:color="auto" w:fill="auto"/>
            <w:vAlign w:val="center"/>
          </w:tcPr>
          <w:p w14:paraId="76806CD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1087" w:type="pct"/>
            <w:shd w:val="clear" w:color="auto" w:fill="auto"/>
            <w:vAlign w:val="center"/>
          </w:tcPr>
          <w:p w14:paraId="62B927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3CE75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continue"/>
            <w:shd w:val="clear" w:color="auto" w:fill="auto"/>
            <w:vAlign w:val="center"/>
          </w:tcPr>
          <w:p w14:paraId="3CD4A11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87" w:type="pct"/>
            <w:shd w:val="clear" w:color="auto" w:fill="auto"/>
            <w:vAlign w:val="center"/>
          </w:tcPr>
          <w:p w14:paraId="7E64BD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地形数据分辨率/m</w:t>
            </w:r>
          </w:p>
        </w:tc>
        <w:tc>
          <w:tcPr>
            <w:tcW w:w="1408" w:type="pct"/>
            <w:shd w:val="clear" w:color="auto" w:fill="auto"/>
            <w:vAlign w:val="center"/>
          </w:tcPr>
          <w:p w14:paraId="584B531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1087" w:type="pct"/>
            <w:shd w:val="clear" w:color="auto" w:fill="auto"/>
            <w:vAlign w:val="center"/>
          </w:tcPr>
          <w:p w14:paraId="445A6E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r w14:paraId="28792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restart"/>
            <w:shd w:val="clear" w:color="auto" w:fill="auto"/>
            <w:vAlign w:val="center"/>
          </w:tcPr>
          <w:p w14:paraId="2F249A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是否考虑海岸线熏烟</w:t>
            </w:r>
          </w:p>
        </w:tc>
        <w:tc>
          <w:tcPr>
            <w:tcW w:w="1287" w:type="pct"/>
            <w:shd w:val="clear" w:color="auto" w:fill="auto"/>
            <w:vAlign w:val="center"/>
          </w:tcPr>
          <w:p w14:paraId="00FE125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考虑海岸线熏烟</w:t>
            </w:r>
          </w:p>
        </w:tc>
        <w:tc>
          <w:tcPr>
            <w:tcW w:w="1408" w:type="pct"/>
            <w:shd w:val="clear" w:color="auto" w:fill="auto"/>
            <w:vAlign w:val="center"/>
          </w:tcPr>
          <w:p w14:paraId="42D5207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c>
          <w:tcPr>
            <w:tcW w:w="1087" w:type="pct"/>
            <w:shd w:val="clear" w:color="auto" w:fill="auto"/>
            <w:vAlign w:val="center"/>
          </w:tcPr>
          <w:p w14:paraId="30D19C7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5831A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continue"/>
            <w:shd w:val="clear" w:color="auto" w:fill="auto"/>
            <w:vAlign w:val="center"/>
          </w:tcPr>
          <w:p w14:paraId="0B4006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87" w:type="pct"/>
            <w:shd w:val="clear" w:color="auto" w:fill="auto"/>
            <w:vAlign w:val="center"/>
          </w:tcPr>
          <w:p w14:paraId="27A2BFE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岸线距离/km</w:t>
            </w:r>
          </w:p>
        </w:tc>
        <w:tc>
          <w:tcPr>
            <w:tcW w:w="1408" w:type="pct"/>
            <w:shd w:val="clear" w:color="auto" w:fill="auto"/>
            <w:vAlign w:val="center"/>
          </w:tcPr>
          <w:p w14:paraId="417FC7C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87" w:type="pct"/>
            <w:shd w:val="clear" w:color="auto" w:fill="auto"/>
            <w:vAlign w:val="center"/>
          </w:tcPr>
          <w:p w14:paraId="0428A89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FBDE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continue"/>
            <w:shd w:val="clear" w:color="auto" w:fill="auto"/>
            <w:vAlign w:val="center"/>
          </w:tcPr>
          <w:p w14:paraId="48C524D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87" w:type="pct"/>
            <w:shd w:val="clear" w:color="auto" w:fill="auto"/>
            <w:vAlign w:val="center"/>
          </w:tcPr>
          <w:p w14:paraId="65EC7FA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岸线方向/°</w:t>
            </w:r>
          </w:p>
        </w:tc>
        <w:tc>
          <w:tcPr>
            <w:tcW w:w="1408" w:type="pct"/>
            <w:shd w:val="clear" w:color="auto" w:fill="auto"/>
            <w:vAlign w:val="center"/>
          </w:tcPr>
          <w:p w14:paraId="63567B1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87" w:type="pct"/>
            <w:shd w:val="clear" w:color="auto" w:fill="auto"/>
            <w:vAlign w:val="center"/>
          </w:tcPr>
          <w:p w14:paraId="6A5CB64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057102D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color w:val="auto"/>
          <w:sz w:val="24"/>
          <w:szCs w:val="28"/>
        </w:rPr>
        <w:t>本</w:t>
      </w:r>
      <w:r>
        <w:rPr>
          <w:rFonts w:hint="eastAsia"/>
          <w:color w:val="auto"/>
          <w:sz w:val="24"/>
          <w:szCs w:val="28"/>
          <w:lang w:val="en-US" w:eastAsia="zh-CN"/>
        </w:rPr>
        <w:t>工程</w:t>
      </w:r>
      <w:r>
        <w:rPr>
          <w:color w:val="auto"/>
          <w:sz w:val="24"/>
          <w:szCs w:val="28"/>
        </w:rPr>
        <w:t>井场较为分散，本次评价以单个井场无组织排放源为例，本次评价选择</w:t>
      </w:r>
      <w:r>
        <w:rPr>
          <w:rFonts w:hint="eastAsia"/>
          <w:color w:val="auto"/>
          <w:sz w:val="24"/>
          <w:szCs w:val="28"/>
          <w:lang w:val="en-US" w:eastAsia="zh-CN"/>
        </w:rPr>
        <w:t>百791、玛62井产油量最高</w:t>
      </w:r>
      <w:r>
        <w:rPr>
          <w:color w:val="auto"/>
          <w:sz w:val="24"/>
          <w:szCs w:val="28"/>
        </w:rPr>
        <w:t>进行烃类无组织排放环境空气影响分析及评价。</w:t>
      </w:r>
      <w:r>
        <w:rPr>
          <w:rFonts w:hint="eastAsia"/>
          <w:color w:val="auto"/>
          <w:sz w:val="24"/>
          <w:szCs w:val="28"/>
          <w:lang w:eastAsia="zh-CN"/>
        </w:rPr>
        <w:t>运营</w:t>
      </w:r>
      <w:r>
        <w:rPr>
          <w:color w:val="auto"/>
          <w:sz w:val="24"/>
          <w:szCs w:val="28"/>
        </w:rPr>
        <w:t>期废气主要为井场挥发的烃类气体等，废气中主要污染物为非甲烷总烃。</w:t>
      </w:r>
    </w:p>
    <w:p w14:paraId="0E0C51AF">
      <w:pPr>
        <w:pStyle w:val="43"/>
        <w:bidi w:val="0"/>
        <w:rPr>
          <w:rFonts w:hint="default"/>
          <w:color w:val="auto"/>
          <w:szCs w:val="28"/>
          <w:lang w:val="en-US" w:eastAsia="zh-CN"/>
        </w:rPr>
      </w:pPr>
      <w:r>
        <w:rPr>
          <w:rFonts w:hint="eastAsia"/>
          <w:color w:val="auto"/>
          <w:lang w:val="en-US" w:eastAsia="zh-CN"/>
        </w:rPr>
        <w:t>表2.5-3  主要污染物Pmax计算结果一览表</w:t>
      </w:r>
    </w:p>
    <w:tbl>
      <w:tblPr>
        <w:tblStyle w:val="27"/>
        <w:tblW w:w="50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491"/>
        <w:gridCol w:w="1230"/>
        <w:gridCol w:w="725"/>
        <w:gridCol w:w="1106"/>
        <w:gridCol w:w="922"/>
        <w:gridCol w:w="1131"/>
        <w:gridCol w:w="1143"/>
        <w:gridCol w:w="855"/>
        <w:gridCol w:w="881"/>
      </w:tblGrid>
      <w:tr w14:paraId="1EB1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cantSplit/>
          <w:trHeight w:val="369" w:hRule="atLeast"/>
          <w:tblHeader/>
          <w:jc w:val="center"/>
        </w:trPr>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30109D55">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24" w:type="pct"/>
            <w:tcBorders>
              <w:top w:val="single" w:color="auto" w:sz="4" w:space="0"/>
              <w:left w:val="nil"/>
              <w:bottom w:val="single" w:color="auto" w:sz="4" w:space="0"/>
              <w:right w:val="single" w:color="auto" w:sz="4" w:space="0"/>
            </w:tcBorders>
            <w:shd w:val="clear" w:color="auto" w:fill="auto"/>
            <w:vAlign w:val="center"/>
          </w:tcPr>
          <w:p w14:paraId="7B339A72">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427" w:type="pct"/>
            <w:tcBorders>
              <w:top w:val="single" w:color="auto" w:sz="4" w:space="0"/>
              <w:left w:val="nil"/>
              <w:bottom w:val="single" w:color="auto" w:sz="4" w:space="0"/>
              <w:right w:val="single" w:color="auto" w:sz="4" w:space="0"/>
            </w:tcBorders>
            <w:shd w:val="clear" w:color="auto" w:fill="auto"/>
            <w:vAlign w:val="center"/>
          </w:tcPr>
          <w:p w14:paraId="244BE5BA">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51" w:type="pct"/>
            <w:tcBorders>
              <w:top w:val="single" w:color="auto" w:sz="4" w:space="0"/>
              <w:left w:val="nil"/>
              <w:bottom w:val="single" w:color="auto" w:sz="4" w:space="0"/>
              <w:right w:val="single" w:color="auto" w:sz="4" w:space="0"/>
            </w:tcBorders>
            <w:shd w:val="clear" w:color="auto" w:fill="auto"/>
            <w:vAlign w:val="center"/>
          </w:tcPr>
          <w:p w14:paraId="1056EC80">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质量标准（mg/m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209" w:type="pct"/>
            <w:gridSpan w:val="2"/>
            <w:tcBorders>
              <w:top w:val="single" w:color="auto" w:sz="4" w:space="0"/>
              <w:left w:val="nil"/>
              <w:bottom w:val="single" w:color="auto" w:sz="4" w:space="0"/>
              <w:right w:val="single" w:color="auto" w:sz="4" w:space="0"/>
            </w:tcBorders>
            <w:shd w:val="clear" w:color="auto" w:fill="auto"/>
            <w:vAlign w:val="center"/>
          </w:tcPr>
          <w:p w14:paraId="27B733C6">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最大地面</w:t>
            </w:r>
          </w:p>
          <w:p w14:paraId="23FF1EE1">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673" w:type="pct"/>
            <w:tcBorders>
              <w:top w:val="single" w:color="auto" w:sz="4" w:space="0"/>
              <w:left w:val="nil"/>
              <w:bottom w:val="single" w:color="auto" w:sz="4" w:space="0"/>
              <w:right w:val="single" w:color="auto" w:sz="4" w:space="0"/>
            </w:tcBorders>
            <w:shd w:val="clear" w:color="auto" w:fill="auto"/>
            <w:vAlign w:val="center"/>
          </w:tcPr>
          <w:p w14:paraId="4FD76DDF">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最大落地浓度下风向距离（m）</w:t>
            </w:r>
          </w:p>
        </w:tc>
        <w:tc>
          <w:tcPr>
            <w:tcW w:w="503" w:type="pct"/>
            <w:tcBorders>
              <w:top w:val="single" w:color="auto" w:sz="4" w:space="0"/>
              <w:left w:val="nil"/>
              <w:bottom w:val="single" w:color="auto" w:sz="4" w:space="0"/>
              <w:right w:val="single" w:color="auto" w:sz="4" w:space="0"/>
            </w:tcBorders>
            <w:shd w:val="clear" w:color="auto" w:fill="auto"/>
            <w:vAlign w:val="center"/>
          </w:tcPr>
          <w:p w14:paraId="06A3CA2A">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最大占标率（%）</w:t>
            </w:r>
          </w:p>
        </w:tc>
        <w:tc>
          <w:tcPr>
            <w:tcW w:w="518" w:type="pct"/>
            <w:tcBorders>
              <w:top w:val="single" w:color="auto" w:sz="4" w:space="0"/>
              <w:left w:val="nil"/>
              <w:bottom w:val="single" w:color="auto" w:sz="4" w:space="0"/>
              <w:right w:val="single" w:color="auto" w:sz="4" w:space="0"/>
            </w:tcBorders>
            <w:shd w:val="clear" w:color="auto" w:fill="auto"/>
            <w:vAlign w:val="center"/>
          </w:tcPr>
          <w:p w14:paraId="1DFC3C3E">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执行级别</w:t>
            </w:r>
          </w:p>
        </w:tc>
      </w:tr>
      <w:tr w14:paraId="0454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07C8EF28">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24" w:type="pct"/>
            <w:tcBorders>
              <w:top w:val="single" w:color="auto" w:sz="4" w:space="0"/>
              <w:left w:val="nil"/>
              <w:bottom w:val="single" w:color="auto" w:sz="4" w:space="0"/>
              <w:right w:val="single" w:color="auto" w:sz="4" w:space="0"/>
            </w:tcBorders>
            <w:shd w:val="clear" w:color="auto" w:fill="auto"/>
            <w:vAlign w:val="center"/>
          </w:tcPr>
          <w:p w14:paraId="2A99093A">
            <w:pPr>
              <w:keepNext w:val="0"/>
              <w:keepLines w:val="0"/>
              <w:pageBreakBefore w:val="0"/>
              <w:kinsoku/>
              <w:wordWrap/>
              <w:overflowPunct/>
              <w:topLinePunct w:val="0"/>
              <w:bidi w:val="0"/>
              <w:adjustRightInd/>
              <w:snapToGrid/>
              <w:spacing w:line="240" w:lineRule="auto"/>
              <w:jc w:val="center"/>
              <w:rPr>
                <w:rFonts w:hint="default" w:ascii="Times New Roman" w:hAnsi="Times New Roman" w:eastAsia="宋体" w:cs="Times New Roman"/>
                <w:color w:val="auto"/>
                <w:sz w:val="21"/>
                <w:szCs w:val="21"/>
              </w:rPr>
            </w:pPr>
            <w:r>
              <w:rPr>
                <w:rFonts w:hint="eastAsia" w:cs="Times New Roman"/>
                <w:bCs/>
                <w:color w:val="auto"/>
                <w:sz w:val="21"/>
                <w:szCs w:val="21"/>
                <w:lang w:val="en-US" w:eastAsia="zh-CN"/>
              </w:rPr>
              <w:t>百791</w:t>
            </w:r>
          </w:p>
        </w:tc>
        <w:tc>
          <w:tcPr>
            <w:tcW w:w="427" w:type="pct"/>
            <w:vMerge w:val="restart"/>
            <w:tcBorders>
              <w:top w:val="nil"/>
              <w:left w:val="nil"/>
              <w:right w:val="single" w:color="auto" w:sz="4" w:space="0"/>
            </w:tcBorders>
            <w:shd w:val="clear" w:color="auto" w:fill="auto"/>
            <w:vAlign w:val="center"/>
          </w:tcPr>
          <w:p w14:paraId="4A102360">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51" w:type="pct"/>
            <w:vMerge w:val="restart"/>
            <w:tcBorders>
              <w:top w:val="nil"/>
              <w:left w:val="nil"/>
              <w:right w:val="single" w:color="auto" w:sz="4" w:space="0"/>
            </w:tcBorders>
            <w:shd w:val="clear" w:color="auto" w:fill="auto"/>
            <w:vAlign w:val="center"/>
          </w:tcPr>
          <w:p w14:paraId="3A0B8FD3">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43" w:type="pct"/>
            <w:tcBorders>
              <w:top w:val="single" w:color="auto" w:sz="4" w:space="0"/>
              <w:left w:val="nil"/>
              <w:bottom w:val="single" w:color="auto" w:sz="4" w:space="0"/>
              <w:right w:val="single" w:color="auto" w:sz="4" w:space="0"/>
            </w:tcBorders>
            <w:shd w:val="clear" w:color="auto" w:fill="auto"/>
            <w:vAlign w:val="center"/>
          </w:tcPr>
          <w:p w14:paraId="32279F79">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666" w:type="pct"/>
            <w:tcBorders>
              <w:top w:val="single" w:color="auto" w:sz="4" w:space="0"/>
              <w:left w:val="nil"/>
              <w:bottom w:val="single" w:color="auto" w:sz="4" w:space="0"/>
              <w:right w:val="single" w:color="auto" w:sz="4" w:space="0"/>
            </w:tcBorders>
            <w:shd w:val="clear" w:color="auto" w:fill="auto"/>
            <w:vAlign w:val="center"/>
          </w:tcPr>
          <w:p w14:paraId="29FF661B">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3.35</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-2</w:t>
            </w:r>
          </w:p>
        </w:tc>
        <w:tc>
          <w:tcPr>
            <w:tcW w:w="673" w:type="pct"/>
            <w:tcBorders>
              <w:top w:val="single" w:color="auto" w:sz="4" w:space="0"/>
              <w:left w:val="nil"/>
              <w:bottom w:val="single" w:color="auto" w:sz="4" w:space="0"/>
              <w:right w:val="single" w:color="auto" w:sz="4" w:space="0"/>
            </w:tcBorders>
            <w:shd w:val="clear" w:color="auto" w:fill="auto"/>
            <w:vAlign w:val="center"/>
          </w:tcPr>
          <w:p w14:paraId="14938897">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100</w:t>
            </w:r>
          </w:p>
        </w:tc>
        <w:tc>
          <w:tcPr>
            <w:tcW w:w="503" w:type="pct"/>
            <w:tcBorders>
              <w:top w:val="single" w:color="auto" w:sz="4" w:space="0"/>
              <w:left w:val="nil"/>
              <w:bottom w:val="single" w:color="auto" w:sz="4" w:space="0"/>
              <w:right w:val="single" w:color="auto" w:sz="4" w:space="0"/>
            </w:tcBorders>
            <w:shd w:val="clear" w:color="auto" w:fill="auto"/>
            <w:vAlign w:val="center"/>
          </w:tcPr>
          <w:p w14:paraId="2B59BEDF">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1.68</w:t>
            </w:r>
          </w:p>
        </w:tc>
        <w:tc>
          <w:tcPr>
            <w:tcW w:w="518" w:type="pct"/>
            <w:tcBorders>
              <w:top w:val="single" w:color="auto" w:sz="4" w:space="0"/>
              <w:left w:val="nil"/>
              <w:bottom w:val="single" w:color="auto" w:sz="4" w:space="0"/>
              <w:right w:val="single" w:color="auto" w:sz="4" w:space="0"/>
            </w:tcBorders>
            <w:shd w:val="clear" w:color="auto" w:fill="auto"/>
            <w:vAlign w:val="center"/>
          </w:tcPr>
          <w:p w14:paraId="2D9FDA7B">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二级</w:t>
            </w:r>
          </w:p>
        </w:tc>
      </w:tr>
      <w:tr w14:paraId="4A47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83984B">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24" w:type="pct"/>
            <w:tcBorders>
              <w:top w:val="single" w:color="auto" w:sz="4" w:space="0"/>
              <w:left w:val="nil"/>
              <w:bottom w:val="single" w:color="auto" w:sz="4" w:space="0"/>
              <w:right w:val="single" w:color="auto" w:sz="4" w:space="0"/>
            </w:tcBorders>
            <w:shd w:val="clear" w:color="auto" w:fill="auto"/>
            <w:vAlign w:val="center"/>
          </w:tcPr>
          <w:p w14:paraId="60574DB6">
            <w:pPr>
              <w:keepNext w:val="0"/>
              <w:keepLines w:val="0"/>
              <w:pageBreakBefore w:val="0"/>
              <w:kinsoku/>
              <w:wordWrap/>
              <w:overflowPunct/>
              <w:topLinePunct w:val="0"/>
              <w:bidi w:val="0"/>
              <w:adjustRightInd/>
              <w:snapToGrid/>
              <w:spacing w:line="240" w:lineRule="auto"/>
              <w:jc w:val="center"/>
              <w:rPr>
                <w:rFonts w:hint="default" w:ascii="Times New Roman" w:hAnsi="Times New Roman" w:eastAsia="宋体" w:cs="Times New Roman"/>
                <w:color w:val="auto"/>
                <w:sz w:val="21"/>
                <w:szCs w:val="21"/>
              </w:rPr>
            </w:pPr>
            <w:r>
              <w:rPr>
                <w:rFonts w:hint="eastAsia" w:cs="Times New Roman"/>
                <w:bCs/>
                <w:color w:val="auto"/>
                <w:sz w:val="21"/>
                <w:szCs w:val="21"/>
                <w:lang w:val="en-US" w:eastAsia="zh-CN"/>
              </w:rPr>
              <w:t>玛62</w:t>
            </w:r>
          </w:p>
        </w:tc>
        <w:tc>
          <w:tcPr>
            <w:tcW w:w="427" w:type="pct"/>
            <w:vMerge w:val="continue"/>
            <w:tcBorders>
              <w:left w:val="nil"/>
              <w:right w:val="single" w:color="auto" w:sz="4" w:space="0"/>
            </w:tcBorders>
            <w:shd w:val="clear" w:color="auto" w:fill="auto"/>
            <w:vAlign w:val="center"/>
          </w:tcPr>
          <w:p w14:paraId="5BC111A4">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p>
        </w:tc>
        <w:tc>
          <w:tcPr>
            <w:tcW w:w="651" w:type="pct"/>
            <w:vMerge w:val="continue"/>
            <w:tcBorders>
              <w:left w:val="nil"/>
              <w:right w:val="single" w:color="auto" w:sz="4" w:space="0"/>
            </w:tcBorders>
            <w:shd w:val="clear" w:color="auto" w:fill="auto"/>
            <w:vAlign w:val="center"/>
          </w:tcPr>
          <w:p w14:paraId="6371CFB3">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p>
        </w:tc>
        <w:tc>
          <w:tcPr>
            <w:tcW w:w="543" w:type="pct"/>
            <w:tcBorders>
              <w:top w:val="single" w:color="auto" w:sz="4" w:space="0"/>
              <w:left w:val="nil"/>
              <w:bottom w:val="single" w:color="auto" w:sz="4" w:space="0"/>
              <w:right w:val="single" w:color="auto" w:sz="4" w:space="0"/>
            </w:tcBorders>
            <w:shd w:val="clear" w:color="auto" w:fill="auto"/>
            <w:vAlign w:val="center"/>
          </w:tcPr>
          <w:p w14:paraId="1D445D68">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666" w:type="pct"/>
            <w:tcBorders>
              <w:top w:val="single" w:color="auto" w:sz="4" w:space="0"/>
              <w:left w:val="nil"/>
              <w:bottom w:val="single" w:color="auto" w:sz="4" w:space="0"/>
              <w:right w:val="single" w:color="auto" w:sz="4" w:space="0"/>
            </w:tcBorders>
            <w:shd w:val="clear" w:color="auto" w:fill="auto"/>
            <w:vAlign w:val="center"/>
          </w:tcPr>
          <w:p w14:paraId="4F838E07">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5.45</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-2</w:t>
            </w:r>
          </w:p>
        </w:tc>
        <w:tc>
          <w:tcPr>
            <w:tcW w:w="673" w:type="pct"/>
            <w:tcBorders>
              <w:top w:val="single" w:color="auto" w:sz="4" w:space="0"/>
              <w:left w:val="nil"/>
              <w:bottom w:val="single" w:color="auto" w:sz="4" w:space="0"/>
              <w:right w:val="single" w:color="auto" w:sz="4" w:space="0"/>
            </w:tcBorders>
            <w:shd w:val="clear" w:color="auto" w:fill="auto"/>
            <w:vAlign w:val="center"/>
          </w:tcPr>
          <w:p w14:paraId="5FE1A5AE">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100</w:t>
            </w:r>
          </w:p>
        </w:tc>
        <w:tc>
          <w:tcPr>
            <w:tcW w:w="503" w:type="pct"/>
            <w:tcBorders>
              <w:top w:val="single" w:color="auto" w:sz="4" w:space="0"/>
              <w:left w:val="nil"/>
              <w:bottom w:val="single" w:color="auto" w:sz="4" w:space="0"/>
              <w:right w:val="single" w:color="auto" w:sz="4" w:space="0"/>
            </w:tcBorders>
            <w:shd w:val="clear" w:color="auto" w:fill="auto"/>
            <w:vAlign w:val="center"/>
          </w:tcPr>
          <w:p w14:paraId="5F34476B">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2.73</w:t>
            </w:r>
          </w:p>
        </w:tc>
        <w:tc>
          <w:tcPr>
            <w:tcW w:w="518" w:type="pct"/>
            <w:tcBorders>
              <w:top w:val="single" w:color="auto" w:sz="4" w:space="0"/>
              <w:left w:val="nil"/>
              <w:bottom w:val="single" w:color="auto" w:sz="4" w:space="0"/>
              <w:right w:val="single" w:color="auto" w:sz="4" w:space="0"/>
            </w:tcBorders>
            <w:shd w:val="clear" w:color="auto" w:fill="auto"/>
            <w:vAlign w:val="center"/>
          </w:tcPr>
          <w:p w14:paraId="2AC841FC">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二级</w:t>
            </w:r>
          </w:p>
        </w:tc>
      </w:tr>
    </w:tbl>
    <w:p w14:paraId="7527BFD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rPr>
      </w:pPr>
      <w:r>
        <w:rPr>
          <w:rFonts w:eastAsia="宋体"/>
          <w:color w:val="auto"/>
          <w:sz w:val="24"/>
          <w:szCs w:val="24"/>
        </w:rPr>
        <w:t>按照评价工作等级判定原则，同一项目有多个污染源（两个及以上，下同）时，则按各污染源分别确定评价等级，并取评价等级最高者作为项目的评价等级，最终确定</w:t>
      </w:r>
      <w:r>
        <w:rPr>
          <w:rFonts w:hint="eastAsia"/>
          <w:color w:val="auto"/>
          <w:sz w:val="24"/>
          <w:szCs w:val="24"/>
          <w:lang w:eastAsia="zh-CN"/>
        </w:rPr>
        <w:t>本工程</w:t>
      </w:r>
      <w:r>
        <w:rPr>
          <w:rFonts w:eastAsia="宋体"/>
          <w:color w:val="auto"/>
          <w:sz w:val="24"/>
          <w:szCs w:val="24"/>
        </w:rPr>
        <w:t>大气环境评价工作等级为</w:t>
      </w:r>
      <w:r>
        <w:rPr>
          <w:rFonts w:hint="eastAsia"/>
          <w:color w:val="auto"/>
          <w:sz w:val="24"/>
          <w:szCs w:val="24"/>
          <w:lang w:val="en-US" w:eastAsia="zh-CN"/>
        </w:rPr>
        <w:t>二</w:t>
      </w:r>
      <w:r>
        <w:rPr>
          <w:rFonts w:eastAsia="宋体"/>
          <w:color w:val="auto"/>
          <w:sz w:val="24"/>
          <w:szCs w:val="24"/>
        </w:rPr>
        <w:t>级。</w:t>
      </w:r>
    </w:p>
    <w:p w14:paraId="05408467">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（2）评价范围</w:t>
      </w:r>
    </w:p>
    <w:p w14:paraId="549CB8DD">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szCs w:val="28"/>
        </w:rPr>
      </w:pPr>
      <w:r>
        <w:rPr>
          <w:rFonts w:hint="eastAsia" w:cs="Times New Roman"/>
          <w:color w:val="auto"/>
          <w:sz w:val="24"/>
          <w:szCs w:val="24"/>
          <w:lang w:eastAsia="zh-CN"/>
        </w:rPr>
        <w:t>本工程</w:t>
      </w:r>
      <w:r>
        <w:rPr>
          <w:rFonts w:hint="default" w:ascii="Times New Roman" w:hAnsi="Times New Roman" w:eastAsia="宋体" w:cs="Times New Roman"/>
          <w:color w:val="auto"/>
          <w:sz w:val="24"/>
          <w:szCs w:val="24"/>
        </w:rPr>
        <w:t>大气评价范围为各井场边长5km矩形范围，</w:t>
      </w:r>
      <w:r>
        <w:rPr>
          <w:rFonts w:hint="eastAsia" w:cs="Times New Roman"/>
          <w:color w:val="auto"/>
          <w:sz w:val="24"/>
          <w:szCs w:val="24"/>
          <w:lang w:val="en-US" w:eastAsia="zh-CN"/>
        </w:rPr>
        <w:t>大气</w:t>
      </w:r>
      <w:r>
        <w:rPr>
          <w:rFonts w:hint="default" w:ascii="Times New Roman" w:hAnsi="Times New Roman" w:eastAsia="宋体" w:cs="Times New Roman"/>
          <w:color w:val="auto"/>
          <w:sz w:val="24"/>
          <w:szCs w:val="24"/>
        </w:rPr>
        <w:t>评价范围</w:t>
      </w:r>
      <w:r>
        <w:rPr>
          <w:rFonts w:hint="eastAsia" w:cs="Times New Roman"/>
          <w:color w:val="auto"/>
          <w:sz w:val="24"/>
          <w:szCs w:val="24"/>
          <w:lang w:val="en-US" w:eastAsia="zh-CN"/>
        </w:rPr>
        <w:t>示意</w:t>
      </w:r>
      <w:r>
        <w:rPr>
          <w:rFonts w:hint="default" w:ascii="Times New Roman" w:hAnsi="Times New Roman" w:eastAsia="宋体" w:cs="Times New Roman"/>
          <w:color w:val="auto"/>
          <w:sz w:val="24"/>
          <w:szCs w:val="24"/>
        </w:rPr>
        <w:t>图见</w:t>
      </w:r>
      <w:r>
        <w:rPr>
          <w:rFonts w:hint="eastAsia" w:cs="Times New Roman"/>
          <w:color w:val="auto"/>
          <w:sz w:val="24"/>
          <w:szCs w:val="24"/>
          <w:lang w:val="en-US" w:eastAsia="zh-CN"/>
        </w:rPr>
        <w:t>附</w:t>
      </w:r>
      <w:r>
        <w:rPr>
          <w:rFonts w:hint="default" w:ascii="Times New Roman" w:hAnsi="Times New Roman" w:eastAsia="宋体" w:cs="Times New Roman"/>
          <w:color w:val="auto"/>
          <w:sz w:val="24"/>
          <w:szCs w:val="24"/>
        </w:rPr>
        <w:t>图</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w:t>
      </w:r>
    </w:p>
    <w:p w14:paraId="05867251">
      <w:pPr>
        <w:pStyle w:val="5"/>
        <w:bidi w:val="0"/>
        <w:rPr>
          <w:rFonts w:hint="default"/>
          <w:color w:val="auto"/>
          <w:lang w:val="en-US" w:eastAsia="zh-CN"/>
        </w:rPr>
      </w:pPr>
      <w:bookmarkStart w:id="103" w:name="_Toc13145"/>
      <w:bookmarkStart w:id="104" w:name="_Toc13236"/>
      <w:r>
        <w:rPr>
          <w:rFonts w:hint="eastAsia"/>
          <w:color w:val="auto"/>
          <w:lang w:val="en-US" w:eastAsia="zh-CN"/>
        </w:rPr>
        <w:t>2.5.2地表水环境</w:t>
      </w:r>
      <w:bookmarkEnd w:id="103"/>
      <w:bookmarkEnd w:id="104"/>
    </w:p>
    <w:p w14:paraId="43A4FA9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eastAsia="宋体"/>
          <w:color w:val="auto"/>
          <w:sz w:val="24"/>
          <w:szCs w:val="24"/>
          <w:lang w:eastAsia="zh-CN"/>
        </w:rPr>
        <w:t>（</w:t>
      </w:r>
      <w:r>
        <w:rPr>
          <w:rFonts w:hint="eastAsia" w:eastAsia="宋体"/>
          <w:color w:val="auto"/>
          <w:sz w:val="24"/>
          <w:szCs w:val="24"/>
          <w:lang w:val="en-US" w:eastAsia="zh-CN"/>
        </w:rPr>
        <w:t>1</w:t>
      </w:r>
      <w:r>
        <w:rPr>
          <w:rFonts w:hint="eastAsia" w:eastAsia="宋体"/>
          <w:color w:val="auto"/>
          <w:sz w:val="24"/>
          <w:szCs w:val="24"/>
          <w:lang w:eastAsia="zh-CN"/>
        </w:rPr>
        <w:t>）</w:t>
      </w:r>
      <w:r>
        <w:rPr>
          <w:rFonts w:hint="eastAsia" w:eastAsia="宋体"/>
          <w:color w:val="auto"/>
          <w:sz w:val="24"/>
          <w:szCs w:val="24"/>
          <w:lang w:val="en-US" w:eastAsia="zh-CN"/>
        </w:rPr>
        <w:t>评价等级</w:t>
      </w:r>
    </w:p>
    <w:p w14:paraId="1C26955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eastAsia="zh-CN"/>
        </w:rPr>
      </w:pPr>
      <w:r>
        <w:rPr>
          <w:rFonts w:hint="eastAsia"/>
          <w:color w:val="auto"/>
          <w:sz w:val="24"/>
          <w:szCs w:val="24"/>
          <w:lang w:eastAsia="zh-CN"/>
        </w:rPr>
        <w:t>本工程</w:t>
      </w:r>
      <w:r>
        <w:rPr>
          <w:rFonts w:hint="eastAsia" w:eastAsia="宋体"/>
          <w:color w:val="auto"/>
          <w:sz w:val="24"/>
          <w:szCs w:val="24"/>
          <w:lang w:eastAsia="zh-CN"/>
        </w:rPr>
        <w:t>不新增员工，无新增生活污水。</w:t>
      </w:r>
      <w:r>
        <w:rPr>
          <w:rFonts w:hint="eastAsia"/>
          <w:color w:val="auto"/>
          <w:sz w:val="24"/>
          <w:szCs w:val="24"/>
          <w:lang w:eastAsia="zh-CN"/>
        </w:rPr>
        <w:t>本工程</w:t>
      </w:r>
      <w:r>
        <w:rPr>
          <w:rFonts w:hint="eastAsia" w:eastAsia="宋体"/>
          <w:color w:val="auto"/>
          <w:sz w:val="24"/>
          <w:szCs w:val="24"/>
          <w:lang w:eastAsia="zh-CN"/>
        </w:rPr>
        <w:t>油田采出水</w:t>
      </w:r>
      <w:r>
        <w:rPr>
          <w:rFonts w:hint="eastAsia"/>
          <w:color w:val="auto"/>
          <w:sz w:val="24"/>
          <w:szCs w:val="24"/>
          <w:lang w:eastAsia="zh-CN"/>
        </w:rPr>
        <w:t>、</w:t>
      </w:r>
      <w:r>
        <w:rPr>
          <w:rFonts w:hint="eastAsia"/>
          <w:color w:val="auto"/>
          <w:sz w:val="24"/>
          <w:szCs w:val="24"/>
          <w:lang w:val="en-US" w:eastAsia="zh-CN"/>
        </w:rPr>
        <w:t>井下作业废水</w:t>
      </w:r>
      <w:r>
        <w:rPr>
          <w:rFonts w:hint="eastAsia" w:eastAsia="宋体"/>
          <w:color w:val="auto"/>
          <w:sz w:val="24"/>
          <w:szCs w:val="24"/>
          <w:lang w:eastAsia="zh-CN"/>
        </w:rPr>
        <w:t>依托站场采出水处理系统处理达标后回注油层，不外排。根据《环境影响评价技术导则 地表水环境》（HJ2.3-2018）判定，</w:t>
      </w:r>
      <w:r>
        <w:rPr>
          <w:rFonts w:hint="eastAsia"/>
          <w:color w:val="auto"/>
          <w:sz w:val="24"/>
          <w:szCs w:val="24"/>
          <w:lang w:eastAsia="zh-CN"/>
        </w:rPr>
        <w:t>本工程</w:t>
      </w:r>
      <w:r>
        <w:rPr>
          <w:rFonts w:hint="eastAsia" w:eastAsia="宋体"/>
          <w:color w:val="auto"/>
          <w:sz w:val="24"/>
          <w:szCs w:val="24"/>
          <w:lang w:eastAsia="zh-CN"/>
        </w:rPr>
        <w:t>地表水评价工作等级为三级B，评价重点是对项目废水处理措施进行环境可行性分析。判定依据见</w:t>
      </w:r>
      <w:r>
        <w:rPr>
          <w:rFonts w:hint="default" w:eastAsia="宋体"/>
          <w:color w:val="auto"/>
          <w:sz w:val="24"/>
          <w:szCs w:val="24"/>
          <w:lang w:val="en-US" w:eastAsia="zh-CN"/>
        </w:rPr>
        <w:fldChar w:fldCharType="begin"/>
      </w:r>
      <w:r>
        <w:rPr>
          <w:rFonts w:hint="default" w:eastAsia="宋体"/>
          <w:color w:val="auto"/>
          <w:sz w:val="24"/>
          <w:szCs w:val="24"/>
          <w:lang w:val="en-US" w:eastAsia="zh-CN"/>
        </w:rPr>
        <w:instrText xml:space="preserve"> REF _Ref6066 \h </w:instrText>
      </w:r>
      <w:r>
        <w:rPr>
          <w:rFonts w:hint="default" w:eastAsia="宋体"/>
          <w:color w:val="auto"/>
          <w:sz w:val="24"/>
          <w:szCs w:val="24"/>
          <w:lang w:val="en-US" w:eastAsia="zh-CN"/>
        </w:rPr>
        <w:fldChar w:fldCharType="separate"/>
      </w:r>
      <w:r>
        <w:rPr>
          <w:rFonts w:hint="eastAsia" w:eastAsia="宋体"/>
          <w:color w:val="auto"/>
          <w:sz w:val="24"/>
          <w:szCs w:val="24"/>
          <w:lang w:eastAsia="zh-CN"/>
        </w:rPr>
        <w:t>表</w:t>
      </w:r>
      <w:r>
        <w:rPr>
          <w:rFonts w:hint="eastAsia" w:eastAsia="宋体"/>
          <w:color w:val="auto"/>
          <w:sz w:val="24"/>
          <w:szCs w:val="24"/>
          <w:lang w:eastAsia="zh-CN"/>
        </w:rPr>
        <w:fldChar w:fldCharType="begin"/>
      </w:r>
      <w:r>
        <w:rPr>
          <w:rFonts w:hint="eastAsia" w:eastAsia="宋体"/>
          <w:color w:val="auto"/>
          <w:sz w:val="24"/>
          <w:szCs w:val="24"/>
          <w:lang w:eastAsia="zh-CN"/>
        </w:rPr>
        <w:instrText xml:space="preserve"> STYLEREF 2 \s </w:instrText>
      </w:r>
      <w:r>
        <w:rPr>
          <w:rFonts w:hint="eastAsia" w:eastAsia="宋体"/>
          <w:color w:val="auto"/>
          <w:sz w:val="24"/>
          <w:szCs w:val="24"/>
          <w:lang w:eastAsia="zh-CN"/>
        </w:rPr>
        <w:fldChar w:fldCharType="separate"/>
      </w:r>
      <w:r>
        <w:rPr>
          <w:rFonts w:hint="eastAsia" w:eastAsia="宋体"/>
          <w:color w:val="auto"/>
          <w:sz w:val="24"/>
          <w:szCs w:val="24"/>
          <w:lang w:eastAsia="zh-CN"/>
        </w:rPr>
        <w:t>2.5</w:t>
      </w:r>
      <w:r>
        <w:rPr>
          <w:rFonts w:hint="eastAsia" w:eastAsia="宋体"/>
          <w:color w:val="auto"/>
          <w:sz w:val="24"/>
          <w:szCs w:val="24"/>
          <w:lang w:eastAsia="zh-CN"/>
        </w:rPr>
        <w:fldChar w:fldCharType="end"/>
      </w:r>
      <w:r>
        <w:rPr>
          <w:rFonts w:hint="eastAsia" w:eastAsia="宋体"/>
          <w:color w:val="auto"/>
          <w:sz w:val="24"/>
          <w:szCs w:val="24"/>
          <w:lang w:eastAsia="zh-CN"/>
        </w:rPr>
        <w:noBreakHyphen/>
      </w:r>
      <w:r>
        <w:rPr>
          <w:rFonts w:hint="eastAsia" w:eastAsia="宋体"/>
          <w:color w:val="auto"/>
          <w:sz w:val="24"/>
          <w:szCs w:val="24"/>
          <w:lang w:eastAsia="zh-CN"/>
        </w:rPr>
        <w:t>4</w:t>
      </w:r>
      <w:r>
        <w:rPr>
          <w:rFonts w:hint="default" w:eastAsia="宋体"/>
          <w:color w:val="auto"/>
          <w:sz w:val="24"/>
          <w:szCs w:val="24"/>
          <w:lang w:val="en-US" w:eastAsia="zh-CN"/>
        </w:rPr>
        <w:fldChar w:fldCharType="end"/>
      </w:r>
      <w:r>
        <w:rPr>
          <w:rFonts w:hint="eastAsia" w:eastAsia="宋体"/>
          <w:color w:val="auto"/>
          <w:sz w:val="24"/>
          <w:szCs w:val="24"/>
          <w:lang w:eastAsia="zh-CN"/>
        </w:rPr>
        <w:t>。</w:t>
      </w:r>
    </w:p>
    <w:p w14:paraId="43F09990">
      <w:pPr>
        <w:pStyle w:val="43"/>
        <w:bidi w:val="0"/>
        <w:rPr>
          <w:rFonts w:cs="Times New Roman"/>
          <w:color w:val="auto"/>
        </w:rPr>
      </w:pPr>
      <w:bookmarkStart w:id="105" w:name="_Ref106032399"/>
      <w:bookmarkStart w:id="106" w:name="_Ref6066"/>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4</w:t>
      </w:r>
      <w:r>
        <w:rPr>
          <w:rFonts w:cs="Times New Roman"/>
          <w:color w:val="auto"/>
        </w:rPr>
        <w:fldChar w:fldCharType="end"/>
      </w:r>
      <w:bookmarkEnd w:id="105"/>
      <w:bookmarkEnd w:id="106"/>
      <w:r>
        <w:rPr>
          <w:rFonts w:cs="Times New Roman"/>
          <w:color w:val="auto"/>
        </w:rPr>
        <w:t xml:space="preserve">  水污染影响型建设项目评价等级判定</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0171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vMerge w:val="restart"/>
            <w:vAlign w:val="center"/>
          </w:tcPr>
          <w:p w14:paraId="60362215">
            <w:pPr>
              <w:pStyle w:val="3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b/>
                <w:bCs/>
                <w:color w:val="auto"/>
                <w:lang w:val="en-US" w:eastAsia="zh-CN"/>
              </w:rPr>
            </w:pPr>
            <w:r>
              <w:rPr>
                <w:rFonts w:hint="eastAsia"/>
                <w:b/>
                <w:bCs/>
                <w:color w:val="auto"/>
                <w:lang w:val="en-US" w:eastAsia="zh-CN"/>
              </w:rPr>
              <w:t>评价等级</w:t>
            </w:r>
          </w:p>
        </w:tc>
        <w:tc>
          <w:tcPr>
            <w:tcW w:w="5682" w:type="dxa"/>
            <w:gridSpan w:val="2"/>
            <w:vAlign w:val="center"/>
          </w:tcPr>
          <w:p w14:paraId="52AC99CE">
            <w:pPr>
              <w:pStyle w:val="3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b/>
                <w:bCs/>
                <w:color w:val="auto"/>
                <w:lang w:eastAsia="zh-CN"/>
              </w:rPr>
            </w:pPr>
            <w:r>
              <w:rPr>
                <w:rFonts w:hint="eastAsia"/>
                <w:b/>
                <w:bCs/>
                <w:color w:val="auto"/>
                <w:lang w:val="en-US" w:eastAsia="zh-CN"/>
              </w:rPr>
              <w:t>判定依据</w:t>
            </w:r>
          </w:p>
        </w:tc>
      </w:tr>
      <w:tr w14:paraId="78DD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vMerge w:val="continue"/>
            <w:vAlign w:val="center"/>
          </w:tcPr>
          <w:p w14:paraId="699D6064">
            <w:pPr>
              <w:pStyle w:val="3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b/>
                <w:bCs/>
                <w:color w:val="auto"/>
                <w:lang w:eastAsia="zh-CN"/>
              </w:rPr>
            </w:pPr>
          </w:p>
        </w:tc>
        <w:tc>
          <w:tcPr>
            <w:tcW w:w="2841" w:type="dxa"/>
            <w:vAlign w:val="center"/>
          </w:tcPr>
          <w:p w14:paraId="6D05C79D">
            <w:pPr>
              <w:pStyle w:val="3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b/>
                <w:bCs/>
                <w:color w:val="auto"/>
                <w:lang w:val="en-US" w:eastAsia="zh-CN"/>
              </w:rPr>
            </w:pPr>
            <w:r>
              <w:rPr>
                <w:rFonts w:hint="eastAsia"/>
                <w:b/>
                <w:bCs/>
                <w:color w:val="auto"/>
                <w:lang w:val="en-US" w:eastAsia="zh-CN"/>
              </w:rPr>
              <w:t>排放方式</w:t>
            </w:r>
          </w:p>
        </w:tc>
        <w:tc>
          <w:tcPr>
            <w:tcW w:w="2841" w:type="dxa"/>
            <w:vAlign w:val="center"/>
          </w:tcPr>
          <w:p w14:paraId="65D67486">
            <w:pPr>
              <w:pStyle w:val="3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b/>
                <w:bCs/>
                <w:color w:val="auto"/>
                <w:lang w:val="en-US" w:eastAsia="zh-CN"/>
              </w:rPr>
            </w:pPr>
            <w:r>
              <w:rPr>
                <w:rFonts w:hint="eastAsia"/>
                <w:b/>
                <w:bCs/>
                <w:color w:val="auto"/>
                <w:lang w:val="en-US" w:eastAsia="zh-CN"/>
              </w:rPr>
              <w:t>废水排放量Q/（m</w:t>
            </w:r>
            <w:r>
              <w:rPr>
                <w:rFonts w:hint="eastAsia"/>
                <w:b/>
                <w:bCs/>
                <w:color w:val="auto"/>
                <w:vertAlign w:val="superscript"/>
                <w:lang w:val="en-US" w:eastAsia="zh-CN"/>
              </w:rPr>
              <w:t>3</w:t>
            </w:r>
            <w:r>
              <w:rPr>
                <w:rFonts w:hint="eastAsia"/>
                <w:b/>
                <w:bCs/>
                <w:color w:val="auto"/>
                <w:lang w:val="en-US" w:eastAsia="zh-CN"/>
              </w:rPr>
              <w:t>/d）；水污染当量数</w:t>
            </w:r>
          </w:p>
        </w:tc>
      </w:tr>
      <w:tr w14:paraId="5ADC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shd w:val="clear" w:color="auto" w:fill="auto"/>
            <w:vAlign w:val="center"/>
          </w:tcPr>
          <w:p w14:paraId="6A3A9F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一级</w:t>
            </w:r>
          </w:p>
        </w:tc>
        <w:tc>
          <w:tcPr>
            <w:tcW w:w="2841" w:type="dxa"/>
            <w:shd w:val="clear" w:color="auto" w:fill="auto"/>
            <w:vAlign w:val="center"/>
          </w:tcPr>
          <w:p w14:paraId="1B1BDFF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直接排放</w:t>
            </w:r>
          </w:p>
        </w:tc>
        <w:tc>
          <w:tcPr>
            <w:tcW w:w="2841" w:type="dxa"/>
            <w:shd w:val="clear" w:color="auto" w:fill="auto"/>
            <w:vAlign w:val="center"/>
          </w:tcPr>
          <w:p w14:paraId="062812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Q≥20000或W≥600000</w:t>
            </w:r>
          </w:p>
        </w:tc>
      </w:tr>
      <w:tr w14:paraId="3DCB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3D9163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二级</w:t>
            </w:r>
          </w:p>
        </w:tc>
        <w:tc>
          <w:tcPr>
            <w:tcW w:w="0" w:type="auto"/>
            <w:shd w:val="clear" w:color="auto" w:fill="auto"/>
            <w:vAlign w:val="center"/>
          </w:tcPr>
          <w:p w14:paraId="1C9C40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直接排放</w:t>
            </w:r>
          </w:p>
        </w:tc>
        <w:tc>
          <w:tcPr>
            <w:tcW w:w="0" w:type="auto"/>
            <w:shd w:val="clear" w:color="auto" w:fill="auto"/>
            <w:vAlign w:val="center"/>
          </w:tcPr>
          <w:p w14:paraId="23C1DE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其他</w:t>
            </w:r>
          </w:p>
        </w:tc>
      </w:tr>
      <w:tr w14:paraId="192C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796315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三级A</w:t>
            </w:r>
          </w:p>
        </w:tc>
        <w:tc>
          <w:tcPr>
            <w:tcW w:w="0" w:type="auto"/>
            <w:shd w:val="clear" w:color="auto" w:fill="auto"/>
            <w:vAlign w:val="center"/>
          </w:tcPr>
          <w:p w14:paraId="287820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直接排放</w:t>
            </w:r>
          </w:p>
        </w:tc>
        <w:tc>
          <w:tcPr>
            <w:tcW w:w="0" w:type="auto"/>
            <w:shd w:val="clear" w:color="auto" w:fill="auto"/>
            <w:vAlign w:val="center"/>
          </w:tcPr>
          <w:p w14:paraId="2712B9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Q＜200且W＜6000</w:t>
            </w:r>
          </w:p>
        </w:tc>
      </w:tr>
      <w:tr w14:paraId="0606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53C13A1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三级B</w:t>
            </w:r>
          </w:p>
        </w:tc>
        <w:tc>
          <w:tcPr>
            <w:tcW w:w="0" w:type="auto"/>
            <w:shd w:val="clear" w:color="auto" w:fill="auto"/>
            <w:vAlign w:val="center"/>
          </w:tcPr>
          <w:p w14:paraId="6E75CF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间接排放</w:t>
            </w:r>
          </w:p>
        </w:tc>
        <w:tc>
          <w:tcPr>
            <w:tcW w:w="0" w:type="auto"/>
            <w:shd w:val="clear" w:color="auto" w:fill="auto"/>
            <w:vAlign w:val="center"/>
          </w:tcPr>
          <w:p w14:paraId="130A12D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lang w:val="en-US" w:eastAsia="zh-CN" w:bidi="ar-SA"/>
              </w:rPr>
            </w:pPr>
            <w:r>
              <w:rPr>
                <w:color w:val="auto"/>
              </w:rPr>
              <w:t>-</w:t>
            </w:r>
          </w:p>
        </w:tc>
      </w:tr>
      <w:tr w14:paraId="2A99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3"/>
            <w:shd w:val="clear" w:color="auto" w:fill="auto"/>
            <w:vAlign w:val="center"/>
          </w:tcPr>
          <w:p w14:paraId="6339EEA0">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rPr>
            </w:pPr>
            <w:r>
              <w:rPr>
                <w:color w:val="auto"/>
              </w:rPr>
              <w:t>注：建设项目采出水及</w:t>
            </w:r>
            <w:r>
              <w:rPr>
                <w:rFonts w:hint="eastAsia"/>
                <w:color w:val="auto"/>
                <w:lang w:val="en-US" w:eastAsia="zh-CN"/>
              </w:rPr>
              <w:t>压裂返排液</w:t>
            </w:r>
            <w:r>
              <w:rPr>
                <w:color w:val="auto"/>
              </w:rPr>
              <w:t>经处理后回注，不外排，按三级B评价</w:t>
            </w:r>
          </w:p>
        </w:tc>
      </w:tr>
      <w:tr w14:paraId="61D7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5A991AC4">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lang w:val="en-US" w:eastAsia="zh-CN"/>
              </w:rPr>
            </w:pPr>
            <w:r>
              <w:rPr>
                <w:rFonts w:hint="eastAsia"/>
                <w:color w:val="auto"/>
                <w:lang w:eastAsia="zh-CN"/>
              </w:rPr>
              <w:t>本工程</w:t>
            </w:r>
            <w:r>
              <w:rPr>
                <w:color w:val="auto"/>
              </w:rPr>
              <w:t>评价等级</w:t>
            </w:r>
          </w:p>
        </w:tc>
        <w:tc>
          <w:tcPr>
            <w:tcW w:w="5682" w:type="dxa"/>
            <w:gridSpan w:val="2"/>
            <w:shd w:val="clear" w:color="auto" w:fill="auto"/>
            <w:vAlign w:val="center"/>
          </w:tcPr>
          <w:p w14:paraId="28F72B1F">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lang w:val="en-US" w:eastAsia="zh-CN"/>
              </w:rPr>
            </w:pPr>
            <w:r>
              <w:rPr>
                <w:color w:val="auto"/>
              </w:rPr>
              <w:t>三级B</w:t>
            </w:r>
          </w:p>
        </w:tc>
      </w:tr>
    </w:tbl>
    <w:p w14:paraId="0476726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eastAsia="宋体"/>
          <w:color w:val="auto"/>
          <w:sz w:val="24"/>
          <w:szCs w:val="24"/>
          <w:lang w:eastAsia="zh-CN"/>
        </w:rPr>
        <w:t>（</w:t>
      </w:r>
      <w:r>
        <w:rPr>
          <w:rFonts w:hint="eastAsia" w:eastAsia="宋体"/>
          <w:color w:val="auto"/>
          <w:sz w:val="24"/>
          <w:szCs w:val="24"/>
          <w:lang w:val="en-US" w:eastAsia="zh-CN"/>
        </w:rPr>
        <w:t>2</w:t>
      </w:r>
      <w:r>
        <w:rPr>
          <w:rFonts w:hint="eastAsia" w:eastAsia="宋体"/>
          <w:color w:val="auto"/>
          <w:sz w:val="24"/>
          <w:szCs w:val="24"/>
          <w:lang w:eastAsia="zh-CN"/>
        </w:rPr>
        <w:t>）</w:t>
      </w:r>
      <w:r>
        <w:rPr>
          <w:rFonts w:hint="eastAsia" w:eastAsia="宋体"/>
          <w:color w:val="auto"/>
          <w:sz w:val="24"/>
          <w:szCs w:val="24"/>
          <w:lang w:val="en-US" w:eastAsia="zh-CN"/>
        </w:rPr>
        <w:t>评价范围</w:t>
      </w:r>
    </w:p>
    <w:p w14:paraId="0188EFA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eastAsia="zh-CN"/>
        </w:rPr>
      </w:pPr>
      <w:r>
        <w:rPr>
          <w:rFonts w:eastAsia="宋体"/>
          <w:color w:val="auto"/>
          <w:sz w:val="24"/>
          <w:szCs w:val="24"/>
        </w:rPr>
        <w:t>地表水评价等级为三级B时，</w:t>
      </w:r>
      <w:r>
        <w:rPr>
          <w:rFonts w:hint="eastAsia" w:cs="Times New Roman"/>
          <w:color w:val="auto"/>
          <w:sz w:val="24"/>
          <w:szCs w:val="24"/>
          <w:lang w:val="en-US" w:eastAsia="zh-CN"/>
        </w:rPr>
        <w:t>项目周边无地表水且与地表水无水力联系，</w:t>
      </w:r>
      <w:r>
        <w:rPr>
          <w:rFonts w:eastAsia="宋体"/>
          <w:color w:val="auto"/>
          <w:sz w:val="24"/>
          <w:szCs w:val="24"/>
        </w:rPr>
        <w:t>评价重点是对依托采出水处理系统、回注系统的可行性分析</w:t>
      </w:r>
      <w:r>
        <w:rPr>
          <w:rFonts w:hint="eastAsia" w:eastAsia="宋体"/>
          <w:color w:val="auto"/>
          <w:sz w:val="24"/>
          <w:szCs w:val="24"/>
          <w:lang w:eastAsia="zh-CN"/>
        </w:rPr>
        <w:t>。</w:t>
      </w:r>
    </w:p>
    <w:p w14:paraId="0811C8C9">
      <w:pPr>
        <w:pStyle w:val="5"/>
        <w:bidi w:val="0"/>
        <w:rPr>
          <w:rFonts w:hint="default"/>
          <w:color w:val="auto"/>
          <w:lang w:val="en-US" w:eastAsia="zh-CN"/>
        </w:rPr>
      </w:pPr>
      <w:bookmarkStart w:id="107" w:name="_Toc5397"/>
      <w:bookmarkStart w:id="108" w:name="_Toc5717"/>
      <w:r>
        <w:rPr>
          <w:rFonts w:hint="eastAsia"/>
          <w:color w:val="auto"/>
          <w:lang w:val="en-US" w:eastAsia="zh-CN"/>
        </w:rPr>
        <w:t>2.5.3地下水环境</w:t>
      </w:r>
      <w:bookmarkEnd w:id="107"/>
      <w:bookmarkEnd w:id="108"/>
    </w:p>
    <w:p w14:paraId="4DF75ABC">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szCs w:val="28"/>
          <w:lang w:val="en-US" w:eastAsia="zh-CN"/>
        </w:rPr>
      </w:pPr>
      <w:r>
        <w:rPr>
          <w:rFonts w:hint="eastAsia" w:cs="Times New Roman"/>
          <w:color w:val="auto"/>
          <w:sz w:val="24"/>
          <w:szCs w:val="28"/>
          <w:lang w:val="en-US" w:eastAsia="zh-CN"/>
        </w:rPr>
        <w:t>（1）评价等级</w:t>
      </w:r>
    </w:p>
    <w:p w14:paraId="144ECBC5">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ascii="Times New Roman" w:hAnsi="Times New Roman" w:cs="Times New Roman"/>
          <w:color w:val="auto"/>
          <w:sz w:val="24"/>
          <w:szCs w:val="28"/>
          <w:lang w:val="en-US" w:eastAsia="zh-CN"/>
        </w:rPr>
        <w:t>根据</w:t>
      </w:r>
      <w:r>
        <w:rPr>
          <w:rFonts w:hint="eastAsia" w:cs="Times New Roman"/>
          <w:color w:val="auto"/>
          <w:sz w:val="24"/>
          <w:szCs w:val="28"/>
          <w:lang w:val="en-US" w:eastAsia="zh-CN"/>
        </w:rPr>
        <w:t>本工程</w:t>
      </w:r>
      <w:r>
        <w:rPr>
          <w:rFonts w:hint="eastAsia" w:ascii="Times New Roman" w:hAnsi="Times New Roman" w:cs="Times New Roman"/>
          <w:color w:val="auto"/>
          <w:sz w:val="24"/>
          <w:szCs w:val="28"/>
          <w:lang w:val="en-US" w:eastAsia="zh-CN"/>
        </w:rPr>
        <w:t>拟建工程内容，结合《环境影响评价技术导则 地下水环境》（HJ610-2016）中附录A地下水环境影响评价行业分类表，</w:t>
      </w:r>
      <w:r>
        <w:rPr>
          <w:rFonts w:hint="eastAsia" w:cs="Times New Roman"/>
          <w:color w:val="auto"/>
          <w:sz w:val="24"/>
          <w:szCs w:val="28"/>
          <w:lang w:val="en-US" w:eastAsia="zh-CN"/>
        </w:rPr>
        <w:t>本工程</w:t>
      </w:r>
      <w:r>
        <w:rPr>
          <w:rFonts w:hint="eastAsia" w:ascii="Times New Roman" w:hAnsi="Times New Roman" w:cs="Times New Roman"/>
          <w:color w:val="auto"/>
          <w:sz w:val="24"/>
          <w:szCs w:val="28"/>
          <w:lang w:val="en-US" w:eastAsia="zh-CN"/>
        </w:rPr>
        <w:t>属陆地石油开采项目，为I类项目。</w:t>
      </w:r>
      <w:r>
        <w:rPr>
          <w:rFonts w:hint="eastAsia" w:cs="Times New Roman"/>
          <w:color w:val="auto"/>
          <w:sz w:val="24"/>
          <w:szCs w:val="28"/>
          <w:lang w:val="en-US" w:eastAsia="zh-CN"/>
        </w:rPr>
        <w:t>根据《环境影响评价技术导则 陆地石油天然气开发建设项目》（HJ349-2023）规定，采油井场为I类建设项目，单井采油管线、集油管线为II类建设项目。项目区周边无“集中式水源区的准保护区、除集中水源地的国家或地方政府设定的地下水环境相关的保护区”，也无“集中式水源区的准保护区以外的补给径流区、分散式饮用水水源地、特殊地下水资源保护区”，敏感程度为“不敏感”。地下水环境敏感程度分级见表2.5-5。</w:t>
      </w:r>
    </w:p>
    <w:p w14:paraId="159AC85B">
      <w:pPr>
        <w:pStyle w:val="43"/>
        <w:bidi w:val="0"/>
        <w:rPr>
          <w:rFonts w:hint="default"/>
          <w:color w:val="auto"/>
          <w:lang w:val="en-US" w:eastAsia="zh-CN"/>
        </w:rPr>
      </w:pPr>
      <w:r>
        <w:rPr>
          <w:rFonts w:hint="eastAsia"/>
          <w:color w:val="auto"/>
          <w:lang w:val="en-US" w:eastAsia="zh-CN"/>
        </w:rPr>
        <w:t>表2.5-5  地下水环境敏感程度分级表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6518"/>
      </w:tblGrid>
      <w:tr w14:paraId="6827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14:paraId="2A44605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敏感程度</w:t>
            </w:r>
          </w:p>
        </w:tc>
        <w:tc>
          <w:tcPr>
            <w:tcW w:w="6518" w:type="dxa"/>
            <w:vAlign w:val="center"/>
          </w:tcPr>
          <w:p w14:paraId="471CAD8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地下水环境敏感特征</w:t>
            </w:r>
          </w:p>
        </w:tc>
      </w:tr>
      <w:tr w14:paraId="0605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14:paraId="080896E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敏感</w:t>
            </w:r>
          </w:p>
        </w:tc>
        <w:tc>
          <w:tcPr>
            <w:tcW w:w="6518" w:type="dxa"/>
          </w:tcPr>
          <w:p w14:paraId="0EA3235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3A65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14:paraId="3EA6230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较敏感</w:t>
            </w:r>
          </w:p>
        </w:tc>
        <w:tc>
          <w:tcPr>
            <w:tcW w:w="6518" w:type="dxa"/>
          </w:tcPr>
          <w:p w14:paraId="5991B17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hint="eastAsia" w:cs="Times New Roman"/>
                <w:color w:val="auto"/>
                <w:sz w:val="21"/>
                <w:szCs w:val="22"/>
                <w:vertAlign w:val="superscript"/>
                <w:lang w:val="en-US" w:eastAsia="zh-CN"/>
              </w:rPr>
              <w:t>a</w:t>
            </w:r>
            <w:r>
              <w:rPr>
                <w:rFonts w:hint="eastAsia" w:cs="Times New Roman"/>
                <w:color w:val="auto"/>
                <w:sz w:val="21"/>
                <w:szCs w:val="22"/>
                <w:vertAlign w:val="baseline"/>
                <w:lang w:val="en-US" w:eastAsia="zh-CN"/>
              </w:rPr>
              <w:t>。</w:t>
            </w:r>
          </w:p>
        </w:tc>
      </w:tr>
      <w:tr w14:paraId="4EF0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14:paraId="2EE2E3A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不敏感</w:t>
            </w:r>
          </w:p>
        </w:tc>
        <w:tc>
          <w:tcPr>
            <w:tcW w:w="6518" w:type="dxa"/>
          </w:tcPr>
          <w:p w14:paraId="797C329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上述之外的其他地区。</w:t>
            </w:r>
          </w:p>
        </w:tc>
      </w:tr>
      <w:tr w14:paraId="5549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2"/>
            <w:vAlign w:val="center"/>
          </w:tcPr>
          <w:p w14:paraId="7AB6072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2"/>
                <w:vertAlign w:val="baseline"/>
                <w:lang w:val="en-US"/>
              </w:rPr>
            </w:pPr>
            <w:r>
              <w:rPr>
                <w:rFonts w:hint="eastAsia" w:cs="Times New Roman"/>
                <w:color w:val="auto"/>
                <w:sz w:val="21"/>
                <w:szCs w:val="22"/>
                <w:vertAlign w:val="baseline"/>
                <w:lang w:val="en-US" w:eastAsia="zh-CN"/>
              </w:rPr>
              <w:t>注：a“环境敏感区”是指《建设项目环境影响评价分类管理名录》中所界定的涉及地下水的环境敏感区。</w:t>
            </w:r>
          </w:p>
        </w:tc>
      </w:tr>
    </w:tbl>
    <w:p w14:paraId="6CCB0C99">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建设项目地下水环境影响评价工作等级划分见表2.5-6，判定结果统计见表2.5-7。</w:t>
      </w:r>
    </w:p>
    <w:p w14:paraId="0B51DC2E">
      <w:pPr>
        <w:pStyle w:val="43"/>
        <w:bidi w:val="0"/>
        <w:rPr>
          <w:rFonts w:hint="default"/>
          <w:color w:val="auto"/>
          <w:lang w:val="en-US" w:eastAsia="zh-CN"/>
        </w:rPr>
      </w:pPr>
      <w:r>
        <w:rPr>
          <w:rFonts w:hint="eastAsia"/>
          <w:color w:val="auto"/>
          <w:lang w:val="en-US" w:eastAsia="zh-CN"/>
        </w:rPr>
        <w:t>表2.5-6  地下水环境影响评价工作等级分级表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4"/>
        <w:gridCol w:w="1762"/>
        <w:gridCol w:w="1762"/>
        <w:gridCol w:w="1764"/>
      </w:tblGrid>
      <w:tr w14:paraId="6EEB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323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DCFB8ED">
            <w:pPr>
              <w:pStyle w:val="11"/>
              <w:keepNext w:val="0"/>
              <w:keepLines w:val="0"/>
              <w:pageBreakBefore w:val="0"/>
              <w:widowControl/>
              <w:kinsoku/>
              <w:wordWrap/>
              <w:overflowPunct/>
              <w:topLinePunct w:val="0"/>
              <w:autoSpaceDE/>
              <w:autoSpaceDN/>
              <w:bidi w:val="0"/>
              <w:adjustRightInd/>
              <w:snapToGrid w:val="0"/>
              <w:spacing w:after="0"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环境敏感程度</w:t>
            </w:r>
          </w:p>
          <w:p w14:paraId="1D794BF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项目类别</w:t>
            </w:r>
          </w:p>
        </w:tc>
        <w:tc>
          <w:tcPr>
            <w:tcW w:w="1762" w:type="dxa"/>
            <w:vAlign w:val="center"/>
          </w:tcPr>
          <w:p w14:paraId="52C4722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I类项目</w:t>
            </w:r>
          </w:p>
        </w:tc>
        <w:tc>
          <w:tcPr>
            <w:tcW w:w="1762" w:type="dxa"/>
            <w:vAlign w:val="center"/>
          </w:tcPr>
          <w:p w14:paraId="5F3572B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II类项目</w:t>
            </w:r>
          </w:p>
        </w:tc>
        <w:tc>
          <w:tcPr>
            <w:tcW w:w="1764" w:type="dxa"/>
            <w:vAlign w:val="center"/>
          </w:tcPr>
          <w:p w14:paraId="4844CEB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III类项目</w:t>
            </w:r>
          </w:p>
        </w:tc>
      </w:tr>
      <w:tr w14:paraId="74B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14:paraId="7EBAC0D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敏感</w:t>
            </w:r>
          </w:p>
        </w:tc>
        <w:tc>
          <w:tcPr>
            <w:tcW w:w="1762" w:type="dxa"/>
            <w:vAlign w:val="center"/>
          </w:tcPr>
          <w:p w14:paraId="0E71A2C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一</w:t>
            </w:r>
          </w:p>
        </w:tc>
        <w:tc>
          <w:tcPr>
            <w:tcW w:w="1762" w:type="dxa"/>
            <w:vAlign w:val="center"/>
          </w:tcPr>
          <w:p w14:paraId="7A851A3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一</w:t>
            </w:r>
          </w:p>
        </w:tc>
        <w:tc>
          <w:tcPr>
            <w:tcW w:w="1764" w:type="dxa"/>
            <w:vAlign w:val="center"/>
          </w:tcPr>
          <w:p w14:paraId="22A4F99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二</w:t>
            </w:r>
          </w:p>
        </w:tc>
      </w:tr>
      <w:tr w14:paraId="76B0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14:paraId="1541010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较敏感</w:t>
            </w:r>
          </w:p>
        </w:tc>
        <w:tc>
          <w:tcPr>
            <w:tcW w:w="1762" w:type="dxa"/>
            <w:vAlign w:val="center"/>
          </w:tcPr>
          <w:p w14:paraId="76044B9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一</w:t>
            </w:r>
          </w:p>
        </w:tc>
        <w:tc>
          <w:tcPr>
            <w:tcW w:w="1762" w:type="dxa"/>
            <w:vAlign w:val="center"/>
          </w:tcPr>
          <w:p w14:paraId="226D9DFE">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二</w:t>
            </w:r>
          </w:p>
        </w:tc>
        <w:tc>
          <w:tcPr>
            <w:tcW w:w="1764" w:type="dxa"/>
            <w:vAlign w:val="center"/>
          </w:tcPr>
          <w:p w14:paraId="06D5839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三</w:t>
            </w:r>
          </w:p>
        </w:tc>
      </w:tr>
      <w:tr w14:paraId="4A63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14:paraId="11FC4AB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不敏感</w:t>
            </w:r>
          </w:p>
        </w:tc>
        <w:tc>
          <w:tcPr>
            <w:tcW w:w="1762" w:type="dxa"/>
            <w:vAlign w:val="center"/>
          </w:tcPr>
          <w:p w14:paraId="21A541F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二</w:t>
            </w:r>
          </w:p>
        </w:tc>
        <w:tc>
          <w:tcPr>
            <w:tcW w:w="1762" w:type="dxa"/>
            <w:vAlign w:val="center"/>
          </w:tcPr>
          <w:p w14:paraId="511122B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三</w:t>
            </w:r>
          </w:p>
        </w:tc>
        <w:tc>
          <w:tcPr>
            <w:tcW w:w="1764" w:type="dxa"/>
            <w:vAlign w:val="center"/>
          </w:tcPr>
          <w:p w14:paraId="5F49018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三</w:t>
            </w:r>
          </w:p>
        </w:tc>
      </w:tr>
    </w:tbl>
    <w:p w14:paraId="4F7F0903">
      <w:pPr>
        <w:pStyle w:val="43"/>
        <w:bidi w:val="0"/>
        <w:rPr>
          <w:rFonts w:cs="Times New Roman"/>
          <w:color w:val="auto"/>
        </w:rPr>
      </w:pPr>
      <w:bookmarkStart w:id="109" w:name="_Ref23299"/>
      <w:r>
        <w:rPr>
          <w:color w:val="auto"/>
        </w:rPr>
        <w:t>表</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7</w:t>
      </w:r>
      <w:r>
        <w:rPr>
          <w:color w:val="auto"/>
        </w:rPr>
        <w:fldChar w:fldCharType="end"/>
      </w:r>
      <w:bookmarkEnd w:id="109"/>
      <w:r>
        <w:rPr>
          <w:rFonts w:cs="Times New Roman"/>
          <w:color w:val="auto"/>
        </w:rPr>
        <w:t xml:space="preserve">  地下水敏感性及评价等级判定结果统计表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759"/>
        <w:gridCol w:w="1642"/>
        <w:gridCol w:w="634"/>
        <w:gridCol w:w="3684"/>
        <w:gridCol w:w="829"/>
        <w:gridCol w:w="855"/>
      </w:tblGrid>
      <w:tr w14:paraId="2E6D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jc w:val="center"/>
        </w:trPr>
        <w:tc>
          <w:tcPr>
            <w:tcW w:w="1429" w:type="pct"/>
            <w:gridSpan w:val="2"/>
            <w:shd w:val="clear" w:color="auto" w:fill="auto"/>
            <w:vAlign w:val="center"/>
          </w:tcPr>
          <w:p w14:paraId="139ADBD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区域</w:t>
            </w:r>
          </w:p>
        </w:tc>
        <w:tc>
          <w:tcPr>
            <w:tcW w:w="377" w:type="pct"/>
            <w:vMerge w:val="restart"/>
            <w:shd w:val="clear" w:color="auto" w:fill="auto"/>
            <w:vAlign w:val="center"/>
          </w:tcPr>
          <w:p w14:paraId="0D4316A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lang w:eastAsia="zh"/>
              </w:rPr>
            </w:pPr>
            <w:r>
              <w:rPr>
                <w:b/>
                <w:bCs/>
                <w:color w:val="auto"/>
                <w:lang w:eastAsia="zh"/>
              </w:rPr>
              <w:t>项目类别</w:t>
            </w:r>
          </w:p>
        </w:tc>
        <w:tc>
          <w:tcPr>
            <w:tcW w:w="2192" w:type="pct"/>
            <w:vMerge w:val="restart"/>
            <w:shd w:val="clear" w:color="auto" w:fill="auto"/>
            <w:vAlign w:val="center"/>
          </w:tcPr>
          <w:p w14:paraId="14D6FA3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lang w:eastAsia="zh"/>
              </w:rPr>
            </w:pPr>
            <w:r>
              <w:rPr>
                <w:b/>
                <w:bCs/>
                <w:color w:val="auto"/>
                <w:lang w:eastAsia="zh"/>
              </w:rPr>
              <w:t>评价范围内分散式民用水井调查结果</w:t>
            </w:r>
          </w:p>
        </w:tc>
        <w:tc>
          <w:tcPr>
            <w:tcW w:w="493" w:type="pct"/>
            <w:vMerge w:val="restart"/>
            <w:shd w:val="clear" w:color="auto" w:fill="auto"/>
            <w:vAlign w:val="center"/>
          </w:tcPr>
          <w:p w14:paraId="346566B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环境敏感程度</w:t>
            </w:r>
          </w:p>
        </w:tc>
        <w:tc>
          <w:tcPr>
            <w:tcW w:w="508" w:type="pct"/>
            <w:vMerge w:val="restart"/>
            <w:shd w:val="clear" w:color="auto" w:fill="auto"/>
            <w:vAlign w:val="center"/>
          </w:tcPr>
          <w:p w14:paraId="3C7A470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等级判定结果</w:t>
            </w:r>
          </w:p>
        </w:tc>
      </w:tr>
      <w:tr w14:paraId="0D36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shd w:val="clear" w:color="auto" w:fill="auto"/>
            <w:vAlign w:val="center"/>
          </w:tcPr>
          <w:p w14:paraId="1F38339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lang w:eastAsia="zh"/>
              </w:rPr>
            </w:pPr>
            <w:r>
              <w:rPr>
                <w:b/>
                <w:bCs/>
                <w:color w:val="auto"/>
                <w:lang w:eastAsia="zh"/>
              </w:rPr>
              <w:t>作业区</w:t>
            </w:r>
          </w:p>
        </w:tc>
        <w:tc>
          <w:tcPr>
            <w:tcW w:w="977" w:type="pct"/>
            <w:shd w:val="clear" w:color="auto" w:fill="auto"/>
            <w:vAlign w:val="center"/>
          </w:tcPr>
          <w:p w14:paraId="235D0BB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lang w:eastAsia="zh"/>
              </w:rPr>
            </w:pPr>
            <w:r>
              <w:rPr>
                <w:b/>
                <w:bCs/>
                <w:color w:val="auto"/>
                <w:lang w:eastAsia="zh"/>
              </w:rPr>
              <w:t>名称</w:t>
            </w:r>
          </w:p>
        </w:tc>
        <w:tc>
          <w:tcPr>
            <w:tcW w:w="377" w:type="pct"/>
            <w:vMerge w:val="continue"/>
            <w:shd w:val="clear" w:color="auto" w:fill="auto"/>
            <w:vAlign w:val="center"/>
          </w:tcPr>
          <w:p w14:paraId="7E4C653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2192" w:type="pct"/>
            <w:vMerge w:val="continue"/>
            <w:shd w:val="clear" w:color="auto" w:fill="auto"/>
            <w:vAlign w:val="center"/>
          </w:tcPr>
          <w:p w14:paraId="1E0B7AE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493" w:type="pct"/>
            <w:vMerge w:val="continue"/>
            <w:shd w:val="clear" w:color="auto" w:fill="auto"/>
            <w:vAlign w:val="center"/>
          </w:tcPr>
          <w:p w14:paraId="2929306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508" w:type="pct"/>
            <w:vMerge w:val="continue"/>
            <w:shd w:val="clear" w:color="auto" w:fill="auto"/>
            <w:vAlign w:val="center"/>
          </w:tcPr>
          <w:p w14:paraId="17A4E13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r>
      <w:tr w14:paraId="494F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000" w:type="pct"/>
            <w:gridSpan w:val="6"/>
            <w:shd w:val="clear" w:color="auto" w:fill="auto"/>
            <w:vAlign w:val="center"/>
          </w:tcPr>
          <w:p w14:paraId="0F41050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b w:val="0"/>
                <w:bCs w:val="0"/>
                <w:color w:val="auto"/>
                <w:lang w:val="en-US" w:eastAsia="zh-CN"/>
              </w:rPr>
            </w:pPr>
            <w:r>
              <w:rPr>
                <w:rFonts w:hint="eastAsia"/>
                <w:b/>
                <w:bCs/>
                <w:color w:val="auto"/>
                <w:lang w:val="en-US" w:eastAsia="zh-CN"/>
              </w:rPr>
              <w:t>井场</w:t>
            </w:r>
          </w:p>
        </w:tc>
      </w:tr>
      <w:tr w14:paraId="6366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restart"/>
            <w:shd w:val="clear" w:color="auto" w:fill="auto"/>
            <w:vAlign w:val="center"/>
          </w:tcPr>
          <w:p w14:paraId="1A85447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百21采油作业区</w:t>
            </w:r>
          </w:p>
        </w:tc>
        <w:tc>
          <w:tcPr>
            <w:tcW w:w="977" w:type="pct"/>
            <w:shd w:val="clear" w:color="auto" w:fill="auto"/>
            <w:vAlign w:val="center"/>
          </w:tcPr>
          <w:p w14:paraId="73C044C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百209H</w:t>
            </w:r>
          </w:p>
        </w:tc>
        <w:tc>
          <w:tcPr>
            <w:tcW w:w="377" w:type="pct"/>
            <w:shd w:val="clear" w:color="auto" w:fill="auto"/>
            <w:vAlign w:val="center"/>
          </w:tcPr>
          <w:p w14:paraId="4C34EF9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Ⅰ类</w:t>
            </w:r>
          </w:p>
        </w:tc>
        <w:tc>
          <w:tcPr>
            <w:tcW w:w="2192" w:type="pct"/>
            <w:shd w:val="clear" w:color="auto" w:fill="auto"/>
            <w:vAlign w:val="center"/>
          </w:tcPr>
          <w:p w14:paraId="7BA326E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39E9E74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不敏感</w:t>
            </w:r>
          </w:p>
        </w:tc>
        <w:tc>
          <w:tcPr>
            <w:tcW w:w="508" w:type="pct"/>
            <w:shd w:val="clear" w:color="auto" w:fill="auto"/>
            <w:vAlign w:val="center"/>
          </w:tcPr>
          <w:p w14:paraId="1A04783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二级</w:t>
            </w:r>
          </w:p>
        </w:tc>
      </w:tr>
      <w:tr w14:paraId="1AB8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4CA19AB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val="0"/>
                <w:bCs w:val="0"/>
                <w:color w:val="auto"/>
                <w:lang w:val="en-US" w:eastAsia="zh-CN"/>
              </w:rPr>
            </w:pPr>
          </w:p>
        </w:tc>
        <w:tc>
          <w:tcPr>
            <w:tcW w:w="977" w:type="pct"/>
            <w:shd w:val="clear" w:color="auto" w:fill="auto"/>
            <w:vAlign w:val="center"/>
          </w:tcPr>
          <w:p w14:paraId="35B288F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百791</w:t>
            </w:r>
          </w:p>
        </w:tc>
        <w:tc>
          <w:tcPr>
            <w:tcW w:w="377" w:type="pct"/>
            <w:shd w:val="clear" w:color="auto" w:fill="auto"/>
            <w:vAlign w:val="center"/>
          </w:tcPr>
          <w:p w14:paraId="2D7EA66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Ⅰ类</w:t>
            </w:r>
          </w:p>
        </w:tc>
        <w:tc>
          <w:tcPr>
            <w:tcW w:w="2192" w:type="pct"/>
            <w:shd w:val="clear" w:color="auto" w:fill="auto"/>
            <w:vAlign w:val="center"/>
          </w:tcPr>
          <w:p w14:paraId="574D90F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04F627E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不敏感</w:t>
            </w:r>
          </w:p>
        </w:tc>
        <w:tc>
          <w:tcPr>
            <w:tcW w:w="508" w:type="pct"/>
            <w:shd w:val="clear" w:color="auto" w:fill="auto"/>
            <w:vAlign w:val="center"/>
          </w:tcPr>
          <w:p w14:paraId="6C04375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二级</w:t>
            </w:r>
          </w:p>
        </w:tc>
      </w:tr>
      <w:tr w14:paraId="34EC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3321FBA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val="0"/>
                <w:bCs w:val="0"/>
                <w:color w:val="auto"/>
                <w:lang w:val="en-US" w:eastAsia="zh-CN"/>
              </w:rPr>
            </w:pPr>
          </w:p>
        </w:tc>
        <w:tc>
          <w:tcPr>
            <w:tcW w:w="977" w:type="pct"/>
            <w:shd w:val="clear" w:color="auto" w:fill="auto"/>
            <w:vAlign w:val="center"/>
          </w:tcPr>
          <w:p w14:paraId="56E771D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百79</w:t>
            </w:r>
          </w:p>
        </w:tc>
        <w:tc>
          <w:tcPr>
            <w:tcW w:w="377" w:type="pct"/>
            <w:shd w:val="clear" w:color="auto" w:fill="auto"/>
            <w:vAlign w:val="center"/>
          </w:tcPr>
          <w:p w14:paraId="3CB1EF5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Ⅰ类</w:t>
            </w:r>
          </w:p>
        </w:tc>
        <w:tc>
          <w:tcPr>
            <w:tcW w:w="2192" w:type="pct"/>
            <w:shd w:val="clear" w:color="auto" w:fill="auto"/>
            <w:vAlign w:val="center"/>
          </w:tcPr>
          <w:p w14:paraId="24FB253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7DB9C8A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不敏感</w:t>
            </w:r>
          </w:p>
        </w:tc>
        <w:tc>
          <w:tcPr>
            <w:tcW w:w="508" w:type="pct"/>
            <w:shd w:val="clear" w:color="auto" w:fill="auto"/>
            <w:vAlign w:val="center"/>
          </w:tcPr>
          <w:p w14:paraId="083D2E7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二级</w:t>
            </w:r>
          </w:p>
        </w:tc>
      </w:tr>
      <w:tr w14:paraId="1C11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736F62B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b w:val="0"/>
                <w:bCs w:val="0"/>
                <w:color w:val="auto"/>
                <w:lang w:val="en-US" w:eastAsia="zh-CN"/>
              </w:rPr>
            </w:pPr>
          </w:p>
        </w:tc>
        <w:tc>
          <w:tcPr>
            <w:tcW w:w="977" w:type="pct"/>
            <w:shd w:val="clear" w:color="auto" w:fill="auto"/>
            <w:vAlign w:val="center"/>
          </w:tcPr>
          <w:p w14:paraId="767FA93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b w:val="0"/>
                <w:bCs w:val="0"/>
                <w:color w:val="auto"/>
                <w:lang w:val="en-US" w:eastAsia="zh-CN"/>
              </w:rPr>
            </w:pPr>
            <w:r>
              <w:rPr>
                <w:rFonts w:hint="eastAsia"/>
                <w:b w:val="0"/>
                <w:bCs w:val="0"/>
                <w:color w:val="auto"/>
                <w:lang w:val="en-US" w:eastAsia="zh-CN"/>
              </w:rPr>
              <w:t>百76</w:t>
            </w:r>
          </w:p>
        </w:tc>
        <w:tc>
          <w:tcPr>
            <w:tcW w:w="377" w:type="pct"/>
            <w:shd w:val="clear" w:color="auto" w:fill="auto"/>
            <w:vAlign w:val="center"/>
          </w:tcPr>
          <w:p w14:paraId="427AA71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Ⅰ类</w:t>
            </w:r>
          </w:p>
        </w:tc>
        <w:tc>
          <w:tcPr>
            <w:tcW w:w="2192" w:type="pct"/>
            <w:shd w:val="clear" w:color="auto" w:fill="auto"/>
            <w:vAlign w:val="center"/>
          </w:tcPr>
          <w:p w14:paraId="261AD75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1EB8CAB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不敏感</w:t>
            </w:r>
          </w:p>
        </w:tc>
        <w:tc>
          <w:tcPr>
            <w:tcW w:w="508" w:type="pct"/>
            <w:shd w:val="clear" w:color="auto" w:fill="auto"/>
            <w:vAlign w:val="center"/>
          </w:tcPr>
          <w:p w14:paraId="4443A3C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二级</w:t>
            </w:r>
          </w:p>
        </w:tc>
      </w:tr>
      <w:tr w14:paraId="5A78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restart"/>
            <w:shd w:val="clear" w:color="auto" w:fill="auto"/>
            <w:vAlign w:val="center"/>
          </w:tcPr>
          <w:p w14:paraId="3EDFBCE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b w:val="0"/>
                <w:bCs w:val="0"/>
                <w:color w:val="auto"/>
                <w:lang w:val="en-US" w:eastAsia="zh-CN"/>
              </w:rPr>
            </w:pPr>
            <w:r>
              <w:rPr>
                <w:rFonts w:hint="eastAsia"/>
                <w:b w:val="0"/>
                <w:bCs w:val="0"/>
                <w:color w:val="auto"/>
                <w:lang w:val="en-US" w:eastAsia="zh-CN"/>
              </w:rPr>
              <w:t>玛湖第二采油作业区</w:t>
            </w:r>
          </w:p>
        </w:tc>
        <w:tc>
          <w:tcPr>
            <w:tcW w:w="977" w:type="pct"/>
            <w:shd w:val="clear" w:color="auto" w:fill="auto"/>
            <w:vAlign w:val="center"/>
          </w:tcPr>
          <w:p w14:paraId="07546C7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b w:val="0"/>
                <w:bCs w:val="0"/>
                <w:color w:val="auto"/>
                <w:lang w:val="en-US" w:eastAsia="zh-CN"/>
              </w:rPr>
            </w:pPr>
            <w:r>
              <w:rPr>
                <w:rFonts w:hint="eastAsia"/>
                <w:b w:val="0"/>
                <w:bCs w:val="0"/>
                <w:color w:val="auto"/>
                <w:lang w:val="en-US" w:eastAsia="zh-CN"/>
              </w:rPr>
              <w:t>玛62</w:t>
            </w:r>
          </w:p>
        </w:tc>
        <w:tc>
          <w:tcPr>
            <w:tcW w:w="377" w:type="pct"/>
            <w:shd w:val="clear" w:color="auto" w:fill="auto"/>
            <w:vAlign w:val="center"/>
          </w:tcPr>
          <w:p w14:paraId="26D6706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Ⅰ类</w:t>
            </w:r>
          </w:p>
        </w:tc>
        <w:tc>
          <w:tcPr>
            <w:tcW w:w="2192" w:type="pct"/>
            <w:shd w:val="clear" w:color="auto" w:fill="auto"/>
            <w:vAlign w:val="center"/>
          </w:tcPr>
          <w:p w14:paraId="1544FDC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48FF9AF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不敏感</w:t>
            </w:r>
          </w:p>
        </w:tc>
        <w:tc>
          <w:tcPr>
            <w:tcW w:w="508" w:type="pct"/>
            <w:shd w:val="clear" w:color="auto" w:fill="auto"/>
            <w:vAlign w:val="center"/>
          </w:tcPr>
          <w:p w14:paraId="5899411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二级</w:t>
            </w:r>
          </w:p>
        </w:tc>
      </w:tr>
      <w:tr w14:paraId="34EE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02A0D27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48E512E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夏203</w:t>
            </w:r>
          </w:p>
        </w:tc>
        <w:tc>
          <w:tcPr>
            <w:tcW w:w="377" w:type="pct"/>
            <w:shd w:val="clear" w:color="auto" w:fill="auto"/>
            <w:vAlign w:val="center"/>
          </w:tcPr>
          <w:p w14:paraId="7F42A11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Ⅰ类</w:t>
            </w:r>
          </w:p>
        </w:tc>
        <w:tc>
          <w:tcPr>
            <w:tcW w:w="2192" w:type="pct"/>
            <w:shd w:val="clear" w:color="auto" w:fill="auto"/>
            <w:vAlign w:val="center"/>
          </w:tcPr>
          <w:p w14:paraId="2D879CA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525FCF7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不敏感</w:t>
            </w:r>
          </w:p>
        </w:tc>
        <w:tc>
          <w:tcPr>
            <w:tcW w:w="508" w:type="pct"/>
            <w:shd w:val="clear" w:color="auto" w:fill="auto"/>
            <w:vAlign w:val="center"/>
          </w:tcPr>
          <w:p w14:paraId="015083F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二级</w:t>
            </w:r>
          </w:p>
        </w:tc>
      </w:tr>
      <w:tr w14:paraId="708D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6B584A8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1B7146F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玛61</w:t>
            </w:r>
          </w:p>
        </w:tc>
        <w:tc>
          <w:tcPr>
            <w:tcW w:w="377" w:type="pct"/>
            <w:shd w:val="clear" w:color="auto" w:fill="auto"/>
            <w:vAlign w:val="center"/>
          </w:tcPr>
          <w:p w14:paraId="619385C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Ⅰ类</w:t>
            </w:r>
          </w:p>
        </w:tc>
        <w:tc>
          <w:tcPr>
            <w:tcW w:w="2192" w:type="pct"/>
            <w:shd w:val="clear" w:color="auto" w:fill="auto"/>
            <w:vAlign w:val="center"/>
          </w:tcPr>
          <w:p w14:paraId="4894990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7C92583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不敏感</w:t>
            </w:r>
          </w:p>
        </w:tc>
        <w:tc>
          <w:tcPr>
            <w:tcW w:w="508" w:type="pct"/>
            <w:shd w:val="clear" w:color="auto" w:fill="auto"/>
            <w:vAlign w:val="center"/>
          </w:tcPr>
          <w:p w14:paraId="4DC0F38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二级</w:t>
            </w:r>
          </w:p>
        </w:tc>
      </w:tr>
      <w:tr w14:paraId="7946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492C9D1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44F9C91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夏209</w:t>
            </w:r>
          </w:p>
        </w:tc>
        <w:tc>
          <w:tcPr>
            <w:tcW w:w="377" w:type="pct"/>
            <w:shd w:val="clear" w:color="auto" w:fill="auto"/>
            <w:vAlign w:val="center"/>
          </w:tcPr>
          <w:p w14:paraId="69B24F9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Ⅰ类</w:t>
            </w:r>
          </w:p>
        </w:tc>
        <w:tc>
          <w:tcPr>
            <w:tcW w:w="2192" w:type="pct"/>
            <w:shd w:val="clear" w:color="auto" w:fill="auto"/>
            <w:vAlign w:val="center"/>
          </w:tcPr>
          <w:p w14:paraId="2172958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0E19D39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不敏感</w:t>
            </w:r>
          </w:p>
        </w:tc>
        <w:tc>
          <w:tcPr>
            <w:tcW w:w="508" w:type="pct"/>
            <w:shd w:val="clear" w:color="auto" w:fill="auto"/>
            <w:vAlign w:val="center"/>
          </w:tcPr>
          <w:p w14:paraId="3851B54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二级</w:t>
            </w:r>
          </w:p>
        </w:tc>
      </w:tr>
      <w:tr w14:paraId="5959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55A6B1B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6BB03D4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夏207H</w:t>
            </w:r>
          </w:p>
        </w:tc>
        <w:tc>
          <w:tcPr>
            <w:tcW w:w="377" w:type="pct"/>
            <w:shd w:val="clear" w:color="auto" w:fill="auto"/>
            <w:vAlign w:val="center"/>
          </w:tcPr>
          <w:p w14:paraId="07B8AAC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Ⅰ类</w:t>
            </w:r>
          </w:p>
        </w:tc>
        <w:tc>
          <w:tcPr>
            <w:tcW w:w="2192" w:type="pct"/>
            <w:shd w:val="clear" w:color="auto" w:fill="auto"/>
            <w:vAlign w:val="center"/>
          </w:tcPr>
          <w:p w14:paraId="6B620B2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76E2309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不敏感</w:t>
            </w:r>
          </w:p>
        </w:tc>
        <w:tc>
          <w:tcPr>
            <w:tcW w:w="508" w:type="pct"/>
            <w:shd w:val="clear" w:color="auto" w:fill="auto"/>
            <w:vAlign w:val="center"/>
          </w:tcPr>
          <w:p w14:paraId="5A4266F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二级</w:t>
            </w:r>
          </w:p>
        </w:tc>
      </w:tr>
      <w:tr w14:paraId="39FD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shd w:val="clear" w:color="auto" w:fill="auto"/>
            <w:vAlign w:val="center"/>
          </w:tcPr>
          <w:p w14:paraId="02DD713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b w:val="0"/>
                <w:bCs w:val="0"/>
                <w:color w:val="auto"/>
                <w:lang w:val="en-US" w:eastAsia="zh-CN"/>
              </w:rPr>
            </w:pPr>
            <w:r>
              <w:rPr>
                <w:rFonts w:hint="eastAsia"/>
                <w:b w:val="0"/>
                <w:bCs w:val="0"/>
                <w:color w:val="auto"/>
                <w:lang w:val="en-US" w:eastAsia="zh-CN"/>
              </w:rPr>
              <w:t>玛湖第三采油作业区</w:t>
            </w:r>
          </w:p>
        </w:tc>
        <w:tc>
          <w:tcPr>
            <w:tcW w:w="977" w:type="pct"/>
            <w:shd w:val="clear" w:color="auto" w:fill="auto"/>
            <w:vAlign w:val="center"/>
          </w:tcPr>
          <w:p w14:paraId="38D6C06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赛探1</w:t>
            </w:r>
          </w:p>
        </w:tc>
        <w:tc>
          <w:tcPr>
            <w:tcW w:w="377" w:type="pct"/>
            <w:shd w:val="clear" w:color="auto" w:fill="auto"/>
            <w:vAlign w:val="center"/>
          </w:tcPr>
          <w:p w14:paraId="67AB1B0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Ⅰ类</w:t>
            </w:r>
          </w:p>
        </w:tc>
        <w:tc>
          <w:tcPr>
            <w:tcW w:w="2192" w:type="pct"/>
            <w:shd w:val="clear" w:color="auto" w:fill="auto"/>
            <w:vAlign w:val="center"/>
          </w:tcPr>
          <w:p w14:paraId="4575971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下游</w:t>
            </w:r>
            <w:r>
              <w:rPr>
                <w:rFonts w:hint="eastAsia"/>
                <w:color w:val="auto"/>
                <w:lang w:val="en-US" w:eastAsia="zh-CN"/>
              </w:rPr>
              <w:t>774</w:t>
            </w:r>
            <w:r>
              <w:rPr>
                <w:color w:val="auto"/>
              </w:rPr>
              <w:t>m、两侧、上游各</w:t>
            </w:r>
            <w:r>
              <w:rPr>
                <w:rFonts w:hint="eastAsia"/>
                <w:color w:val="auto"/>
                <w:lang w:val="en-US" w:eastAsia="zh-CN"/>
              </w:rPr>
              <w:t>387</w:t>
            </w:r>
            <w:r>
              <w:rPr>
                <w:color w:val="auto"/>
              </w:rPr>
              <w:t>m范围</w:t>
            </w:r>
            <w:r>
              <w:rPr>
                <w:color w:val="auto"/>
                <w:lang w:eastAsia="zh"/>
              </w:rPr>
              <w:t>内无分散式水井分布</w:t>
            </w:r>
          </w:p>
        </w:tc>
        <w:tc>
          <w:tcPr>
            <w:tcW w:w="493" w:type="pct"/>
            <w:shd w:val="clear" w:color="auto" w:fill="auto"/>
            <w:vAlign w:val="center"/>
          </w:tcPr>
          <w:p w14:paraId="2E96343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不敏感</w:t>
            </w:r>
          </w:p>
        </w:tc>
        <w:tc>
          <w:tcPr>
            <w:tcW w:w="508" w:type="pct"/>
            <w:shd w:val="clear" w:color="auto" w:fill="auto"/>
            <w:vAlign w:val="center"/>
          </w:tcPr>
          <w:p w14:paraId="764F5B1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二级</w:t>
            </w:r>
          </w:p>
        </w:tc>
      </w:tr>
      <w:tr w14:paraId="2F52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000" w:type="pct"/>
            <w:gridSpan w:val="6"/>
            <w:shd w:val="clear" w:color="auto" w:fill="auto"/>
            <w:vAlign w:val="center"/>
          </w:tcPr>
          <w:p w14:paraId="245E058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b w:val="0"/>
                <w:bCs w:val="0"/>
                <w:color w:val="auto"/>
                <w:lang w:val="en-US" w:eastAsia="zh-CN"/>
              </w:rPr>
            </w:pPr>
            <w:r>
              <w:rPr>
                <w:rFonts w:hint="eastAsia"/>
                <w:b/>
                <w:bCs/>
                <w:color w:val="auto"/>
                <w:lang w:val="en-US" w:eastAsia="zh-CN"/>
              </w:rPr>
              <w:t>管线</w:t>
            </w:r>
          </w:p>
        </w:tc>
      </w:tr>
      <w:tr w14:paraId="0906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restart"/>
            <w:shd w:val="clear" w:color="auto" w:fill="auto"/>
            <w:vAlign w:val="center"/>
          </w:tcPr>
          <w:p w14:paraId="0279E8E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b w:val="0"/>
                <w:bCs w:val="0"/>
                <w:color w:val="auto"/>
                <w:lang w:val="en-US" w:eastAsia="zh-CN"/>
              </w:rPr>
            </w:pPr>
            <w:r>
              <w:rPr>
                <w:rFonts w:hint="eastAsia"/>
                <w:b w:val="0"/>
                <w:bCs w:val="0"/>
                <w:color w:val="auto"/>
                <w:lang w:val="en-US" w:eastAsia="zh-CN"/>
              </w:rPr>
              <w:t>百21采油作业区</w:t>
            </w:r>
          </w:p>
        </w:tc>
        <w:tc>
          <w:tcPr>
            <w:tcW w:w="977" w:type="pct"/>
            <w:shd w:val="clear" w:color="auto" w:fill="auto"/>
            <w:vAlign w:val="center"/>
          </w:tcPr>
          <w:p w14:paraId="239C69C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百209H至b7271井集油管线</w:t>
            </w:r>
          </w:p>
        </w:tc>
        <w:tc>
          <w:tcPr>
            <w:tcW w:w="377" w:type="pct"/>
            <w:shd w:val="clear" w:color="auto" w:fill="auto"/>
            <w:vAlign w:val="center"/>
          </w:tcPr>
          <w:p w14:paraId="3895AEB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Ⅱ类</w:t>
            </w:r>
          </w:p>
        </w:tc>
        <w:tc>
          <w:tcPr>
            <w:tcW w:w="2192" w:type="pct"/>
            <w:shd w:val="clear" w:color="auto" w:fill="auto"/>
            <w:vAlign w:val="center"/>
          </w:tcPr>
          <w:p w14:paraId="651D7F9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两侧200m范围内无分散式水井分布</w:t>
            </w:r>
          </w:p>
        </w:tc>
        <w:tc>
          <w:tcPr>
            <w:tcW w:w="493" w:type="pct"/>
            <w:shd w:val="clear" w:color="auto" w:fill="auto"/>
            <w:vAlign w:val="center"/>
          </w:tcPr>
          <w:p w14:paraId="7BD7501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不敏感</w:t>
            </w:r>
          </w:p>
        </w:tc>
        <w:tc>
          <w:tcPr>
            <w:tcW w:w="508" w:type="pct"/>
            <w:shd w:val="clear" w:color="auto" w:fill="auto"/>
            <w:vAlign w:val="center"/>
          </w:tcPr>
          <w:p w14:paraId="3A11E6D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三级</w:t>
            </w:r>
          </w:p>
        </w:tc>
      </w:tr>
      <w:tr w14:paraId="0E15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5EE2BD0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6262ACA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百791至百79井集油管线</w:t>
            </w:r>
          </w:p>
        </w:tc>
        <w:tc>
          <w:tcPr>
            <w:tcW w:w="377" w:type="pct"/>
            <w:shd w:val="clear" w:color="auto" w:fill="auto"/>
            <w:vAlign w:val="center"/>
          </w:tcPr>
          <w:p w14:paraId="43AD0F4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Ⅱ类</w:t>
            </w:r>
          </w:p>
        </w:tc>
        <w:tc>
          <w:tcPr>
            <w:tcW w:w="2192" w:type="pct"/>
            <w:shd w:val="clear" w:color="auto" w:fill="auto"/>
            <w:vAlign w:val="center"/>
          </w:tcPr>
          <w:p w14:paraId="7569CE5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两侧200m范围内无分散式水井分布</w:t>
            </w:r>
          </w:p>
        </w:tc>
        <w:tc>
          <w:tcPr>
            <w:tcW w:w="493" w:type="pct"/>
            <w:shd w:val="clear" w:color="auto" w:fill="auto"/>
            <w:vAlign w:val="center"/>
          </w:tcPr>
          <w:p w14:paraId="2890C54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不敏感</w:t>
            </w:r>
          </w:p>
        </w:tc>
        <w:tc>
          <w:tcPr>
            <w:tcW w:w="508" w:type="pct"/>
            <w:shd w:val="clear" w:color="auto" w:fill="auto"/>
            <w:vAlign w:val="center"/>
          </w:tcPr>
          <w:p w14:paraId="387B947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三级</w:t>
            </w:r>
          </w:p>
        </w:tc>
      </w:tr>
      <w:tr w14:paraId="602E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321AA2B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6E8AFFC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百79至43#计量站集油管线</w:t>
            </w:r>
          </w:p>
        </w:tc>
        <w:tc>
          <w:tcPr>
            <w:tcW w:w="377" w:type="pct"/>
            <w:shd w:val="clear" w:color="auto" w:fill="auto"/>
            <w:vAlign w:val="center"/>
          </w:tcPr>
          <w:p w14:paraId="61B14F7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Ⅱ类</w:t>
            </w:r>
          </w:p>
        </w:tc>
        <w:tc>
          <w:tcPr>
            <w:tcW w:w="2192" w:type="pct"/>
            <w:shd w:val="clear" w:color="auto" w:fill="auto"/>
            <w:vAlign w:val="center"/>
          </w:tcPr>
          <w:p w14:paraId="6FCDFEC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lang w:eastAsia="zh"/>
              </w:rPr>
              <w:t>两侧200m范围内无分散式水井分布</w:t>
            </w:r>
          </w:p>
        </w:tc>
        <w:tc>
          <w:tcPr>
            <w:tcW w:w="493" w:type="pct"/>
            <w:shd w:val="clear" w:color="auto" w:fill="auto"/>
            <w:vAlign w:val="center"/>
          </w:tcPr>
          <w:p w14:paraId="62363F3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不敏感</w:t>
            </w:r>
          </w:p>
        </w:tc>
        <w:tc>
          <w:tcPr>
            <w:tcW w:w="508" w:type="pct"/>
            <w:shd w:val="clear" w:color="auto" w:fill="auto"/>
            <w:vAlign w:val="center"/>
          </w:tcPr>
          <w:p w14:paraId="0EA0217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rPr>
            </w:pPr>
            <w:r>
              <w:rPr>
                <w:color w:val="auto"/>
              </w:rPr>
              <w:t>三级</w:t>
            </w:r>
          </w:p>
        </w:tc>
      </w:tr>
      <w:tr w14:paraId="42F5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286360C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b w:val="0"/>
                <w:bCs w:val="0"/>
                <w:color w:val="auto"/>
                <w:lang w:val="en-US" w:eastAsia="zh-CN"/>
              </w:rPr>
            </w:pPr>
          </w:p>
        </w:tc>
        <w:tc>
          <w:tcPr>
            <w:tcW w:w="977" w:type="pct"/>
            <w:shd w:val="clear" w:color="auto" w:fill="auto"/>
            <w:vAlign w:val="center"/>
          </w:tcPr>
          <w:p w14:paraId="061537C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百76至百79阀池2集油管线</w:t>
            </w:r>
          </w:p>
        </w:tc>
        <w:tc>
          <w:tcPr>
            <w:tcW w:w="377" w:type="pct"/>
            <w:shd w:val="clear" w:color="auto" w:fill="auto"/>
            <w:vAlign w:val="center"/>
          </w:tcPr>
          <w:p w14:paraId="2DB807D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25DB8CE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545EC95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3387AC6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0FA5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restart"/>
            <w:shd w:val="clear" w:color="auto" w:fill="auto"/>
            <w:vAlign w:val="center"/>
          </w:tcPr>
          <w:p w14:paraId="40D3D46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r>
              <w:rPr>
                <w:rFonts w:hint="eastAsia"/>
                <w:b w:val="0"/>
                <w:bCs w:val="0"/>
                <w:color w:val="auto"/>
                <w:lang w:val="en-US" w:eastAsia="zh-CN"/>
              </w:rPr>
              <w:t>玛湖第一采油作业区</w:t>
            </w:r>
          </w:p>
        </w:tc>
        <w:tc>
          <w:tcPr>
            <w:tcW w:w="977" w:type="pct"/>
            <w:shd w:val="clear" w:color="auto" w:fill="auto"/>
            <w:vAlign w:val="center"/>
          </w:tcPr>
          <w:p w14:paraId="3F7C33E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DM2721至MaHW2028井集油管线</w:t>
            </w:r>
          </w:p>
        </w:tc>
        <w:tc>
          <w:tcPr>
            <w:tcW w:w="377" w:type="pct"/>
            <w:shd w:val="clear" w:color="auto" w:fill="auto"/>
            <w:vAlign w:val="center"/>
          </w:tcPr>
          <w:p w14:paraId="13BAF1F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7B37FFF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7523873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167A4BD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752B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0F3C7B1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219ADAE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Ma20024_H至MaHW2069集油管线</w:t>
            </w:r>
          </w:p>
        </w:tc>
        <w:tc>
          <w:tcPr>
            <w:tcW w:w="377" w:type="pct"/>
            <w:shd w:val="clear" w:color="auto" w:fill="auto"/>
            <w:vAlign w:val="center"/>
          </w:tcPr>
          <w:p w14:paraId="21501F6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420FDB6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4A75847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6E65E86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5025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23768F5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479C590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Ma20023_H至玛一7#计量站集油管线</w:t>
            </w:r>
          </w:p>
        </w:tc>
        <w:tc>
          <w:tcPr>
            <w:tcW w:w="377" w:type="pct"/>
            <w:shd w:val="clear" w:color="auto" w:fill="auto"/>
            <w:vAlign w:val="center"/>
          </w:tcPr>
          <w:p w14:paraId="3DAD209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65000C6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3537BA4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52F0596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67F9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restart"/>
            <w:shd w:val="clear" w:color="auto" w:fill="auto"/>
            <w:vAlign w:val="center"/>
          </w:tcPr>
          <w:p w14:paraId="2923CD9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b w:val="0"/>
                <w:bCs w:val="0"/>
                <w:color w:val="auto"/>
                <w:lang w:val="en-US" w:eastAsia="zh-CN"/>
              </w:rPr>
            </w:pPr>
            <w:r>
              <w:rPr>
                <w:rFonts w:hint="eastAsia"/>
                <w:b w:val="0"/>
                <w:bCs w:val="0"/>
                <w:color w:val="auto"/>
                <w:lang w:val="en-US" w:eastAsia="zh-CN"/>
              </w:rPr>
              <w:t>玛湖第二采油作业区</w:t>
            </w:r>
          </w:p>
        </w:tc>
        <w:tc>
          <w:tcPr>
            <w:tcW w:w="977" w:type="pct"/>
            <w:shd w:val="clear" w:color="auto" w:fill="auto"/>
            <w:vAlign w:val="center"/>
          </w:tcPr>
          <w:p w14:paraId="5B69FC8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玛62至2#计量站集油管线</w:t>
            </w:r>
          </w:p>
        </w:tc>
        <w:tc>
          <w:tcPr>
            <w:tcW w:w="377" w:type="pct"/>
            <w:shd w:val="clear" w:color="auto" w:fill="auto"/>
            <w:vAlign w:val="center"/>
          </w:tcPr>
          <w:p w14:paraId="508C998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665ACE6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216D63A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31B5624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0A1D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57E6266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4314C2C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夏91_H至夏725阀池集油管线</w:t>
            </w:r>
          </w:p>
        </w:tc>
        <w:tc>
          <w:tcPr>
            <w:tcW w:w="377" w:type="pct"/>
            <w:shd w:val="clear" w:color="auto" w:fill="auto"/>
            <w:vAlign w:val="center"/>
          </w:tcPr>
          <w:p w14:paraId="094C8A4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21D0055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31A9E53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2662B9B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13B4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3D347DB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267988B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val="0"/>
                <w:bCs w:val="0"/>
                <w:color w:val="auto"/>
                <w:lang w:val="en-US" w:eastAsia="zh-CN"/>
              </w:rPr>
            </w:pPr>
            <w:r>
              <w:rPr>
                <w:rFonts w:hint="eastAsia"/>
                <w:b w:val="0"/>
                <w:bCs w:val="0"/>
                <w:color w:val="auto"/>
                <w:lang w:val="en-US" w:eastAsia="zh-CN"/>
              </w:rPr>
              <w:t>夏92_H至夏725阀池集油管线</w:t>
            </w:r>
          </w:p>
        </w:tc>
        <w:tc>
          <w:tcPr>
            <w:tcW w:w="377" w:type="pct"/>
            <w:shd w:val="clear" w:color="auto" w:fill="auto"/>
            <w:vAlign w:val="center"/>
          </w:tcPr>
          <w:p w14:paraId="08D6F3D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42C1189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3657EE9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4101F2C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11AD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41C2D0D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47DFA0D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夏724至夏203井集油管线</w:t>
            </w:r>
          </w:p>
        </w:tc>
        <w:tc>
          <w:tcPr>
            <w:tcW w:w="377" w:type="pct"/>
            <w:shd w:val="clear" w:color="auto" w:fill="auto"/>
            <w:vAlign w:val="center"/>
          </w:tcPr>
          <w:p w14:paraId="5640645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0CB1BC1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587CF6B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6EC47A9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4333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46D6252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62E930E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XHW7202至夏91_H井集油管线</w:t>
            </w:r>
          </w:p>
        </w:tc>
        <w:tc>
          <w:tcPr>
            <w:tcW w:w="377" w:type="pct"/>
            <w:shd w:val="clear" w:color="auto" w:fill="auto"/>
            <w:vAlign w:val="center"/>
          </w:tcPr>
          <w:p w14:paraId="62549F8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1A23000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5A26AE5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0C6CBDA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42B1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7B11B18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4A76FCF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夏202至XHW7202井集油管线</w:t>
            </w:r>
          </w:p>
        </w:tc>
        <w:tc>
          <w:tcPr>
            <w:tcW w:w="377" w:type="pct"/>
            <w:shd w:val="clear" w:color="auto" w:fill="auto"/>
            <w:vAlign w:val="center"/>
          </w:tcPr>
          <w:p w14:paraId="5B12B83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0E25F1F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7F1CD0B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3A4FE74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20D1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0C9D4D7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4C8DBCB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夏203至92_H井集油管线</w:t>
            </w:r>
          </w:p>
        </w:tc>
        <w:tc>
          <w:tcPr>
            <w:tcW w:w="377" w:type="pct"/>
            <w:shd w:val="clear" w:color="auto" w:fill="auto"/>
            <w:vAlign w:val="center"/>
          </w:tcPr>
          <w:p w14:paraId="2577E7C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68109DE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3D3F54B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02948B2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4683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61AA2AE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12AE697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玛61至夏724井集油管线</w:t>
            </w:r>
          </w:p>
        </w:tc>
        <w:tc>
          <w:tcPr>
            <w:tcW w:w="377" w:type="pct"/>
            <w:shd w:val="clear" w:color="auto" w:fill="auto"/>
            <w:vAlign w:val="center"/>
          </w:tcPr>
          <w:p w14:paraId="11578CF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0F2F101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2B2869C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082E14C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6227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46223C7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14EE107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夏209至1104阀池集油管线</w:t>
            </w:r>
          </w:p>
        </w:tc>
        <w:tc>
          <w:tcPr>
            <w:tcW w:w="377" w:type="pct"/>
            <w:shd w:val="clear" w:color="auto" w:fill="auto"/>
            <w:vAlign w:val="center"/>
          </w:tcPr>
          <w:p w14:paraId="1D7AEDE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5D1D521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67C1AC0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463A66F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720E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vMerge w:val="continue"/>
            <w:shd w:val="clear" w:color="auto" w:fill="auto"/>
            <w:vAlign w:val="center"/>
          </w:tcPr>
          <w:p w14:paraId="12B2818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val="0"/>
                <w:bCs w:val="0"/>
                <w:color w:val="auto"/>
                <w:lang w:eastAsia="zh"/>
              </w:rPr>
            </w:pPr>
          </w:p>
        </w:tc>
        <w:tc>
          <w:tcPr>
            <w:tcW w:w="977" w:type="pct"/>
            <w:shd w:val="clear" w:color="auto" w:fill="auto"/>
            <w:vAlign w:val="center"/>
          </w:tcPr>
          <w:p w14:paraId="1890A37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夏207H至27号计量站集油管线</w:t>
            </w:r>
          </w:p>
        </w:tc>
        <w:tc>
          <w:tcPr>
            <w:tcW w:w="377" w:type="pct"/>
            <w:shd w:val="clear" w:color="auto" w:fill="auto"/>
            <w:vAlign w:val="center"/>
          </w:tcPr>
          <w:p w14:paraId="77ACA6E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53A33C2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12800B6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2BE3C49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r w14:paraId="3A8E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52" w:type="pct"/>
            <w:shd w:val="clear" w:color="auto" w:fill="auto"/>
            <w:vAlign w:val="center"/>
          </w:tcPr>
          <w:p w14:paraId="56E41CE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b w:val="0"/>
                <w:bCs w:val="0"/>
                <w:color w:val="auto"/>
                <w:lang w:val="en-US" w:eastAsia="zh-CN"/>
              </w:rPr>
            </w:pPr>
            <w:r>
              <w:rPr>
                <w:rFonts w:hint="eastAsia"/>
                <w:b w:val="0"/>
                <w:bCs w:val="0"/>
                <w:color w:val="auto"/>
                <w:lang w:val="en-US" w:eastAsia="zh-CN"/>
              </w:rPr>
              <w:t>玛湖第三采油作业区</w:t>
            </w:r>
          </w:p>
        </w:tc>
        <w:tc>
          <w:tcPr>
            <w:tcW w:w="977" w:type="pct"/>
            <w:shd w:val="clear" w:color="auto" w:fill="auto"/>
            <w:vAlign w:val="center"/>
          </w:tcPr>
          <w:p w14:paraId="1439F87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auto"/>
                <w:lang w:val="en-US" w:eastAsia="zh-CN"/>
              </w:rPr>
            </w:pPr>
            <w:r>
              <w:rPr>
                <w:rFonts w:hint="eastAsia"/>
                <w:b w:val="0"/>
                <w:bCs w:val="0"/>
                <w:color w:val="auto"/>
                <w:lang w:val="en-US" w:eastAsia="zh-CN"/>
              </w:rPr>
              <w:t>赛探1至艾湖30#站阀池集油管线</w:t>
            </w:r>
          </w:p>
        </w:tc>
        <w:tc>
          <w:tcPr>
            <w:tcW w:w="377" w:type="pct"/>
            <w:shd w:val="clear" w:color="auto" w:fill="auto"/>
            <w:vAlign w:val="center"/>
          </w:tcPr>
          <w:p w14:paraId="51764D3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Ⅱ类</w:t>
            </w:r>
          </w:p>
        </w:tc>
        <w:tc>
          <w:tcPr>
            <w:tcW w:w="2192" w:type="pct"/>
            <w:shd w:val="clear" w:color="auto" w:fill="auto"/>
            <w:vAlign w:val="center"/>
          </w:tcPr>
          <w:p w14:paraId="467CAA3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两侧200m范围内无分散式水井分布</w:t>
            </w:r>
          </w:p>
        </w:tc>
        <w:tc>
          <w:tcPr>
            <w:tcW w:w="493" w:type="pct"/>
            <w:shd w:val="clear" w:color="auto" w:fill="auto"/>
            <w:vAlign w:val="center"/>
          </w:tcPr>
          <w:p w14:paraId="4DE4834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不敏感</w:t>
            </w:r>
          </w:p>
        </w:tc>
        <w:tc>
          <w:tcPr>
            <w:tcW w:w="508" w:type="pct"/>
            <w:shd w:val="clear" w:color="auto" w:fill="auto"/>
            <w:vAlign w:val="center"/>
          </w:tcPr>
          <w:p w14:paraId="52A1F1F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r>
    </w:tbl>
    <w:p w14:paraId="44A8E35C">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根据表2.5-6、表2.5-7判定采油井场地下水评价等级为二级，采油管线、油类集输管线等地下水评价等级为三级。因此，本次地下水评价等级为“二级”。</w:t>
      </w:r>
    </w:p>
    <w:p w14:paraId="590DD34D">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（2）评价范围</w:t>
      </w:r>
    </w:p>
    <w:p w14:paraId="2C91088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地下水环境》（HJ610-2016），地下水现状评价范围可采用公式计算法、查表法、自定义法等确定。</w:t>
      </w:r>
      <w:r>
        <w:rPr>
          <w:rFonts w:hint="eastAsia" w:cs="Times New Roman"/>
          <w:color w:val="auto"/>
          <w:sz w:val="24"/>
          <w:szCs w:val="24"/>
          <w:lang w:eastAsia="zh-CN"/>
        </w:rPr>
        <w:t>本工程</w:t>
      </w:r>
      <w:r>
        <w:rPr>
          <w:rFonts w:hint="default" w:ascii="Times New Roman" w:hAnsi="Times New Roman" w:eastAsia="宋体" w:cs="Times New Roman"/>
          <w:color w:val="auto"/>
          <w:sz w:val="24"/>
          <w:szCs w:val="24"/>
        </w:rPr>
        <w:t>采</w:t>
      </w:r>
      <w:r>
        <w:rPr>
          <w:rFonts w:hint="eastAsia" w:ascii="宋体" w:hAnsi="宋体" w:eastAsia="宋体" w:cs="宋体"/>
          <w:color w:val="auto"/>
          <w:sz w:val="24"/>
          <w:szCs w:val="24"/>
        </w:rPr>
        <w:t>用“</w:t>
      </w:r>
      <w:r>
        <w:rPr>
          <w:rFonts w:hint="eastAsia" w:ascii="宋体" w:hAnsi="宋体" w:cs="宋体"/>
          <w:color w:val="auto"/>
          <w:sz w:val="24"/>
          <w:szCs w:val="24"/>
          <w:lang w:val="en-US" w:eastAsia="zh-CN"/>
        </w:rPr>
        <w:t>公式</w:t>
      </w:r>
      <w:r>
        <w:rPr>
          <w:rFonts w:hint="eastAsia" w:ascii="宋体" w:hAnsi="宋体" w:eastAsia="宋体" w:cs="宋体"/>
          <w:color w:val="auto"/>
          <w:sz w:val="24"/>
          <w:szCs w:val="24"/>
        </w:rPr>
        <w:t>法”</w:t>
      </w:r>
      <w:r>
        <w:rPr>
          <w:rFonts w:hint="default" w:ascii="Times New Roman" w:hAnsi="Times New Roman" w:eastAsia="宋体" w:cs="Times New Roman"/>
          <w:color w:val="auto"/>
          <w:sz w:val="24"/>
          <w:szCs w:val="24"/>
        </w:rPr>
        <w:t>对地下水评价范围进行划分。</w:t>
      </w:r>
    </w:p>
    <w:p w14:paraId="1C028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position w:val="-32"/>
          <w:sz w:val="24"/>
          <w:szCs w:val="24"/>
          <w:lang w:eastAsia="zh-CN"/>
        </w:rPr>
        <w:object>
          <v:shape id="_x0000_i1026" o:spt="75" type="#_x0000_t75" style="height:35pt;width:90pt;" o:ole="t" filled="f" o:preferrelative="t" stroked="f" coordsize="21600,21600">
            <v:path/>
            <v:fill on="f" focussize="0,0"/>
            <v:stroke on="f"/>
            <v:imagedata r:id="rId13" o:title=""/>
            <o:lock v:ext="edit" aspectratio="t"/>
            <w10:wrap type="none"/>
            <w10:anchorlock/>
          </v:shape>
          <o:OLEObject Type="Embed" ProgID="Equation.KSEE3" ShapeID="_x0000_i1026" DrawAspect="Content" ObjectID="_1468075726" r:id="rId12">
            <o:LockedField>false</o:LockedField>
          </o:OLEObject>
        </w:object>
      </w:r>
    </w:p>
    <w:p w14:paraId="271D66B6">
      <w:pPr>
        <w:pStyle w:val="43"/>
        <w:bidi w:val="0"/>
        <w:rPr>
          <w:rFonts w:hint="eastAsia"/>
          <w:color w:val="auto"/>
          <w:lang w:val="en-US" w:eastAsia="zh-CN"/>
        </w:rPr>
      </w:pPr>
      <w:r>
        <w:rPr>
          <w:rFonts w:hint="eastAsia"/>
          <w:color w:val="auto"/>
          <w:lang w:val="en-US" w:eastAsia="zh-CN"/>
        </w:rPr>
        <w:t>表2.5-8  基本参数一览表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035"/>
        <w:gridCol w:w="4552"/>
        <w:gridCol w:w="2131"/>
      </w:tblGrid>
      <w:tr w14:paraId="66CF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14:paraId="4AC6C2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035" w:type="dxa"/>
          </w:tcPr>
          <w:p w14:paraId="540DEF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名称</w:t>
            </w:r>
          </w:p>
        </w:tc>
        <w:tc>
          <w:tcPr>
            <w:tcW w:w="4552" w:type="dxa"/>
          </w:tcPr>
          <w:p w14:paraId="5B57E3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定义</w:t>
            </w:r>
          </w:p>
        </w:tc>
        <w:tc>
          <w:tcPr>
            <w:tcW w:w="2131" w:type="dxa"/>
          </w:tcPr>
          <w:p w14:paraId="21DA66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参数值</w:t>
            </w:r>
          </w:p>
        </w:tc>
      </w:tr>
      <w:tr w14:paraId="486B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14:paraId="68578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035" w:type="dxa"/>
            <w:vAlign w:val="center"/>
          </w:tcPr>
          <w:p w14:paraId="00CC4E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L</w:t>
            </w:r>
          </w:p>
        </w:tc>
        <w:tc>
          <w:tcPr>
            <w:tcW w:w="4552" w:type="dxa"/>
            <w:vAlign w:val="center"/>
          </w:tcPr>
          <w:p w14:paraId="56C3528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下游迁移距离，m</w:t>
            </w:r>
          </w:p>
        </w:tc>
        <w:tc>
          <w:tcPr>
            <w:tcW w:w="2131" w:type="dxa"/>
            <w:vAlign w:val="center"/>
          </w:tcPr>
          <w:p w14:paraId="7BC0B38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048F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14:paraId="2B5ABB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035" w:type="dxa"/>
            <w:vAlign w:val="center"/>
          </w:tcPr>
          <w:p w14:paraId="464249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default" w:ascii="Arial" w:hAnsi="Arial" w:cs="Arial"/>
                <w:color w:val="auto"/>
                <w:sz w:val="21"/>
                <w:szCs w:val="21"/>
                <w:vertAlign w:val="baseline"/>
                <w:lang w:val="en-US" w:eastAsia="zh-CN"/>
              </w:rPr>
              <w:t>α</w:t>
            </w:r>
          </w:p>
        </w:tc>
        <w:tc>
          <w:tcPr>
            <w:tcW w:w="4552" w:type="dxa"/>
            <w:vAlign w:val="center"/>
          </w:tcPr>
          <w:p w14:paraId="6DE959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变化系数</w:t>
            </w:r>
            <w:r>
              <w:rPr>
                <w:rFonts w:hint="default" w:ascii="Times New Roman" w:hAnsi="Times New Roman" w:cs="Times New Roman"/>
                <w:color w:val="auto"/>
                <w:sz w:val="21"/>
                <w:szCs w:val="21"/>
                <w:vertAlign w:val="baseline"/>
                <w:lang w:val="en-US" w:eastAsia="zh-CN"/>
              </w:rPr>
              <w:t>，α≥1，</w:t>
            </w:r>
            <w:r>
              <w:rPr>
                <w:rFonts w:hint="eastAsia" w:ascii="Arial" w:hAnsi="Arial" w:cs="Arial"/>
                <w:color w:val="auto"/>
                <w:sz w:val="21"/>
                <w:szCs w:val="21"/>
                <w:vertAlign w:val="baseline"/>
                <w:lang w:val="en-US" w:eastAsia="zh-CN"/>
              </w:rPr>
              <w:t>一般</w:t>
            </w:r>
            <w:r>
              <w:rPr>
                <w:rFonts w:hint="default" w:ascii="Times New Roman" w:hAnsi="Times New Roman" w:cs="Times New Roman"/>
                <w:color w:val="auto"/>
                <w:sz w:val="21"/>
                <w:szCs w:val="21"/>
                <w:vertAlign w:val="baseline"/>
                <w:lang w:val="en-US" w:eastAsia="zh-CN"/>
              </w:rPr>
              <w:t>取2</w:t>
            </w:r>
          </w:p>
        </w:tc>
        <w:tc>
          <w:tcPr>
            <w:tcW w:w="2131" w:type="dxa"/>
            <w:vAlign w:val="center"/>
          </w:tcPr>
          <w:p w14:paraId="6DE4D7F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r>
      <w:tr w14:paraId="5C2A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14:paraId="74E749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035" w:type="dxa"/>
            <w:vAlign w:val="center"/>
          </w:tcPr>
          <w:p w14:paraId="336ED7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K</w:t>
            </w:r>
          </w:p>
        </w:tc>
        <w:tc>
          <w:tcPr>
            <w:tcW w:w="4552" w:type="dxa"/>
            <w:vAlign w:val="center"/>
          </w:tcPr>
          <w:p w14:paraId="5552EE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渗透系数，m/d，常见渗透系数见《环境影响评价技术导则 地下水环境》（HJ610-2016）附录B表B.1</w:t>
            </w:r>
          </w:p>
        </w:tc>
        <w:tc>
          <w:tcPr>
            <w:tcW w:w="2131" w:type="dxa"/>
            <w:vAlign w:val="center"/>
          </w:tcPr>
          <w:p w14:paraId="2E8211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1.9，根据评价区水文地质条件</w:t>
            </w:r>
          </w:p>
        </w:tc>
      </w:tr>
      <w:tr w14:paraId="6F3E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14:paraId="09C21F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035" w:type="dxa"/>
            <w:vAlign w:val="center"/>
          </w:tcPr>
          <w:p w14:paraId="2C3A60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I</w:t>
            </w:r>
          </w:p>
        </w:tc>
        <w:tc>
          <w:tcPr>
            <w:tcW w:w="4552" w:type="dxa"/>
            <w:vAlign w:val="center"/>
          </w:tcPr>
          <w:p w14:paraId="513239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水力坡度，无量纲</w:t>
            </w:r>
          </w:p>
        </w:tc>
        <w:tc>
          <w:tcPr>
            <w:tcW w:w="2131" w:type="dxa"/>
            <w:vAlign w:val="center"/>
          </w:tcPr>
          <w:p w14:paraId="1AC712C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2.44</w:t>
            </w:r>
            <w:r>
              <w:rPr>
                <w:rFonts w:hint="default" w:ascii="Times New Roman" w:hAnsi="Times New Roman"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，根据区域勘察资料</w:t>
            </w:r>
          </w:p>
        </w:tc>
      </w:tr>
      <w:tr w14:paraId="65E4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14:paraId="30AEA2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035" w:type="dxa"/>
            <w:vAlign w:val="center"/>
          </w:tcPr>
          <w:p w14:paraId="0B758A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T</w:t>
            </w:r>
          </w:p>
        </w:tc>
        <w:tc>
          <w:tcPr>
            <w:tcW w:w="4552" w:type="dxa"/>
            <w:vAlign w:val="center"/>
          </w:tcPr>
          <w:p w14:paraId="178839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质点迁移天数，取值不小于5000d</w:t>
            </w:r>
          </w:p>
        </w:tc>
        <w:tc>
          <w:tcPr>
            <w:tcW w:w="2131" w:type="dxa"/>
            <w:vAlign w:val="center"/>
          </w:tcPr>
          <w:p w14:paraId="02DA80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5000</w:t>
            </w:r>
          </w:p>
        </w:tc>
      </w:tr>
      <w:tr w14:paraId="2D25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14:paraId="32941A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035" w:type="dxa"/>
            <w:vAlign w:val="center"/>
          </w:tcPr>
          <w:p w14:paraId="63C4991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n</w:t>
            </w:r>
            <w:r>
              <w:rPr>
                <w:rFonts w:hint="eastAsia" w:cs="Times New Roman"/>
                <w:color w:val="auto"/>
                <w:sz w:val="21"/>
                <w:szCs w:val="21"/>
                <w:vertAlign w:val="subscript"/>
                <w:lang w:val="en-US" w:eastAsia="zh-CN"/>
              </w:rPr>
              <w:t>e</w:t>
            </w:r>
          </w:p>
        </w:tc>
        <w:tc>
          <w:tcPr>
            <w:tcW w:w="4552" w:type="dxa"/>
            <w:vAlign w:val="center"/>
          </w:tcPr>
          <w:p w14:paraId="396086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有效孔隙度，无量纲</w:t>
            </w:r>
          </w:p>
        </w:tc>
        <w:tc>
          <w:tcPr>
            <w:tcW w:w="2131" w:type="dxa"/>
            <w:vAlign w:val="center"/>
          </w:tcPr>
          <w:p w14:paraId="62C801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0.06，根据项目所在区域含水层特征</w:t>
            </w:r>
          </w:p>
        </w:tc>
      </w:tr>
    </w:tbl>
    <w:p w14:paraId="078B70C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根据上述公式，下游迁移距离L≈772.67m。</w:t>
      </w:r>
    </w:p>
    <w:p w14:paraId="2C53B57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根据现场调查，</w:t>
      </w:r>
      <w:r>
        <w:rPr>
          <w:rFonts w:hint="eastAsia" w:cs="Times New Roman"/>
          <w:color w:val="auto"/>
          <w:sz w:val="24"/>
          <w:szCs w:val="24"/>
          <w:lang w:eastAsia="zh-CN"/>
        </w:rPr>
        <w:t>本次</w:t>
      </w:r>
      <w:r>
        <w:rPr>
          <w:rFonts w:hint="eastAsia" w:ascii="Times New Roman" w:hAnsi="Times New Roman" w:eastAsia="宋体" w:cs="Times New Roman"/>
          <w:color w:val="auto"/>
          <w:sz w:val="24"/>
          <w:szCs w:val="24"/>
        </w:rPr>
        <w:t>产建范围内的井场、</w:t>
      </w:r>
      <w:r>
        <w:rPr>
          <w:rFonts w:hint="eastAsia" w:ascii="Times New Roman" w:hAnsi="Times New Roman" w:eastAsia="宋体" w:cs="Times New Roman"/>
          <w:color w:val="auto"/>
          <w:sz w:val="24"/>
          <w:szCs w:val="24"/>
          <w:lang w:val="en-US" w:eastAsia="zh-CN"/>
        </w:rPr>
        <w:t>管线</w:t>
      </w:r>
      <w:r>
        <w:rPr>
          <w:rFonts w:hint="eastAsia" w:ascii="Times New Roman" w:hAnsi="Times New Roman" w:eastAsia="宋体" w:cs="Times New Roman"/>
          <w:color w:val="auto"/>
          <w:sz w:val="24"/>
          <w:szCs w:val="24"/>
        </w:rPr>
        <w:t>均不在集中式和分散式饮用水水源地的敏感及较敏感区范围内</w:t>
      </w:r>
      <w:r>
        <w:rPr>
          <w:rFonts w:hint="eastAsia" w:ascii="Times New Roman" w:hAnsi="Times New Roman" w:eastAsia="宋体" w:cs="Times New Roman"/>
          <w:color w:val="auto"/>
          <w:sz w:val="24"/>
          <w:szCs w:val="24"/>
          <w:lang w:eastAsia="zh-CN"/>
        </w:rPr>
        <w:t>。</w:t>
      </w:r>
    </w:p>
    <w:p w14:paraId="772EC46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根据《环境影响评价技术导则</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地下水环境》（HJ610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2016），</w:t>
      </w:r>
      <w:r>
        <w:rPr>
          <w:rFonts w:hint="eastAsia" w:cs="Times New Roman"/>
          <w:color w:val="auto"/>
          <w:sz w:val="24"/>
          <w:szCs w:val="24"/>
          <w:lang w:val="en-US" w:eastAsia="zh-CN"/>
        </w:rPr>
        <w:t>确定井场地下水评价范围为</w:t>
      </w:r>
      <w:r>
        <w:rPr>
          <w:rFonts w:hint="default" w:ascii="Times New Roman" w:hAnsi="Times New Roman" w:eastAsia="宋体" w:cs="Times New Roman"/>
          <w:color w:val="auto"/>
          <w:sz w:val="24"/>
          <w:szCs w:val="24"/>
        </w:rPr>
        <w:t>下游</w:t>
      </w:r>
      <w:r>
        <w:rPr>
          <w:rFonts w:hint="eastAsia" w:cs="Times New Roman"/>
          <w:color w:val="auto"/>
          <w:sz w:val="24"/>
          <w:szCs w:val="24"/>
          <w:lang w:val="en-US" w:eastAsia="zh-CN"/>
        </w:rPr>
        <w:t>773</w:t>
      </w:r>
      <w:r>
        <w:rPr>
          <w:rFonts w:hint="default" w:ascii="Times New Roman" w:hAnsi="Times New Roman" w:eastAsia="宋体" w:cs="Times New Roman"/>
          <w:color w:val="auto"/>
          <w:sz w:val="24"/>
          <w:szCs w:val="24"/>
        </w:rPr>
        <w:t>m、两侧</w:t>
      </w:r>
      <w:r>
        <w:rPr>
          <w:rFonts w:hint="eastAsia" w:cs="Times New Roman"/>
          <w:color w:val="auto"/>
          <w:sz w:val="24"/>
          <w:szCs w:val="24"/>
          <w:lang w:val="en-US" w:eastAsia="zh-CN"/>
        </w:rPr>
        <w:t>及</w:t>
      </w:r>
      <w:r>
        <w:rPr>
          <w:rFonts w:hint="default" w:ascii="Times New Roman" w:hAnsi="Times New Roman" w:eastAsia="宋体" w:cs="Times New Roman"/>
          <w:color w:val="auto"/>
          <w:sz w:val="24"/>
          <w:szCs w:val="24"/>
        </w:rPr>
        <w:t>上游</w:t>
      </w:r>
      <w:r>
        <w:rPr>
          <w:rFonts w:hint="eastAsia" w:cs="Times New Roman"/>
          <w:color w:val="auto"/>
          <w:sz w:val="24"/>
          <w:szCs w:val="24"/>
          <w:lang w:val="en-US" w:eastAsia="zh-CN"/>
        </w:rPr>
        <w:t>不小于387</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管线两侧200m作为地下水评价范围，</w:t>
      </w:r>
      <w:r>
        <w:rPr>
          <w:rFonts w:hint="eastAsia" w:cs="Times New Roman"/>
          <w:color w:val="auto"/>
          <w:sz w:val="24"/>
          <w:szCs w:val="24"/>
          <w:lang w:val="en-US" w:eastAsia="zh-CN"/>
        </w:rPr>
        <w:t>地下水</w:t>
      </w:r>
      <w:r>
        <w:rPr>
          <w:rFonts w:hint="eastAsia" w:ascii="Times New Roman" w:hAnsi="Times New Roman" w:eastAsia="宋体" w:cs="Times New Roman"/>
          <w:color w:val="auto"/>
          <w:sz w:val="24"/>
          <w:szCs w:val="24"/>
          <w:lang w:val="en-US" w:eastAsia="zh-CN"/>
        </w:rPr>
        <w:t>评价范围</w:t>
      </w:r>
      <w:r>
        <w:rPr>
          <w:rFonts w:hint="eastAsia" w:cs="Times New Roman"/>
          <w:color w:val="auto"/>
          <w:sz w:val="24"/>
          <w:szCs w:val="24"/>
          <w:lang w:val="en-US" w:eastAsia="zh-CN"/>
        </w:rPr>
        <w:t>示意图</w:t>
      </w:r>
      <w:r>
        <w:rPr>
          <w:rFonts w:hint="eastAsia" w:ascii="Times New Roman" w:hAnsi="Times New Roman" w:eastAsia="宋体" w:cs="Times New Roman"/>
          <w:color w:val="auto"/>
          <w:sz w:val="24"/>
          <w:szCs w:val="24"/>
          <w:lang w:val="en-US" w:eastAsia="zh-CN"/>
        </w:rPr>
        <w:t>见</w:t>
      </w:r>
      <w:r>
        <w:rPr>
          <w:rFonts w:hint="eastAsia" w:cs="Times New Roman"/>
          <w:color w:val="auto"/>
          <w:sz w:val="24"/>
          <w:szCs w:val="24"/>
          <w:lang w:val="en-US" w:eastAsia="zh-CN"/>
        </w:rPr>
        <w:t>附</w:t>
      </w:r>
      <w:r>
        <w:rPr>
          <w:rFonts w:hint="eastAsia" w:ascii="Times New Roman" w:hAnsi="Times New Roman" w:eastAsia="宋体" w:cs="Times New Roman"/>
          <w:color w:val="auto"/>
          <w:sz w:val="24"/>
          <w:szCs w:val="24"/>
          <w:lang w:val="en-US" w:eastAsia="zh-CN"/>
        </w:rPr>
        <w:t>图</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p>
    <w:p w14:paraId="50C6F640">
      <w:pPr>
        <w:pStyle w:val="5"/>
        <w:bidi w:val="0"/>
        <w:rPr>
          <w:rFonts w:hint="default"/>
          <w:color w:val="auto"/>
          <w:lang w:val="en-US" w:eastAsia="zh-CN"/>
        </w:rPr>
      </w:pPr>
      <w:bookmarkStart w:id="110" w:name="_Toc9061"/>
      <w:bookmarkStart w:id="111" w:name="_Toc24523"/>
      <w:r>
        <w:rPr>
          <w:rFonts w:hint="eastAsia"/>
          <w:color w:val="auto"/>
          <w:lang w:val="en-US" w:eastAsia="zh-CN"/>
        </w:rPr>
        <w:t>2.5.4声环境</w:t>
      </w:r>
      <w:bookmarkEnd w:id="110"/>
      <w:bookmarkEnd w:id="111"/>
    </w:p>
    <w:p w14:paraId="3D023772">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（1）评价等级</w:t>
      </w:r>
    </w:p>
    <w:p w14:paraId="5F4B2445">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项目区属于《声环境质量标准》（GB3096-2008）中的2类标准，且噪声源周围200m无固定集中的人群活动。依据《环境影响评价技术导则 声环境》（HJ2.4-2021）中的规定，本工程声环境影响评价工作等级为二级。</w:t>
      </w:r>
    </w:p>
    <w:p w14:paraId="26176279">
      <w:pPr>
        <w:pStyle w:val="43"/>
        <w:bidi w:val="0"/>
        <w:rPr>
          <w:color w:val="auto"/>
        </w:rPr>
      </w:pPr>
      <w:r>
        <w:rPr>
          <w:color w:val="auto"/>
        </w:rPr>
        <w:t>表</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rFonts w:hint="eastAsia"/>
          <w:color w:val="auto"/>
          <w:lang w:eastAsia="zh-CN"/>
        </w:rPr>
        <w:t>-</w:t>
      </w:r>
      <w:r>
        <w:rPr>
          <w:rFonts w:hint="eastAsia"/>
          <w:color w:val="auto"/>
          <w:lang w:val="en-US" w:eastAsia="zh-CN"/>
        </w:rPr>
        <w:t>9</w:t>
      </w:r>
      <w:r>
        <w:rPr>
          <w:color w:val="auto"/>
        </w:rPr>
        <w:t xml:space="preserve">  声环境评价工作等级</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1" w:type="dxa"/>
          <w:bottom w:w="0" w:type="dxa"/>
          <w:right w:w="51" w:type="dxa"/>
        </w:tblCellMar>
      </w:tblPr>
      <w:tblGrid>
        <w:gridCol w:w="927"/>
        <w:gridCol w:w="1150"/>
        <w:gridCol w:w="1714"/>
        <w:gridCol w:w="2602"/>
        <w:gridCol w:w="2015"/>
      </w:tblGrid>
      <w:tr w14:paraId="01DC9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1235" w:type="pct"/>
            <w:gridSpan w:val="2"/>
            <w:tcBorders>
              <w:tl2br w:val="single" w:color="000000" w:sz="4" w:space="0"/>
            </w:tcBorders>
            <w:shd w:val="clear" w:color="auto" w:fill="auto"/>
            <w:vAlign w:val="center"/>
          </w:tcPr>
          <w:p w14:paraId="10E07464">
            <w:pPr>
              <w:pStyle w:val="44"/>
              <w:keepNext w:val="0"/>
              <w:keepLines w:val="0"/>
              <w:pageBreakBefore w:val="0"/>
              <w:widowControl w:val="0"/>
              <w:kinsoku/>
              <w:wordWrap/>
              <w:overflowPunct/>
              <w:topLinePunct w:val="0"/>
              <w:autoSpaceDE/>
              <w:autoSpaceDN/>
              <w:bidi w:val="0"/>
              <w:adjustRightInd/>
              <w:snapToGrid/>
              <w:spacing w:line="300" w:lineRule="exact"/>
              <w:jc w:val="right"/>
              <w:textAlignment w:val="auto"/>
              <w:rPr>
                <w:b/>
                <w:bCs/>
                <w:color w:val="auto"/>
              </w:rPr>
            </w:pPr>
            <w:r>
              <w:rPr>
                <w:b/>
                <w:bCs/>
                <w:color w:val="auto"/>
              </w:rPr>
              <w:t>影响因素</w:t>
            </w:r>
          </w:p>
          <w:p w14:paraId="04143F32">
            <w:pPr>
              <w:pStyle w:val="44"/>
              <w:keepNext w:val="0"/>
              <w:keepLines w:val="0"/>
              <w:pageBreakBefore w:val="0"/>
              <w:widowControl w:val="0"/>
              <w:kinsoku/>
              <w:wordWrap/>
              <w:overflowPunct/>
              <w:topLinePunct w:val="0"/>
              <w:autoSpaceDE/>
              <w:autoSpaceDN/>
              <w:bidi w:val="0"/>
              <w:adjustRightInd/>
              <w:snapToGrid/>
              <w:spacing w:line="300" w:lineRule="exact"/>
              <w:jc w:val="left"/>
              <w:textAlignment w:val="auto"/>
              <w:rPr>
                <w:b/>
                <w:bCs/>
                <w:color w:val="auto"/>
              </w:rPr>
            </w:pPr>
            <w:r>
              <w:rPr>
                <w:b/>
                <w:bCs/>
                <w:color w:val="auto"/>
              </w:rPr>
              <w:t>评价等级</w:t>
            </w:r>
          </w:p>
        </w:tc>
        <w:tc>
          <w:tcPr>
            <w:tcW w:w="1019" w:type="pct"/>
            <w:shd w:val="clear" w:color="auto" w:fill="auto"/>
            <w:vAlign w:val="center"/>
          </w:tcPr>
          <w:p w14:paraId="05F4B6F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声环境功能区</w:t>
            </w:r>
          </w:p>
        </w:tc>
        <w:tc>
          <w:tcPr>
            <w:tcW w:w="1547" w:type="pct"/>
            <w:shd w:val="clear" w:color="auto" w:fill="auto"/>
            <w:vAlign w:val="center"/>
          </w:tcPr>
          <w:p w14:paraId="1391700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环境敏感目标噪声级增量</w:t>
            </w:r>
          </w:p>
        </w:tc>
        <w:tc>
          <w:tcPr>
            <w:tcW w:w="1198" w:type="pct"/>
            <w:shd w:val="clear" w:color="auto" w:fill="auto"/>
            <w:vAlign w:val="center"/>
          </w:tcPr>
          <w:p w14:paraId="31C5D71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影响人口数量变化</w:t>
            </w:r>
          </w:p>
        </w:tc>
      </w:tr>
      <w:tr w14:paraId="3931B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551" w:type="pct"/>
            <w:vMerge w:val="restart"/>
            <w:vAlign w:val="center"/>
          </w:tcPr>
          <w:p w14:paraId="28EEF7F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评价等级判据</w:t>
            </w:r>
          </w:p>
        </w:tc>
        <w:tc>
          <w:tcPr>
            <w:tcW w:w="683" w:type="pct"/>
            <w:vMerge w:val="restart"/>
            <w:vAlign w:val="center"/>
          </w:tcPr>
          <w:p w14:paraId="7048A44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一级</w:t>
            </w:r>
          </w:p>
        </w:tc>
        <w:tc>
          <w:tcPr>
            <w:tcW w:w="1019" w:type="pct"/>
            <w:vAlign w:val="center"/>
          </w:tcPr>
          <w:p w14:paraId="1F1511B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0类</w:t>
            </w:r>
          </w:p>
        </w:tc>
        <w:tc>
          <w:tcPr>
            <w:tcW w:w="1547" w:type="pct"/>
            <w:vAlign w:val="center"/>
          </w:tcPr>
          <w:p w14:paraId="73EB2F7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&gt;5dB(A)</w:t>
            </w:r>
          </w:p>
        </w:tc>
        <w:tc>
          <w:tcPr>
            <w:tcW w:w="1198" w:type="pct"/>
            <w:vAlign w:val="center"/>
          </w:tcPr>
          <w:p w14:paraId="39526C8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显著增多</w:t>
            </w:r>
          </w:p>
        </w:tc>
      </w:tr>
      <w:tr w14:paraId="7B620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551" w:type="pct"/>
            <w:vMerge w:val="continue"/>
            <w:vAlign w:val="center"/>
          </w:tcPr>
          <w:p w14:paraId="58C087D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83" w:type="pct"/>
            <w:vMerge w:val="continue"/>
            <w:vAlign w:val="center"/>
          </w:tcPr>
          <w:p w14:paraId="353569E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3764" w:type="pct"/>
            <w:gridSpan w:val="3"/>
            <w:vAlign w:val="center"/>
          </w:tcPr>
          <w:p w14:paraId="7607B11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机场建设项目航空器噪声影响评价</w:t>
            </w:r>
          </w:p>
        </w:tc>
      </w:tr>
      <w:tr w14:paraId="4FF2B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551" w:type="pct"/>
            <w:vMerge w:val="continue"/>
            <w:vAlign w:val="center"/>
          </w:tcPr>
          <w:p w14:paraId="2B554BF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83" w:type="pct"/>
            <w:vAlign w:val="center"/>
          </w:tcPr>
          <w:p w14:paraId="6F948F4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二级</w:t>
            </w:r>
          </w:p>
        </w:tc>
        <w:tc>
          <w:tcPr>
            <w:tcW w:w="1019" w:type="pct"/>
            <w:vAlign w:val="center"/>
          </w:tcPr>
          <w:p w14:paraId="1C2C865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1类，2类</w:t>
            </w:r>
          </w:p>
        </w:tc>
        <w:tc>
          <w:tcPr>
            <w:tcW w:w="1547" w:type="pct"/>
            <w:vAlign w:val="center"/>
          </w:tcPr>
          <w:p w14:paraId="74B9FE2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≥3dB(A)，≤5dB(A)</w:t>
            </w:r>
          </w:p>
        </w:tc>
        <w:tc>
          <w:tcPr>
            <w:tcW w:w="1198" w:type="pct"/>
            <w:vAlign w:val="center"/>
          </w:tcPr>
          <w:p w14:paraId="1CDA94B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较多</w:t>
            </w:r>
          </w:p>
        </w:tc>
      </w:tr>
      <w:tr w14:paraId="54D51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551" w:type="pct"/>
            <w:vMerge w:val="continue"/>
            <w:vAlign w:val="center"/>
          </w:tcPr>
          <w:p w14:paraId="56658A7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83" w:type="pct"/>
            <w:vAlign w:val="center"/>
          </w:tcPr>
          <w:p w14:paraId="00AB452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w:t>
            </w:r>
          </w:p>
        </w:tc>
        <w:tc>
          <w:tcPr>
            <w:tcW w:w="1019" w:type="pct"/>
            <w:vAlign w:val="center"/>
          </w:tcPr>
          <w:p w14:paraId="7210BF0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3类，4类</w:t>
            </w:r>
          </w:p>
        </w:tc>
        <w:tc>
          <w:tcPr>
            <w:tcW w:w="1547" w:type="pct"/>
            <w:vAlign w:val="center"/>
          </w:tcPr>
          <w:p w14:paraId="46F0C0F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&lt;3dB(A)</w:t>
            </w:r>
          </w:p>
        </w:tc>
        <w:tc>
          <w:tcPr>
            <w:tcW w:w="1198" w:type="pct"/>
            <w:vAlign w:val="center"/>
          </w:tcPr>
          <w:p w14:paraId="1B9D66A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不大</w:t>
            </w:r>
          </w:p>
        </w:tc>
      </w:tr>
      <w:tr w14:paraId="62149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1235" w:type="pct"/>
            <w:gridSpan w:val="2"/>
            <w:tcBorders>
              <w:bottom w:val="single" w:color="auto" w:sz="4" w:space="0"/>
            </w:tcBorders>
            <w:vAlign w:val="center"/>
          </w:tcPr>
          <w:p w14:paraId="1ED8506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eastAsia="zh-CN"/>
              </w:rPr>
            </w:pPr>
            <w:r>
              <w:rPr>
                <w:rFonts w:hint="eastAsia"/>
                <w:color w:val="auto"/>
                <w:lang w:eastAsia="zh-CN"/>
              </w:rPr>
              <w:t>本工程</w:t>
            </w:r>
          </w:p>
        </w:tc>
        <w:tc>
          <w:tcPr>
            <w:tcW w:w="1019" w:type="pct"/>
            <w:vAlign w:val="center"/>
          </w:tcPr>
          <w:p w14:paraId="554FF92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2类</w:t>
            </w:r>
          </w:p>
        </w:tc>
        <w:tc>
          <w:tcPr>
            <w:tcW w:w="1547" w:type="pct"/>
            <w:vAlign w:val="center"/>
          </w:tcPr>
          <w:p w14:paraId="7B88C4D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&lt;3dB(A)</w:t>
            </w:r>
          </w:p>
        </w:tc>
        <w:tc>
          <w:tcPr>
            <w:tcW w:w="1198" w:type="pct"/>
            <w:vAlign w:val="center"/>
          </w:tcPr>
          <w:p w14:paraId="1AF6B45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不大</w:t>
            </w:r>
          </w:p>
        </w:tc>
      </w:tr>
      <w:tr w14:paraId="03111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1235" w:type="pct"/>
            <w:gridSpan w:val="2"/>
            <w:tcBorders>
              <w:top w:val="single" w:color="auto" w:sz="4" w:space="0"/>
            </w:tcBorders>
            <w:vAlign w:val="center"/>
          </w:tcPr>
          <w:p w14:paraId="088D283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项目评价工作等级</w:t>
            </w:r>
          </w:p>
        </w:tc>
        <w:tc>
          <w:tcPr>
            <w:tcW w:w="3764" w:type="pct"/>
            <w:gridSpan w:val="3"/>
            <w:vAlign w:val="center"/>
          </w:tcPr>
          <w:p w14:paraId="1CE104E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b/>
                <w:bCs/>
                <w:color w:val="auto"/>
              </w:rPr>
              <w:t>二级</w:t>
            </w:r>
          </w:p>
        </w:tc>
      </w:tr>
    </w:tbl>
    <w:p w14:paraId="4DFB87EF">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（2）评价范围</w:t>
      </w:r>
    </w:p>
    <w:p w14:paraId="4C22184A">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8"/>
          <w:lang w:val="en-US" w:eastAsia="zh-CN"/>
        </w:rPr>
      </w:pPr>
      <w:r>
        <w:rPr>
          <w:rFonts w:hint="eastAsia" w:cs="Times New Roman"/>
          <w:color w:val="auto"/>
          <w:sz w:val="24"/>
          <w:szCs w:val="28"/>
          <w:lang w:val="en-US" w:eastAsia="zh-CN"/>
        </w:rPr>
        <w:t>根据《环境影响评价技术导则 声环境》（HJ2.4-2021）要求，“满足一级评价的要求，一般以建设项目边界向外200m作为评价范围；二、三级评价范围可根据建设项目所在区域和相邻区域的声环境功能区划及敏感目标等实际情况适当缩小”，根据项目特点，项目声环境评价范围为各井场边界外扩200m作为评价范围，声评价范围示意图见附图7。</w:t>
      </w:r>
    </w:p>
    <w:p w14:paraId="4143EF08">
      <w:pPr>
        <w:pStyle w:val="5"/>
        <w:bidi w:val="0"/>
        <w:rPr>
          <w:rFonts w:hint="default"/>
          <w:color w:val="auto"/>
          <w:lang w:val="en-US" w:eastAsia="zh-CN"/>
        </w:rPr>
      </w:pPr>
      <w:bookmarkStart w:id="112" w:name="_Toc25177"/>
      <w:bookmarkStart w:id="113" w:name="_Toc6925"/>
      <w:r>
        <w:rPr>
          <w:rFonts w:hint="eastAsia"/>
          <w:color w:val="auto"/>
          <w:lang w:val="en-US" w:eastAsia="zh-CN"/>
        </w:rPr>
        <w:t>2.5.5土壤环境</w:t>
      </w:r>
      <w:bookmarkEnd w:id="112"/>
      <w:bookmarkEnd w:id="113"/>
    </w:p>
    <w:p w14:paraId="2FFF5B48">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cs="Times New Roman"/>
          <w:color w:val="auto"/>
          <w:sz w:val="24"/>
          <w:szCs w:val="28"/>
          <w:lang w:val="en-US" w:eastAsia="zh-CN"/>
        </w:rPr>
      </w:pPr>
      <w:r>
        <w:rPr>
          <w:rFonts w:hint="eastAsia" w:cs="Times New Roman"/>
          <w:color w:val="auto"/>
          <w:sz w:val="24"/>
          <w:szCs w:val="28"/>
          <w:lang w:val="en-US" w:eastAsia="zh-CN"/>
        </w:rPr>
        <w:t>（1）评价等级</w:t>
      </w:r>
    </w:p>
    <w:p w14:paraId="38BDC94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rPr>
      </w:pPr>
      <w:r>
        <w:rPr>
          <w:rFonts w:hint="eastAsia" w:eastAsia="宋体"/>
          <w:color w:val="auto"/>
          <w:sz w:val="24"/>
          <w:szCs w:val="24"/>
        </w:rPr>
        <w:t>根据《环境影响评价技术导则-陆地石油天然气开发建设项目》（HJ349-2023）7.4要求</w:t>
      </w:r>
      <w:r>
        <w:rPr>
          <w:rFonts w:hint="eastAsia" w:eastAsia="宋体"/>
          <w:color w:val="auto"/>
          <w:sz w:val="24"/>
          <w:szCs w:val="24"/>
          <w:lang w:eastAsia="zh-CN"/>
        </w:rPr>
        <w:t>，</w:t>
      </w:r>
      <w:r>
        <w:rPr>
          <w:rFonts w:hint="eastAsia" w:eastAsia="宋体"/>
          <w:color w:val="auto"/>
          <w:sz w:val="24"/>
          <w:szCs w:val="24"/>
        </w:rPr>
        <w:t>“依据HJ964的规定，土壤盐化、酸化和碱化地区，建设项目应按照土壤污染影响型和生态影响型，按相应等级分别开展评价工作；非土壤盐化、酸化和碱化地区，按照土壤污染影响型，按相应等级开展评价工作。”</w:t>
      </w:r>
    </w:p>
    <w:p w14:paraId="61FC8E1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eastAsia="宋体"/>
          <w:color w:val="auto"/>
          <w:sz w:val="24"/>
          <w:szCs w:val="24"/>
        </w:rPr>
        <w:t>根据《</w:t>
      </w:r>
      <w:r>
        <w:rPr>
          <w:rFonts w:hint="eastAsia" w:eastAsia="宋体"/>
          <w:color w:val="auto"/>
          <w:sz w:val="24"/>
          <w:szCs w:val="24"/>
          <w:lang w:val="en-US" w:eastAsia="zh-CN"/>
        </w:rPr>
        <w:t>新疆天气年鉴（2020年）</w:t>
      </w:r>
      <w:r>
        <w:rPr>
          <w:rFonts w:eastAsia="宋体"/>
          <w:color w:val="auto"/>
          <w:sz w:val="24"/>
          <w:szCs w:val="24"/>
        </w:rPr>
        <w:t>》，</w:t>
      </w:r>
      <w:r>
        <w:rPr>
          <w:rFonts w:hint="eastAsia" w:eastAsia="宋体"/>
          <w:color w:val="auto"/>
          <w:sz w:val="24"/>
          <w:szCs w:val="24"/>
          <w:lang w:val="en-US" w:eastAsia="zh-CN"/>
        </w:rPr>
        <w:t>新疆维吾尔自治区</w:t>
      </w:r>
      <w:r>
        <w:rPr>
          <w:rFonts w:eastAsia="宋体"/>
          <w:color w:val="auto"/>
          <w:sz w:val="24"/>
          <w:szCs w:val="24"/>
        </w:rPr>
        <w:t>属</w:t>
      </w:r>
      <w:r>
        <w:rPr>
          <w:rFonts w:hint="eastAsia" w:eastAsia="宋体"/>
          <w:color w:val="auto"/>
          <w:sz w:val="24"/>
          <w:szCs w:val="24"/>
          <w:lang w:val="en-US" w:eastAsia="zh-CN"/>
        </w:rPr>
        <w:t>干旱</w:t>
      </w:r>
      <w:r>
        <w:rPr>
          <w:rFonts w:eastAsia="宋体"/>
          <w:color w:val="auto"/>
          <w:sz w:val="24"/>
          <w:szCs w:val="24"/>
        </w:rPr>
        <w:t>区</w:t>
      </w:r>
      <w:r>
        <w:rPr>
          <w:rFonts w:hint="eastAsia" w:eastAsia="宋体"/>
          <w:color w:val="auto"/>
          <w:sz w:val="24"/>
          <w:szCs w:val="24"/>
          <w:lang w:eastAsia="zh-CN"/>
        </w:rPr>
        <w:t>。</w:t>
      </w:r>
      <w:r>
        <w:rPr>
          <w:rFonts w:hint="eastAsia" w:eastAsia="宋体"/>
          <w:color w:val="auto"/>
          <w:sz w:val="24"/>
          <w:szCs w:val="24"/>
        </w:rPr>
        <w:t>根据本次土壤环境质量现状监测及现场调查结果</w:t>
      </w:r>
      <w:r>
        <w:rPr>
          <w:rFonts w:hint="eastAsia" w:eastAsia="宋体"/>
          <w:color w:val="auto"/>
          <w:sz w:val="24"/>
          <w:szCs w:val="24"/>
          <w:lang w:val="en-US" w:eastAsia="zh-CN"/>
        </w:rPr>
        <w:t>并</w:t>
      </w:r>
      <w:r>
        <w:rPr>
          <w:rFonts w:hint="eastAsia" w:eastAsia="宋体"/>
          <w:color w:val="auto"/>
          <w:sz w:val="24"/>
          <w:szCs w:val="24"/>
        </w:rPr>
        <w:t>参照《环境影响评价技术导则 土壤环境》附录D中“表D.1土壤盐化分级标准”、“表D.2土壤酸化、碱化分级标准”，</w:t>
      </w:r>
      <w:r>
        <w:rPr>
          <w:rFonts w:eastAsia="宋体"/>
          <w:color w:val="auto"/>
          <w:sz w:val="24"/>
          <w:szCs w:val="24"/>
        </w:rPr>
        <w:t>项目所在地土壤含盐量约在</w:t>
      </w:r>
      <w:r>
        <w:rPr>
          <w:rFonts w:hint="eastAsia"/>
          <w:color w:val="auto"/>
          <w:sz w:val="24"/>
          <w:szCs w:val="24"/>
          <w:lang w:val="en-US" w:eastAsia="zh-CN"/>
        </w:rPr>
        <w:t>2.2</w:t>
      </w:r>
      <w:r>
        <w:rPr>
          <w:rFonts w:eastAsia="宋体"/>
          <w:color w:val="auto"/>
          <w:sz w:val="24"/>
          <w:szCs w:val="24"/>
        </w:rPr>
        <w:t>～</w:t>
      </w:r>
      <w:r>
        <w:rPr>
          <w:rFonts w:hint="eastAsia"/>
          <w:color w:val="auto"/>
          <w:sz w:val="24"/>
          <w:szCs w:val="24"/>
          <w:lang w:val="en-US" w:eastAsia="zh-CN"/>
        </w:rPr>
        <w:t>5.2</w:t>
      </w:r>
      <w:r>
        <w:rPr>
          <w:rFonts w:eastAsia="宋体"/>
          <w:color w:val="auto"/>
          <w:sz w:val="24"/>
          <w:szCs w:val="24"/>
        </w:rPr>
        <w:t>g/kg，属于</w:t>
      </w:r>
      <w:r>
        <w:rPr>
          <w:rFonts w:hint="eastAsia" w:eastAsia="宋体"/>
          <w:color w:val="auto"/>
          <w:sz w:val="24"/>
          <w:szCs w:val="24"/>
          <w:lang w:eastAsia="zh-CN"/>
        </w:rPr>
        <w:t>“</w:t>
      </w:r>
      <w:r>
        <w:rPr>
          <w:rFonts w:hint="eastAsia"/>
          <w:color w:val="auto"/>
          <w:sz w:val="24"/>
          <w:szCs w:val="24"/>
          <w:lang w:val="en-US" w:eastAsia="zh-CN"/>
        </w:rPr>
        <w:t>2</w:t>
      </w:r>
      <w:r>
        <w:rPr>
          <w:rFonts w:eastAsia="宋体"/>
          <w:color w:val="auto"/>
          <w:sz w:val="24"/>
          <w:szCs w:val="24"/>
        </w:rPr>
        <w:t>g/kg</w:t>
      </w:r>
      <w:r>
        <w:rPr>
          <w:rFonts w:hint="eastAsia" w:eastAsia="宋体"/>
          <w:color w:val="auto"/>
          <w:sz w:val="24"/>
          <w:szCs w:val="24"/>
          <w:lang w:val="en-US" w:eastAsia="zh-CN"/>
        </w:rPr>
        <w:t>≤</w:t>
      </w:r>
      <w:r>
        <w:rPr>
          <w:rFonts w:eastAsia="宋体"/>
          <w:color w:val="auto"/>
          <w:sz w:val="24"/>
          <w:szCs w:val="24"/>
        </w:rPr>
        <w:t>土壤含盐量</w:t>
      </w:r>
      <w:r>
        <w:rPr>
          <w:rFonts w:hint="eastAsia" w:eastAsia="宋体"/>
          <w:color w:val="auto"/>
          <w:sz w:val="24"/>
          <w:szCs w:val="24"/>
          <w:lang w:val="en-US" w:eastAsia="zh-CN"/>
        </w:rPr>
        <w:t>＜</w:t>
      </w:r>
      <w:r>
        <w:rPr>
          <w:rFonts w:hint="eastAsia"/>
          <w:color w:val="auto"/>
          <w:sz w:val="24"/>
          <w:szCs w:val="24"/>
          <w:lang w:val="en-US" w:eastAsia="zh-CN"/>
        </w:rPr>
        <w:t>3</w:t>
      </w:r>
      <w:r>
        <w:rPr>
          <w:rFonts w:eastAsia="宋体"/>
          <w:color w:val="auto"/>
          <w:sz w:val="24"/>
          <w:szCs w:val="24"/>
        </w:rPr>
        <w:t>g/kg</w:t>
      </w:r>
      <w:r>
        <w:rPr>
          <w:rFonts w:hint="eastAsia" w:eastAsia="宋体"/>
          <w:color w:val="auto"/>
          <w:sz w:val="24"/>
          <w:szCs w:val="24"/>
          <w:lang w:eastAsia="zh-CN"/>
        </w:rPr>
        <w:t>”</w:t>
      </w:r>
      <w:r>
        <w:rPr>
          <w:rFonts w:eastAsia="宋体"/>
          <w:color w:val="auto"/>
          <w:sz w:val="24"/>
          <w:szCs w:val="24"/>
        </w:rPr>
        <w:t>的</w:t>
      </w:r>
      <w:r>
        <w:rPr>
          <w:rFonts w:hint="eastAsia" w:eastAsia="宋体"/>
          <w:color w:val="auto"/>
          <w:sz w:val="24"/>
          <w:szCs w:val="24"/>
          <w:lang w:val="en-US" w:eastAsia="zh-CN"/>
        </w:rPr>
        <w:t>轻度盐化</w:t>
      </w:r>
      <w:r>
        <w:rPr>
          <w:rFonts w:hint="eastAsia"/>
          <w:color w:val="auto"/>
          <w:sz w:val="24"/>
          <w:szCs w:val="24"/>
          <w:lang w:val="en-US" w:eastAsia="zh-CN"/>
        </w:rPr>
        <w:t>、</w:t>
      </w:r>
      <w:r>
        <w:rPr>
          <w:rFonts w:hint="eastAsia" w:eastAsia="宋体"/>
          <w:color w:val="auto"/>
          <w:sz w:val="24"/>
          <w:szCs w:val="24"/>
          <w:lang w:val="en-US" w:eastAsia="zh-CN"/>
        </w:rPr>
        <w:t>“</w:t>
      </w:r>
      <w:r>
        <w:rPr>
          <w:rFonts w:hint="eastAsia"/>
          <w:color w:val="auto"/>
          <w:sz w:val="24"/>
          <w:szCs w:val="24"/>
          <w:lang w:val="en-US" w:eastAsia="zh-CN"/>
        </w:rPr>
        <w:t>3</w:t>
      </w:r>
      <w:r>
        <w:rPr>
          <w:rFonts w:eastAsia="宋体"/>
          <w:color w:val="auto"/>
          <w:sz w:val="24"/>
          <w:szCs w:val="24"/>
        </w:rPr>
        <w:t>g/kg</w:t>
      </w:r>
      <w:r>
        <w:rPr>
          <w:rFonts w:hint="eastAsia" w:eastAsia="宋体"/>
          <w:color w:val="auto"/>
          <w:sz w:val="24"/>
          <w:szCs w:val="24"/>
          <w:lang w:val="en-US" w:eastAsia="zh-CN"/>
        </w:rPr>
        <w:t>≤</w:t>
      </w:r>
      <w:r>
        <w:rPr>
          <w:rFonts w:eastAsia="宋体"/>
          <w:color w:val="auto"/>
          <w:sz w:val="24"/>
          <w:szCs w:val="24"/>
        </w:rPr>
        <w:t>土壤含盐量</w:t>
      </w:r>
      <w:r>
        <w:rPr>
          <w:rFonts w:hint="eastAsia" w:eastAsia="宋体"/>
          <w:color w:val="auto"/>
          <w:sz w:val="24"/>
          <w:szCs w:val="24"/>
          <w:lang w:val="en-US" w:eastAsia="zh-CN"/>
        </w:rPr>
        <w:t>＜</w:t>
      </w:r>
      <w:r>
        <w:rPr>
          <w:rFonts w:hint="eastAsia"/>
          <w:color w:val="auto"/>
          <w:sz w:val="24"/>
          <w:szCs w:val="24"/>
          <w:lang w:val="en-US" w:eastAsia="zh-CN"/>
        </w:rPr>
        <w:t>5</w:t>
      </w:r>
      <w:r>
        <w:rPr>
          <w:rFonts w:eastAsia="宋体"/>
          <w:color w:val="auto"/>
          <w:sz w:val="24"/>
          <w:szCs w:val="24"/>
        </w:rPr>
        <w:t>g/kg</w:t>
      </w:r>
      <w:r>
        <w:rPr>
          <w:rFonts w:hint="eastAsia" w:eastAsia="宋体"/>
          <w:color w:val="auto"/>
          <w:sz w:val="24"/>
          <w:szCs w:val="24"/>
          <w:lang w:val="en-US" w:eastAsia="zh-CN"/>
        </w:rPr>
        <w:t>”的中度盐化区域</w:t>
      </w:r>
      <w:r>
        <w:rPr>
          <w:rFonts w:hint="eastAsia"/>
          <w:color w:val="auto"/>
          <w:sz w:val="24"/>
          <w:szCs w:val="24"/>
          <w:lang w:val="en-US" w:eastAsia="zh-CN"/>
        </w:rPr>
        <w:t>和5</w:t>
      </w:r>
      <w:r>
        <w:rPr>
          <w:rFonts w:eastAsia="宋体"/>
          <w:color w:val="auto"/>
          <w:sz w:val="24"/>
          <w:szCs w:val="24"/>
        </w:rPr>
        <w:t>g/kg</w:t>
      </w:r>
      <w:r>
        <w:rPr>
          <w:rFonts w:hint="eastAsia" w:eastAsia="宋体"/>
          <w:color w:val="auto"/>
          <w:sz w:val="24"/>
          <w:szCs w:val="24"/>
          <w:lang w:val="en-US" w:eastAsia="zh-CN"/>
        </w:rPr>
        <w:t>≤</w:t>
      </w:r>
      <w:r>
        <w:rPr>
          <w:rFonts w:eastAsia="宋体"/>
          <w:color w:val="auto"/>
          <w:sz w:val="24"/>
          <w:szCs w:val="24"/>
        </w:rPr>
        <w:t>土壤含盐量</w:t>
      </w:r>
      <w:r>
        <w:rPr>
          <w:rFonts w:hint="eastAsia" w:eastAsia="宋体"/>
          <w:color w:val="auto"/>
          <w:sz w:val="24"/>
          <w:szCs w:val="24"/>
          <w:lang w:val="en-US" w:eastAsia="zh-CN"/>
        </w:rPr>
        <w:t>＜</w:t>
      </w:r>
      <w:r>
        <w:rPr>
          <w:rFonts w:hint="eastAsia"/>
          <w:color w:val="auto"/>
          <w:sz w:val="24"/>
          <w:szCs w:val="24"/>
          <w:lang w:val="en-US" w:eastAsia="zh-CN"/>
        </w:rPr>
        <w:t>10</w:t>
      </w:r>
      <w:r>
        <w:rPr>
          <w:rFonts w:eastAsia="宋体"/>
          <w:color w:val="auto"/>
          <w:sz w:val="24"/>
          <w:szCs w:val="24"/>
        </w:rPr>
        <w:t>g/kg</w:t>
      </w:r>
      <w:r>
        <w:rPr>
          <w:rFonts w:hint="eastAsia" w:eastAsia="宋体"/>
          <w:color w:val="auto"/>
          <w:sz w:val="24"/>
          <w:szCs w:val="24"/>
          <w:lang w:val="en-US" w:eastAsia="zh-CN"/>
        </w:rPr>
        <w:t>的重度盐化区域。</w:t>
      </w:r>
      <w:r>
        <w:rPr>
          <w:rFonts w:eastAsia="宋体"/>
          <w:color w:val="auto"/>
          <w:sz w:val="24"/>
          <w:szCs w:val="24"/>
        </w:rPr>
        <w:t>项目所在地土壤pH值在</w:t>
      </w:r>
      <w:r>
        <w:rPr>
          <w:rFonts w:hint="eastAsia"/>
          <w:color w:val="auto"/>
          <w:sz w:val="24"/>
          <w:szCs w:val="24"/>
          <w:lang w:val="en-US" w:eastAsia="zh-CN"/>
        </w:rPr>
        <w:t>8.32</w:t>
      </w:r>
      <w:r>
        <w:rPr>
          <w:rFonts w:eastAsia="宋体"/>
          <w:color w:val="auto"/>
          <w:sz w:val="24"/>
          <w:szCs w:val="24"/>
        </w:rPr>
        <w:t>～</w:t>
      </w:r>
      <w:r>
        <w:rPr>
          <w:rFonts w:hint="eastAsia"/>
          <w:color w:val="auto"/>
          <w:sz w:val="24"/>
          <w:szCs w:val="24"/>
          <w:lang w:val="en-US" w:eastAsia="zh-CN"/>
        </w:rPr>
        <w:t>8.87</w:t>
      </w:r>
      <w:r>
        <w:rPr>
          <w:rFonts w:eastAsia="宋体"/>
          <w:color w:val="auto"/>
          <w:sz w:val="24"/>
          <w:szCs w:val="24"/>
        </w:rPr>
        <w:t>，</w:t>
      </w:r>
      <w:r>
        <w:rPr>
          <w:rFonts w:hint="eastAsia" w:eastAsia="宋体"/>
          <w:color w:val="auto"/>
          <w:sz w:val="24"/>
          <w:szCs w:val="24"/>
          <w:lang w:val="en-US" w:eastAsia="zh-CN"/>
        </w:rPr>
        <w:t>部分调查点属于“8.5≤pH＜9”的轻度碱化区域。</w:t>
      </w:r>
    </w:p>
    <w:p w14:paraId="1822CB2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rPr>
      </w:pPr>
      <w:r>
        <w:rPr>
          <w:rFonts w:hint="eastAsia" w:eastAsia="宋体"/>
          <w:color w:val="auto"/>
          <w:sz w:val="24"/>
          <w:szCs w:val="24"/>
        </w:rPr>
        <w:t>项目区域出现轻度</w:t>
      </w:r>
      <w:r>
        <w:rPr>
          <w:rFonts w:hint="eastAsia" w:eastAsia="宋体"/>
          <w:color w:val="auto"/>
          <w:sz w:val="24"/>
          <w:szCs w:val="24"/>
          <w:lang w:val="en-US" w:eastAsia="zh-CN"/>
        </w:rPr>
        <w:t>~中度</w:t>
      </w:r>
      <w:r>
        <w:rPr>
          <w:rFonts w:hint="eastAsia" w:eastAsia="宋体"/>
          <w:color w:val="auto"/>
          <w:sz w:val="24"/>
          <w:szCs w:val="24"/>
        </w:rPr>
        <w:t>盐化</w:t>
      </w:r>
      <w:r>
        <w:rPr>
          <w:rFonts w:hint="eastAsia"/>
          <w:color w:val="auto"/>
          <w:sz w:val="24"/>
          <w:szCs w:val="24"/>
          <w:lang w:val="en-US" w:eastAsia="zh-CN"/>
        </w:rPr>
        <w:t>~重度盐化</w:t>
      </w:r>
      <w:r>
        <w:rPr>
          <w:rFonts w:hint="eastAsia" w:eastAsia="宋体"/>
          <w:color w:val="auto"/>
          <w:sz w:val="24"/>
          <w:szCs w:val="24"/>
          <w:lang w:val="en-US" w:eastAsia="zh-CN"/>
        </w:rPr>
        <w:t>和轻度碱化</w:t>
      </w:r>
      <w:r>
        <w:rPr>
          <w:rFonts w:hint="eastAsia" w:eastAsia="宋体"/>
          <w:color w:val="auto"/>
          <w:sz w:val="24"/>
          <w:szCs w:val="24"/>
        </w:rPr>
        <w:t>的生态问题</w:t>
      </w:r>
      <w:r>
        <w:rPr>
          <w:rFonts w:hint="eastAsia" w:eastAsia="宋体"/>
          <w:color w:val="auto"/>
          <w:sz w:val="24"/>
          <w:szCs w:val="24"/>
          <w:lang w:eastAsia="zh-CN"/>
        </w:rPr>
        <w:t>。</w:t>
      </w:r>
      <w:r>
        <w:rPr>
          <w:rFonts w:hint="eastAsia" w:eastAsia="宋体"/>
          <w:color w:val="auto"/>
          <w:sz w:val="24"/>
          <w:szCs w:val="24"/>
        </w:rPr>
        <w:t>因此，</w:t>
      </w:r>
      <w:r>
        <w:rPr>
          <w:rFonts w:hint="eastAsia"/>
          <w:color w:val="auto"/>
          <w:sz w:val="24"/>
          <w:szCs w:val="24"/>
          <w:lang w:eastAsia="zh-CN"/>
        </w:rPr>
        <w:t>本工程</w:t>
      </w:r>
      <w:r>
        <w:rPr>
          <w:rFonts w:hint="eastAsia" w:eastAsia="宋体"/>
          <w:color w:val="auto"/>
          <w:sz w:val="24"/>
          <w:szCs w:val="24"/>
        </w:rPr>
        <w:t>同时涉及土壤</w:t>
      </w:r>
      <w:r>
        <w:rPr>
          <w:rFonts w:hint="eastAsia" w:eastAsia="宋体"/>
          <w:color w:val="auto"/>
          <w:sz w:val="24"/>
          <w:szCs w:val="24"/>
          <w:lang w:val="en-US" w:eastAsia="zh-CN"/>
        </w:rPr>
        <w:t>生态</w:t>
      </w:r>
      <w:r>
        <w:rPr>
          <w:rFonts w:hint="eastAsia" w:eastAsia="宋体"/>
          <w:color w:val="auto"/>
          <w:sz w:val="24"/>
          <w:szCs w:val="24"/>
        </w:rPr>
        <w:t>影响型与污染影响型。</w:t>
      </w:r>
    </w:p>
    <w:p w14:paraId="55336E77">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cs="Times New Roman"/>
          <w:color w:val="auto"/>
          <w:sz w:val="24"/>
          <w:szCs w:val="28"/>
          <w:lang w:val="en-US" w:eastAsia="zh-CN"/>
        </w:rPr>
      </w:pPr>
      <w:r>
        <w:rPr>
          <w:rFonts w:hint="eastAsia" w:cs="Times New Roman"/>
          <w:color w:val="auto"/>
          <w:sz w:val="24"/>
          <w:szCs w:val="28"/>
          <w:lang w:val="en-US" w:eastAsia="zh-CN"/>
        </w:rPr>
        <w:t>根据《环境影响评价技术导则 陆地石油天然气开发建设项目》（HJ349-2023）“依据HJ964的规定，土壤盐化、酸化和碱化地区，建设项目应按照土壤污染影响型和生态影响型，按相应等级分别开展评价工作”</w:t>
      </w:r>
      <w:r>
        <w:rPr>
          <w:rFonts w:hint="default" w:cs="Times New Roman"/>
          <w:color w:val="auto"/>
          <w:sz w:val="24"/>
          <w:szCs w:val="28"/>
          <w:lang w:val="en-US" w:eastAsia="zh-CN"/>
        </w:rPr>
        <w:t>。</w:t>
      </w:r>
      <w:r>
        <w:rPr>
          <w:rFonts w:hint="eastAsia" w:cs="Times New Roman"/>
          <w:color w:val="auto"/>
          <w:sz w:val="24"/>
          <w:szCs w:val="28"/>
          <w:lang w:val="en-US" w:eastAsia="zh-CN"/>
        </w:rPr>
        <w:t>综上，本工程属于轻度、中度及重度盐化地区，按照土壤污染影响型与生态型分别开展评价工作。</w:t>
      </w:r>
    </w:p>
    <w:p w14:paraId="2329FCA0">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cs="Times New Roman"/>
          <w:color w:val="auto"/>
          <w:sz w:val="24"/>
          <w:szCs w:val="28"/>
          <w:lang w:val="en-US" w:eastAsia="zh-CN"/>
        </w:rPr>
      </w:pPr>
      <w:r>
        <w:rPr>
          <w:rFonts w:hint="eastAsia" w:cs="Times New Roman"/>
          <w:color w:val="auto"/>
          <w:sz w:val="24"/>
          <w:szCs w:val="28"/>
          <w:lang w:val="en-US" w:eastAsia="zh-CN"/>
        </w:rPr>
        <w:t>①土壤污染影响型</w:t>
      </w:r>
    </w:p>
    <w:p w14:paraId="6D4432A3">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土壤污染影响型根据评价项目类别、占地规模与敏感程度划分评价工作等级，见表2.5-10。</w:t>
      </w:r>
    </w:p>
    <w:p w14:paraId="71251D53">
      <w:pPr>
        <w:pStyle w:val="43"/>
        <w:bidi w:val="0"/>
        <w:rPr>
          <w:rFonts w:hint="eastAsia"/>
          <w:color w:val="auto"/>
          <w:lang w:val="en-US" w:eastAsia="zh-CN"/>
        </w:rPr>
      </w:pPr>
    </w:p>
    <w:p w14:paraId="1A4C8DF5">
      <w:pPr>
        <w:pStyle w:val="43"/>
        <w:bidi w:val="0"/>
        <w:rPr>
          <w:rFonts w:hint="eastAsia"/>
          <w:color w:val="auto"/>
          <w:lang w:val="en-US" w:eastAsia="zh-CN"/>
        </w:rPr>
      </w:pPr>
    </w:p>
    <w:p w14:paraId="4844005B">
      <w:pPr>
        <w:pStyle w:val="43"/>
        <w:bidi w:val="0"/>
        <w:rPr>
          <w:rFonts w:hint="eastAsia"/>
          <w:color w:val="auto"/>
          <w:lang w:val="en-US" w:eastAsia="zh-CN"/>
        </w:rPr>
      </w:pPr>
    </w:p>
    <w:p w14:paraId="2D6EE5F9">
      <w:pPr>
        <w:pStyle w:val="43"/>
        <w:bidi w:val="0"/>
        <w:rPr>
          <w:rFonts w:hint="default"/>
          <w:color w:val="auto"/>
          <w:lang w:val="en-US" w:eastAsia="zh-CN"/>
        </w:rPr>
      </w:pPr>
      <w:r>
        <w:rPr>
          <w:rFonts w:hint="eastAsia"/>
          <w:color w:val="auto"/>
          <w:lang w:val="en-US" w:eastAsia="zh-CN"/>
        </w:rPr>
        <w:t>表2.5-10  土壤污染影响型评价工作等级划分表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4"/>
        <w:gridCol w:w="654"/>
        <w:gridCol w:w="654"/>
        <w:gridCol w:w="654"/>
        <w:gridCol w:w="654"/>
        <w:gridCol w:w="654"/>
        <w:gridCol w:w="654"/>
        <w:gridCol w:w="654"/>
        <w:gridCol w:w="654"/>
        <w:gridCol w:w="656"/>
      </w:tblGrid>
      <w:tr w14:paraId="1468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2634" w:type="dxa"/>
            <w:vMerge w:val="restart"/>
            <w:vAlign w:val="center"/>
            <mc:AlternateContent>
              <mc:Choice Requires="wpsCustomData">
                <wpsCustomData:diagonals>
                  <wpsCustomData:diagonal from="30000" to="6900">
                    <wpsCustomData:border w:val="single" w:color="auto" w:sz="4" w:space="0"/>
                  </wpsCustomData:diagonal>
                  <wpsCustomData:diagonal from="30000" to="13300">
                    <wpsCustomData:border w:val="single" w:color="auto" w:sz="4" w:space="0"/>
                  </wpsCustomData:diagonal>
                </wpsCustomData:diagonals>
              </mc:Choice>
            </mc:AlternateContent>
          </w:tcPr>
          <w:p w14:paraId="3AE6E92A">
            <w:pPr>
              <w:pStyle w:val="11"/>
              <w:keepNext w:val="0"/>
              <w:keepLines w:val="0"/>
              <w:pageBreakBefore w:val="0"/>
              <w:widowControl/>
              <w:kinsoku/>
              <w:wordWrap/>
              <w:overflowPunct/>
              <w:topLinePunct w:val="0"/>
              <w:autoSpaceDE/>
              <w:autoSpaceDN/>
              <w:bidi w:val="0"/>
              <w:adjustRightInd/>
              <w:snapToGrid w:val="0"/>
              <w:spacing w:after="0"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敏感程度</w:t>
            </w:r>
          </w:p>
          <w:p w14:paraId="09A31650">
            <w:pPr>
              <w:pStyle w:val="11"/>
              <w:keepNext w:val="0"/>
              <w:keepLines w:val="0"/>
              <w:pageBreakBefore w:val="0"/>
              <w:widowControl/>
              <w:kinsoku/>
              <w:wordWrap/>
              <w:overflowPunct/>
              <w:topLinePunct w:val="0"/>
              <w:autoSpaceDE/>
              <w:autoSpaceDN/>
              <w:bidi w:val="0"/>
              <w:adjustRightInd/>
              <w:snapToGrid w:val="0"/>
              <w:spacing w:after="0"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评价工作等级</w:t>
            </w:r>
          </w:p>
          <w:p w14:paraId="61716B8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占地规模</w:t>
            </w:r>
          </w:p>
        </w:tc>
        <w:tc>
          <w:tcPr>
            <w:tcW w:w="1962" w:type="dxa"/>
            <w:gridSpan w:val="3"/>
            <w:vAlign w:val="center"/>
          </w:tcPr>
          <w:p w14:paraId="743C797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I类</w:t>
            </w:r>
          </w:p>
        </w:tc>
        <w:tc>
          <w:tcPr>
            <w:tcW w:w="1962" w:type="dxa"/>
            <w:gridSpan w:val="3"/>
            <w:vAlign w:val="center"/>
          </w:tcPr>
          <w:p w14:paraId="127C1FC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II类</w:t>
            </w:r>
          </w:p>
        </w:tc>
        <w:tc>
          <w:tcPr>
            <w:tcW w:w="1964" w:type="dxa"/>
            <w:gridSpan w:val="3"/>
            <w:vAlign w:val="center"/>
          </w:tcPr>
          <w:p w14:paraId="0087E9B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III类</w:t>
            </w:r>
          </w:p>
        </w:tc>
      </w:tr>
      <w:tr w14:paraId="5F37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4" w:type="dxa"/>
            <w:vMerge w:val="continue"/>
            <w:vAlign w:val="center"/>
          </w:tcPr>
          <w:p w14:paraId="7FCA518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color w:val="auto"/>
                <w:sz w:val="21"/>
                <w:szCs w:val="22"/>
                <w:vertAlign w:val="baseline"/>
              </w:rPr>
            </w:pPr>
          </w:p>
        </w:tc>
        <w:tc>
          <w:tcPr>
            <w:tcW w:w="654" w:type="dxa"/>
            <w:vAlign w:val="center"/>
          </w:tcPr>
          <w:p w14:paraId="4CBF805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大</w:t>
            </w:r>
          </w:p>
        </w:tc>
        <w:tc>
          <w:tcPr>
            <w:tcW w:w="654" w:type="dxa"/>
            <w:vAlign w:val="center"/>
          </w:tcPr>
          <w:p w14:paraId="110BB2B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中</w:t>
            </w:r>
          </w:p>
        </w:tc>
        <w:tc>
          <w:tcPr>
            <w:tcW w:w="654" w:type="dxa"/>
            <w:vAlign w:val="center"/>
          </w:tcPr>
          <w:p w14:paraId="341956F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小</w:t>
            </w:r>
          </w:p>
        </w:tc>
        <w:tc>
          <w:tcPr>
            <w:tcW w:w="654" w:type="dxa"/>
            <w:vAlign w:val="center"/>
          </w:tcPr>
          <w:p w14:paraId="6510199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bidi="ar-SA"/>
              </w:rPr>
            </w:pPr>
            <w:r>
              <w:rPr>
                <w:rFonts w:hint="eastAsia" w:cs="Times New Roman"/>
                <w:b/>
                <w:bCs/>
                <w:color w:val="auto"/>
                <w:sz w:val="21"/>
                <w:szCs w:val="22"/>
                <w:vertAlign w:val="baseline"/>
                <w:lang w:val="en-US" w:eastAsia="zh-CN"/>
              </w:rPr>
              <w:t>大</w:t>
            </w:r>
          </w:p>
        </w:tc>
        <w:tc>
          <w:tcPr>
            <w:tcW w:w="654" w:type="dxa"/>
            <w:vAlign w:val="center"/>
          </w:tcPr>
          <w:p w14:paraId="3ACBF32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bidi="ar-SA"/>
              </w:rPr>
            </w:pPr>
            <w:r>
              <w:rPr>
                <w:rFonts w:hint="eastAsia" w:cs="Times New Roman"/>
                <w:b/>
                <w:bCs/>
                <w:color w:val="auto"/>
                <w:sz w:val="21"/>
                <w:szCs w:val="22"/>
                <w:vertAlign w:val="baseline"/>
                <w:lang w:val="en-US" w:eastAsia="zh-CN"/>
              </w:rPr>
              <w:t>中</w:t>
            </w:r>
          </w:p>
        </w:tc>
        <w:tc>
          <w:tcPr>
            <w:tcW w:w="654" w:type="dxa"/>
            <w:vAlign w:val="center"/>
          </w:tcPr>
          <w:p w14:paraId="1A20164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bidi="ar-SA"/>
              </w:rPr>
            </w:pPr>
            <w:r>
              <w:rPr>
                <w:rFonts w:hint="eastAsia" w:cs="Times New Roman"/>
                <w:b/>
                <w:bCs/>
                <w:color w:val="auto"/>
                <w:sz w:val="21"/>
                <w:szCs w:val="22"/>
                <w:vertAlign w:val="baseline"/>
                <w:lang w:val="en-US" w:eastAsia="zh-CN"/>
              </w:rPr>
              <w:t>小</w:t>
            </w:r>
          </w:p>
        </w:tc>
        <w:tc>
          <w:tcPr>
            <w:tcW w:w="654" w:type="dxa"/>
            <w:vAlign w:val="center"/>
          </w:tcPr>
          <w:p w14:paraId="7174E4D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bidi="ar-SA"/>
              </w:rPr>
            </w:pPr>
            <w:r>
              <w:rPr>
                <w:rFonts w:hint="eastAsia" w:cs="Times New Roman"/>
                <w:b/>
                <w:bCs/>
                <w:color w:val="auto"/>
                <w:sz w:val="21"/>
                <w:szCs w:val="22"/>
                <w:vertAlign w:val="baseline"/>
                <w:lang w:val="en-US" w:eastAsia="zh-CN"/>
              </w:rPr>
              <w:t>大</w:t>
            </w:r>
          </w:p>
        </w:tc>
        <w:tc>
          <w:tcPr>
            <w:tcW w:w="654" w:type="dxa"/>
            <w:vAlign w:val="center"/>
          </w:tcPr>
          <w:p w14:paraId="462599D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bidi="ar-SA"/>
              </w:rPr>
            </w:pPr>
            <w:r>
              <w:rPr>
                <w:rFonts w:hint="eastAsia" w:cs="Times New Roman"/>
                <w:b/>
                <w:bCs/>
                <w:color w:val="auto"/>
                <w:sz w:val="21"/>
                <w:szCs w:val="22"/>
                <w:vertAlign w:val="baseline"/>
                <w:lang w:val="en-US" w:eastAsia="zh-CN"/>
              </w:rPr>
              <w:t>中</w:t>
            </w:r>
          </w:p>
        </w:tc>
        <w:tc>
          <w:tcPr>
            <w:tcW w:w="656" w:type="dxa"/>
            <w:vAlign w:val="center"/>
          </w:tcPr>
          <w:p w14:paraId="1BE2E95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2"/>
                <w:vertAlign w:val="baseline"/>
                <w:lang w:val="en-US" w:eastAsia="zh-CN" w:bidi="ar-SA"/>
              </w:rPr>
            </w:pPr>
            <w:r>
              <w:rPr>
                <w:rFonts w:hint="eastAsia" w:cs="Times New Roman"/>
                <w:b/>
                <w:bCs/>
                <w:color w:val="auto"/>
                <w:sz w:val="21"/>
                <w:szCs w:val="22"/>
                <w:vertAlign w:val="baseline"/>
                <w:lang w:val="en-US" w:eastAsia="zh-CN"/>
              </w:rPr>
              <w:t>小</w:t>
            </w:r>
          </w:p>
        </w:tc>
      </w:tr>
      <w:tr w14:paraId="295C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4" w:type="dxa"/>
            <w:vAlign w:val="center"/>
          </w:tcPr>
          <w:p w14:paraId="75AA8C32">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敏感</w:t>
            </w:r>
          </w:p>
        </w:tc>
        <w:tc>
          <w:tcPr>
            <w:tcW w:w="654" w:type="dxa"/>
            <w:vAlign w:val="center"/>
          </w:tcPr>
          <w:p w14:paraId="24BBB81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一级</w:t>
            </w:r>
          </w:p>
        </w:tc>
        <w:tc>
          <w:tcPr>
            <w:tcW w:w="654" w:type="dxa"/>
            <w:vAlign w:val="center"/>
          </w:tcPr>
          <w:p w14:paraId="748A43B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一级</w:t>
            </w:r>
          </w:p>
        </w:tc>
        <w:tc>
          <w:tcPr>
            <w:tcW w:w="654" w:type="dxa"/>
            <w:vAlign w:val="center"/>
          </w:tcPr>
          <w:p w14:paraId="0FA2E1A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一级</w:t>
            </w:r>
          </w:p>
        </w:tc>
        <w:tc>
          <w:tcPr>
            <w:tcW w:w="654" w:type="dxa"/>
            <w:vAlign w:val="center"/>
          </w:tcPr>
          <w:p w14:paraId="02AB40E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二级</w:t>
            </w:r>
          </w:p>
        </w:tc>
        <w:tc>
          <w:tcPr>
            <w:tcW w:w="654" w:type="dxa"/>
            <w:vAlign w:val="center"/>
          </w:tcPr>
          <w:p w14:paraId="5A134010">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二级</w:t>
            </w:r>
          </w:p>
        </w:tc>
        <w:tc>
          <w:tcPr>
            <w:tcW w:w="654" w:type="dxa"/>
            <w:vAlign w:val="center"/>
          </w:tcPr>
          <w:p w14:paraId="563113C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二级</w:t>
            </w:r>
          </w:p>
        </w:tc>
        <w:tc>
          <w:tcPr>
            <w:tcW w:w="654" w:type="dxa"/>
            <w:vAlign w:val="center"/>
          </w:tcPr>
          <w:p w14:paraId="4A8E4F6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三级</w:t>
            </w:r>
          </w:p>
        </w:tc>
        <w:tc>
          <w:tcPr>
            <w:tcW w:w="654" w:type="dxa"/>
            <w:vAlign w:val="center"/>
          </w:tcPr>
          <w:p w14:paraId="41FD03A4">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三级</w:t>
            </w:r>
          </w:p>
        </w:tc>
        <w:tc>
          <w:tcPr>
            <w:tcW w:w="656" w:type="dxa"/>
            <w:vAlign w:val="center"/>
          </w:tcPr>
          <w:p w14:paraId="6CB6B5DC">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三级</w:t>
            </w:r>
          </w:p>
        </w:tc>
      </w:tr>
      <w:tr w14:paraId="3AE3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4" w:type="dxa"/>
            <w:vAlign w:val="center"/>
          </w:tcPr>
          <w:p w14:paraId="4895127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较敏感</w:t>
            </w:r>
          </w:p>
        </w:tc>
        <w:tc>
          <w:tcPr>
            <w:tcW w:w="654" w:type="dxa"/>
            <w:vAlign w:val="center"/>
          </w:tcPr>
          <w:p w14:paraId="77FB552A">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一级</w:t>
            </w:r>
          </w:p>
        </w:tc>
        <w:tc>
          <w:tcPr>
            <w:tcW w:w="654" w:type="dxa"/>
            <w:vAlign w:val="center"/>
          </w:tcPr>
          <w:p w14:paraId="4574BF8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一级</w:t>
            </w:r>
          </w:p>
        </w:tc>
        <w:tc>
          <w:tcPr>
            <w:tcW w:w="654" w:type="dxa"/>
            <w:vAlign w:val="center"/>
          </w:tcPr>
          <w:p w14:paraId="75B91293">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二级</w:t>
            </w:r>
          </w:p>
        </w:tc>
        <w:tc>
          <w:tcPr>
            <w:tcW w:w="654" w:type="dxa"/>
            <w:vAlign w:val="center"/>
          </w:tcPr>
          <w:p w14:paraId="2BC8D09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二级</w:t>
            </w:r>
          </w:p>
        </w:tc>
        <w:tc>
          <w:tcPr>
            <w:tcW w:w="654" w:type="dxa"/>
            <w:vAlign w:val="center"/>
          </w:tcPr>
          <w:p w14:paraId="671512C8">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二级</w:t>
            </w:r>
          </w:p>
        </w:tc>
        <w:tc>
          <w:tcPr>
            <w:tcW w:w="654" w:type="dxa"/>
            <w:vAlign w:val="center"/>
          </w:tcPr>
          <w:p w14:paraId="3C620AD3">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三级</w:t>
            </w:r>
          </w:p>
        </w:tc>
        <w:tc>
          <w:tcPr>
            <w:tcW w:w="654" w:type="dxa"/>
            <w:vAlign w:val="center"/>
          </w:tcPr>
          <w:p w14:paraId="2BEE851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三级</w:t>
            </w:r>
          </w:p>
        </w:tc>
        <w:tc>
          <w:tcPr>
            <w:tcW w:w="654" w:type="dxa"/>
            <w:vAlign w:val="center"/>
          </w:tcPr>
          <w:p w14:paraId="64D98B7A">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三级</w:t>
            </w:r>
          </w:p>
        </w:tc>
        <w:tc>
          <w:tcPr>
            <w:tcW w:w="656" w:type="dxa"/>
            <w:vAlign w:val="center"/>
          </w:tcPr>
          <w:p w14:paraId="3FF68E5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w:t>
            </w:r>
          </w:p>
        </w:tc>
      </w:tr>
      <w:tr w14:paraId="3DD1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4" w:type="dxa"/>
            <w:vAlign w:val="center"/>
          </w:tcPr>
          <w:p w14:paraId="5E5BB30B">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不敏感</w:t>
            </w:r>
          </w:p>
        </w:tc>
        <w:tc>
          <w:tcPr>
            <w:tcW w:w="654" w:type="dxa"/>
            <w:vAlign w:val="center"/>
          </w:tcPr>
          <w:p w14:paraId="5835026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一级</w:t>
            </w:r>
          </w:p>
        </w:tc>
        <w:tc>
          <w:tcPr>
            <w:tcW w:w="654" w:type="dxa"/>
            <w:vAlign w:val="center"/>
          </w:tcPr>
          <w:p w14:paraId="6E3C10D7">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二级</w:t>
            </w:r>
          </w:p>
        </w:tc>
        <w:tc>
          <w:tcPr>
            <w:tcW w:w="654" w:type="dxa"/>
            <w:vAlign w:val="center"/>
          </w:tcPr>
          <w:p w14:paraId="73EE895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二级</w:t>
            </w:r>
          </w:p>
        </w:tc>
        <w:tc>
          <w:tcPr>
            <w:tcW w:w="654" w:type="dxa"/>
            <w:vAlign w:val="center"/>
          </w:tcPr>
          <w:p w14:paraId="3EBB6EA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二级</w:t>
            </w:r>
          </w:p>
        </w:tc>
        <w:tc>
          <w:tcPr>
            <w:tcW w:w="654" w:type="dxa"/>
            <w:vAlign w:val="center"/>
          </w:tcPr>
          <w:p w14:paraId="6F5CEF36">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三级</w:t>
            </w:r>
          </w:p>
        </w:tc>
        <w:tc>
          <w:tcPr>
            <w:tcW w:w="654" w:type="dxa"/>
            <w:vAlign w:val="center"/>
          </w:tcPr>
          <w:p w14:paraId="32EB4C4F">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三级</w:t>
            </w:r>
          </w:p>
        </w:tc>
        <w:tc>
          <w:tcPr>
            <w:tcW w:w="654" w:type="dxa"/>
            <w:vAlign w:val="center"/>
          </w:tcPr>
          <w:p w14:paraId="23FABFE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2"/>
                <w:vertAlign w:val="baseline"/>
              </w:rPr>
            </w:pPr>
            <w:r>
              <w:rPr>
                <w:rFonts w:hint="eastAsia" w:cs="Times New Roman"/>
                <w:color w:val="auto"/>
                <w:sz w:val="21"/>
                <w:szCs w:val="22"/>
                <w:vertAlign w:val="baseline"/>
                <w:lang w:val="en-US" w:eastAsia="zh-CN"/>
              </w:rPr>
              <w:t>三级</w:t>
            </w:r>
          </w:p>
        </w:tc>
        <w:tc>
          <w:tcPr>
            <w:tcW w:w="654" w:type="dxa"/>
            <w:vAlign w:val="center"/>
          </w:tcPr>
          <w:p w14:paraId="07CFFDD1">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w:t>
            </w:r>
          </w:p>
        </w:tc>
        <w:tc>
          <w:tcPr>
            <w:tcW w:w="656" w:type="dxa"/>
            <w:vAlign w:val="center"/>
          </w:tcPr>
          <w:p w14:paraId="3642FE4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w:t>
            </w:r>
          </w:p>
        </w:tc>
      </w:tr>
      <w:tr w14:paraId="41C4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10"/>
            <w:vAlign w:val="center"/>
          </w:tcPr>
          <w:p w14:paraId="27C9EDC9">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注：“-”表示可不开展土壤环境影响评价工作。</w:t>
            </w:r>
          </w:p>
        </w:tc>
      </w:tr>
    </w:tbl>
    <w:p w14:paraId="38E3A5CF">
      <w:pPr>
        <w:pStyle w:val="11"/>
        <w:bidi w:val="0"/>
        <w:rPr>
          <w:rFonts w:hint="default"/>
          <w:color w:val="auto"/>
          <w:lang w:val="en-US" w:eastAsia="zh-CN"/>
        </w:rPr>
      </w:pPr>
      <w:r>
        <w:rPr>
          <w:rFonts w:hint="default"/>
          <w:color w:val="auto"/>
          <w:lang w:val="en-US" w:eastAsia="zh-CN"/>
        </w:rPr>
        <w:t>根据《环境影响评价技术导则 土壤环境（试行）》(HJ964-2018)，</w:t>
      </w:r>
      <w:r>
        <w:rPr>
          <w:rFonts w:hint="eastAsia"/>
          <w:color w:val="auto"/>
          <w:lang w:val="en-US" w:eastAsia="zh-CN"/>
        </w:rPr>
        <w:t>“建设</w:t>
      </w:r>
      <w:r>
        <w:rPr>
          <w:rFonts w:hint="default"/>
          <w:color w:val="auto"/>
          <w:lang w:val="en-US" w:eastAsia="zh-CN"/>
        </w:rPr>
        <w:t>项目占地规模分为大型（≥50hm</w:t>
      </w:r>
      <w:r>
        <w:rPr>
          <w:rFonts w:hint="default"/>
          <w:color w:val="auto"/>
          <w:vertAlign w:val="superscript"/>
          <w:lang w:val="en-US" w:eastAsia="zh-CN"/>
        </w:rPr>
        <w:t>2</w:t>
      </w:r>
      <w:r>
        <w:rPr>
          <w:rFonts w:hint="default"/>
          <w:color w:val="auto"/>
          <w:lang w:val="en-US" w:eastAsia="zh-CN"/>
        </w:rPr>
        <w:t>）、中型（5～50hm</w:t>
      </w:r>
      <w:r>
        <w:rPr>
          <w:rFonts w:hint="default"/>
          <w:color w:val="auto"/>
          <w:vertAlign w:val="superscript"/>
          <w:lang w:val="en-US" w:eastAsia="zh-CN"/>
        </w:rPr>
        <w:t>2</w:t>
      </w:r>
      <w:r>
        <w:rPr>
          <w:rFonts w:hint="default"/>
          <w:color w:val="auto"/>
          <w:lang w:val="en-US" w:eastAsia="zh-CN"/>
        </w:rPr>
        <w:t>）和小型（≤5hm</w:t>
      </w:r>
      <w:r>
        <w:rPr>
          <w:rFonts w:hint="default"/>
          <w:color w:val="auto"/>
          <w:vertAlign w:val="superscript"/>
          <w:lang w:val="en-US" w:eastAsia="zh-CN"/>
        </w:rPr>
        <w:t>2</w:t>
      </w:r>
      <w:r>
        <w:rPr>
          <w:rFonts w:hint="default"/>
          <w:color w:val="auto"/>
          <w:lang w:val="en-US" w:eastAsia="zh-CN"/>
        </w:rPr>
        <w:t>）</w:t>
      </w:r>
      <w:r>
        <w:rPr>
          <w:rFonts w:hint="eastAsia"/>
          <w:color w:val="auto"/>
          <w:lang w:val="en-US" w:eastAsia="zh-CN"/>
        </w:rPr>
        <w:t>”</w:t>
      </w:r>
      <w:r>
        <w:rPr>
          <w:rFonts w:hint="default"/>
          <w:color w:val="auto"/>
          <w:lang w:val="en-US" w:eastAsia="zh-CN"/>
        </w:rPr>
        <w:t>。</w:t>
      </w:r>
      <w:r>
        <w:rPr>
          <w:rFonts w:hint="eastAsia"/>
          <w:color w:val="auto"/>
          <w:lang w:val="en-US" w:eastAsia="zh-CN"/>
        </w:rPr>
        <w:t>集输管道按照主要站场、截断阀室之间的管道段，分别判定占地面积大小，由于管道为埋地敷设，地表占地多为临时占地，本次评价取管道投影两侧外扩8m和4.5m宽（与施工作业带宽一致）计算占地面积。本工程</w:t>
      </w:r>
      <w:r>
        <w:rPr>
          <w:rFonts w:hint="default"/>
          <w:color w:val="auto"/>
          <w:lang w:val="en-US" w:eastAsia="zh-CN"/>
        </w:rPr>
        <w:t>永久占地面积不足5hm</w:t>
      </w:r>
      <w:r>
        <w:rPr>
          <w:rFonts w:hint="default"/>
          <w:color w:val="auto"/>
          <w:vertAlign w:val="superscript"/>
          <w:lang w:val="en-US" w:eastAsia="zh-CN"/>
        </w:rPr>
        <w:t>2</w:t>
      </w:r>
      <w:r>
        <w:rPr>
          <w:rFonts w:hint="default"/>
          <w:color w:val="auto"/>
          <w:lang w:val="en-US" w:eastAsia="zh-CN"/>
        </w:rPr>
        <w:t>，占地规模为小型。</w:t>
      </w:r>
    </w:p>
    <w:p w14:paraId="3E0C8C5D">
      <w:pPr>
        <w:pStyle w:val="11"/>
        <w:bidi w:val="0"/>
        <w:rPr>
          <w:rFonts w:hint="default" w:ascii="Times New Roman" w:hAnsi="Times New Roman" w:eastAsia="宋体" w:cs="Times New Roman"/>
          <w:color w:val="auto"/>
          <w:szCs w:val="28"/>
          <w:lang w:val="en-US" w:eastAsia="zh-CN"/>
        </w:rPr>
      </w:pPr>
      <w:r>
        <w:rPr>
          <w:rFonts w:hint="eastAsia"/>
          <w:color w:val="auto"/>
          <w:lang w:val="en-US" w:eastAsia="zh-CN"/>
        </w:rPr>
        <w:t>建设项目所在地周边的环境影响敏感程度分为敏感、较</w:t>
      </w:r>
      <w:r>
        <w:rPr>
          <w:rFonts w:hint="eastAsia" w:cs="Times New Roman"/>
          <w:color w:val="auto"/>
          <w:szCs w:val="28"/>
          <w:lang w:val="en-US" w:eastAsia="zh-CN"/>
        </w:rPr>
        <w:t>敏感、不敏感，判别依据见表2.5-11。</w:t>
      </w:r>
    </w:p>
    <w:p w14:paraId="7C332B4C">
      <w:pPr>
        <w:pStyle w:val="43"/>
        <w:bidi w:val="0"/>
        <w:rPr>
          <w:rFonts w:hint="default"/>
          <w:color w:val="auto"/>
          <w:lang w:val="en-US" w:eastAsia="zh-CN"/>
        </w:rPr>
      </w:pPr>
      <w:r>
        <w:rPr>
          <w:rFonts w:hint="eastAsia"/>
          <w:color w:val="auto"/>
          <w:lang w:val="en-US" w:eastAsia="zh-CN"/>
        </w:rPr>
        <w:t>表2.5-11  土壤污染影响型敏感程度分级表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6518"/>
      </w:tblGrid>
      <w:tr w14:paraId="250A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14:paraId="775EB6C7">
            <w:pPr>
              <w:pStyle w:val="34"/>
              <w:bidi w:val="0"/>
              <w:rPr>
                <w:rFonts w:hint="default"/>
                <w:b/>
                <w:bCs/>
                <w:color w:val="auto"/>
                <w:lang w:val="en-US" w:eastAsia="zh-CN"/>
              </w:rPr>
            </w:pPr>
            <w:r>
              <w:rPr>
                <w:rFonts w:hint="eastAsia"/>
                <w:b/>
                <w:bCs/>
                <w:color w:val="auto"/>
                <w:lang w:val="en-US" w:eastAsia="zh-CN"/>
              </w:rPr>
              <w:t>敏感程度</w:t>
            </w:r>
          </w:p>
        </w:tc>
        <w:tc>
          <w:tcPr>
            <w:tcW w:w="6518" w:type="dxa"/>
            <w:vAlign w:val="center"/>
          </w:tcPr>
          <w:p w14:paraId="73D6581D">
            <w:pPr>
              <w:pStyle w:val="34"/>
              <w:bidi w:val="0"/>
              <w:rPr>
                <w:rFonts w:hint="default"/>
                <w:b/>
                <w:bCs/>
                <w:color w:val="auto"/>
                <w:lang w:val="en-US" w:eastAsia="zh-CN"/>
              </w:rPr>
            </w:pPr>
            <w:r>
              <w:rPr>
                <w:rFonts w:hint="eastAsia"/>
                <w:b/>
                <w:bCs/>
                <w:color w:val="auto"/>
                <w:lang w:val="en-US" w:eastAsia="zh-CN"/>
              </w:rPr>
              <w:t>判别依据</w:t>
            </w:r>
          </w:p>
        </w:tc>
      </w:tr>
      <w:tr w14:paraId="5D93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14:paraId="046F94CA">
            <w:pPr>
              <w:pStyle w:val="34"/>
              <w:bidi w:val="0"/>
              <w:rPr>
                <w:rFonts w:hint="eastAsia"/>
                <w:color w:val="auto"/>
                <w:lang w:val="en-US" w:eastAsia="zh-CN"/>
              </w:rPr>
            </w:pPr>
            <w:r>
              <w:rPr>
                <w:rFonts w:hint="eastAsia"/>
                <w:color w:val="auto"/>
                <w:lang w:val="en-US" w:eastAsia="zh-CN"/>
              </w:rPr>
              <w:t>敏感</w:t>
            </w:r>
          </w:p>
        </w:tc>
        <w:tc>
          <w:tcPr>
            <w:tcW w:w="6518" w:type="dxa"/>
            <w:vAlign w:val="center"/>
          </w:tcPr>
          <w:p w14:paraId="446AE999">
            <w:pPr>
              <w:pStyle w:val="34"/>
              <w:bidi w:val="0"/>
              <w:jc w:val="both"/>
              <w:rPr>
                <w:rFonts w:hint="default"/>
                <w:color w:val="auto"/>
                <w:lang w:val="en-US" w:eastAsia="zh-CN"/>
              </w:rPr>
            </w:pPr>
            <w:r>
              <w:rPr>
                <w:rFonts w:hint="eastAsia"/>
                <w:color w:val="auto"/>
                <w:lang w:val="en-US" w:eastAsia="zh-CN"/>
              </w:rPr>
              <w:t>建设项目周边存在耕地、园地、牧草地、饮用水水源地或居民区、学校、医院、疗养院、养老院等土壤环境敏感目标的</w:t>
            </w:r>
          </w:p>
        </w:tc>
      </w:tr>
      <w:tr w14:paraId="21E9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14:paraId="3762BEC6">
            <w:pPr>
              <w:pStyle w:val="34"/>
              <w:bidi w:val="0"/>
              <w:rPr>
                <w:rFonts w:hint="default"/>
                <w:color w:val="auto"/>
                <w:lang w:val="en-US" w:eastAsia="zh-CN"/>
              </w:rPr>
            </w:pPr>
            <w:r>
              <w:rPr>
                <w:rFonts w:hint="eastAsia"/>
                <w:color w:val="auto"/>
                <w:lang w:val="en-US" w:eastAsia="zh-CN"/>
              </w:rPr>
              <w:t>较敏感</w:t>
            </w:r>
          </w:p>
        </w:tc>
        <w:tc>
          <w:tcPr>
            <w:tcW w:w="6518" w:type="dxa"/>
          </w:tcPr>
          <w:p w14:paraId="085BEEAB">
            <w:pPr>
              <w:pStyle w:val="34"/>
              <w:bidi w:val="0"/>
              <w:rPr>
                <w:rFonts w:hint="default"/>
                <w:color w:val="auto"/>
                <w:lang w:val="en-US" w:eastAsia="zh-CN"/>
              </w:rPr>
            </w:pPr>
            <w:r>
              <w:rPr>
                <w:rFonts w:hint="eastAsia"/>
                <w:color w:val="auto"/>
                <w:lang w:val="en-US" w:eastAsia="zh-CN"/>
              </w:rPr>
              <w:t>建设项目周边存在其他土壤环境敏感目标的</w:t>
            </w:r>
          </w:p>
        </w:tc>
      </w:tr>
      <w:tr w14:paraId="1A7D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14:paraId="35E6CD25">
            <w:pPr>
              <w:pStyle w:val="34"/>
              <w:bidi w:val="0"/>
              <w:rPr>
                <w:rFonts w:hint="default"/>
                <w:color w:val="auto"/>
                <w:lang w:val="en-US" w:eastAsia="zh-CN"/>
              </w:rPr>
            </w:pPr>
            <w:r>
              <w:rPr>
                <w:rFonts w:hint="eastAsia"/>
                <w:color w:val="auto"/>
                <w:lang w:val="en-US" w:eastAsia="zh-CN"/>
              </w:rPr>
              <w:t>不敏感</w:t>
            </w:r>
          </w:p>
        </w:tc>
        <w:tc>
          <w:tcPr>
            <w:tcW w:w="6518" w:type="dxa"/>
          </w:tcPr>
          <w:p w14:paraId="4CD90BC4">
            <w:pPr>
              <w:pStyle w:val="34"/>
              <w:bidi w:val="0"/>
              <w:rPr>
                <w:rFonts w:hint="default"/>
                <w:color w:val="auto"/>
                <w:lang w:val="en-US" w:eastAsia="zh-CN"/>
              </w:rPr>
            </w:pPr>
            <w:r>
              <w:rPr>
                <w:rFonts w:hint="eastAsia"/>
                <w:color w:val="auto"/>
                <w:lang w:val="en-US" w:eastAsia="zh-CN"/>
              </w:rPr>
              <w:t>其他情况</w:t>
            </w:r>
          </w:p>
        </w:tc>
      </w:tr>
    </w:tbl>
    <w:p w14:paraId="7CBA5F1A">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cs="Times New Roman"/>
          <w:color w:val="auto"/>
          <w:sz w:val="24"/>
          <w:szCs w:val="28"/>
          <w:lang w:val="en-US" w:eastAsia="zh-CN"/>
        </w:rPr>
      </w:pPr>
      <w:r>
        <w:rPr>
          <w:rFonts w:hint="eastAsia" w:cs="Times New Roman"/>
          <w:color w:val="auto"/>
          <w:sz w:val="24"/>
          <w:szCs w:val="28"/>
          <w:lang w:val="en-US" w:eastAsia="zh-CN"/>
        </w:rPr>
        <w:t>项目评价范围内周边存在牧草地环境敏感目标，环境敏感程度为“敏感”。</w:t>
      </w:r>
    </w:p>
    <w:p w14:paraId="5402DEF9">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根据《环境影响评价技术导则 土壤环境（试行）》（HJ964-2018）和《环境影响评价技术导则 陆地石油天然气开发建设项目》（HJ349-2023）规定采油井场为I类建设项目，油类管线为II类建设项目，依据上表可知，井场土壤污染影响型评价等级为一级，油类管线土壤污染影响型评价等级为二级。</w:t>
      </w:r>
    </w:p>
    <w:p w14:paraId="50301ABA">
      <w:pPr>
        <w:pStyle w:val="43"/>
        <w:keepNext w:val="0"/>
        <w:keepLines w:val="0"/>
        <w:pageBreakBefore w:val="0"/>
        <w:widowControl w:val="0"/>
        <w:kinsoku/>
        <w:wordWrap/>
        <w:overflowPunct/>
        <w:topLinePunct w:val="0"/>
        <w:autoSpaceDE/>
        <w:autoSpaceDN/>
        <w:bidi w:val="0"/>
        <w:adjustRightInd/>
        <w:snapToGrid/>
        <w:textAlignment w:val="auto"/>
        <w:rPr>
          <w:color w:val="auto"/>
        </w:rPr>
      </w:pPr>
      <w:bookmarkStart w:id="114" w:name="_Ref2182"/>
      <w:r>
        <w:rPr>
          <w:color w:val="auto"/>
        </w:rPr>
        <w:t>表</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rFonts w:hint="eastAsia"/>
          <w:color w:val="auto"/>
          <w:lang w:eastAsia="zh-CN"/>
        </w:rPr>
        <w:t>-</w:t>
      </w:r>
      <w:bookmarkEnd w:id="114"/>
      <w:r>
        <w:rPr>
          <w:rFonts w:hint="eastAsia"/>
          <w:color w:val="auto"/>
          <w:lang w:val="en-US" w:eastAsia="zh-CN"/>
        </w:rPr>
        <w:t>12</w:t>
      </w:r>
      <w:r>
        <w:rPr>
          <w:color w:val="auto"/>
        </w:rPr>
        <w:t xml:space="preserve">  项目土壤</w:t>
      </w:r>
      <w:r>
        <w:rPr>
          <w:rFonts w:hint="eastAsia"/>
          <w:color w:val="auto"/>
          <w:lang w:val="en-US" w:eastAsia="zh-CN"/>
        </w:rPr>
        <w:t>污染影响型</w:t>
      </w:r>
      <w:r>
        <w:rPr>
          <w:color w:val="auto"/>
        </w:rPr>
        <w:t>评价等级判</w:t>
      </w:r>
      <w:r>
        <w:rPr>
          <w:rFonts w:hint="eastAsia"/>
          <w:color w:val="auto"/>
          <w:lang w:val="en-US" w:eastAsia="zh-CN"/>
        </w:rPr>
        <w:t>定</w:t>
      </w:r>
      <w:r>
        <w:rPr>
          <w:color w:val="auto"/>
        </w:rPr>
        <w:t>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945"/>
        <w:gridCol w:w="1440"/>
        <w:gridCol w:w="634"/>
        <w:gridCol w:w="3691"/>
        <w:gridCol w:w="817"/>
        <w:gridCol w:w="876"/>
      </w:tblGrid>
      <w:tr w14:paraId="01C4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jc w:val="center"/>
        </w:trPr>
        <w:tc>
          <w:tcPr>
            <w:tcW w:w="1420" w:type="pct"/>
            <w:gridSpan w:val="2"/>
            <w:shd w:val="clear" w:color="auto" w:fill="auto"/>
            <w:vAlign w:val="center"/>
          </w:tcPr>
          <w:p w14:paraId="7154AF6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区域</w:t>
            </w:r>
          </w:p>
        </w:tc>
        <w:tc>
          <w:tcPr>
            <w:tcW w:w="377" w:type="pct"/>
            <w:vMerge w:val="restart"/>
            <w:shd w:val="clear" w:color="auto" w:fill="auto"/>
            <w:vAlign w:val="center"/>
          </w:tcPr>
          <w:p w14:paraId="0112FB9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lang w:eastAsia="zh"/>
              </w:rPr>
            </w:pPr>
            <w:r>
              <w:rPr>
                <w:b/>
                <w:bCs/>
                <w:color w:val="auto"/>
                <w:lang w:eastAsia="zh"/>
              </w:rPr>
              <w:t>项目类别</w:t>
            </w:r>
          </w:p>
        </w:tc>
        <w:tc>
          <w:tcPr>
            <w:tcW w:w="2196" w:type="pct"/>
            <w:vMerge w:val="restart"/>
            <w:shd w:val="clear" w:color="auto" w:fill="auto"/>
            <w:vAlign w:val="center"/>
          </w:tcPr>
          <w:p w14:paraId="1E1385A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bCs/>
                <w:color w:val="auto"/>
                <w:lang w:val="en-US" w:eastAsia="zh-CN"/>
              </w:rPr>
            </w:pPr>
            <w:r>
              <w:rPr>
                <w:rFonts w:hint="eastAsia"/>
                <w:b/>
                <w:bCs/>
                <w:color w:val="auto"/>
                <w:lang w:val="en-US" w:eastAsia="zh-CN"/>
              </w:rPr>
              <w:t>200m范围内土壤敏感目标分布</w:t>
            </w:r>
          </w:p>
        </w:tc>
        <w:tc>
          <w:tcPr>
            <w:tcW w:w="486" w:type="pct"/>
            <w:vMerge w:val="restart"/>
            <w:shd w:val="clear" w:color="auto" w:fill="auto"/>
            <w:vAlign w:val="center"/>
          </w:tcPr>
          <w:p w14:paraId="3AF6906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敏感程度</w:t>
            </w:r>
          </w:p>
        </w:tc>
        <w:tc>
          <w:tcPr>
            <w:tcW w:w="520" w:type="pct"/>
            <w:vMerge w:val="restart"/>
            <w:shd w:val="clear" w:color="auto" w:fill="auto"/>
            <w:vAlign w:val="center"/>
          </w:tcPr>
          <w:p w14:paraId="0C99DE6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等级判定结果</w:t>
            </w:r>
          </w:p>
        </w:tc>
      </w:tr>
      <w:tr w14:paraId="726F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shd w:val="clear" w:color="auto" w:fill="auto"/>
            <w:vAlign w:val="center"/>
          </w:tcPr>
          <w:p w14:paraId="52A9F92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lang w:eastAsia="zh"/>
              </w:rPr>
            </w:pPr>
            <w:r>
              <w:rPr>
                <w:b/>
                <w:bCs/>
                <w:color w:val="auto"/>
                <w:lang w:eastAsia="zh"/>
              </w:rPr>
              <w:t>作业区</w:t>
            </w:r>
          </w:p>
        </w:tc>
        <w:tc>
          <w:tcPr>
            <w:tcW w:w="856" w:type="pct"/>
            <w:shd w:val="clear" w:color="auto" w:fill="auto"/>
            <w:vAlign w:val="center"/>
          </w:tcPr>
          <w:p w14:paraId="23F9CE0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lang w:eastAsia="zh"/>
              </w:rPr>
            </w:pPr>
            <w:r>
              <w:rPr>
                <w:b/>
                <w:bCs/>
                <w:color w:val="auto"/>
                <w:lang w:eastAsia="zh"/>
              </w:rPr>
              <w:t>名称</w:t>
            </w:r>
          </w:p>
        </w:tc>
        <w:tc>
          <w:tcPr>
            <w:tcW w:w="377" w:type="pct"/>
            <w:vMerge w:val="continue"/>
            <w:shd w:val="clear" w:color="auto" w:fill="auto"/>
            <w:vAlign w:val="center"/>
          </w:tcPr>
          <w:p w14:paraId="5417745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pPr>
          </w:p>
        </w:tc>
        <w:tc>
          <w:tcPr>
            <w:tcW w:w="2196" w:type="pct"/>
            <w:vMerge w:val="continue"/>
            <w:shd w:val="clear" w:color="auto" w:fill="auto"/>
            <w:vAlign w:val="center"/>
          </w:tcPr>
          <w:p w14:paraId="63ECFA4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pPr>
          </w:p>
        </w:tc>
        <w:tc>
          <w:tcPr>
            <w:tcW w:w="486" w:type="pct"/>
            <w:vMerge w:val="continue"/>
            <w:shd w:val="clear" w:color="auto" w:fill="auto"/>
            <w:vAlign w:val="center"/>
          </w:tcPr>
          <w:p w14:paraId="5CE70C6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pPr>
          </w:p>
        </w:tc>
        <w:tc>
          <w:tcPr>
            <w:tcW w:w="520" w:type="pct"/>
            <w:vMerge w:val="continue"/>
            <w:shd w:val="clear" w:color="auto" w:fill="auto"/>
            <w:vAlign w:val="center"/>
          </w:tcPr>
          <w:p w14:paraId="71308B9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pPr>
          </w:p>
        </w:tc>
      </w:tr>
      <w:tr w14:paraId="304E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000" w:type="pct"/>
            <w:gridSpan w:val="6"/>
            <w:shd w:val="clear" w:color="auto" w:fill="auto"/>
            <w:vAlign w:val="center"/>
          </w:tcPr>
          <w:p w14:paraId="03ECDD6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auto"/>
                <w:lang w:val="en-US" w:eastAsia="zh-CN"/>
              </w:rPr>
            </w:pPr>
            <w:r>
              <w:rPr>
                <w:rFonts w:hint="eastAsia"/>
                <w:b/>
                <w:bCs/>
                <w:color w:val="auto"/>
                <w:lang w:val="en-US" w:eastAsia="zh-CN"/>
              </w:rPr>
              <w:t>井场</w:t>
            </w:r>
          </w:p>
        </w:tc>
      </w:tr>
      <w:tr w14:paraId="0674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restart"/>
            <w:shd w:val="clear" w:color="auto" w:fill="auto"/>
            <w:vAlign w:val="center"/>
          </w:tcPr>
          <w:p w14:paraId="5AEE021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百21采油作业区</w:t>
            </w:r>
          </w:p>
        </w:tc>
        <w:tc>
          <w:tcPr>
            <w:tcW w:w="856" w:type="pct"/>
            <w:shd w:val="clear" w:color="auto" w:fill="auto"/>
            <w:vAlign w:val="center"/>
          </w:tcPr>
          <w:p w14:paraId="77621E4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百209H</w:t>
            </w:r>
          </w:p>
        </w:tc>
        <w:tc>
          <w:tcPr>
            <w:tcW w:w="377" w:type="pct"/>
            <w:shd w:val="clear" w:color="auto" w:fill="auto"/>
            <w:vAlign w:val="center"/>
          </w:tcPr>
          <w:p w14:paraId="293A2F6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shd w:val="clear" w:color="auto" w:fill="auto"/>
            <w:vAlign w:val="center"/>
          </w:tcPr>
          <w:p w14:paraId="75A35CB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200m范围内主要为其他草地、灌木林地</w:t>
            </w:r>
          </w:p>
        </w:tc>
        <w:tc>
          <w:tcPr>
            <w:tcW w:w="486" w:type="pct"/>
            <w:shd w:val="clear" w:color="auto" w:fill="auto"/>
            <w:vAlign w:val="center"/>
          </w:tcPr>
          <w:p w14:paraId="789DBFA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b w:val="0"/>
                <w:bCs w:val="0"/>
                <w:color w:val="auto"/>
                <w:lang w:val="en-US" w:eastAsia="zh-CN"/>
              </w:rPr>
            </w:pPr>
            <w:r>
              <w:rPr>
                <w:rFonts w:hint="eastAsia"/>
                <w:b w:val="0"/>
                <w:bCs w:val="0"/>
                <w:color w:val="auto"/>
                <w:lang w:val="en-US" w:eastAsia="zh-CN"/>
              </w:rPr>
              <w:t>较敏感</w:t>
            </w:r>
          </w:p>
        </w:tc>
        <w:tc>
          <w:tcPr>
            <w:tcW w:w="520" w:type="pct"/>
            <w:shd w:val="clear" w:color="auto" w:fill="auto"/>
            <w:vAlign w:val="center"/>
          </w:tcPr>
          <w:p w14:paraId="5A02A03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b w:val="0"/>
                <w:bCs w:val="0"/>
                <w:color w:val="auto"/>
                <w:lang w:val="en-US" w:eastAsia="zh-CN"/>
              </w:rPr>
            </w:pPr>
            <w:r>
              <w:rPr>
                <w:rFonts w:hint="eastAsia"/>
                <w:b w:val="0"/>
                <w:bCs w:val="0"/>
                <w:color w:val="auto"/>
                <w:lang w:val="en-US" w:eastAsia="zh-CN"/>
              </w:rPr>
              <w:t>二级</w:t>
            </w:r>
          </w:p>
        </w:tc>
      </w:tr>
      <w:tr w14:paraId="76CA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794E1CF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856" w:type="pct"/>
            <w:shd w:val="clear" w:color="auto" w:fill="auto"/>
            <w:vAlign w:val="center"/>
          </w:tcPr>
          <w:p w14:paraId="6BE560F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百791</w:t>
            </w:r>
          </w:p>
        </w:tc>
        <w:tc>
          <w:tcPr>
            <w:tcW w:w="377" w:type="pct"/>
            <w:shd w:val="clear" w:color="auto" w:fill="auto"/>
            <w:vAlign w:val="center"/>
          </w:tcPr>
          <w:p w14:paraId="27CFA4D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shd w:val="clear" w:color="auto" w:fill="auto"/>
            <w:vAlign w:val="center"/>
          </w:tcPr>
          <w:p w14:paraId="2DFD066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rPr>
            </w:pPr>
            <w:r>
              <w:rPr>
                <w:rFonts w:hint="eastAsia"/>
                <w:b w:val="0"/>
                <w:bCs w:val="0"/>
                <w:color w:val="auto"/>
                <w:lang w:val="en-US" w:eastAsia="zh-CN"/>
              </w:rPr>
              <w:t>200m范围内主要为未利用地、其他草地、灌木林地、天然牧草地</w:t>
            </w:r>
          </w:p>
        </w:tc>
        <w:tc>
          <w:tcPr>
            <w:tcW w:w="486" w:type="pct"/>
            <w:shd w:val="clear" w:color="auto" w:fill="auto"/>
            <w:vAlign w:val="center"/>
          </w:tcPr>
          <w:p w14:paraId="26BCB71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4112B90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一级</w:t>
            </w:r>
          </w:p>
        </w:tc>
      </w:tr>
      <w:tr w14:paraId="7494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1653DF9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856" w:type="pct"/>
            <w:shd w:val="clear" w:color="auto" w:fill="auto"/>
            <w:vAlign w:val="center"/>
          </w:tcPr>
          <w:p w14:paraId="2DC51CB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百79</w:t>
            </w:r>
          </w:p>
        </w:tc>
        <w:tc>
          <w:tcPr>
            <w:tcW w:w="377" w:type="pct"/>
            <w:shd w:val="clear" w:color="auto" w:fill="auto"/>
            <w:vAlign w:val="center"/>
          </w:tcPr>
          <w:p w14:paraId="03E8881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shd w:val="clear" w:color="auto" w:fill="auto"/>
            <w:vAlign w:val="center"/>
          </w:tcPr>
          <w:p w14:paraId="3FF5D00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rPr>
            </w:pPr>
            <w:r>
              <w:rPr>
                <w:rFonts w:hint="eastAsia"/>
                <w:b w:val="0"/>
                <w:bCs w:val="0"/>
                <w:color w:val="auto"/>
                <w:lang w:val="en-US" w:eastAsia="zh-CN"/>
              </w:rPr>
              <w:t>200m范围内主要为未利用地、其他草地、灌木林地、采矿用地</w:t>
            </w:r>
          </w:p>
        </w:tc>
        <w:tc>
          <w:tcPr>
            <w:tcW w:w="486" w:type="pct"/>
            <w:shd w:val="clear" w:color="auto" w:fill="auto"/>
            <w:vAlign w:val="center"/>
          </w:tcPr>
          <w:p w14:paraId="7E82BC8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较敏感</w:t>
            </w:r>
          </w:p>
        </w:tc>
        <w:tc>
          <w:tcPr>
            <w:tcW w:w="520" w:type="pct"/>
            <w:shd w:val="clear" w:color="auto" w:fill="auto"/>
            <w:vAlign w:val="center"/>
          </w:tcPr>
          <w:p w14:paraId="71AD1E9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0F2C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075947A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p>
        </w:tc>
        <w:tc>
          <w:tcPr>
            <w:tcW w:w="856" w:type="pct"/>
            <w:shd w:val="clear" w:color="auto" w:fill="auto"/>
            <w:vAlign w:val="center"/>
          </w:tcPr>
          <w:p w14:paraId="5C38FAB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百76</w:t>
            </w:r>
          </w:p>
        </w:tc>
        <w:tc>
          <w:tcPr>
            <w:tcW w:w="0" w:type="auto"/>
            <w:shd w:val="clear" w:color="auto" w:fill="auto"/>
            <w:vAlign w:val="center"/>
          </w:tcPr>
          <w:p w14:paraId="6FB1325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shd w:val="clear" w:color="auto" w:fill="auto"/>
            <w:vAlign w:val="center"/>
          </w:tcPr>
          <w:p w14:paraId="012985D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200m范围内主要为未利用地、其他草地</w:t>
            </w:r>
          </w:p>
        </w:tc>
        <w:tc>
          <w:tcPr>
            <w:tcW w:w="486" w:type="pct"/>
            <w:shd w:val="clear" w:color="auto" w:fill="auto"/>
            <w:vAlign w:val="center"/>
          </w:tcPr>
          <w:p w14:paraId="50647DB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不敏感</w:t>
            </w:r>
          </w:p>
        </w:tc>
        <w:tc>
          <w:tcPr>
            <w:tcW w:w="520" w:type="pct"/>
            <w:shd w:val="clear" w:color="auto" w:fill="auto"/>
            <w:vAlign w:val="center"/>
          </w:tcPr>
          <w:p w14:paraId="39F0B15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4C78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restart"/>
            <w:shd w:val="clear" w:color="auto" w:fill="auto"/>
            <w:vAlign w:val="center"/>
          </w:tcPr>
          <w:p w14:paraId="47B3888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玛湖第二采油作业区</w:t>
            </w:r>
          </w:p>
        </w:tc>
        <w:tc>
          <w:tcPr>
            <w:tcW w:w="856" w:type="pct"/>
            <w:shd w:val="clear" w:color="auto" w:fill="auto"/>
            <w:vAlign w:val="center"/>
          </w:tcPr>
          <w:p w14:paraId="61C0692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玛62</w:t>
            </w:r>
          </w:p>
        </w:tc>
        <w:tc>
          <w:tcPr>
            <w:tcW w:w="0" w:type="auto"/>
            <w:shd w:val="clear" w:color="auto" w:fill="auto"/>
            <w:vAlign w:val="center"/>
          </w:tcPr>
          <w:p w14:paraId="29F27B3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shd w:val="clear" w:color="auto" w:fill="auto"/>
            <w:vAlign w:val="center"/>
          </w:tcPr>
          <w:p w14:paraId="167B4D8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200m范围内主要为天然牧草地、盐田及采矿用地、公路用地</w:t>
            </w:r>
          </w:p>
        </w:tc>
        <w:tc>
          <w:tcPr>
            <w:tcW w:w="486" w:type="pct"/>
            <w:shd w:val="clear" w:color="auto" w:fill="auto"/>
            <w:vAlign w:val="center"/>
          </w:tcPr>
          <w:p w14:paraId="1DEE834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10A1809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一级</w:t>
            </w:r>
          </w:p>
        </w:tc>
      </w:tr>
      <w:tr w14:paraId="7209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79C3151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856" w:type="pct"/>
            <w:shd w:val="clear" w:color="auto" w:fill="auto"/>
            <w:vAlign w:val="center"/>
          </w:tcPr>
          <w:p w14:paraId="1807AE2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夏203</w:t>
            </w:r>
          </w:p>
        </w:tc>
        <w:tc>
          <w:tcPr>
            <w:tcW w:w="0" w:type="auto"/>
            <w:shd w:val="clear" w:color="auto" w:fill="auto"/>
            <w:vAlign w:val="center"/>
          </w:tcPr>
          <w:p w14:paraId="03AB675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vMerge w:val="restart"/>
            <w:shd w:val="clear" w:color="auto" w:fill="auto"/>
            <w:vAlign w:val="center"/>
          </w:tcPr>
          <w:p w14:paraId="66FF902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200m范围内主要为天然牧草地、盐田及采矿用地、公路用地、农村道路</w:t>
            </w:r>
          </w:p>
        </w:tc>
        <w:tc>
          <w:tcPr>
            <w:tcW w:w="486" w:type="pct"/>
            <w:vMerge w:val="restart"/>
            <w:shd w:val="clear" w:color="auto" w:fill="auto"/>
            <w:vAlign w:val="center"/>
          </w:tcPr>
          <w:p w14:paraId="0742F7F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vMerge w:val="restart"/>
            <w:shd w:val="clear" w:color="auto" w:fill="auto"/>
            <w:vAlign w:val="center"/>
          </w:tcPr>
          <w:p w14:paraId="39E5DA5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一级</w:t>
            </w:r>
          </w:p>
        </w:tc>
      </w:tr>
      <w:tr w14:paraId="5D62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5F1B46A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856" w:type="pct"/>
            <w:shd w:val="clear" w:color="auto" w:fill="auto"/>
            <w:vAlign w:val="center"/>
          </w:tcPr>
          <w:p w14:paraId="2E27474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玛61</w:t>
            </w:r>
          </w:p>
        </w:tc>
        <w:tc>
          <w:tcPr>
            <w:tcW w:w="0" w:type="auto"/>
            <w:shd w:val="clear" w:color="auto" w:fill="auto"/>
            <w:vAlign w:val="center"/>
          </w:tcPr>
          <w:p w14:paraId="17361D2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vMerge w:val="continue"/>
            <w:shd w:val="clear" w:color="auto" w:fill="auto"/>
            <w:vAlign w:val="center"/>
          </w:tcPr>
          <w:p w14:paraId="5050936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p>
        </w:tc>
        <w:tc>
          <w:tcPr>
            <w:tcW w:w="486" w:type="pct"/>
            <w:vMerge w:val="continue"/>
            <w:shd w:val="clear" w:color="auto" w:fill="auto"/>
            <w:vAlign w:val="center"/>
          </w:tcPr>
          <w:p w14:paraId="75BDFBC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p>
        </w:tc>
        <w:tc>
          <w:tcPr>
            <w:tcW w:w="520" w:type="pct"/>
            <w:vMerge w:val="continue"/>
            <w:shd w:val="clear" w:color="auto" w:fill="auto"/>
            <w:vAlign w:val="center"/>
          </w:tcPr>
          <w:p w14:paraId="7E12263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p>
        </w:tc>
      </w:tr>
      <w:tr w14:paraId="6A62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5AA9D2A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856" w:type="pct"/>
            <w:shd w:val="clear" w:color="auto" w:fill="auto"/>
            <w:vAlign w:val="center"/>
          </w:tcPr>
          <w:p w14:paraId="3062ABE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夏209</w:t>
            </w:r>
          </w:p>
        </w:tc>
        <w:tc>
          <w:tcPr>
            <w:tcW w:w="0" w:type="auto"/>
            <w:shd w:val="clear" w:color="auto" w:fill="auto"/>
            <w:vAlign w:val="center"/>
          </w:tcPr>
          <w:p w14:paraId="654C788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shd w:val="clear" w:color="auto" w:fill="auto"/>
            <w:vAlign w:val="center"/>
          </w:tcPr>
          <w:p w14:paraId="4BD92E2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200m范围内主要为灌木林地、天然牧草地</w:t>
            </w:r>
          </w:p>
        </w:tc>
        <w:tc>
          <w:tcPr>
            <w:tcW w:w="486" w:type="pct"/>
            <w:shd w:val="clear" w:color="auto" w:fill="auto"/>
            <w:vAlign w:val="center"/>
          </w:tcPr>
          <w:p w14:paraId="04E90C5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00DF78D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一级</w:t>
            </w:r>
          </w:p>
        </w:tc>
      </w:tr>
      <w:tr w14:paraId="0B3C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707A873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856" w:type="pct"/>
            <w:shd w:val="clear" w:color="auto" w:fill="auto"/>
            <w:vAlign w:val="center"/>
          </w:tcPr>
          <w:p w14:paraId="4CA9202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夏207H</w:t>
            </w:r>
          </w:p>
        </w:tc>
        <w:tc>
          <w:tcPr>
            <w:tcW w:w="0" w:type="auto"/>
            <w:shd w:val="clear" w:color="auto" w:fill="auto"/>
            <w:vAlign w:val="center"/>
          </w:tcPr>
          <w:p w14:paraId="7BAA3A0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shd w:val="clear" w:color="auto" w:fill="auto"/>
            <w:vAlign w:val="center"/>
          </w:tcPr>
          <w:p w14:paraId="703527A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200m范围内主要为天然牧草地</w:t>
            </w:r>
          </w:p>
        </w:tc>
        <w:tc>
          <w:tcPr>
            <w:tcW w:w="486" w:type="pct"/>
            <w:shd w:val="clear" w:color="auto" w:fill="auto"/>
            <w:vAlign w:val="center"/>
          </w:tcPr>
          <w:p w14:paraId="42FAC25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44386A1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一级</w:t>
            </w:r>
          </w:p>
        </w:tc>
      </w:tr>
      <w:tr w14:paraId="3E19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shd w:val="clear" w:color="auto" w:fill="auto"/>
            <w:vAlign w:val="center"/>
          </w:tcPr>
          <w:p w14:paraId="16CCEC0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玛湖第三采油作业区</w:t>
            </w:r>
          </w:p>
        </w:tc>
        <w:tc>
          <w:tcPr>
            <w:tcW w:w="856" w:type="pct"/>
            <w:shd w:val="clear" w:color="auto" w:fill="auto"/>
            <w:vAlign w:val="center"/>
          </w:tcPr>
          <w:p w14:paraId="74D15BA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 w:bidi="ar-SA"/>
              </w:rPr>
            </w:pPr>
            <w:r>
              <w:rPr>
                <w:rFonts w:hint="eastAsia"/>
                <w:b w:val="0"/>
                <w:bCs w:val="0"/>
                <w:color w:val="auto"/>
                <w:lang w:val="en-US" w:eastAsia="zh-CN"/>
              </w:rPr>
              <w:t>赛探1</w:t>
            </w:r>
          </w:p>
        </w:tc>
        <w:tc>
          <w:tcPr>
            <w:tcW w:w="0" w:type="auto"/>
            <w:shd w:val="clear" w:color="auto" w:fill="auto"/>
            <w:vAlign w:val="center"/>
          </w:tcPr>
          <w:p w14:paraId="6575118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b w:val="0"/>
                <w:bCs w:val="0"/>
                <w:color w:val="auto"/>
              </w:rPr>
              <w:t>Ⅰ类</w:t>
            </w:r>
          </w:p>
        </w:tc>
        <w:tc>
          <w:tcPr>
            <w:tcW w:w="2196" w:type="pct"/>
            <w:shd w:val="clear" w:color="auto" w:fill="auto"/>
            <w:vAlign w:val="center"/>
          </w:tcPr>
          <w:p w14:paraId="21F78D3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200m范围内主要为未利用地</w:t>
            </w:r>
          </w:p>
        </w:tc>
        <w:tc>
          <w:tcPr>
            <w:tcW w:w="486" w:type="pct"/>
            <w:shd w:val="clear" w:color="auto" w:fill="auto"/>
            <w:vAlign w:val="center"/>
          </w:tcPr>
          <w:p w14:paraId="74DC2F7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不敏感</w:t>
            </w:r>
          </w:p>
        </w:tc>
        <w:tc>
          <w:tcPr>
            <w:tcW w:w="520" w:type="pct"/>
            <w:shd w:val="clear" w:color="auto" w:fill="auto"/>
            <w:vAlign w:val="center"/>
          </w:tcPr>
          <w:p w14:paraId="25D4B49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153A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000" w:type="pct"/>
            <w:gridSpan w:val="6"/>
            <w:shd w:val="clear" w:color="auto" w:fill="auto"/>
            <w:vAlign w:val="center"/>
          </w:tcPr>
          <w:p w14:paraId="2F28FC3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b w:val="0"/>
                <w:bCs w:val="0"/>
                <w:color w:val="auto"/>
                <w:lang w:val="en-US" w:eastAsia="zh-CN"/>
              </w:rPr>
            </w:pPr>
            <w:r>
              <w:rPr>
                <w:rFonts w:hint="eastAsia"/>
                <w:b w:val="0"/>
                <w:bCs w:val="0"/>
                <w:color w:val="auto"/>
                <w:lang w:val="en-US" w:eastAsia="zh-CN"/>
              </w:rPr>
              <w:t>管线</w:t>
            </w:r>
          </w:p>
        </w:tc>
      </w:tr>
      <w:tr w14:paraId="219A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restart"/>
            <w:shd w:val="clear" w:color="auto" w:fill="auto"/>
            <w:vAlign w:val="center"/>
          </w:tcPr>
          <w:p w14:paraId="263CB9F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r>
              <w:rPr>
                <w:rFonts w:hint="eastAsia"/>
                <w:b w:val="0"/>
                <w:bCs w:val="0"/>
                <w:color w:val="auto"/>
                <w:lang w:val="en-US" w:eastAsia="zh-CN"/>
              </w:rPr>
              <w:t>百21采油作业区</w:t>
            </w:r>
          </w:p>
        </w:tc>
        <w:tc>
          <w:tcPr>
            <w:tcW w:w="856" w:type="pct"/>
            <w:shd w:val="clear" w:color="auto" w:fill="auto"/>
            <w:vAlign w:val="center"/>
          </w:tcPr>
          <w:p w14:paraId="26617A9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百209H至b7271井集油管线</w:t>
            </w:r>
          </w:p>
        </w:tc>
        <w:tc>
          <w:tcPr>
            <w:tcW w:w="0" w:type="auto"/>
            <w:shd w:val="clear" w:color="auto" w:fill="auto"/>
            <w:vAlign w:val="center"/>
          </w:tcPr>
          <w:p w14:paraId="269CA66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color w:val="auto"/>
              </w:rPr>
              <w:t>Ⅱ类</w:t>
            </w:r>
          </w:p>
        </w:tc>
        <w:tc>
          <w:tcPr>
            <w:tcW w:w="2196" w:type="pct"/>
            <w:shd w:val="clear" w:color="auto" w:fill="auto"/>
            <w:vAlign w:val="center"/>
          </w:tcPr>
          <w:p w14:paraId="445C7B5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200m范围内主要为其他草地、灌木林地</w:t>
            </w:r>
          </w:p>
        </w:tc>
        <w:tc>
          <w:tcPr>
            <w:tcW w:w="486" w:type="pct"/>
            <w:shd w:val="clear" w:color="auto" w:fill="auto"/>
            <w:vAlign w:val="center"/>
          </w:tcPr>
          <w:p w14:paraId="6359244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较敏感</w:t>
            </w:r>
          </w:p>
        </w:tc>
        <w:tc>
          <w:tcPr>
            <w:tcW w:w="520" w:type="pct"/>
            <w:shd w:val="clear" w:color="auto" w:fill="auto"/>
            <w:vAlign w:val="center"/>
          </w:tcPr>
          <w:p w14:paraId="5949E8C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二级</w:t>
            </w:r>
          </w:p>
        </w:tc>
      </w:tr>
      <w:tr w14:paraId="454B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5DABAC5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856" w:type="pct"/>
            <w:shd w:val="clear" w:color="auto" w:fill="auto"/>
            <w:vAlign w:val="center"/>
          </w:tcPr>
          <w:p w14:paraId="2155EEA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百791至百79井集油管线</w:t>
            </w:r>
          </w:p>
        </w:tc>
        <w:tc>
          <w:tcPr>
            <w:tcW w:w="0" w:type="auto"/>
            <w:shd w:val="clear" w:color="auto" w:fill="auto"/>
            <w:vAlign w:val="center"/>
          </w:tcPr>
          <w:p w14:paraId="23CF624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color w:val="auto"/>
              </w:rPr>
              <w:t>Ⅱ类</w:t>
            </w:r>
          </w:p>
        </w:tc>
        <w:tc>
          <w:tcPr>
            <w:tcW w:w="2196" w:type="pct"/>
            <w:shd w:val="clear" w:color="auto" w:fill="auto"/>
            <w:vAlign w:val="center"/>
          </w:tcPr>
          <w:p w14:paraId="0E410E6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200m范围内主要为未利用地其他草地、灌木林地、天然牧草地</w:t>
            </w:r>
          </w:p>
        </w:tc>
        <w:tc>
          <w:tcPr>
            <w:tcW w:w="486" w:type="pct"/>
            <w:shd w:val="clear" w:color="auto" w:fill="auto"/>
            <w:vAlign w:val="center"/>
          </w:tcPr>
          <w:p w14:paraId="0BEC1BA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53A0AA0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2771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53D8A7B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31F7E64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百79至43#计量站集油管线</w:t>
            </w:r>
          </w:p>
        </w:tc>
        <w:tc>
          <w:tcPr>
            <w:tcW w:w="0" w:type="auto"/>
            <w:shd w:val="clear" w:color="auto" w:fill="auto"/>
            <w:vAlign w:val="center"/>
          </w:tcPr>
          <w:p w14:paraId="74BDD78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color w:val="auto"/>
              </w:rPr>
              <w:t>Ⅱ类</w:t>
            </w:r>
          </w:p>
        </w:tc>
        <w:tc>
          <w:tcPr>
            <w:tcW w:w="2196" w:type="pct"/>
            <w:shd w:val="clear" w:color="auto" w:fill="auto"/>
            <w:vAlign w:val="center"/>
          </w:tcPr>
          <w:p w14:paraId="20CCE4D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200m范围内主要为未利用地其他草地、灌木林地、采矿用地</w:t>
            </w:r>
          </w:p>
        </w:tc>
        <w:tc>
          <w:tcPr>
            <w:tcW w:w="486" w:type="pct"/>
            <w:shd w:val="clear" w:color="auto" w:fill="auto"/>
            <w:vAlign w:val="center"/>
          </w:tcPr>
          <w:p w14:paraId="518E398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较敏感</w:t>
            </w:r>
          </w:p>
        </w:tc>
        <w:tc>
          <w:tcPr>
            <w:tcW w:w="520" w:type="pct"/>
            <w:shd w:val="clear" w:color="auto" w:fill="auto"/>
            <w:vAlign w:val="center"/>
          </w:tcPr>
          <w:p w14:paraId="2A2C17D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258F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5E43AA1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p>
        </w:tc>
        <w:tc>
          <w:tcPr>
            <w:tcW w:w="0" w:type="auto"/>
            <w:shd w:val="clear" w:color="auto" w:fill="auto"/>
            <w:vAlign w:val="center"/>
          </w:tcPr>
          <w:p w14:paraId="71A6171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百76至百79阀池2集油管线</w:t>
            </w:r>
          </w:p>
        </w:tc>
        <w:tc>
          <w:tcPr>
            <w:tcW w:w="0" w:type="auto"/>
            <w:shd w:val="clear" w:color="auto" w:fill="auto"/>
            <w:vAlign w:val="center"/>
          </w:tcPr>
          <w:p w14:paraId="58C3EEC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36DA079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200m范围内主要为其他草地、盐田及采矿用地、农村道路、裸岩石砾地</w:t>
            </w:r>
          </w:p>
        </w:tc>
        <w:tc>
          <w:tcPr>
            <w:tcW w:w="486" w:type="pct"/>
            <w:shd w:val="clear" w:color="auto" w:fill="auto"/>
            <w:vAlign w:val="center"/>
          </w:tcPr>
          <w:p w14:paraId="3E7F089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不敏感</w:t>
            </w:r>
          </w:p>
        </w:tc>
        <w:tc>
          <w:tcPr>
            <w:tcW w:w="520" w:type="pct"/>
            <w:shd w:val="clear" w:color="auto" w:fill="auto"/>
            <w:vAlign w:val="center"/>
          </w:tcPr>
          <w:p w14:paraId="5A33D10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3CB0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restart"/>
            <w:shd w:val="clear" w:color="auto" w:fill="auto"/>
            <w:vAlign w:val="center"/>
          </w:tcPr>
          <w:p w14:paraId="2293AE7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r>
              <w:rPr>
                <w:rFonts w:hint="eastAsia"/>
                <w:b w:val="0"/>
                <w:bCs w:val="0"/>
                <w:color w:val="auto"/>
                <w:lang w:val="en-US" w:eastAsia="zh-CN"/>
              </w:rPr>
              <w:t>玛湖第一采油作业区</w:t>
            </w:r>
          </w:p>
        </w:tc>
        <w:tc>
          <w:tcPr>
            <w:tcW w:w="0" w:type="auto"/>
            <w:shd w:val="clear" w:color="auto" w:fill="auto"/>
            <w:vAlign w:val="center"/>
          </w:tcPr>
          <w:p w14:paraId="45299D4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DM2721至MaHW2028井集油管线</w:t>
            </w:r>
          </w:p>
        </w:tc>
        <w:tc>
          <w:tcPr>
            <w:tcW w:w="0" w:type="auto"/>
            <w:shd w:val="clear" w:color="auto" w:fill="auto"/>
            <w:vAlign w:val="center"/>
          </w:tcPr>
          <w:p w14:paraId="5FDC53E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5BA9206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rPr>
            </w:pPr>
            <w:r>
              <w:rPr>
                <w:rFonts w:hint="eastAsia"/>
                <w:b w:val="0"/>
                <w:bCs w:val="0"/>
                <w:color w:val="auto"/>
                <w:lang w:val="en-US" w:eastAsia="zh-CN"/>
              </w:rPr>
              <w:t>200m范围内主要为采矿用地、裸土地</w:t>
            </w:r>
          </w:p>
        </w:tc>
        <w:tc>
          <w:tcPr>
            <w:tcW w:w="486" w:type="pct"/>
            <w:shd w:val="clear" w:color="auto" w:fill="auto"/>
            <w:vAlign w:val="center"/>
          </w:tcPr>
          <w:p w14:paraId="3C6954E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不敏感</w:t>
            </w:r>
          </w:p>
        </w:tc>
        <w:tc>
          <w:tcPr>
            <w:tcW w:w="520" w:type="pct"/>
            <w:shd w:val="clear" w:color="auto" w:fill="auto"/>
            <w:vAlign w:val="center"/>
          </w:tcPr>
          <w:p w14:paraId="523AB1D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三级</w:t>
            </w:r>
          </w:p>
        </w:tc>
      </w:tr>
      <w:tr w14:paraId="16C1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168F617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7E96002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Ma20024_H至MaHW2069集油管线</w:t>
            </w:r>
          </w:p>
        </w:tc>
        <w:tc>
          <w:tcPr>
            <w:tcW w:w="0" w:type="auto"/>
            <w:shd w:val="clear" w:color="auto" w:fill="auto"/>
            <w:vAlign w:val="center"/>
          </w:tcPr>
          <w:p w14:paraId="71CE0FD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2ADDB02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rPr>
            </w:pPr>
            <w:r>
              <w:rPr>
                <w:rFonts w:hint="eastAsia"/>
                <w:b w:val="0"/>
                <w:bCs w:val="0"/>
                <w:color w:val="auto"/>
                <w:lang w:val="en-US" w:eastAsia="zh-CN"/>
              </w:rPr>
              <w:t>200m范围内主要为盐田及采矿用地、裸土地</w:t>
            </w:r>
          </w:p>
        </w:tc>
        <w:tc>
          <w:tcPr>
            <w:tcW w:w="486" w:type="pct"/>
            <w:shd w:val="clear" w:color="auto" w:fill="auto"/>
            <w:vAlign w:val="center"/>
          </w:tcPr>
          <w:p w14:paraId="64E1324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不敏感</w:t>
            </w:r>
          </w:p>
        </w:tc>
        <w:tc>
          <w:tcPr>
            <w:tcW w:w="520" w:type="pct"/>
            <w:shd w:val="clear" w:color="auto" w:fill="auto"/>
            <w:vAlign w:val="center"/>
          </w:tcPr>
          <w:p w14:paraId="5EEDB61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三级</w:t>
            </w:r>
          </w:p>
        </w:tc>
      </w:tr>
      <w:tr w14:paraId="09F5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692D6EB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2BB2101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Ma20023_H至玛一7#计量站集油管线</w:t>
            </w:r>
          </w:p>
        </w:tc>
        <w:tc>
          <w:tcPr>
            <w:tcW w:w="0" w:type="auto"/>
            <w:shd w:val="clear" w:color="auto" w:fill="auto"/>
            <w:vAlign w:val="center"/>
          </w:tcPr>
          <w:p w14:paraId="2579E05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005DFA8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rPr>
            </w:pPr>
            <w:r>
              <w:rPr>
                <w:rFonts w:hint="eastAsia"/>
                <w:b w:val="0"/>
                <w:bCs w:val="0"/>
                <w:color w:val="auto"/>
                <w:lang w:val="en-US" w:eastAsia="zh-CN"/>
              </w:rPr>
              <w:t>200m范围内主要为盐田及采矿用地、裸土地和裸岩石砾地</w:t>
            </w:r>
          </w:p>
        </w:tc>
        <w:tc>
          <w:tcPr>
            <w:tcW w:w="486" w:type="pct"/>
            <w:shd w:val="clear" w:color="auto" w:fill="auto"/>
            <w:vAlign w:val="center"/>
          </w:tcPr>
          <w:p w14:paraId="1E8C5A2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不敏感</w:t>
            </w:r>
          </w:p>
        </w:tc>
        <w:tc>
          <w:tcPr>
            <w:tcW w:w="520" w:type="pct"/>
            <w:shd w:val="clear" w:color="auto" w:fill="auto"/>
            <w:vAlign w:val="center"/>
          </w:tcPr>
          <w:p w14:paraId="28834BA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三级</w:t>
            </w:r>
          </w:p>
        </w:tc>
      </w:tr>
      <w:tr w14:paraId="5A17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restart"/>
            <w:shd w:val="clear" w:color="auto" w:fill="auto"/>
            <w:vAlign w:val="center"/>
          </w:tcPr>
          <w:p w14:paraId="4189AB9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玛湖第二采油作业区</w:t>
            </w:r>
          </w:p>
        </w:tc>
        <w:tc>
          <w:tcPr>
            <w:tcW w:w="0" w:type="auto"/>
            <w:shd w:val="clear" w:color="auto" w:fill="auto"/>
            <w:vAlign w:val="center"/>
          </w:tcPr>
          <w:p w14:paraId="026D7FC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玛62至2#计量站集油管线</w:t>
            </w:r>
          </w:p>
        </w:tc>
        <w:tc>
          <w:tcPr>
            <w:tcW w:w="0" w:type="auto"/>
            <w:shd w:val="clear" w:color="auto" w:fill="auto"/>
            <w:vAlign w:val="center"/>
          </w:tcPr>
          <w:p w14:paraId="133C24B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3BA14BD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rPr>
            </w:pPr>
            <w:r>
              <w:rPr>
                <w:rFonts w:hint="eastAsia"/>
                <w:b w:val="0"/>
                <w:bCs w:val="0"/>
                <w:color w:val="auto"/>
                <w:lang w:val="en-US" w:eastAsia="zh-CN"/>
              </w:rPr>
              <w:t>200m范围内主要为盐田及采矿用地、天然牧草地、公路用地</w:t>
            </w:r>
          </w:p>
        </w:tc>
        <w:tc>
          <w:tcPr>
            <w:tcW w:w="486" w:type="pct"/>
            <w:shd w:val="clear" w:color="auto" w:fill="auto"/>
            <w:vAlign w:val="center"/>
          </w:tcPr>
          <w:p w14:paraId="5322358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74F17FC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10B8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288BD1C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47AEE6C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夏91_H至夏725阀池集油管线</w:t>
            </w:r>
          </w:p>
        </w:tc>
        <w:tc>
          <w:tcPr>
            <w:tcW w:w="0" w:type="auto"/>
            <w:shd w:val="clear" w:color="auto" w:fill="auto"/>
            <w:vAlign w:val="center"/>
          </w:tcPr>
          <w:p w14:paraId="1A83952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791E542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200m范围内主要为盐田及采矿用地、天然牧草地、裸土地</w:t>
            </w:r>
          </w:p>
        </w:tc>
        <w:tc>
          <w:tcPr>
            <w:tcW w:w="486" w:type="pct"/>
            <w:shd w:val="clear" w:color="auto" w:fill="auto"/>
            <w:vAlign w:val="center"/>
          </w:tcPr>
          <w:p w14:paraId="7FF40DA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7E62036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062D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7B53BF2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5BE726F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夏92_H至夏725阀池集油管线</w:t>
            </w:r>
          </w:p>
        </w:tc>
        <w:tc>
          <w:tcPr>
            <w:tcW w:w="0" w:type="auto"/>
            <w:shd w:val="clear" w:color="auto" w:fill="auto"/>
            <w:vAlign w:val="center"/>
          </w:tcPr>
          <w:p w14:paraId="575FC0B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735CC45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rPr>
            </w:pPr>
            <w:r>
              <w:rPr>
                <w:rFonts w:hint="eastAsia"/>
                <w:b w:val="0"/>
                <w:bCs w:val="0"/>
                <w:color w:val="auto"/>
                <w:lang w:val="en-US" w:eastAsia="zh-CN"/>
              </w:rPr>
              <w:t>200m范围内主要为盐田及采矿用地、天然牧草地、农村道路</w:t>
            </w:r>
          </w:p>
        </w:tc>
        <w:tc>
          <w:tcPr>
            <w:tcW w:w="486" w:type="pct"/>
            <w:shd w:val="clear" w:color="auto" w:fill="auto"/>
            <w:vAlign w:val="center"/>
          </w:tcPr>
          <w:p w14:paraId="32A6446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7BAA240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6110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581552C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1EFD04A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夏724至夏203井集油管线</w:t>
            </w:r>
          </w:p>
        </w:tc>
        <w:tc>
          <w:tcPr>
            <w:tcW w:w="0" w:type="auto"/>
            <w:shd w:val="clear" w:color="auto" w:fill="auto"/>
            <w:vAlign w:val="center"/>
          </w:tcPr>
          <w:p w14:paraId="3AB55D8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7078125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200m范围内主要为盐田及采矿用地、天然牧草地、农村道路</w:t>
            </w:r>
          </w:p>
        </w:tc>
        <w:tc>
          <w:tcPr>
            <w:tcW w:w="486" w:type="pct"/>
            <w:shd w:val="clear" w:color="auto" w:fill="auto"/>
            <w:vAlign w:val="center"/>
          </w:tcPr>
          <w:p w14:paraId="3961C6A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2323AE6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09A4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3215082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6DA7895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XHW7202至夏91_H井集油管线</w:t>
            </w:r>
          </w:p>
        </w:tc>
        <w:tc>
          <w:tcPr>
            <w:tcW w:w="0" w:type="auto"/>
            <w:shd w:val="clear" w:color="auto" w:fill="auto"/>
            <w:vAlign w:val="center"/>
          </w:tcPr>
          <w:p w14:paraId="1CAF591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0746742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200m范围内主要为盐田及采矿用地、天然牧草地、裸土地</w:t>
            </w:r>
          </w:p>
        </w:tc>
        <w:tc>
          <w:tcPr>
            <w:tcW w:w="486" w:type="pct"/>
            <w:shd w:val="clear" w:color="auto" w:fill="auto"/>
            <w:vAlign w:val="center"/>
          </w:tcPr>
          <w:p w14:paraId="54C1BAC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0DFD084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6C50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261813E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0AF2F57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夏202至XHW7202井集油管线</w:t>
            </w:r>
          </w:p>
        </w:tc>
        <w:tc>
          <w:tcPr>
            <w:tcW w:w="0" w:type="auto"/>
            <w:shd w:val="clear" w:color="auto" w:fill="auto"/>
            <w:vAlign w:val="center"/>
          </w:tcPr>
          <w:p w14:paraId="796195B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604C7EA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200m范围内主要为盐田及采矿用地、天然牧草地、裸土地</w:t>
            </w:r>
          </w:p>
        </w:tc>
        <w:tc>
          <w:tcPr>
            <w:tcW w:w="486" w:type="pct"/>
            <w:shd w:val="clear" w:color="auto" w:fill="auto"/>
            <w:vAlign w:val="center"/>
          </w:tcPr>
          <w:p w14:paraId="512B5EF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15D9695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0085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63A6BCD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343CAEE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夏203至92_H井集油管线</w:t>
            </w:r>
          </w:p>
        </w:tc>
        <w:tc>
          <w:tcPr>
            <w:tcW w:w="0" w:type="auto"/>
            <w:shd w:val="clear" w:color="auto" w:fill="auto"/>
            <w:vAlign w:val="center"/>
          </w:tcPr>
          <w:p w14:paraId="3A445D7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56A992A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200m范围内主要为盐田及采矿用地、天然牧草地、裸土地</w:t>
            </w:r>
          </w:p>
        </w:tc>
        <w:tc>
          <w:tcPr>
            <w:tcW w:w="486" w:type="pct"/>
            <w:shd w:val="clear" w:color="auto" w:fill="auto"/>
            <w:vAlign w:val="center"/>
          </w:tcPr>
          <w:p w14:paraId="413E833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68E73D8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19D8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705C97D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7FE9E50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玛61至夏724井集油管线</w:t>
            </w:r>
          </w:p>
        </w:tc>
        <w:tc>
          <w:tcPr>
            <w:tcW w:w="0" w:type="auto"/>
            <w:shd w:val="clear" w:color="auto" w:fill="auto"/>
            <w:vAlign w:val="center"/>
          </w:tcPr>
          <w:p w14:paraId="41C6959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538B4B3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200m范围内主要为盐田及采矿用地、天然牧草地、农村道路</w:t>
            </w:r>
          </w:p>
        </w:tc>
        <w:tc>
          <w:tcPr>
            <w:tcW w:w="486" w:type="pct"/>
            <w:shd w:val="clear" w:color="auto" w:fill="auto"/>
            <w:vAlign w:val="center"/>
          </w:tcPr>
          <w:p w14:paraId="5ADD30E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6337155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488B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394B4E0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47D5859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夏209至1104阀池集油管线</w:t>
            </w:r>
          </w:p>
        </w:tc>
        <w:tc>
          <w:tcPr>
            <w:tcW w:w="0" w:type="auto"/>
            <w:shd w:val="clear" w:color="auto" w:fill="auto"/>
            <w:vAlign w:val="center"/>
          </w:tcPr>
          <w:p w14:paraId="3B1A195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51B605A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rPr>
            </w:pPr>
            <w:r>
              <w:rPr>
                <w:rFonts w:hint="eastAsia"/>
                <w:b w:val="0"/>
                <w:bCs w:val="0"/>
                <w:color w:val="auto"/>
                <w:lang w:val="en-US" w:eastAsia="zh-CN"/>
              </w:rPr>
              <w:t>200m范围内主要为灌木林地、天然牧草地</w:t>
            </w:r>
          </w:p>
        </w:tc>
        <w:tc>
          <w:tcPr>
            <w:tcW w:w="486" w:type="pct"/>
            <w:shd w:val="clear" w:color="auto" w:fill="auto"/>
            <w:vAlign w:val="center"/>
          </w:tcPr>
          <w:p w14:paraId="4D17184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39EBD29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2520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63" w:type="pct"/>
            <w:vMerge w:val="continue"/>
            <w:shd w:val="clear" w:color="auto" w:fill="auto"/>
            <w:vAlign w:val="center"/>
          </w:tcPr>
          <w:p w14:paraId="3F4A019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lang w:eastAsia="zh"/>
              </w:rPr>
            </w:pPr>
          </w:p>
        </w:tc>
        <w:tc>
          <w:tcPr>
            <w:tcW w:w="0" w:type="auto"/>
            <w:shd w:val="clear" w:color="auto" w:fill="auto"/>
            <w:vAlign w:val="center"/>
          </w:tcPr>
          <w:p w14:paraId="6FA2299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夏207H至27号计量站集油管线</w:t>
            </w:r>
          </w:p>
        </w:tc>
        <w:tc>
          <w:tcPr>
            <w:tcW w:w="0" w:type="auto"/>
            <w:shd w:val="clear" w:color="auto" w:fill="auto"/>
            <w:vAlign w:val="center"/>
          </w:tcPr>
          <w:p w14:paraId="4BF3FDE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0026089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200m范围内主要为天然牧草地</w:t>
            </w:r>
          </w:p>
        </w:tc>
        <w:tc>
          <w:tcPr>
            <w:tcW w:w="486" w:type="pct"/>
            <w:shd w:val="clear" w:color="auto" w:fill="auto"/>
            <w:vAlign w:val="center"/>
          </w:tcPr>
          <w:p w14:paraId="6A7729E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敏感</w:t>
            </w:r>
          </w:p>
        </w:tc>
        <w:tc>
          <w:tcPr>
            <w:tcW w:w="520" w:type="pct"/>
            <w:shd w:val="clear" w:color="auto" w:fill="auto"/>
            <w:vAlign w:val="center"/>
          </w:tcPr>
          <w:p w14:paraId="2C0A199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二级</w:t>
            </w:r>
          </w:p>
        </w:tc>
      </w:tr>
      <w:tr w14:paraId="1555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0" w:type="auto"/>
            <w:shd w:val="clear" w:color="auto" w:fill="auto"/>
            <w:vAlign w:val="center"/>
          </w:tcPr>
          <w:p w14:paraId="4AC8E6F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玛湖第三采油作业区</w:t>
            </w:r>
          </w:p>
        </w:tc>
        <w:tc>
          <w:tcPr>
            <w:tcW w:w="0" w:type="auto"/>
            <w:shd w:val="clear" w:color="auto" w:fill="auto"/>
            <w:vAlign w:val="center"/>
          </w:tcPr>
          <w:p w14:paraId="2266E3C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赛探1至艾湖30#站阀池集油管线</w:t>
            </w:r>
          </w:p>
        </w:tc>
        <w:tc>
          <w:tcPr>
            <w:tcW w:w="0" w:type="auto"/>
            <w:shd w:val="clear" w:color="auto" w:fill="auto"/>
            <w:vAlign w:val="center"/>
          </w:tcPr>
          <w:p w14:paraId="2DC6482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color w:val="auto"/>
                <w:sz w:val="21"/>
                <w:szCs w:val="22"/>
                <w:lang w:val="en-US" w:eastAsia="zh-CN" w:bidi="ar-SA"/>
              </w:rPr>
            </w:pPr>
            <w:r>
              <w:rPr>
                <w:color w:val="auto"/>
              </w:rPr>
              <w:t>Ⅱ类</w:t>
            </w:r>
          </w:p>
        </w:tc>
        <w:tc>
          <w:tcPr>
            <w:tcW w:w="2196" w:type="pct"/>
            <w:shd w:val="clear" w:color="auto" w:fill="auto"/>
            <w:vAlign w:val="center"/>
          </w:tcPr>
          <w:p w14:paraId="3E15160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200m范围内主要为盐田及采矿用地</w:t>
            </w:r>
          </w:p>
        </w:tc>
        <w:tc>
          <w:tcPr>
            <w:tcW w:w="486" w:type="pct"/>
            <w:shd w:val="clear" w:color="auto" w:fill="auto"/>
            <w:vAlign w:val="center"/>
          </w:tcPr>
          <w:p w14:paraId="449EBE5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不敏感</w:t>
            </w:r>
          </w:p>
        </w:tc>
        <w:tc>
          <w:tcPr>
            <w:tcW w:w="520" w:type="pct"/>
            <w:shd w:val="clear" w:color="auto" w:fill="auto"/>
            <w:vAlign w:val="center"/>
          </w:tcPr>
          <w:p w14:paraId="2C9EE5D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三级</w:t>
            </w:r>
          </w:p>
        </w:tc>
      </w:tr>
    </w:tbl>
    <w:p w14:paraId="2F6BC51E">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②土壤生态影响型</w:t>
      </w:r>
    </w:p>
    <w:p w14:paraId="2835DD57">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土壤生态影响型建设项目根据建设项目类别、敏感程度划分评价工作等级，土壤生态影响型敏感程度分级见表2.5-13，评价工作等级划分见表2.5-14。</w:t>
      </w:r>
    </w:p>
    <w:p w14:paraId="3A0FBAAD">
      <w:pPr>
        <w:pStyle w:val="43"/>
        <w:bidi w:val="0"/>
        <w:rPr>
          <w:rFonts w:hint="default"/>
          <w:color w:val="auto"/>
          <w:lang w:val="en-US" w:eastAsia="zh-CN"/>
        </w:rPr>
      </w:pPr>
      <w:r>
        <w:rPr>
          <w:rFonts w:hint="eastAsia"/>
          <w:color w:val="auto"/>
          <w:lang w:val="en-US" w:eastAsia="zh-CN"/>
        </w:rPr>
        <w:t>表2.5-13  土壤生态影响型敏感程度分级表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3735"/>
        <w:gridCol w:w="1752"/>
        <w:gridCol w:w="1694"/>
      </w:tblGrid>
      <w:tr w14:paraId="1CA7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786" w:type="pct"/>
            <w:vMerge w:val="restart"/>
            <w:noWrap w:val="0"/>
            <w:vAlign w:val="center"/>
          </w:tcPr>
          <w:p w14:paraId="4A539BF8">
            <w:pPr>
              <w:pStyle w:val="15"/>
              <w:spacing w:after="0" w:line="240" w:lineRule="auto"/>
              <w:ind w:left="0" w:left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敏感程度</w:t>
            </w:r>
          </w:p>
        </w:tc>
        <w:tc>
          <w:tcPr>
            <w:tcW w:w="4213" w:type="pct"/>
            <w:gridSpan w:val="3"/>
            <w:noWrap w:val="0"/>
            <w:vAlign w:val="center"/>
          </w:tcPr>
          <w:p w14:paraId="0EEBF69B">
            <w:pPr>
              <w:pStyle w:val="15"/>
              <w:spacing w:after="0" w:line="240" w:lineRule="auto"/>
              <w:ind w:left="0" w:left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判别依据</w:t>
            </w:r>
          </w:p>
        </w:tc>
      </w:tr>
      <w:tr w14:paraId="5A97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786" w:type="pct"/>
            <w:vMerge w:val="continue"/>
            <w:noWrap w:val="0"/>
            <w:vAlign w:val="center"/>
          </w:tcPr>
          <w:p w14:paraId="47A4F5BD">
            <w:pPr>
              <w:pStyle w:val="15"/>
              <w:spacing w:after="0" w:line="240" w:lineRule="auto"/>
              <w:ind w:left="0" w:leftChars="0"/>
              <w:jc w:val="center"/>
              <w:rPr>
                <w:b/>
                <w:bCs/>
                <w:color w:val="auto"/>
              </w:rPr>
            </w:pPr>
          </w:p>
        </w:tc>
        <w:tc>
          <w:tcPr>
            <w:tcW w:w="2192" w:type="pct"/>
            <w:noWrap w:val="0"/>
            <w:vAlign w:val="center"/>
          </w:tcPr>
          <w:p w14:paraId="52B281A4">
            <w:pPr>
              <w:pStyle w:val="15"/>
              <w:spacing w:after="0" w:line="240" w:lineRule="auto"/>
              <w:ind w:left="0" w:leftChars="0"/>
              <w:jc w:val="center"/>
              <w:rPr>
                <w:rFonts w:hint="eastAsia" w:eastAsia="宋体"/>
                <w:b/>
                <w:bCs/>
                <w:color w:val="auto"/>
                <w:lang w:val="en-US" w:eastAsia="zh-CN"/>
              </w:rPr>
            </w:pPr>
            <w:r>
              <w:rPr>
                <w:rFonts w:hint="eastAsia"/>
                <w:b/>
                <w:bCs/>
                <w:color w:val="auto"/>
                <w:lang w:val="en-US" w:eastAsia="zh-CN"/>
              </w:rPr>
              <w:t>盐化</w:t>
            </w:r>
          </w:p>
        </w:tc>
        <w:tc>
          <w:tcPr>
            <w:tcW w:w="1028" w:type="pct"/>
            <w:noWrap w:val="0"/>
            <w:vAlign w:val="center"/>
          </w:tcPr>
          <w:p w14:paraId="3CB7C6D9">
            <w:pPr>
              <w:pStyle w:val="15"/>
              <w:spacing w:after="0" w:line="240" w:lineRule="auto"/>
              <w:ind w:left="0" w:leftChars="0"/>
              <w:jc w:val="center"/>
              <w:rPr>
                <w:rFonts w:hint="eastAsia" w:eastAsia="宋体"/>
                <w:b/>
                <w:bCs/>
                <w:color w:val="auto"/>
                <w:lang w:val="en-US" w:eastAsia="zh-CN"/>
              </w:rPr>
            </w:pPr>
            <w:r>
              <w:rPr>
                <w:rFonts w:hint="eastAsia"/>
                <w:b/>
                <w:bCs/>
                <w:color w:val="auto"/>
                <w:lang w:val="en-US" w:eastAsia="zh-CN"/>
              </w:rPr>
              <w:t>酸化</w:t>
            </w:r>
          </w:p>
        </w:tc>
        <w:tc>
          <w:tcPr>
            <w:tcW w:w="992" w:type="pct"/>
            <w:noWrap w:val="0"/>
            <w:vAlign w:val="center"/>
          </w:tcPr>
          <w:p w14:paraId="53A1214C">
            <w:pPr>
              <w:pStyle w:val="15"/>
              <w:spacing w:after="0" w:line="240" w:lineRule="auto"/>
              <w:ind w:left="0" w:leftChars="0"/>
              <w:jc w:val="center"/>
              <w:rPr>
                <w:rFonts w:hint="eastAsia" w:ascii="Times New Roman" w:hAnsi="Times New Roman" w:eastAsia="宋体"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碱化</w:t>
            </w:r>
          </w:p>
        </w:tc>
      </w:tr>
      <w:tr w14:paraId="2800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86" w:type="pct"/>
            <w:noWrap w:val="0"/>
            <w:vAlign w:val="center"/>
          </w:tcPr>
          <w:p w14:paraId="36B28036">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敏感</w:t>
            </w:r>
          </w:p>
        </w:tc>
        <w:tc>
          <w:tcPr>
            <w:tcW w:w="2192" w:type="pct"/>
            <w:noWrap w:val="0"/>
            <w:vAlign w:val="center"/>
          </w:tcPr>
          <w:p w14:paraId="70DC4FA5">
            <w:pPr>
              <w:spacing w:after="0" w:line="240" w:lineRule="auto"/>
              <w:ind w:left="0" w:leftChars="0"/>
              <w:jc w:val="center"/>
              <w:rPr>
                <w:rFonts w:hint="default" w:ascii="Times New Roman" w:hAnsi="Times New Roman" w:cs="Times New Roman"/>
                <w:color w:val="auto"/>
                <w:kern w:val="0"/>
                <w:szCs w:val="21"/>
              </w:rPr>
            </w:pPr>
            <w:r>
              <w:rPr>
                <w:rFonts w:hint="eastAsia"/>
                <w:color w:val="auto"/>
              </w:rPr>
              <w:t>建设项目所在地干燥度</w:t>
            </w:r>
            <w:r>
              <w:rPr>
                <w:rFonts w:hint="eastAsia"/>
                <w:color w:val="auto"/>
                <w:vertAlign w:val="superscript"/>
                <w:lang w:val="en-US" w:eastAsia="zh-CN"/>
              </w:rPr>
              <w:t>a</w:t>
            </w:r>
            <w:r>
              <w:rPr>
                <w:rFonts w:hint="eastAsia"/>
                <w:color w:val="auto"/>
              </w:rPr>
              <w:t>&gt;2.5且常年地下水位平均埋深&lt;1.5m的地势平坦区域</w:t>
            </w:r>
            <w:r>
              <w:rPr>
                <w:rFonts w:hint="eastAsia"/>
                <w:color w:val="auto"/>
                <w:lang w:eastAsia="zh-CN"/>
              </w:rPr>
              <w:t>；</w:t>
            </w:r>
            <w:r>
              <w:rPr>
                <w:rFonts w:hint="eastAsia"/>
                <w:color w:val="auto"/>
              </w:rPr>
              <w:t>或土壤含盐量&gt;4g</w:t>
            </w:r>
            <w:r>
              <w:rPr>
                <w:rFonts w:hint="eastAsia"/>
                <w:color w:val="auto"/>
                <w:lang w:val="en-US" w:eastAsia="zh-CN"/>
              </w:rPr>
              <w:t>/</w:t>
            </w:r>
            <w:r>
              <w:rPr>
                <w:rFonts w:hint="eastAsia"/>
                <w:color w:val="auto"/>
              </w:rPr>
              <w:t>kg的区域</w:t>
            </w:r>
          </w:p>
        </w:tc>
        <w:tc>
          <w:tcPr>
            <w:tcW w:w="1028" w:type="pct"/>
            <w:noWrap w:val="0"/>
            <w:vAlign w:val="center"/>
          </w:tcPr>
          <w:p w14:paraId="2173500C">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pH≤4.5</w:t>
            </w:r>
          </w:p>
        </w:tc>
        <w:tc>
          <w:tcPr>
            <w:tcW w:w="992" w:type="pct"/>
            <w:noWrap w:val="0"/>
            <w:vAlign w:val="center"/>
          </w:tcPr>
          <w:p w14:paraId="27F250D7">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pH≥9.0</w:t>
            </w:r>
          </w:p>
        </w:tc>
      </w:tr>
      <w:tr w14:paraId="5484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86" w:type="pct"/>
            <w:noWrap w:val="0"/>
            <w:vAlign w:val="center"/>
          </w:tcPr>
          <w:p w14:paraId="5A8D0F82">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较敏感</w:t>
            </w:r>
          </w:p>
        </w:tc>
        <w:tc>
          <w:tcPr>
            <w:tcW w:w="2192" w:type="pct"/>
            <w:noWrap w:val="0"/>
            <w:vAlign w:val="center"/>
          </w:tcPr>
          <w:p w14:paraId="14CECA4A">
            <w:pPr>
              <w:spacing w:after="0" w:line="240" w:lineRule="auto"/>
              <w:ind w:left="0" w:leftChars="0"/>
              <w:jc w:val="center"/>
              <w:rPr>
                <w:rFonts w:hint="default" w:ascii="Times New Roman" w:hAnsi="Times New Roman" w:cs="Times New Roman"/>
                <w:color w:val="auto"/>
                <w:kern w:val="0"/>
                <w:szCs w:val="21"/>
              </w:rPr>
            </w:pPr>
            <w:r>
              <w:rPr>
                <w:rFonts w:hint="eastAsia"/>
                <w:color w:val="auto"/>
              </w:rPr>
              <w:t>建设项目所在地干燥度&gt;2.5且常年地下水位平均埋深&gt;1.5m的，或1.8&lt;干燥度≤2.5且常年地下水位平均埋深&lt;1.8m的地势平坦区域</w:t>
            </w:r>
            <w:r>
              <w:rPr>
                <w:rFonts w:hint="eastAsia"/>
                <w:color w:val="auto"/>
                <w:lang w:eastAsia="zh-CN"/>
              </w:rPr>
              <w:t>；</w:t>
            </w:r>
            <w:r>
              <w:rPr>
                <w:rFonts w:hint="eastAsia"/>
                <w:color w:val="auto"/>
              </w:rPr>
              <w:t>建设项目所在地干燥度&gt;25或常年地下水位平均埋深&lt;1.5m的平原区</w:t>
            </w:r>
            <w:r>
              <w:rPr>
                <w:rFonts w:hint="eastAsia"/>
                <w:color w:val="auto"/>
                <w:lang w:eastAsia="zh-CN"/>
              </w:rPr>
              <w:t>；</w:t>
            </w:r>
            <w:r>
              <w:rPr>
                <w:rFonts w:hint="eastAsia"/>
                <w:color w:val="auto"/>
              </w:rPr>
              <w:t>或2g</w:t>
            </w:r>
            <w:r>
              <w:rPr>
                <w:rFonts w:hint="eastAsia"/>
                <w:color w:val="auto"/>
                <w:lang w:val="en-US" w:eastAsia="zh-CN"/>
              </w:rPr>
              <w:t>/</w:t>
            </w:r>
            <w:r>
              <w:rPr>
                <w:rFonts w:hint="eastAsia"/>
                <w:color w:val="auto"/>
              </w:rPr>
              <w:t>kg&lt;土壤含盐量≤4g/kg的区域</w:t>
            </w:r>
          </w:p>
        </w:tc>
        <w:tc>
          <w:tcPr>
            <w:tcW w:w="1028" w:type="pct"/>
            <w:noWrap w:val="0"/>
            <w:vAlign w:val="center"/>
          </w:tcPr>
          <w:p w14:paraId="10C2F078">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4.5&lt;pH≤5.5</w:t>
            </w:r>
          </w:p>
        </w:tc>
        <w:tc>
          <w:tcPr>
            <w:tcW w:w="992" w:type="pct"/>
            <w:noWrap w:val="0"/>
            <w:vAlign w:val="center"/>
          </w:tcPr>
          <w:p w14:paraId="36FB1FEF">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8.5≤pH&lt;9.0</w:t>
            </w:r>
          </w:p>
        </w:tc>
      </w:tr>
      <w:tr w14:paraId="6310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86" w:type="pct"/>
            <w:noWrap w:val="0"/>
            <w:vAlign w:val="center"/>
          </w:tcPr>
          <w:p w14:paraId="43ED8901">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不敏感</w:t>
            </w:r>
          </w:p>
        </w:tc>
        <w:tc>
          <w:tcPr>
            <w:tcW w:w="2192" w:type="pct"/>
            <w:noWrap w:val="0"/>
            <w:vAlign w:val="center"/>
          </w:tcPr>
          <w:p w14:paraId="76D570E6">
            <w:pPr>
              <w:spacing w:after="0" w:line="240" w:lineRule="auto"/>
              <w:ind w:left="0" w:lef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其他</w:t>
            </w:r>
          </w:p>
        </w:tc>
        <w:tc>
          <w:tcPr>
            <w:tcW w:w="2021" w:type="pct"/>
            <w:gridSpan w:val="2"/>
            <w:noWrap w:val="0"/>
            <w:vAlign w:val="center"/>
          </w:tcPr>
          <w:p w14:paraId="591FB785">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5.5&lt;pH&lt;8.5</w:t>
            </w:r>
          </w:p>
        </w:tc>
      </w:tr>
      <w:tr w14:paraId="240B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000" w:type="pct"/>
            <w:gridSpan w:val="4"/>
            <w:noWrap w:val="0"/>
            <w:vAlign w:val="center"/>
          </w:tcPr>
          <w:p w14:paraId="5A281E00">
            <w:pPr>
              <w:pStyle w:val="15"/>
              <w:spacing w:after="0" w:line="240" w:lineRule="auto"/>
              <w:ind w:left="0" w:leftChars="0"/>
              <w:jc w:val="left"/>
              <w:rPr>
                <w:rFonts w:hint="default" w:ascii="Times New Roman" w:hAnsi="Times New Roman" w:cs="Times New Roman"/>
                <w:color w:val="auto"/>
                <w:kern w:val="0"/>
                <w:szCs w:val="21"/>
              </w:rPr>
            </w:pPr>
            <w:r>
              <w:rPr>
                <w:rFonts w:hint="eastAsia"/>
                <w:color w:val="auto"/>
                <w:vertAlign w:val="superscript"/>
                <w:lang w:val="en-US" w:eastAsia="zh-CN"/>
              </w:rPr>
              <w:t>a</w:t>
            </w:r>
            <w:r>
              <w:rPr>
                <w:rFonts w:hint="default" w:ascii="Times New Roman" w:hAnsi="Times New Roman" w:cs="Times New Roman"/>
                <w:color w:val="auto"/>
                <w:kern w:val="0"/>
                <w:szCs w:val="21"/>
              </w:rPr>
              <w:t>是指采用E601观测的多年平均水面蒸发量与降水量的比值，即蒸降比值。</w:t>
            </w:r>
          </w:p>
        </w:tc>
      </w:tr>
    </w:tbl>
    <w:p w14:paraId="2FF75E13">
      <w:pPr>
        <w:pStyle w:val="43"/>
        <w:bidi w:val="0"/>
        <w:rPr>
          <w:rFonts w:hint="default"/>
          <w:color w:val="auto"/>
        </w:rPr>
      </w:pPr>
      <w:r>
        <w:rPr>
          <w:rFonts w:hint="eastAsia"/>
          <w:color w:val="auto"/>
          <w:lang w:val="en-US" w:eastAsia="zh-CN"/>
        </w:rPr>
        <w:t>2.5-14</w:t>
      </w:r>
      <w:r>
        <w:rPr>
          <w:rFonts w:hint="default"/>
          <w:color w:val="auto"/>
        </w:rPr>
        <w:t xml:space="preserve">  </w:t>
      </w:r>
      <w:r>
        <w:rPr>
          <w:rFonts w:hint="eastAsia"/>
          <w:color w:val="auto"/>
          <w:lang w:val="en-US" w:eastAsia="zh-CN"/>
        </w:rPr>
        <w:t>土壤生态影响</w:t>
      </w:r>
      <w:r>
        <w:rPr>
          <w:rFonts w:hint="default"/>
          <w:color w:val="auto"/>
        </w:rPr>
        <w:t>型评价工作等级划分表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6"/>
        <w:gridCol w:w="1697"/>
        <w:gridCol w:w="1697"/>
        <w:gridCol w:w="1699"/>
      </w:tblGrid>
      <w:tr w14:paraId="5AF5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2011" w:type="pct"/>
            <w:noWrap w:val="0"/>
            <w:vAlign w:val="center"/>
            <mc:AlternateContent>
              <mc:Choice Requires="wpsCustomData">
                <wpsCustomData:diagonals>
                  <wpsCustomData:diagonal from="30000" to="7900">
                    <wpsCustomData:border w:val="single" w:color="auto" w:sz="4" w:space="0"/>
                  </wpsCustomData:diagonal>
                  <wpsCustomData:diagonal from="30000" to="14200">
                    <wpsCustomData:border w:val="single" w:color="auto" w:sz="4" w:space="0"/>
                  </wpsCustomData:diagonal>
                </wpsCustomData:diagonals>
              </mc:Choice>
            </mc:AlternateContent>
          </w:tcPr>
          <w:p w14:paraId="0EC56B82">
            <w:pPr>
              <mc:AlternateContent>
                <mc:Choice Requires="wpsCustomData">
                  <wpsCustomData:diagonalParaType/>
                </mc:Choice>
              </mc:AlternateContent>
              <w:rPr>
                <w:rFonts w:hint="default"/>
                <w:b/>
                <w:bCs/>
                <w:color w:val="auto"/>
                <w:lang w:val="en-US" w:eastAsia="zh-CN"/>
              </w:rPr>
            </w:pPr>
            <w:r>
              <w:rPr>
                <w:rFonts w:hint="eastAsia"/>
                <w:b/>
                <w:bCs/>
                <w:color w:val="auto"/>
                <w:lang w:val="en-US" w:eastAsia="zh-CN"/>
              </w:rPr>
              <w:t>敏感程度</w:t>
            </w:r>
          </w:p>
          <w:p w14:paraId="691814D1">
            <w:pPr>
              <w:pStyle w:val="15"/>
              <w:snapToGrid w:val="0"/>
              <w:spacing w:after="0" w:line="240" w:lineRule="auto"/>
              <w:ind w:left="0" w:leftChars="0"/>
              <w:jc w:val="center"/>
              <mc:AlternateContent>
                <mc:Choice Requires="wpsCustomData">
                  <wpsCustomData:diagonalParaType/>
                </mc:Choice>
              </mc:AlternateContent>
              <w:rPr>
                <w:rFonts w:hint="eastAsia" w:ascii="Times New Roman" w:hAnsi="Times New Roman" w:eastAsia="宋体" w:cs="Times New Roman"/>
                <w:b/>
                <w:bCs/>
                <w:color w:val="auto"/>
                <w:kern w:val="0"/>
                <w:szCs w:val="21"/>
                <w:lang w:eastAsia="zh-CN"/>
              </w:rPr>
            </w:pPr>
            <w:r>
              <w:rPr>
                <w:rFonts w:hint="default" w:ascii="Times New Roman" w:hAnsi="Times New Roman" w:cs="Times New Roman"/>
                <w:b/>
                <w:bCs/>
                <w:color w:val="auto"/>
                <w:kern w:val="0"/>
                <w:szCs w:val="21"/>
              </w:rPr>
              <w:t>评价工作等级</w:t>
            </w:r>
          </w:p>
          <w:p w14:paraId="001C1DC6">
            <w:pPr>
              <w:pStyle w:val="15"/>
              <w:spacing w:after="0" w:line="240" w:lineRule="auto"/>
              <w:ind w:left="0" w:leftChars="0"/>
              <w:jc w:val="center"/>
              <w:rPr>
                <w:rFonts w:hint="eastAsia" w:ascii="Times New Roman" w:hAnsi="Times New Roman" w:eastAsia="宋体" w:cs="Times New Roman"/>
                <w:b/>
                <w:bCs/>
                <w:color w:val="auto"/>
                <w:kern w:val="0"/>
                <w:szCs w:val="21"/>
                <w:lang w:eastAsia="zh-CN"/>
              </w:rPr>
            </w:pPr>
            <w:r>
              <w:rPr>
                <w:rFonts w:hint="eastAsia" w:ascii="Times New Roman" w:hAnsi="Times New Roman" w:cs="Times New Roman"/>
                <w:b/>
                <w:bCs/>
                <w:color w:val="auto"/>
                <w:kern w:val="0"/>
                <w:szCs w:val="21"/>
                <w:lang w:val="en-US" w:eastAsia="zh-CN"/>
              </w:rPr>
              <w:t>项目类别</w:t>
            </w:r>
          </w:p>
        </w:tc>
        <w:tc>
          <w:tcPr>
            <w:tcW w:w="996" w:type="pct"/>
            <w:noWrap w:val="0"/>
            <w:vAlign w:val="center"/>
          </w:tcPr>
          <w:p w14:paraId="5B890E86">
            <w:pPr>
              <w:pStyle w:val="15"/>
              <w:spacing w:after="0" w:line="240" w:lineRule="auto"/>
              <w:ind w:left="0" w:left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Ⅰ类</w:t>
            </w:r>
          </w:p>
        </w:tc>
        <w:tc>
          <w:tcPr>
            <w:tcW w:w="996" w:type="pct"/>
            <w:noWrap w:val="0"/>
            <w:vAlign w:val="center"/>
          </w:tcPr>
          <w:p w14:paraId="7413249E">
            <w:pPr>
              <w:pStyle w:val="15"/>
              <w:spacing w:after="0" w:line="240" w:lineRule="auto"/>
              <w:ind w:left="0" w:leftChars="0"/>
              <w:jc w:val="center"/>
              <w:rPr>
                <w:rFonts w:hint="default" w:ascii="Times New Roman" w:hAnsi="Times New Roman" w:cs="Times New Roman"/>
                <w:b/>
                <w:bCs/>
                <w:color w:val="auto"/>
                <w:kern w:val="0"/>
                <w:szCs w:val="21"/>
              </w:rPr>
            </w:pPr>
            <w:r>
              <w:rPr>
                <w:rFonts w:hint="default" w:ascii="Times New Roman" w:hAnsi="Times New Roman" w:eastAsia="微软雅黑" w:cs="Times New Roman"/>
                <w:b/>
                <w:bCs/>
                <w:color w:val="auto"/>
                <w:kern w:val="0"/>
                <w:szCs w:val="21"/>
              </w:rPr>
              <w:t>Ⅱ</w:t>
            </w:r>
            <w:r>
              <w:rPr>
                <w:rFonts w:hint="default" w:ascii="Times New Roman" w:hAnsi="Times New Roman" w:cs="Times New Roman"/>
                <w:b/>
                <w:bCs/>
                <w:color w:val="auto"/>
                <w:kern w:val="0"/>
                <w:szCs w:val="21"/>
              </w:rPr>
              <w:t>类</w:t>
            </w:r>
          </w:p>
        </w:tc>
        <w:tc>
          <w:tcPr>
            <w:tcW w:w="996" w:type="pct"/>
            <w:noWrap w:val="0"/>
            <w:vAlign w:val="center"/>
          </w:tcPr>
          <w:p w14:paraId="04A900A4">
            <w:pPr>
              <w:pStyle w:val="15"/>
              <w:spacing w:after="0" w:line="240" w:lineRule="auto"/>
              <w:ind w:left="0" w:leftChars="0"/>
              <w:jc w:val="center"/>
              <w:rPr>
                <w:rFonts w:hint="default" w:ascii="Times New Roman" w:hAnsi="Times New Roman" w:cs="Times New Roman"/>
                <w:b/>
                <w:bCs/>
                <w:color w:val="auto"/>
                <w:kern w:val="0"/>
                <w:szCs w:val="21"/>
              </w:rPr>
            </w:pPr>
            <w:r>
              <w:rPr>
                <w:rFonts w:hint="default" w:ascii="Times New Roman" w:hAnsi="Times New Roman" w:eastAsia="微软雅黑" w:cs="Times New Roman"/>
                <w:b/>
                <w:bCs/>
                <w:color w:val="auto"/>
                <w:kern w:val="0"/>
                <w:szCs w:val="21"/>
              </w:rPr>
              <w:t>Ⅲ</w:t>
            </w:r>
            <w:r>
              <w:rPr>
                <w:rFonts w:hint="default" w:ascii="Times New Roman" w:hAnsi="Times New Roman" w:cs="Times New Roman"/>
                <w:b/>
                <w:bCs/>
                <w:color w:val="auto"/>
                <w:kern w:val="0"/>
                <w:szCs w:val="21"/>
              </w:rPr>
              <w:t>类</w:t>
            </w:r>
          </w:p>
        </w:tc>
      </w:tr>
      <w:tr w14:paraId="3CEB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011" w:type="pct"/>
            <w:noWrap w:val="0"/>
            <w:vAlign w:val="center"/>
          </w:tcPr>
          <w:p w14:paraId="323C2B5B">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敏感</w:t>
            </w:r>
          </w:p>
        </w:tc>
        <w:tc>
          <w:tcPr>
            <w:tcW w:w="996" w:type="pct"/>
            <w:noWrap w:val="0"/>
            <w:vAlign w:val="center"/>
          </w:tcPr>
          <w:p w14:paraId="4A39D730">
            <w:pPr>
              <w:spacing w:after="0" w:line="240" w:lineRule="auto"/>
              <w:ind w:left="0" w:leftChars="0"/>
              <w:jc w:val="center"/>
              <w:rPr>
                <w:rFonts w:hint="default" w:ascii="Times New Roman" w:hAnsi="Times New Roman" w:cs="Times New Roman"/>
                <w:color w:val="auto"/>
                <w:kern w:val="0"/>
                <w:szCs w:val="21"/>
              </w:rPr>
            </w:pPr>
            <w:r>
              <w:rPr>
                <w:rFonts w:hint="eastAsia"/>
                <w:color w:val="auto"/>
              </w:rPr>
              <w:t>一级</w:t>
            </w:r>
          </w:p>
        </w:tc>
        <w:tc>
          <w:tcPr>
            <w:tcW w:w="996" w:type="pct"/>
            <w:noWrap w:val="0"/>
            <w:vAlign w:val="center"/>
          </w:tcPr>
          <w:p w14:paraId="31642F6D">
            <w:pPr>
              <w:spacing w:after="0" w:line="240" w:lineRule="auto"/>
              <w:ind w:left="0" w:leftChars="0"/>
              <w:jc w:val="center"/>
              <w:rPr>
                <w:rFonts w:hint="default" w:ascii="Times New Roman" w:hAnsi="Times New Roman" w:cs="Times New Roman"/>
                <w:color w:val="auto"/>
                <w:kern w:val="0"/>
                <w:szCs w:val="21"/>
              </w:rPr>
            </w:pPr>
            <w:r>
              <w:rPr>
                <w:rFonts w:hint="eastAsia"/>
                <w:color w:val="auto"/>
              </w:rPr>
              <w:t>二级</w:t>
            </w:r>
          </w:p>
        </w:tc>
        <w:tc>
          <w:tcPr>
            <w:tcW w:w="996" w:type="pct"/>
            <w:noWrap w:val="0"/>
            <w:vAlign w:val="center"/>
          </w:tcPr>
          <w:p w14:paraId="58C560C1">
            <w:pPr>
              <w:spacing w:after="0" w:line="240" w:lineRule="auto"/>
              <w:ind w:left="0" w:leftChars="0"/>
              <w:jc w:val="center"/>
              <w:rPr>
                <w:rFonts w:hint="default" w:ascii="Times New Roman" w:hAnsi="Times New Roman" w:cs="Times New Roman"/>
                <w:color w:val="auto"/>
                <w:kern w:val="0"/>
                <w:szCs w:val="21"/>
              </w:rPr>
            </w:pPr>
            <w:r>
              <w:rPr>
                <w:rFonts w:hint="eastAsia"/>
                <w:color w:val="auto"/>
                <w:lang w:val="en-US" w:eastAsia="zh-CN"/>
              </w:rPr>
              <w:t>三</w:t>
            </w:r>
            <w:r>
              <w:rPr>
                <w:rFonts w:hint="eastAsia"/>
                <w:color w:val="auto"/>
              </w:rPr>
              <w:t>级</w:t>
            </w:r>
          </w:p>
        </w:tc>
      </w:tr>
      <w:tr w14:paraId="6738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011" w:type="pct"/>
            <w:noWrap w:val="0"/>
            <w:vAlign w:val="center"/>
          </w:tcPr>
          <w:p w14:paraId="750488BD">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较敏感</w:t>
            </w:r>
          </w:p>
        </w:tc>
        <w:tc>
          <w:tcPr>
            <w:tcW w:w="996" w:type="pct"/>
            <w:noWrap w:val="0"/>
            <w:vAlign w:val="center"/>
          </w:tcPr>
          <w:p w14:paraId="7FF8E246">
            <w:pPr>
              <w:spacing w:after="0" w:line="240" w:lineRule="auto"/>
              <w:ind w:left="0" w:leftChars="0"/>
              <w:jc w:val="center"/>
              <w:rPr>
                <w:rFonts w:hint="default" w:ascii="Times New Roman" w:hAnsi="Times New Roman" w:cs="Times New Roman"/>
                <w:color w:val="auto"/>
                <w:kern w:val="0"/>
                <w:szCs w:val="21"/>
              </w:rPr>
            </w:pPr>
            <w:r>
              <w:rPr>
                <w:rFonts w:hint="eastAsia"/>
                <w:color w:val="auto"/>
              </w:rPr>
              <w:t>二级</w:t>
            </w:r>
          </w:p>
        </w:tc>
        <w:tc>
          <w:tcPr>
            <w:tcW w:w="996" w:type="pct"/>
            <w:noWrap w:val="0"/>
            <w:vAlign w:val="center"/>
          </w:tcPr>
          <w:p w14:paraId="29E872A8">
            <w:pPr>
              <w:spacing w:after="0" w:line="240" w:lineRule="auto"/>
              <w:ind w:left="0" w:leftChars="0"/>
              <w:jc w:val="center"/>
              <w:rPr>
                <w:rFonts w:hint="default" w:ascii="Times New Roman" w:hAnsi="Times New Roman" w:cs="Times New Roman"/>
                <w:color w:val="auto"/>
                <w:kern w:val="0"/>
                <w:szCs w:val="21"/>
              </w:rPr>
            </w:pPr>
            <w:r>
              <w:rPr>
                <w:rFonts w:hint="eastAsia"/>
                <w:color w:val="auto"/>
              </w:rPr>
              <w:t>二级</w:t>
            </w:r>
          </w:p>
        </w:tc>
        <w:tc>
          <w:tcPr>
            <w:tcW w:w="996" w:type="pct"/>
            <w:noWrap w:val="0"/>
            <w:vAlign w:val="center"/>
          </w:tcPr>
          <w:p w14:paraId="5B316F31">
            <w:pPr>
              <w:spacing w:after="0" w:line="240" w:lineRule="auto"/>
              <w:ind w:left="0" w:leftChars="0"/>
              <w:jc w:val="center"/>
              <w:rPr>
                <w:rFonts w:hint="default" w:ascii="Times New Roman" w:hAnsi="Times New Roman" w:cs="Times New Roman"/>
                <w:color w:val="auto"/>
                <w:kern w:val="0"/>
                <w:szCs w:val="21"/>
              </w:rPr>
            </w:pPr>
            <w:r>
              <w:rPr>
                <w:rFonts w:hint="eastAsia"/>
                <w:color w:val="auto"/>
                <w:lang w:val="en-US" w:eastAsia="zh-CN"/>
              </w:rPr>
              <w:t>三</w:t>
            </w:r>
            <w:r>
              <w:rPr>
                <w:rFonts w:hint="eastAsia"/>
                <w:color w:val="auto"/>
              </w:rPr>
              <w:t>级</w:t>
            </w:r>
          </w:p>
        </w:tc>
      </w:tr>
      <w:tr w14:paraId="21F5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011" w:type="pct"/>
            <w:noWrap w:val="0"/>
            <w:vAlign w:val="center"/>
          </w:tcPr>
          <w:p w14:paraId="0DD6D9F6">
            <w:pPr>
              <w:pStyle w:val="15"/>
              <w:spacing w:after="0" w:line="240" w:lineRule="auto"/>
              <w:ind w:left="0" w:left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不敏感</w:t>
            </w:r>
          </w:p>
        </w:tc>
        <w:tc>
          <w:tcPr>
            <w:tcW w:w="996" w:type="pct"/>
            <w:noWrap w:val="0"/>
            <w:vAlign w:val="center"/>
          </w:tcPr>
          <w:p w14:paraId="4E900BC6">
            <w:pPr>
              <w:spacing w:after="0" w:line="240" w:lineRule="auto"/>
              <w:ind w:left="0" w:leftChars="0"/>
              <w:jc w:val="center"/>
              <w:rPr>
                <w:rFonts w:hint="default" w:ascii="Times New Roman" w:hAnsi="Times New Roman" w:cs="Times New Roman"/>
                <w:color w:val="auto"/>
                <w:kern w:val="0"/>
                <w:szCs w:val="21"/>
              </w:rPr>
            </w:pPr>
            <w:r>
              <w:rPr>
                <w:rFonts w:hint="eastAsia"/>
                <w:color w:val="auto"/>
              </w:rPr>
              <w:t>二级</w:t>
            </w:r>
          </w:p>
        </w:tc>
        <w:tc>
          <w:tcPr>
            <w:tcW w:w="996" w:type="pct"/>
            <w:noWrap w:val="0"/>
            <w:vAlign w:val="center"/>
          </w:tcPr>
          <w:p w14:paraId="7657B383">
            <w:pPr>
              <w:spacing w:after="0" w:line="240" w:lineRule="auto"/>
              <w:ind w:left="0" w:leftChars="0"/>
              <w:jc w:val="center"/>
              <w:rPr>
                <w:rFonts w:hint="default" w:ascii="Times New Roman" w:hAnsi="Times New Roman" w:cs="Times New Roman"/>
                <w:color w:val="auto"/>
                <w:kern w:val="0"/>
                <w:szCs w:val="21"/>
              </w:rPr>
            </w:pPr>
            <w:r>
              <w:rPr>
                <w:rFonts w:hint="eastAsia"/>
                <w:color w:val="auto"/>
                <w:lang w:val="en-US" w:eastAsia="zh-CN"/>
              </w:rPr>
              <w:t>三</w:t>
            </w:r>
            <w:r>
              <w:rPr>
                <w:rFonts w:hint="eastAsia"/>
                <w:color w:val="auto"/>
              </w:rPr>
              <w:t>级</w:t>
            </w:r>
          </w:p>
        </w:tc>
        <w:tc>
          <w:tcPr>
            <w:tcW w:w="996" w:type="pct"/>
            <w:noWrap w:val="0"/>
            <w:vAlign w:val="center"/>
          </w:tcPr>
          <w:p w14:paraId="77B7ED9F">
            <w:pPr>
              <w:pStyle w:val="15"/>
              <w:spacing w:after="0" w:line="240" w:lineRule="auto"/>
              <w:ind w:left="0" w:left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w:t>
            </w:r>
          </w:p>
        </w:tc>
      </w:tr>
      <w:tr w14:paraId="779C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000" w:type="pct"/>
            <w:gridSpan w:val="4"/>
            <w:noWrap w:val="0"/>
            <w:vAlign w:val="center"/>
          </w:tcPr>
          <w:p w14:paraId="15E684D4">
            <w:pPr>
              <w:pStyle w:val="15"/>
              <w:spacing w:after="0" w:line="240" w:lineRule="auto"/>
              <w:ind w:left="0" w:leftChars="0"/>
              <w:jc w:val="left"/>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注：“-”表示可不开展土壤环境影响评价工作。</w:t>
            </w:r>
          </w:p>
        </w:tc>
      </w:tr>
    </w:tbl>
    <w:p w14:paraId="30B9BC3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default"/>
          <w:color w:val="auto"/>
          <w:sz w:val="24"/>
          <w:szCs w:val="28"/>
          <w:lang w:val="en-US" w:eastAsia="zh-CN"/>
        </w:rPr>
        <w:t>根据本次土壤环境质量监测结果，</w:t>
      </w:r>
      <w:r>
        <w:rPr>
          <w:rFonts w:hint="eastAsia"/>
          <w:color w:val="auto"/>
          <w:sz w:val="24"/>
          <w:szCs w:val="28"/>
          <w:lang w:val="en-US" w:eastAsia="zh-CN"/>
        </w:rPr>
        <w:t>项目所在地土壤含盐量约在</w:t>
      </w:r>
      <w:r>
        <w:rPr>
          <w:rFonts w:hint="eastAsia"/>
          <w:color w:val="auto"/>
          <w:sz w:val="24"/>
          <w:szCs w:val="24"/>
          <w:lang w:val="en-US" w:eastAsia="zh-CN"/>
        </w:rPr>
        <w:t>2.2</w:t>
      </w:r>
      <w:r>
        <w:rPr>
          <w:rFonts w:eastAsia="宋体"/>
          <w:color w:val="auto"/>
          <w:sz w:val="24"/>
          <w:szCs w:val="24"/>
        </w:rPr>
        <w:t>～</w:t>
      </w:r>
      <w:r>
        <w:rPr>
          <w:rFonts w:hint="eastAsia"/>
          <w:color w:val="auto"/>
          <w:sz w:val="24"/>
          <w:szCs w:val="24"/>
          <w:lang w:val="en-US" w:eastAsia="zh-CN"/>
        </w:rPr>
        <w:t>5.2</w:t>
      </w:r>
      <w:r>
        <w:rPr>
          <w:rFonts w:eastAsia="宋体"/>
          <w:color w:val="auto"/>
          <w:sz w:val="24"/>
          <w:szCs w:val="24"/>
        </w:rPr>
        <w:t>g/kg，</w:t>
      </w:r>
      <w:r>
        <w:rPr>
          <w:rFonts w:hint="default"/>
          <w:color w:val="auto"/>
          <w:sz w:val="24"/>
          <w:szCs w:val="28"/>
          <w:lang w:val="en-US" w:eastAsia="zh-CN"/>
        </w:rPr>
        <w:t>属于2g/kg＜土壤含盐量≤4g/kg</w:t>
      </w:r>
      <w:r>
        <w:rPr>
          <w:rFonts w:hint="eastAsia"/>
          <w:color w:val="auto"/>
          <w:sz w:val="24"/>
          <w:szCs w:val="28"/>
          <w:lang w:val="en-US" w:eastAsia="zh-CN"/>
        </w:rPr>
        <w:t>和土壤含盐量&gt;4g/kg</w:t>
      </w:r>
      <w:r>
        <w:rPr>
          <w:rFonts w:hint="default"/>
          <w:color w:val="auto"/>
          <w:sz w:val="24"/>
          <w:szCs w:val="28"/>
          <w:lang w:val="en-US" w:eastAsia="zh-CN"/>
        </w:rPr>
        <w:t>的区域，因此盐化程度属</w:t>
      </w:r>
      <w:r>
        <w:rPr>
          <w:rFonts w:hint="eastAsia"/>
          <w:color w:val="auto"/>
          <w:sz w:val="24"/>
          <w:szCs w:val="28"/>
          <w:lang w:val="en-US" w:eastAsia="zh-CN"/>
        </w:rPr>
        <w:t>于“较敏感～敏感”</w:t>
      </w:r>
      <w:r>
        <w:rPr>
          <w:rFonts w:hint="default"/>
          <w:color w:val="auto"/>
          <w:sz w:val="24"/>
          <w:szCs w:val="28"/>
          <w:lang w:val="en-US" w:eastAsia="zh-CN"/>
        </w:rPr>
        <w:t>；地区土壤pH值在</w:t>
      </w:r>
      <w:r>
        <w:rPr>
          <w:rFonts w:hint="eastAsia"/>
          <w:color w:val="auto"/>
          <w:sz w:val="24"/>
          <w:szCs w:val="24"/>
          <w:lang w:val="en-US" w:eastAsia="zh-CN"/>
        </w:rPr>
        <w:t>8.32</w:t>
      </w:r>
      <w:r>
        <w:rPr>
          <w:rFonts w:eastAsia="宋体"/>
          <w:color w:val="auto"/>
          <w:sz w:val="24"/>
          <w:szCs w:val="24"/>
        </w:rPr>
        <w:t>～</w:t>
      </w:r>
      <w:r>
        <w:rPr>
          <w:rFonts w:hint="eastAsia"/>
          <w:color w:val="auto"/>
          <w:sz w:val="24"/>
          <w:szCs w:val="24"/>
          <w:lang w:val="en-US" w:eastAsia="zh-CN"/>
        </w:rPr>
        <w:t>8.87</w:t>
      </w:r>
      <w:r>
        <w:rPr>
          <w:rFonts w:hint="default"/>
          <w:color w:val="auto"/>
          <w:sz w:val="24"/>
          <w:szCs w:val="28"/>
          <w:lang w:val="en-US" w:eastAsia="zh-CN"/>
        </w:rPr>
        <w:t>，呈中性到弱碱性，其酸、碱敏感程度属</w:t>
      </w:r>
      <w:r>
        <w:rPr>
          <w:rFonts w:hint="eastAsia"/>
          <w:color w:val="auto"/>
          <w:sz w:val="24"/>
          <w:szCs w:val="28"/>
          <w:lang w:val="en-US" w:eastAsia="zh-CN"/>
        </w:rPr>
        <w:t>于“不敏感～较敏感”，</w:t>
      </w:r>
      <w:r>
        <w:rPr>
          <w:rFonts w:hint="default"/>
          <w:color w:val="auto"/>
          <w:sz w:val="24"/>
          <w:szCs w:val="28"/>
          <w:lang w:val="en-US" w:eastAsia="zh-CN"/>
        </w:rPr>
        <w:t>根据监测结果判断土壤生态敏感程度为</w:t>
      </w:r>
      <w:r>
        <w:rPr>
          <w:rFonts w:hint="eastAsia"/>
          <w:color w:val="auto"/>
          <w:sz w:val="24"/>
          <w:szCs w:val="28"/>
          <w:lang w:val="en-US" w:eastAsia="zh-CN"/>
        </w:rPr>
        <w:t>“</w:t>
      </w:r>
      <w:r>
        <w:rPr>
          <w:rFonts w:hint="default"/>
          <w:color w:val="auto"/>
          <w:sz w:val="24"/>
          <w:szCs w:val="28"/>
          <w:lang w:val="en-US" w:eastAsia="zh-CN"/>
        </w:rPr>
        <w:t>敏感</w:t>
      </w:r>
      <w:r>
        <w:rPr>
          <w:rFonts w:hint="eastAsia"/>
          <w:color w:val="auto"/>
          <w:sz w:val="24"/>
          <w:szCs w:val="28"/>
          <w:lang w:val="en-US" w:eastAsia="zh-CN"/>
        </w:rPr>
        <w:t>”</w:t>
      </w:r>
      <w:r>
        <w:rPr>
          <w:rFonts w:hint="default"/>
          <w:color w:val="auto"/>
          <w:sz w:val="24"/>
          <w:szCs w:val="28"/>
          <w:lang w:val="en-US" w:eastAsia="zh-CN"/>
        </w:rPr>
        <w:t>。</w:t>
      </w:r>
    </w:p>
    <w:p w14:paraId="35F65EB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根据《环境影响评价技术导则 陆地石油天然气开发建设项目》（HJ349-2023）规定采油井场为I类建设项目，油类管线为II类建设项目，依据上表可知，井场土壤生态影响型评价等级为一级，油类管线土壤生态影响型评价等级为二级。</w:t>
      </w:r>
    </w:p>
    <w:p w14:paraId="7F1D01B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（2）评价范围</w:t>
      </w:r>
    </w:p>
    <w:p w14:paraId="189C6B4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根据</w:t>
      </w:r>
      <w:r>
        <w:rPr>
          <w:rFonts w:hint="eastAsia" w:cs="Times New Roman"/>
          <w:color w:val="auto"/>
          <w:sz w:val="24"/>
          <w:szCs w:val="28"/>
          <w:lang w:val="en-US" w:eastAsia="zh-CN"/>
        </w:rPr>
        <w:t>《环境影响评价技术导则 土壤环境（试行）》（HJ964-2018）7.2调查评价范围要求，土壤环境污染影响型评价范围为井场占地范围内全部以及占地范围外1km范围内，土壤环境生态影响型评价范围为井场占地范围内全部以及占地范围外5km范围内，同时兼顾原油管线工程两侧向外延伸0.2km作为调查评价范围，土壤评价范围示意图见附图8。</w:t>
      </w:r>
    </w:p>
    <w:p w14:paraId="4209F0EE">
      <w:pPr>
        <w:pStyle w:val="5"/>
        <w:bidi w:val="0"/>
        <w:rPr>
          <w:rFonts w:hint="default"/>
          <w:color w:val="auto"/>
          <w:lang w:val="en-US" w:eastAsia="zh-CN"/>
        </w:rPr>
      </w:pPr>
      <w:bookmarkStart w:id="115" w:name="_Toc8010"/>
      <w:bookmarkStart w:id="116" w:name="_Toc6787"/>
      <w:r>
        <w:rPr>
          <w:rFonts w:hint="eastAsia"/>
          <w:color w:val="auto"/>
          <w:lang w:val="en-US" w:eastAsia="zh-CN"/>
        </w:rPr>
        <w:t>2.5.6生态环境</w:t>
      </w:r>
      <w:bookmarkEnd w:id="115"/>
      <w:bookmarkEnd w:id="116"/>
    </w:p>
    <w:p w14:paraId="413FF6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eastAsia="宋体"/>
          <w:color w:val="auto"/>
          <w:sz w:val="24"/>
          <w:szCs w:val="28"/>
          <w:lang w:val="en-US" w:eastAsia="zh-CN"/>
        </w:rPr>
        <w:t>（1）评价等级</w:t>
      </w:r>
    </w:p>
    <w:p w14:paraId="4F09609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rPr>
      </w:pPr>
      <w:r>
        <w:rPr>
          <w:rFonts w:hint="eastAsia"/>
          <w:color w:val="auto"/>
          <w:sz w:val="24"/>
          <w:szCs w:val="24"/>
          <w:lang w:eastAsia="zh-CN"/>
        </w:rPr>
        <w:t>本工程</w:t>
      </w:r>
      <w:r>
        <w:rPr>
          <w:rFonts w:hint="eastAsia" w:eastAsia="宋体"/>
          <w:color w:val="auto"/>
          <w:sz w:val="24"/>
          <w:szCs w:val="24"/>
          <w:lang w:val="en-US" w:eastAsia="zh-CN"/>
        </w:rPr>
        <w:t>评价井转产能井井场</w:t>
      </w:r>
      <w:r>
        <w:rPr>
          <w:rFonts w:eastAsia="宋体"/>
          <w:color w:val="auto"/>
          <w:sz w:val="24"/>
          <w:szCs w:val="24"/>
        </w:rPr>
        <w:t>均在现有</w:t>
      </w:r>
      <w:r>
        <w:rPr>
          <w:rFonts w:hint="eastAsia" w:eastAsia="宋体"/>
          <w:color w:val="auto"/>
          <w:sz w:val="24"/>
          <w:szCs w:val="24"/>
          <w:lang w:val="en-US" w:eastAsia="zh-CN"/>
        </w:rPr>
        <w:t>井场</w:t>
      </w:r>
      <w:r>
        <w:rPr>
          <w:rFonts w:eastAsia="宋体"/>
          <w:color w:val="auto"/>
          <w:sz w:val="24"/>
          <w:szCs w:val="24"/>
        </w:rPr>
        <w:t>占地范围内，不新增永久占地，建设时已办理相关环保手续。根据《环境影响评价技术导则</w:t>
      </w:r>
      <w:r>
        <w:rPr>
          <w:rFonts w:hint="eastAsia" w:eastAsia="宋体"/>
          <w:color w:val="auto"/>
          <w:sz w:val="24"/>
          <w:szCs w:val="24"/>
          <w:lang w:val="en-US" w:eastAsia="zh-CN"/>
        </w:rPr>
        <w:t xml:space="preserve"> </w:t>
      </w:r>
      <w:r>
        <w:rPr>
          <w:rFonts w:eastAsia="宋体"/>
          <w:color w:val="auto"/>
          <w:sz w:val="24"/>
          <w:szCs w:val="24"/>
        </w:rPr>
        <w:t>生态影响》（HJ19-2022）中6.1.8</w:t>
      </w:r>
      <w:r>
        <w:rPr>
          <w:rFonts w:hint="eastAsia" w:eastAsia="宋体"/>
          <w:color w:val="auto"/>
          <w:sz w:val="24"/>
          <w:szCs w:val="24"/>
          <w:lang w:eastAsia="zh-CN"/>
        </w:rPr>
        <w:t>“</w:t>
      </w:r>
      <w:r>
        <w:rPr>
          <w:rFonts w:eastAsia="宋体"/>
          <w:color w:val="auto"/>
          <w:sz w:val="24"/>
          <w:szCs w:val="24"/>
        </w:rPr>
        <w:t>符合生态环境分区管控要求且位于原厂界</w:t>
      </w:r>
      <w:r>
        <w:rPr>
          <w:rFonts w:hint="eastAsia" w:eastAsia="宋体"/>
          <w:color w:val="auto"/>
          <w:sz w:val="24"/>
          <w:szCs w:val="24"/>
          <w:lang w:eastAsia="zh-CN"/>
        </w:rPr>
        <w:t>（</w:t>
      </w:r>
      <w:r>
        <w:rPr>
          <w:rFonts w:eastAsia="宋体"/>
          <w:color w:val="auto"/>
          <w:sz w:val="24"/>
          <w:szCs w:val="24"/>
        </w:rPr>
        <w:t>或永久用地</w:t>
      </w:r>
      <w:r>
        <w:rPr>
          <w:rFonts w:hint="eastAsia" w:eastAsia="宋体"/>
          <w:color w:val="auto"/>
          <w:sz w:val="24"/>
          <w:szCs w:val="24"/>
          <w:lang w:eastAsia="zh-CN"/>
        </w:rPr>
        <w:t>）</w:t>
      </w:r>
      <w:r>
        <w:rPr>
          <w:rFonts w:eastAsia="宋体"/>
          <w:color w:val="auto"/>
          <w:sz w:val="24"/>
          <w:szCs w:val="24"/>
        </w:rPr>
        <w:t>范围内的污染影响类改扩建项目，位于已批准规划环评的产业园区内且符合规划环评要求、不涉及生态敏感区的污染影响类建设项目，可不确定评价等级，直接进行生态影响简单分析</w:t>
      </w:r>
      <w:r>
        <w:rPr>
          <w:rFonts w:hint="eastAsia" w:eastAsia="宋体"/>
          <w:color w:val="auto"/>
          <w:sz w:val="24"/>
          <w:szCs w:val="24"/>
          <w:lang w:eastAsia="zh-CN"/>
        </w:rPr>
        <w:t>”</w:t>
      </w:r>
      <w:r>
        <w:rPr>
          <w:rFonts w:eastAsia="宋体"/>
          <w:color w:val="auto"/>
          <w:sz w:val="24"/>
          <w:szCs w:val="24"/>
        </w:rPr>
        <w:t>。</w:t>
      </w:r>
    </w:p>
    <w:p w14:paraId="6FFAC46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eastAsia="宋体"/>
          <w:color w:val="auto"/>
          <w:sz w:val="24"/>
          <w:szCs w:val="28"/>
          <w:lang w:val="en-US" w:eastAsia="zh-CN"/>
        </w:rPr>
        <w:t>根据《环境影响评价技术导则 生态影响》（HJ19-2022），依据建设项目影响区域的生态敏感性和影响程度，评价等级划分为一级、二级和三级。评价等级判定情况见表2.5-</w:t>
      </w:r>
      <w:r>
        <w:rPr>
          <w:rFonts w:hint="eastAsia"/>
          <w:color w:val="auto"/>
          <w:sz w:val="24"/>
          <w:szCs w:val="28"/>
          <w:lang w:val="en-US" w:eastAsia="zh-CN"/>
        </w:rPr>
        <w:t>15</w:t>
      </w:r>
      <w:r>
        <w:rPr>
          <w:rFonts w:hint="eastAsia" w:eastAsia="宋体"/>
          <w:color w:val="auto"/>
          <w:sz w:val="24"/>
          <w:szCs w:val="28"/>
          <w:lang w:val="en-US" w:eastAsia="zh-CN"/>
        </w:rPr>
        <w:t>。</w:t>
      </w:r>
    </w:p>
    <w:p w14:paraId="4E0A1EDD">
      <w:pPr>
        <w:pStyle w:val="43"/>
        <w:bidi w:val="0"/>
        <w:rPr>
          <w:rFonts w:hint="default"/>
          <w:color w:val="auto"/>
          <w:lang w:val="en-US" w:eastAsia="zh-CN"/>
        </w:rPr>
      </w:pPr>
      <w:r>
        <w:rPr>
          <w:rFonts w:hint="eastAsia"/>
          <w:color w:val="auto"/>
          <w:lang w:val="en-US" w:eastAsia="zh-CN"/>
        </w:rPr>
        <w:t>表2.5-15  生态影响评价等级判定情况表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321"/>
        <w:gridCol w:w="3530"/>
      </w:tblGrid>
      <w:tr w14:paraId="6932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1C1768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2"/>
                <w:vertAlign w:val="baseline"/>
                <w:lang w:val="en-US" w:eastAsia="zh-CN"/>
              </w:rPr>
            </w:pPr>
            <w:r>
              <w:rPr>
                <w:rFonts w:hint="eastAsia" w:eastAsia="宋体"/>
                <w:b/>
                <w:bCs/>
                <w:color w:val="auto"/>
                <w:sz w:val="21"/>
                <w:szCs w:val="22"/>
                <w:vertAlign w:val="baseline"/>
                <w:lang w:val="en-US" w:eastAsia="zh-CN"/>
              </w:rPr>
              <w:t>序号</w:t>
            </w:r>
          </w:p>
        </w:tc>
        <w:tc>
          <w:tcPr>
            <w:tcW w:w="2536" w:type="pct"/>
            <w:vAlign w:val="center"/>
          </w:tcPr>
          <w:p w14:paraId="18F4135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2"/>
                <w:vertAlign w:val="baseline"/>
                <w:lang w:val="en-US" w:eastAsia="zh-CN"/>
              </w:rPr>
            </w:pPr>
            <w:r>
              <w:rPr>
                <w:rFonts w:hint="eastAsia" w:eastAsia="宋体"/>
                <w:b/>
                <w:bCs/>
                <w:color w:val="auto"/>
                <w:sz w:val="21"/>
                <w:szCs w:val="22"/>
                <w:vertAlign w:val="baseline"/>
                <w:lang w:val="en-US" w:eastAsia="zh-CN"/>
              </w:rPr>
              <w:t>判定原则</w:t>
            </w:r>
          </w:p>
        </w:tc>
        <w:tc>
          <w:tcPr>
            <w:tcW w:w="2071" w:type="pct"/>
            <w:vAlign w:val="center"/>
          </w:tcPr>
          <w:p w14:paraId="2CF8B9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2"/>
                <w:vertAlign w:val="baseline"/>
                <w:lang w:val="en-US" w:eastAsia="zh-CN"/>
              </w:rPr>
            </w:pPr>
            <w:r>
              <w:rPr>
                <w:rFonts w:hint="eastAsia"/>
                <w:b/>
                <w:bCs/>
                <w:color w:val="auto"/>
                <w:sz w:val="21"/>
                <w:szCs w:val="22"/>
                <w:vertAlign w:val="baseline"/>
                <w:lang w:val="en-US" w:eastAsia="zh-CN"/>
              </w:rPr>
              <w:t>本工程</w:t>
            </w:r>
          </w:p>
        </w:tc>
      </w:tr>
      <w:tr w14:paraId="5B02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26EC863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a</w:t>
            </w:r>
          </w:p>
        </w:tc>
        <w:tc>
          <w:tcPr>
            <w:tcW w:w="2536" w:type="pct"/>
            <w:vAlign w:val="center"/>
          </w:tcPr>
          <w:p w14:paraId="2F4D7312">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涉及国家公园、自然保护区、世界自然遗产、重要生境时，评价等级为一级</w:t>
            </w:r>
          </w:p>
        </w:tc>
        <w:tc>
          <w:tcPr>
            <w:tcW w:w="2071" w:type="pct"/>
            <w:vAlign w:val="center"/>
          </w:tcPr>
          <w:p w14:paraId="74629CD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占地范围内以及穿（跨）越不涉及国家公园、自然保护区、世界自然遗产、重要生境</w:t>
            </w:r>
          </w:p>
        </w:tc>
      </w:tr>
      <w:tr w14:paraId="3953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3AC15F4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b</w:t>
            </w:r>
          </w:p>
        </w:tc>
        <w:tc>
          <w:tcPr>
            <w:tcW w:w="2536" w:type="pct"/>
            <w:vAlign w:val="center"/>
          </w:tcPr>
          <w:p w14:paraId="6F154D92">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涉及自然公园时，评价等级为二级</w:t>
            </w:r>
          </w:p>
        </w:tc>
        <w:tc>
          <w:tcPr>
            <w:tcW w:w="2071" w:type="pct"/>
            <w:vAlign w:val="center"/>
          </w:tcPr>
          <w:p w14:paraId="23894F3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项目不穿（跨）越</w:t>
            </w:r>
            <w:r>
              <w:rPr>
                <w:rFonts w:hint="eastAsia"/>
                <w:color w:val="auto"/>
                <w:sz w:val="21"/>
                <w:szCs w:val="22"/>
                <w:vertAlign w:val="baseline"/>
                <w:lang w:val="en-US" w:eastAsia="zh-CN"/>
              </w:rPr>
              <w:t>新疆和布克赛尔江格尔国家沙漠公园</w:t>
            </w:r>
            <w:r>
              <w:rPr>
                <w:rFonts w:hint="eastAsia" w:eastAsia="宋体"/>
                <w:color w:val="auto"/>
                <w:sz w:val="21"/>
                <w:szCs w:val="22"/>
                <w:vertAlign w:val="baseline"/>
                <w:lang w:val="en-US" w:eastAsia="zh-CN"/>
              </w:rPr>
              <w:t>，评价范围</w:t>
            </w:r>
            <w:r>
              <w:rPr>
                <w:rFonts w:hint="eastAsia"/>
                <w:color w:val="auto"/>
                <w:sz w:val="21"/>
                <w:szCs w:val="22"/>
                <w:vertAlign w:val="baseline"/>
                <w:lang w:val="en-US" w:eastAsia="zh-CN"/>
              </w:rPr>
              <w:t>不</w:t>
            </w:r>
            <w:r>
              <w:rPr>
                <w:rFonts w:hint="eastAsia" w:eastAsia="宋体"/>
                <w:color w:val="auto"/>
                <w:sz w:val="21"/>
                <w:szCs w:val="22"/>
                <w:vertAlign w:val="baseline"/>
                <w:lang w:val="en-US" w:eastAsia="zh-CN"/>
              </w:rPr>
              <w:t>涉及</w:t>
            </w:r>
          </w:p>
        </w:tc>
      </w:tr>
      <w:tr w14:paraId="7032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3561A50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c</w:t>
            </w:r>
          </w:p>
        </w:tc>
        <w:tc>
          <w:tcPr>
            <w:tcW w:w="2536" w:type="pct"/>
            <w:vAlign w:val="center"/>
          </w:tcPr>
          <w:p w14:paraId="1921FCE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涉及自然生态保护红线时，评价等级不低于二级</w:t>
            </w:r>
          </w:p>
        </w:tc>
        <w:tc>
          <w:tcPr>
            <w:tcW w:w="2071" w:type="pct"/>
            <w:vAlign w:val="center"/>
          </w:tcPr>
          <w:p w14:paraId="4498343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占地范围内以及穿（跨）越不涉及生态保护红线</w:t>
            </w:r>
          </w:p>
        </w:tc>
      </w:tr>
      <w:tr w14:paraId="5414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06D23F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d</w:t>
            </w:r>
          </w:p>
        </w:tc>
        <w:tc>
          <w:tcPr>
            <w:tcW w:w="2536" w:type="pct"/>
            <w:vAlign w:val="center"/>
          </w:tcPr>
          <w:p w14:paraId="35BF093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根据HJ2.3判断属于水文要素影响型且地表水评价等级不低于二级的建设项目，生态影响评价等级不低于二级</w:t>
            </w:r>
          </w:p>
        </w:tc>
        <w:tc>
          <w:tcPr>
            <w:tcW w:w="2071" w:type="pct"/>
            <w:vAlign w:val="center"/>
          </w:tcPr>
          <w:p w14:paraId="46FA7F1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不属于水文要素影响型建设项目</w:t>
            </w:r>
          </w:p>
        </w:tc>
      </w:tr>
      <w:tr w14:paraId="5D2E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6E0073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e</w:t>
            </w:r>
          </w:p>
        </w:tc>
        <w:tc>
          <w:tcPr>
            <w:tcW w:w="2536" w:type="pct"/>
            <w:vAlign w:val="center"/>
          </w:tcPr>
          <w:p w14:paraId="586BED4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根据HJ610、HJ964判断地下水水位或土壤影响范围内分布有天然林、公益林、湿地等生态保护目标的建设项目，生态影响评价等级不低于二级</w:t>
            </w:r>
          </w:p>
        </w:tc>
        <w:tc>
          <w:tcPr>
            <w:tcW w:w="2071" w:type="pct"/>
            <w:vAlign w:val="center"/>
          </w:tcPr>
          <w:p w14:paraId="0529232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项目管线埋深在当地潜水水位以上，土壤影响范围内无天然林、</w:t>
            </w:r>
            <w:r>
              <w:rPr>
                <w:rFonts w:hint="eastAsia"/>
                <w:color w:val="auto"/>
                <w:sz w:val="21"/>
                <w:szCs w:val="22"/>
                <w:vertAlign w:val="baseline"/>
                <w:lang w:val="en-US" w:eastAsia="zh-CN"/>
              </w:rPr>
              <w:t>公益林、</w:t>
            </w:r>
            <w:r>
              <w:rPr>
                <w:rFonts w:hint="eastAsia" w:eastAsia="宋体"/>
                <w:color w:val="auto"/>
                <w:sz w:val="21"/>
                <w:szCs w:val="22"/>
                <w:vertAlign w:val="baseline"/>
                <w:lang w:val="en-US" w:eastAsia="zh-CN"/>
              </w:rPr>
              <w:t>湿地等生态保护目标的建设项目</w:t>
            </w:r>
          </w:p>
        </w:tc>
      </w:tr>
      <w:tr w14:paraId="2EDC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5CFA54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f</w:t>
            </w:r>
          </w:p>
        </w:tc>
        <w:tc>
          <w:tcPr>
            <w:tcW w:w="2536" w:type="pct"/>
            <w:vAlign w:val="center"/>
          </w:tcPr>
          <w:p w14:paraId="4745725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当工程占地规模大于20km</w:t>
            </w:r>
            <w:r>
              <w:rPr>
                <w:rFonts w:hint="eastAsia" w:eastAsia="宋体"/>
                <w:color w:val="auto"/>
                <w:sz w:val="21"/>
                <w:szCs w:val="22"/>
                <w:vertAlign w:val="superscript"/>
                <w:lang w:val="en-US" w:eastAsia="zh-CN"/>
              </w:rPr>
              <w:t>2</w:t>
            </w:r>
            <w:r>
              <w:rPr>
                <w:rFonts w:hint="eastAsia" w:eastAsia="宋体"/>
                <w:color w:val="auto"/>
                <w:sz w:val="21"/>
                <w:szCs w:val="22"/>
                <w:vertAlign w:val="baseline"/>
                <w:lang w:val="en-US" w:eastAsia="zh-CN"/>
              </w:rPr>
              <w:t>（包括永久和临时占用陆域和水域），评价等级不低于二级；改扩建项目的占地范围以新增占地（包括陆域和水域）确定</w:t>
            </w:r>
          </w:p>
        </w:tc>
        <w:tc>
          <w:tcPr>
            <w:tcW w:w="2071" w:type="pct"/>
            <w:vAlign w:val="center"/>
          </w:tcPr>
          <w:p w14:paraId="329B178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项目总占地面积小于20km</w:t>
            </w:r>
            <w:r>
              <w:rPr>
                <w:rFonts w:hint="eastAsia" w:eastAsia="宋体"/>
                <w:color w:val="auto"/>
                <w:sz w:val="21"/>
                <w:szCs w:val="22"/>
                <w:vertAlign w:val="superscript"/>
                <w:lang w:val="en-US" w:eastAsia="zh-CN"/>
              </w:rPr>
              <w:t>2</w:t>
            </w:r>
          </w:p>
        </w:tc>
      </w:tr>
      <w:tr w14:paraId="3B6B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24E629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g</w:t>
            </w:r>
          </w:p>
        </w:tc>
        <w:tc>
          <w:tcPr>
            <w:tcW w:w="2536" w:type="pct"/>
            <w:vAlign w:val="center"/>
          </w:tcPr>
          <w:p w14:paraId="756FF30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除a)、b)、c)、d)、e)、f)以外的情况，评价等级为三级</w:t>
            </w:r>
          </w:p>
        </w:tc>
        <w:tc>
          <w:tcPr>
            <w:tcW w:w="2071" w:type="pct"/>
            <w:vAlign w:val="center"/>
          </w:tcPr>
          <w:p w14:paraId="2D7F5E4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属于a)、b)、c)、d)、e)、f)以外的情况</w:t>
            </w:r>
          </w:p>
        </w:tc>
      </w:tr>
      <w:tr w14:paraId="5E74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4D2FEB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eastAsia="宋体"/>
                <w:color w:val="auto"/>
                <w:sz w:val="21"/>
                <w:szCs w:val="22"/>
                <w:vertAlign w:val="baseline"/>
                <w:lang w:val="en-US" w:eastAsia="zh-CN"/>
              </w:rPr>
              <w:t>h</w:t>
            </w:r>
          </w:p>
        </w:tc>
        <w:tc>
          <w:tcPr>
            <w:tcW w:w="2536" w:type="pct"/>
            <w:vAlign w:val="center"/>
          </w:tcPr>
          <w:p w14:paraId="223817B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2"/>
                <w:vertAlign w:val="baseline"/>
                <w:lang w:val="en-US" w:eastAsia="zh-CN" w:bidi="ar-SA"/>
              </w:rPr>
            </w:pPr>
            <w:r>
              <w:rPr>
                <w:rFonts w:hint="eastAsia" w:eastAsia="宋体"/>
                <w:color w:val="auto"/>
                <w:sz w:val="21"/>
                <w:szCs w:val="22"/>
                <w:vertAlign w:val="baseline"/>
                <w:lang w:val="en-US" w:eastAsia="zh-CN"/>
              </w:rPr>
              <w:t>当评价等级判定同时符合上述多种情况时，应采用其中最高的评价等级</w:t>
            </w:r>
          </w:p>
        </w:tc>
        <w:tc>
          <w:tcPr>
            <w:tcW w:w="2071" w:type="pct"/>
            <w:vAlign w:val="center"/>
          </w:tcPr>
          <w:p w14:paraId="4311E2F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w:t>
            </w:r>
            <w:r>
              <w:rPr>
                <w:rFonts w:hint="eastAsia"/>
                <w:color w:val="auto"/>
                <w:sz w:val="21"/>
                <w:szCs w:val="22"/>
                <w:vertAlign w:val="baseline"/>
                <w:lang w:val="en-US" w:eastAsia="zh-CN"/>
              </w:rPr>
              <w:t>不</w:t>
            </w:r>
            <w:r>
              <w:rPr>
                <w:rFonts w:hint="eastAsia" w:eastAsia="宋体"/>
                <w:color w:val="auto"/>
                <w:sz w:val="21"/>
                <w:szCs w:val="22"/>
                <w:vertAlign w:val="baseline"/>
                <w:lang w:val="en-US" w:eastAsia="zh-CN"/>
              </w:rPr>
              <w:t>属于上述其中</w:t>
            </w:r>
            <w:r>
              <w:rPr>
                <w:rFonts w:hint="eastAsia"/>
                <w:color w:val="auto"/>
                <w:sz w:val="21"/>
                <w:szCs w:val="22"/>
                <w:vertAlign w:val="baseline"/>
                <w:lang w:val="en-US" w:eastAsia="zh-CN"/>
              </w:rPr>
              <w:t>任何1</w:t>
            </w:r>
            <w:r>
              <w:rPr>
                <w:rFonts w:hint="eastAsia" w:eastAsia="宋体"/>
                <w:color w:val="auto"/>
                <w:sz w:val="21"/>
                <w:szCs w:val="22"/>
                <w:vertAlign w:val="baseline"/>
                <w:lang w:val="en-US" w:eastAsia="zh-CN"/>
              </w:rPr>
              <w:t>种情况</w:t>
            </w:r>
          </w:p>
        </w:tc>
      </w:tr>
      <w:tr w14:paraId="43E1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5A19F42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6.1.3</w:t>
            </w:r>
          </w:p>
        </w:tc>
        <w:tc>
          <w:tcPr>
            <w:tcW w:w="2536" w:type="pct"/>
            <w:vAlign w:val="center"/>
          </w:tcPr>
          <w:p w14:paraId="7A48B6F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建设项目涉及经论证对保护生物多样性具有重要意义的区域时，可适当上调评价等级</w:t>
            </w:r>
          </w:p>
        </w:tc>
        <w:tc>
          <w:tcPr>
            <w:tcW w:w="2071" w:type="pct"/>
            <w:vAlign w:val="center"/>
          </w:tcPr>
          <w:p w14:paraId="2A177AE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项目区域生物多样性一般，无重要意义</w:t>
            </w:r>
          </w:p>
        </w:tc>
      </w:tr>
      <w:tr w14:paraId="643F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65D873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6.1.4</w:t>
            </w:r>
          </w:p>
        </w:tc>
        <w:tc>
          <w:tcPr>
            <w:tcW w:w="2536" w:type="pct"/>
            <w:vAlign w:val="center"/>
          </w:tcPr>
          <w:p w14:paraId="052A487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建设项目同时涉及陆生、水生生态影响时，可针对陆生生态、水生生态分别判定评价等级</w:t>
            </w:r>
          </w:p>
        </w:tc>
        <w:tc>
          <w:tcPr>
            <w:tcW w:w="2071" w:type="pct"/>
            <w:vAlign w:val="center"/>
          </w:tcPr>
          <w:p w14:paraId="3F1DB0F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项目不涉及水生生态影响</w:t>
            </w:r>
          </w:p>
        </w:tc>
      </w:tr>
      <w:tr w14:paraId="05FC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2D5A31D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6.1.5</w:t>
            </w:r>
          </w:p>
        </w:tc>
        <w:tc>
          <w:tcPr>
            <w:tcW w:w="2536" w:type="pct"/>
            <w:vAlign w:val="center"/>
          </w:tcPr>
          <w:p w14:paraId="30D2771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在矿山开采可能导致矿区土地利用类型明显改变，或拦河闸坝建设可能明显改变水文情势等情况下，评价等级应上调一级</w:t>
            </w:r>
          </w:p>
        </w:tc>
        <w:tc>
          <w:tcPr>
            <w:tcW w:w="2071" w:type="pct"/>
            <w:vAlign w:val="center"/>
          </w:tcPr>
          <w:p w14:paraId="647357F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项目不属于露天开采矿山或拦河闸坝建设项目</w:t>
            </w:r>
          </w:p>
        </w:tc>
      </w:tr>
      <w:tr w14:paraId="01EE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228DBB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6.1.6</w:t>
            </w:r>
          </w:p>
        </w:tc>
        <w:tc>
          <w:tcPr>
            <w:tcW w:w="2536" w:type="pct"/>
            <w:vAlign w:val="center"/>
          </w:tcPr>
          <w:p w14:paraId="2438DD8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线性工程可分段确定评价等级。线性工程穿越或地表跨越生态敏感区，在生态敏感区范围内无永久、临时占地时，评价等级可下调一级</w:t>
            </w:r>
          </w:p>
        </w:tc>
        <w:tc>
          <w:tcPr>
            <w:tcW w:w="2071" w:type="pct"/>
            <w:vAlign w:val="center"/>
          </w:tcPr>
          <w:p w14:paraId="11A0E3A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项目管线不涉及生态敏感区</w:t>
            </w:r>
          </w:p>
        </w:tc>
      </w:tr>
      <w:tr w14:paraId="78F8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0A38F9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6.1.7</w:t>
            </w:r>
          </w:p>
        </w:tc>
        <w:tc>
          <w:tcPr>
            <w:tcW w:w="2536" w:type="pct"/>
            <w:vAlign w:val="center"/>
          </w:tcPr>
          <w:p w14:paraId="156A032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涉海工程评价等级判定参照GB/T19485</w:t>
            </w:r>
          </w:p>
        </w:tc>
        <w:tc>
          <w:tcPr>
            <w:tcW w:w="2071" w:type="pct"/>
            <w:vAlign w:val="center"/>
          </w:tcPr>
          <w:p w14:paraId="12CBE60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项目不涉海</w:t>
            </w:r>
          </w:p>
        </w:tc>
      </w:tr>
      <w:tr w14:paraId="7927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14:paraId="7CDC83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6.1.8</w:t>
            </w:r>
          </w:p>
        </w:tc>
        <w:tc>
          <w:tcPr>
            <w:tcW w:w="2536" w:type="pct"/>
            <w:vAlign w:val="center"/>
          </w:tcPr>
          <w:p w14:paraId="718FFD0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2071" w:type="pct"/>
            <w:vAlign w:val="center"/>
          </w:tcPr>
          <w:p w14:paraId="0874E14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宋体"/>
                <w:color w:val="auto"/>
                <w:sz w:val="21"/>
                <w:szCs w:val="22"/>
                <w:vertAlign w:val="baseline"/>
                <w:lang w:val="en-US" w:eastAsia="zh-CN"/>
              </w:rPr>
            </w:pPr>
            <w:r>
              <w:rPr>
                <w:rFonts w:hint="eastAsia" w:eastAsia="宋体"/>
                <w:color w:val="auto"/>
                <w:sz w:val="21"/>
                <w:szCs w:val="22"/>
                <w:vertAlign w:val="baseline"/>
                <w:lang w:val="en-US" w:eastAsia="zh-CN"/>
              </w:rPr>
              <w:t>项目不涉及原厂界（或永久用地）范围内的污染影响类改扩建项目</w:t>
            </w:r>
          </w:p>
        </w:tc>
      </w:tr>
      <w:tr w14:paraId="77E9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14:paraId="724BA46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eastAsia="宋体"/>
                <w:color w:val="auto"/>
                <w:sz w:val="21"/>
                <w:szCs w:val="22"/>
                <w:vertAlign w:val="baseline"/>
                <w:lang w:val="en-US" w:eastAsia="zh-CN"/>
              </w:rPr>
            </w:pPr>
            <w:r>
              <w:rPr>
                <w:rFonts w:hint="eastAsia"/>
                <w:color w:val="auto"/>
                <w:sz w:val="21"/>
                <w:szCs w:val="22"/>
                <w:vertAlign w:val="baseline"/>
                <w:lang w:val="en-US" w:eastAsia="zh-CN"/>
              </w:rPr>
              <w:t>综上，本工程评价等级为三级。</w:t>
            </w:r>
          </w:p>
        </w:tc>
      </w:tr>
    </w:tbl>
    <w:p w14:paraId="27AA60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eastAsia="宋体"/>
          <w:color w:val="auto"/>
          <w:sz w:val="24"/>
          <w:szCs w:val="28"/>
          <w:lang w:val="en-US" w:eastAsia="zh-CN"/>
        </w:rPr>
        <w:t>（2）评价范围</w:t>
      </w:r>
    </w:p>
    <w:p w14:paraId="28DEA35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val="en-US" w:eastAsia="zh-CN"/>
        </w:rPr>
      </w:pPr>
      <w:r>
        <w:rPr>
          <w:rFonts w:eastAsia="宋体"/>
          <w:color w:val="auto"/>
          <w:sz w:val="24"/>
          <w:szCs w:val="24"/>
        </w:rPr>
        <w:t>根据《环境影响评价技术导则</w:t>
      </w:r>
      <w:r>
        <w:rPr>
          <w:rFonts w:hint="eastAsia" w:eastAsia="宋体"/>
          <w:color w:val="auto"/>
          <w:sz w:val="24"/>
          <w:szCs w:val="24"/>
          <w:lang w:val="en-US" w:eastAsia="zh-CN"/>
        </w:rPr>
        <w:t xml:space="preserve"> </w:t>
      </w:r>
      <w:r>
        <w:rPr>
          <w:rFonts w:eastAsia="宋体"/>
          <w:color w:val="auto"/>
          <w:sz w:val="24"/>
          <w:szCs w:val="24"/>
        </w:rPr>
        <w:t>陆地石油天然气开发建设项目》</w:t>
      </w:r>
      <w:r>
        <w:rPr>
          <w:rFonts w:hint="eastAsia"/>
          <w:color w:val="auto"/>
          <w:sz w:val="24"/>
          <w:szCs w:val="24"/>
          <w:lang w:val="en-US" w:eastAsia="zh-CN"/>
        </w:rPr>
        <w:t>(</w:t>
      </w:r>
      <w:r>
        <w:rPr>
          <w:rFonts w:eastAsia="宋体"/>
          <w:color w:val="auto"/>
          <w:sz w:val="24"/>
          <w:szCs w:val="24"/>
        </w:rPr>
        <w:t>HJT349</w:t>
      </w:r>
      <w:r>
        <w:rPr>
          <w:rFonts w:hint="eastAsia" w:eastAsia="宋体"/>
          <w:color w:val="auto"/>
          <w:sz w:val="24"/>
          <w:szCs w:val="24"/>
          <w:lang w:val="en-US" w:eastAsia="zh-CN"/>
        </w:rPr>
        <w:t>-</w:t>
      </w:r>
      <w:r>
        <w:rPr>
          <w:rFonts w:eastAsia="宋体"/>
          <w:color w:val="auto"/>
          <w:sz w:val="24"/>
          <w:szCs w:val="24"/>
        </w:rPr>
        <w:t>2023</w:t>
      </w:r>
      <w:r>
        <w:rPr>
          <w:rFonts w:hint="eastAsia"/>
          <w:color w:val="auto"/>
          <w:sz w:val="24"/>
          <w:szCs w:val="24"/>
          <w:lang w:val="en-US" w:eastAsia="zh-CN"/>
        </w:rPr>
        <w:t>)</w:t>
      </w:r>
      <w:r>
        <w:rPr>
          <w:rFonts w:eastAsia="宋体"/>
          <w:color w:val="auto"/>
          <w:sz w:val="24"/>
          <w:szCs w:val="24"/>
        </w:rPr>
        <w:t>及《环境影响评价技术导则</w:t>
      </w:r>
      <w:r>
        <w:rPr>
          <w:rFonts w:hint="eastAsia"/>
          <w:color w:val="auto"/>
          <w:sz w:val="24"/>
          <w:szCs w:val="24"/>
          <w:lang w:val="en-US" w:eastAsia="zh-CN"/>
        </w:rPr>
        <w:t xml:space="preserve"> </w:t>
      </w:r>
      <w:r>
        <w:rPr>
          <w:rFonts w:eastAsia="宋体"/>
          <w:color w:val="auto"/>
          <w:sz w:val="24"/>
          <w:szCs w:val="24"/>
        </w:rPr>
        <w:t>生态影响》（HJ19-2022）</w:t>
      </w:r>
      <w:r>
        <w:rPr>
          <w:rFonts w:hint="eastAsia" w:eastAsia="宋体"/>
          <w:color w:val="auto"/>
          <w:sz w:val="24"/>
          <w:szCs w:val="24"/>
          <w:lang w:val="en-US" w:eastAsia="zh-CN"/>
        </w:rPr>
        <w:t>的相关规定，</w:t>
      </w:r>
      <w:r>
        <w:rPr>
          <w:rFonts w:hint="eastAsia"/>
          <w:color w:val="auto"/>
          <w:sz w:val="24"/>
          <w:szCs w:val="24"/>
          <w:lang w:val="en-US" w:eastAsia="zh-CN"/>
        </w:rPr>
        <w:t>本工程</w:t>
      </w:r>
      <w:r>
        <w:rPr>
          <w:rFonts w:hint="eastAsia" w:eastAsia="宋体"/>
          <w:color w:val="auto"/>
          <w:sz w:val="24"/>
          <w:szCs w:val="24"/>
          <w:lang w:val="en-US" w:eastAsia="zh-CN"/>
        </w:rPr>
        <w:t>生态影响评价范围确定如下：</w:t>
      </w:r>
    </w:p>
    <w:p w14:paraId="1F30881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rPr>
      </w:pPr>
      <w:r>
        <w:rPr>
          <w:rFonts w:eastAsia="宋体"/>
          <w:color w:val="auto"/>
          <w:sz w:val="24"/>
          <w:szCs w:val="24"/>
        </w:rPr>
        <w:t>①井场：评价范围为井场边界</w:t>
      </w:r>
      <w:r>
        <w:rPr>
          <w:rFonts w:eastAsia="宋体"/>
          <w:color w:val="auto"/>
          <w:sz w:val="24"/>
          <w:szCs w:val="24"/>
          <w:lang w:eastAsia="zh"/>
        </w:rPr>
        <w:t>周围</w:t>
      </w:r>
      <w:r>
        <w:rPr>
          <w:rFonts w:hint="eastAsia"/>
          <w:color w:val="auto"/>
          <w:sz w:val="24"/>
          <w:szCs w:val="24"/>
          <w:lang w:val="en-US" w:eastAsia="zh-CN"/>
        </w:rPr>
        <w:t>5</w:t>
      </w:r>
      <w:r>
        <w:rPr>
          <w:rFonts w:eastAsia="宋体"/>
          <w:color w:val="auto"/>
          <w:sz w:val="24"/>
          <w:szCs w:val="24"/>
        </w:rPr>
        <w:t>0m的区域；</w:t>
      </w:r>
    </w:p>
    <w:p w14:paraId="5FE6844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eastAsia="宋体"/>
          <w:color w:val="auto"/>
          <w:sz w:val="24"/>
          <w:szCs w:val="24"/>
        </w:rPr>
        <w:t>②集输管线：</w:t>
      </w:r>
      <w:r>
        <w:rPr>
          <w:rFonts w:hint="eastAsia"/>
          <w:color w:val="auto"/>
          <w:sz w:val="24"/>
          <w:szCs w:val="24"/>
          <w:lang w:eastAsia="zh-CN"/>
        </w:rPr>
        <w:t>本工程</w:t>
      </w:r>
      <w:r>
        <w:rPr>
          <w:rFonts w:eastAsia="宋体"/>
          <w:color w:val="auto"/>
          <w:sz w:val="24"/>
          <w:szCs w:val="24"/>
          <w:lang w:eastAsia="zh"/>
        </w:rPr>
        <w:t>不穿越导则规定的生态敏感区，评价范围为</w:t>
      </w:r>
      <w:r>
        <w:rPr>
          <w:rFonts w:eastAsia="宋体"/>
          <w:color w:val="auto"/>
          <w:sz w:val="24"/>
          <w:szCs w:val="24"/>
        </w:rPr>
        <w:t>集输管线</w:t>
      </w:r>
      <w:r>
        <w:rPr>
          <w:rFonts w:eastAsia="宋体"/>
          <w:color w:val="auto"/>
          <w:sz w:val="24"/>
          <w:szCs w:val="24"/>
          <w:lang w:eastAsia="zh"/>
        </w:rPr>
        <w:t>中心线</w:t>
      </w:r>
      <w:r>
        <w:rPr>
          <w:rFonts w:eastAsia="宋体"/>
          <w:color w:val="auto"/>
          <w:sz w:val="24"/>
          <w:szCs w:val="24"/>
        </w:rPr>
        <w:t>两侧</w:t>
      </w:r>
      <w:r>
        <w:rPr>
          <w:rFonts w:eastAsia="宋体"/>
          <w:color w:val="auto"/>
          <w:sz w:val="24"/>
          <w:szCs w:val="24"/>
          <w:lang w:eastAsia="zh"/>
        </w:rPr>
        <w:t>外延</w:t>
      </w:r>
      <w:r>
        <w:rPr>
          <w:rFonts w:eastAsia="宋体"/>
          <w:color w:val="auto"/>
          <w:sz w:val="24"/>
          <w:szCs w:val="24"/>
        </w:rPr>
        <w:t>300m的区域。</w:t>
      </w:r>
      <w:r>
        <w:rPr>
          <w:rFonts w:hint="eastAsia"/>
          <w:color w:val="auto"/>
          <w:sz w:val="24"/>
          <w:szCs w:val="24"/>
          <w:lang w:val="en-US" w:eastAsia="zh-CN"/>
        </w:rPr>
        <w:t>生态评价范围示意图见附图9。</w:t>
      </w:r>
    </w:p>
    <w:p w14:paraId="6FE7855D">
      <w:pPr>
        <w:pStyle w:val="5"/>
        <w:bidi w:val="0"/>
        <w:rPr>
          <w:rFonts w:hint="default"/>
          <w:color w:val="auto"/>
          <w:lang w:val="en-US" w:eastAsia="zh-CN"/>
        </w:rPr>
      </w:pPr>
      <w:bookmarkStart w:id="117" w:name="_Toc23714"/>
      <w:bookmarkStart w:id="118" w:name="_Toc6138"/>
      <w:r>
        <w:rPr>
          <w:rFonts w:hint="eastAsia"/>
          <w:color w:val="auto"/>
          <w:lang w:val="en-US" w:eastAsia="zh-CN"/>
        </w:rPr>
        <w:t>2.5.7环境风险</w:t>
      </w:r>
      <w:bookmarkEnd w:id="117"/>
      <w:bookmarkEnd w:id="118"/>
    </w:p>
    <w:p w14:paraId="499315B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（1）评价等级</w:t>
      </w:r>
    </w:p>
    <w:p w14:paraId="3A53D8E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新宋体"/>
          <w:color w:val="auto"/>
          <w:sz w:val="24"/>
          <w:szCs w:val="28"/>
          <w:highlight w:val="none"/>
        </w:rPr>
      </w:pPr>
      <w:r>
        <w:rPr>
          <w:rFonts w:hint="eastAsia" w:eastAsia="新宋体"/>
          <w:color w:val="auto"/>
          <w:sz w:val="24"/>
          <w:szCs w:val="28"/>
          <w:highlight w:val="none"/>
          <w:lang w:val="en-US" w:eastAsia="zh-CN"/>
        </w:rPr>
        <w:t>根据《建设项目环境风险评价技术导则》（HJ169-2018），本工程涉及的环境风险物质主要是原油、伴生气。</w:t>
      </w:r>
      <w:r>
        <w:rPr>
          <w:rFonts w:hint="eastAsia" w:eastAsia="新宋体"/>
          <w:color w:val="auto"/>
          <w:sz w:val="24"/>
          <w:szCs w:val="28"/>
          <w:highlight w:val="none"/>
        </w:rPr>
        <w:t>根据《建设项目环境风险评价技术导则》（HJ169-2018）附录B中表B.1所列突发环境事件风险物质及临界量，其中“油类物质（矿物油类，如石油、汽油、柴油等；生物柴油等）”临界量为2500t，“石油气”临界量10t，本次伴生气临界量参照HJ169-2018中石油气临界量进行环境风险评价。</w:t>
      </w:r>
    </w:p>
    <w:p w14:paraId="3B00C41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新宋体"/>
          <w:color w:val="auto"/>
          <w:sz w:val="24"/>
          <w:szCs w:val="28"/>
          <w:highlight w:val="none"/>
        </w:rPr>
      </w:pPr>
      <w:r>
        <w:rPr>
          <w:rFonts w:hint="eastAsia" w:eastAsia="新宋体"/>
          <w:color w:val="auto"/>
          <w:sz w:val="24"/>
          <w:szCs w:val="28"/>
          <w:highlight w:val="none"/>
        </w:rPr>
        <w:t>计算所涉及危险物质在厂界内的最大存在总量与其在附录B中对应临界量的比值</w:t>
      </w:r>
      <w:r>
        <w:rPr>
          <w:rFonts w:hint="eastAsia" w:eastAsia="新宋体"/>
          <w:i/>
          <w:color w:val="auto"/>
          <w:sz w:val="24"/>
          <w:szCs w:val="28"/>
          <w:highlight w:val="none"/>
        </w:rPr>
        <w:t>Q</w:t>
      </w:r>
      <w:r>
        <w:rPr>
          <w:rFonts w:hint="eastAsia" w:eastAsia="新宋体"/>
          <w:color w:val="auto"/>
          <w:sz w:val="24"/>
          <w:szCs w:val="28"/>
          <w:highlight w:val="none"/>
        </w:rPr>
        <w:t>。在不同厂区的同一种物质，按其在厂界内的最大存在总量计算。对于长输管线项目，按照两个截断阀室之间管段危险物质最大存在总量计算。</w:t>
      </w:r>
    </w:p>
    <w:p w14:paraId="50FACA8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新宋体"/>
          <w:color w:val="auto"/>
          <w:sz w:val="24"/>
          <w:szCs w:val="28"/>
          <w:highlight w:val="none"/>
        </w:rPr>
      </w:pPr>
      <w:r>
        <w:rPr>
          <w:rFonts w:hint="eastAsia" w:eastAsia="新宋体"/>
          <w:color w:val="auto"/>
          <w:sz w:val="24"/>
          <w:szCs w:val="28"/>
          <w:highlight w:val="none"/>
        </w:rPr>
        <w:t>当只涉及一种危险物质时，计算该物质的总量与其临界量比值，即为</w:t>
      </w:r>
      <w:r>
        <w:rPr>
          <w:rFonts w:hint="eastAsia" w:eastAsia="新宋体"/>
          <w:i/>
          <w:color w:val="auto"/>
          <w:sz w:val="24"/>
          <w:szCs w:val="28"/>
          <w:highlight w:val="none"/>
        </w:rPr>
        <w:t>Q</w:t>
      </w:r>
      <w:r>
        <w:rPr>
          <w:rFonts w:hint="eastAsia" w:eastAsia="新宋体"/>
          <w:color w:val="auto"/>
          <w:sz w:val="24"/>
          <w:szCs w:val="28"/>
          <w:highlight w:val="none"/>
        </w:rPr>
        <w:t>：</w:t>
      </w:r>
    </w:p>
    <w:p w14:paraId="0049E34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新宋体"/>
          <w:color w:val="auto"/>
          <w:sz w:val="24"/>
          <w:szCs w:val="28"/>
          <w:highlight w:val="none"/>
        </w:rPr>
      </w:pPr>
      <w:r>
        <w:rPr>
          <w:rFonts w:hint="eastAsia" w:eastAsia="新宋体"/>
          <w:color w:val="auto"/>
          <w:sz w:val="24"/>
          <w:szCs w:val="28"/>
          <w:highlight w:val="none"/>
        </w:rPr>
        <w:t>当存在多种危险物质时，则按</w:t>
      </w:r>
      <w:r>
        <w:rPr>
          <w:rFonts w:hint="eastAsia" w:eastAsia="新宋体"/>
          <w:color w:val="auto"/>
          <w:sz w:val="24"/>
          <w:szCs w:val="28"/>
          <w:highlight w:val="none"/>
          <w:lang w:val="en-US" w:eastAsia="zh-CN"/>
        </w:rPr>
        <w:t>下</w:t>
      </w:r>
      <w:r>
        <w:rPr>
          <w:rFonts w:hint="eastAsia" w:eastAsia="新宋体"/>
          <w:color w:val="auto"/>
          <w:sz w:val="24"/>
          <w:szCs w:val="28"/>
          <w:highlight w:val="none"/>
        </w:rPr>
        <w:t>式计算物质总量与其临界量比值（Q）：</w:t>
      </w:r>
    </w:p>
    <w:p w14:paraId="00E02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新宋体" w:cs="Times New Roman"/>
          <w:color w:val="auto"/>
          <w:sz w:val="24"/>
          <w:szCs w:val="28"/>
          <w:highlight w:val="none"/>
          <w:lang w:eastAsia="zh-CN"/>
        </w:rPr>
      </w:pPr>
      <w:r>
        <w:rPr>
          <w:rFonts w:hint="eastAsia" w:ascii="Times New Roman" w:hAnsi="Times New Roman" w:eastAsia="新宋体" w:cs="Times New Roman"/>
          <w:color w:val="auto"/>
          <w:position w:val="-38"/>
          <w:sz w:val="24"/>
          <w:szCs w:val="28"/>
          <w:highlight w:val="none"/>
          <w:lang w:eastAsia="zh-CN"/>
        </w:rPr>
        <w:object>
          <v:shape id="_x0000_i1027" o:spt="75" type="#_x0000_t75" style="height:44pt;width:118pt;" o:ole="t" filled="f" o:preferrelative="t" stroked="f" coordsize="21600,21600">
            <v:path/>
            <v:fill on="f" focussize="0,0"/>
            <v:stroke on="f"/>
            <v:imagedata r:id="rId15" o:title=""/>
            <o:lock v:ext="edit" aspectratio="t"/>
            <w10:wrap type="none"/>
            <w10:anchorlock/>
          </v:shape>
          <o:OLEObject Type="Embed" ProgID="Equation.KSEE3" ShapeID="_x0000_i1027" DrawAspect="Content" ObjectID="_1468075727" r:id="rId14">
            <o:LockedField>false</o:LockedField>
          </o:OLEObject>
        </w:object>
      </w:r>
    </w:p>
    <w:p w14:paraId="3257D51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新宋体" w:cs="Times New Roman"/>
          <w:color w:val="auto"/>
          <w:sz w:val="24"/>
          <w:szCs w:val="28"/>
          <w:highlight w:val="none"/>
          <w:lang w:val="en-US" w:eastAsia="zh-CN"/>
        </w:rPr>
      </w:pPr>
      <w:r>
        <w:rPr>
          <w:rFonts w:hint="eastAsia" w:ascii="Times New Roman" w:hAnsi="Times New Roman" w:eastAsia="新宋体" w:cs="Times New Roman"/>
          <w:color w:val="auto"/>
          <w:sz w:val="24"/>
          <w:szCs w:val="28"/>
          <w:highlight w:val="none"/>
          <w:lang w:val="en-US" w:eastAsia="zh-CN"/>
        </w:rPr>
        <w:t>式中：q</w:t>
      </w:r>
      <w:r>
        <w:rPr>
          <w:rFonts w:hint="eastAsia" w:ascii="Times New Roman" w:hAnsi="Times New Roman" w:eastAsia="新宋体" w:cs="Times New Roman"/>
          <w:color w:val="auto"/>
          <w:sz w:val="24"/>
          <w:szCs w:val="28"/>
          <w:highlight w:val="none"/>
          <w:vertAlign w:val="subscript"/>
          <w:lang w:val="en-US" w:eastAsia="zh-CN"/>
        </w:rPr>
        <w:t>1</w:t>
      </w:r>
      <w:r>
        <w:rPr>
          <w:rFonts w:hint="eastAsia" w:ascii="Times New Roman" w:hAnsi="Times New Roman" w:eastAsia="新宋体" w:cs="Times New Roman"/>
          <w:color w:val="auto"/>
          <w:sz w:val="24"/>
          <w:szCs w:val="28"/>
          <w:highlight w:val="none"/>
          <w:lang w:val="en-US" w:eastAsia="zh-CN"/>
        </w:rPr>
        <w:t>，q</w:t>
      </w:r>
      <w:r>
        <w:rPr>
          <w:rFonts w:hint="eastAsia" w:ascii="Times New Roman" w:hAnsi="Times New Roman" w:eastAsia="新宋体" w:cs="Times New Roman"/>
          <w:color w:val="auto"/>
          <w:sz w:val="24"/>
          <w:szCs w:val="28"/>
          <w:highlight w:val="none"/>
          <w:vertAlign w:val="subscript"/>
          <w:lang w:val="en-US" w:eastAsia="zh-CN"/>
        </w:rPr>
        <w:t>2</w:t>
      </w:r>
      <w:r>
        <w:rPr>
          <w:rFonts w:hint="eastAsia" w:ascii="Times New Roman" w:hAnsi="Times New Roman" w:eastAsia="新宋体" w:cs="Times New Roman"/>
          <w:color w:val="auto"/>
          <w:sz w:val="24"/>
          <w:szCs w:val="28"/>
          <w:highlight w:val="none"/>
          <w:lang w:val="en-US" w:eastAsia="zh-CN"/>
        </w:rPr>
        <w:t>，...，q</w:t>
      </w:r>
      <w:r>
        <w:rPr>
          <w:rFonts w:hint="eastAsia" w:ascii="Times New Roman" w:hAnsi="Times New Roman" w:eastAsia="新宋体" w:cs="Times New Roman"/>
          <w:color w:val="auto"/>
          <w:sz w:val="24"/>
          <w:szCs w:val="28"/>
          <w:highlight w:val="none"/>
          <w:vertAlign w:val="subscript"/>
          <w:lang w:val="en-US" w:eastAsia="zh-CN"/>
        </w:rPr>
        <w:t>n</w:t>
      </w:r>
      <w:r>
        <w:rPr>
          <w:rFonts w:hint="eastAsia" w:ascii="Times New Roman" w:hAnsi="Times New Roman" w:eastAsia="新宋体" w:cs="Times New Roman"/>
          <w:color w:val="auto"/>
          <w:sz w:val="24"/>
          <w:szCs w:val="28"/>
          <w:highlight w:val="none"/>
          <w:lang w:val="en-US" w:eastAsia="zh-CN"/>
        </w:rPr>
        <w:t>——每种危险物质的最大存在总量，t；</w:t>
      </w:r>
    </w:p>
    <w:p w14:paraId="4F7054F4">
      <w:pPr>
        <w:keepNext w:val="0"/>
        <w:keepLines w:val="0"/>
        <w:pageBreakBefore w:val="0"/>
        <w:widowControl/>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新宋体" w:cs="Times New Roman"/>
          <w:color w:val="auto"/>
          <w:sz w:val="24"/>
          <w:szCs w:val="28"/>
          <w:highlight w:val="none"/>
          <w:lang w:val="en-US" w:eastAsia="zh-CN"/>
        </w:rPr>
      </w:pPr>
      <w:r>
        <w:rPr>
          <w:rFonts w:hint="eastAsia" w:ascii="Times New Roman" w:hAnsi="Times New Roman" w:eastAsia="新宋体" w:cs="Times New Roman"/>
          <w:color w:val="auto"/>
          <w:sz w:val="24"/>
          <w:szCs w:val="28"/>
          <w:highlight w:val="none"/>
          <w:lang w:val="en-US" w:eastAsia="zh-CN"/>
        </w:rPr>
        <w:t>Q</w:t>
      </w:r>
      <w:r>
        <w:rPr>
          <w:rFonts w:hint="eastAsia" w:ascii="Times New Roman" w:hAnsi="Times New Roman" w:eastAsia="新宋体" w:cs="Times New Roman"/>
          <w:color w:val="auto"/>
          <w:sz w:val="24"/>
          <w:szCs w:val="28"/>
          <w:highlight w:val="none"/>
          <w:vertAlign w:val="subscript"/>
          <w:lang w:val="en-US" w:eastAsia="zh-CN"/>
        </w:rPr>
        <w:t>1</w:t>
      </w:r>
      <w:r>
        <w:rPr>
          <w:rFonts w:hint="eastAsia" w:ascii="Times New Roman" w:hAnsi="Times New Roman" w:eastAsia="新宋体" w:cs="Times New Roman"/>
          <w:color w:val="auto"/>
          <w:sz w:val="24"/>
          <w:szCs w:val="28"/>
          <w:highlight w:val="none"/>
          <w:lang w:val="en-US" w:eastAsia="zh-CN"/>
        </w:rPr>
        <w:t>，Q</w:t>
      </w:r>
      <w:r>
        <w:rPr>
          <w:rFonts w:hint="eastAsia" w:ascii="Times New Roman" w:hAnsi="Times New Roman" w:eastAsia="新宋体" w:cs="Times New Roman"/>
          <w:color w:val="auto"/>
          <w:sz w:val="24"/>
          <w:szCs w:val="28"/>
          <w:highlight w:val="none"/>
          <w:vertAlign w:val="subscript"/>
          <w:lang w:val="en-US" w:eastAsia="zh-CN"/>
        </w:rPr>
        <w:t>2</w:t>
      </w:r>
      <w:r>
        <w:rPr>
          <w:rFonts w:hint="eastAsia" w:ascii="Times New Roman" w:hAnsi="Times New Roman" w:eastAsia="新宋体" w:cs="Times New Roman"/>
          <w:color w:val="auto"/>
          <w:sz w:val="24"/>
          <w:szCs w:val="28"/>
          <w:highlight w:val="none"/>
          <w:lang w:val="en-US" w:eastAsia="zh-CN"/>
        </w:rPr>
        <w:t>，...，Q</w:t>
      </w:r>
      <w:r>
        <w:rPr>
          <w:rFonts w:hint="eastAsia" w:ascii="Times New Roman" w:hAnsi="Times New Roman" w:eastAsia="新宋体" w:cs="Times New Roman"/>
          <w:color w:val="auto"/>
          <w:sz w:val="24"/>
          <w:szCs w:val="28"/>
          <w:highlight w:val="none"/>
          <w:vertAlign w:val="subscript"/>
          <w:lang w:val="en-US" w:eastAsia="zh-CN"/>
        </w:rPr>
        <w:t>n</w:t>
      </w:r>
      <w:r>
        <w:rPr>
          <w:rFonts w:hint="eastAsia" w:ascii="Times New Roman" w:hAnsi="Times New Roman" w:eastAsia="新宋体" w:cs="Times New Roman"/>
          <w:color w:val="auto"/>
          <w:sz w:val="24"/>
          <w:szCs w:val="28"/>
          <w:highlight w:val="none"/>
          <w:lang w:val="en-US" w:eastAsia="zh-CN"/>
        </w:rPr>
        <w:t>——每种危险物质的临界量，t。</w:t>
      </w:r>
    </w:p>
    <w:p w14:paraId="633F842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新宋体" w:cs="Times New Roman"/>
          <w:color w:val="auto"/>
          <w:sz w:val="24"/>
          <w:szCs w:val="28"/>
          <w:highlight w:val="none"/>
        </w:rPr>
      </w:pPr>
      <w:r>
        <w:rPr>
          <w:rFonts w:hint="default" w:ascii="Times New Roman" w:hAnsi="Times New Roman" w:eastAsia="新宋体" w:cs="Times New Roman"/>
          <w:color w:val="auto"/>
          <w:sz w:val="24"/>
          <w:szCs w:val="28"/>
          <w:highlight w:val="none"/>
        </w:rPr>
        <w:t>当Q＜1时，该项目环境风险潜势为Ⅰ。</w:t>
      </w:r>
    </w:p>
    <w:p w14:paraId="38506A9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新宋体" w:cs="Times New Roman"/>
          <w:color w:val="auto"/>
          <w:sz w:val="24"/>
          <w:szCs w:val="28"/>
          <w:highlight w:val="none"/>
          <w:lang w:val="en-US" w:eastAsia="zh-CN"/>
        </w:rPr>
      </w:pPr>
      <w:r>
        <w:rPr>
          <w:rFonts w:hint="default" w:ascii="Times New Roman" w:hAnsi="Times New Roman" w:eastAsia="新宋体" w:cs="Times New Roman"/>
          <w:color w:val="auto"/>
          <w:sz w:val="24"/>
          <w:szCs w:val="28"/>
          <w:highlight w:val="none"/>
        </w:rPr>
        <w:t>当Q≥1时，该Q值划分为</w:t>
      </w:r>
      <w:r>
        <w:rPr>
          <w:rFonts w:hint="eastAsia" w:ascii="Times New Roman" w:hAnsi="Times New Roman" w:eastAsia="新宋体" w:cs="Times New Roman"/>
          <w:color w:val="auto"/>
          <w:sz w:val="24"/>
          <w:szCs w:val="28"/>
          <w:highlight w:val="none"/>
          <w:lang w:eastAsia="zh-CN"/>
        </w:rPr>
        <w:t>：</w:t>
      </w:r>
      <w:r>
        <w:rPr>
          <w:rFonts w:hint="default" w:ascii="Times New Roman" w:hAnsi="Times New Roman" w:eastAsia="新宋体" w:cs="Times New Roman"/>
          <w:color w:val="auto"/>
          <w:sz w:val="24"/>
          <w:szCs w:val="28"/>
          <w:highlight w:val="none"/>
        </w:rPr>
        <w:t>①1≤Q＜10；②10≤Q＜100；③Q≥100。</w:t>
      </w:r>
    </w:p>
    <w:p w14:paraId="226FD04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rPr>
      </w:pPr>
      <w:r>
        <w:rPr>
          <w:rFonts w:hint="eastAsia"/>
          <w:color w:val="auto"/>
          <w:sz w:val="24"/>
          <w:szCs w:val="24"/>
          <w:lang w:val="en-US" w:eastAsia="zh-CN"/>
        </w:rPr>
        <w:t>本工程集油管线</w:t>
      </w:r>
      <w:r>
        <w:rPr>
          <w:rFonts w:hint="eastAsia" w:eastAsia="宋体"/>
          <w:color w:val="auto"/>
          <w:sz w:val="24"/>
          <w:szCs w:val="24"/>
          <w:lang w:val="en-US" w:eastAsia="zh-CN"/>
        </w:rPr>
        <w:t>危险物种临界量计算结果见</w:t>
      </w:r>
      <w:r>
        <w:rPr>
          <w:rFonts w:hint="eastAsia" w:eastAsia="宋体"/>
          <w:color w:val="auto"/>
          <w:sz w:val="24"/>
          <w:szCs w:val="24"/>
          <w:lang w:val="en-US" w:eastAsia="zh-CN"/>
        </w:rPr>
        <w:fldChar w:fldCharType="begin"/>
      </w:r>
      <w:r>
        <w:rPr>
          <w:rFonts w:hint="eastAsia" w:eastAsia="宋体"/>
          <w:color w:val="auto"/>
          <w:sz w:val="24"/>
          <w:szCs w:val="24"/>
          <w:lang w:val="en-US" w:eastAsia="zh-CN"/>
        </w:rPr>
        <w:instrText xml:space="preserve"> REF _Ref15319 \h </w:instrText>
      </w:r>
      <w:r>
        <w:rPr>
          <w:rFonts w:hint="eastAsia" w:eastAsia="宋体"/>
          <w:color w:val="auto"/>
          <w:sz w:val="24"/>
          <w:szCs w:val="24"/>
          <w:lang w:val="en-US" w:eastAsia="zh-CN"/>
        </w:rPr>
        <w:fldChar w:fldCharType="separate"/>
      </w:r>
      <w:r>
        <w:rPr>
          <w:rFonts w:eastAsia="宋体"/>
          <w:color w:val="auto"/>
          <w:sz w:val="24"/>
          <w:szCs w:val="24"/>
        </w:rPr>
        <w:t>表</w:t>
      </w:r>
      <w:r>
        <w:rPr>
          <w:rFonts w:eastAsia="宋体"/>
          <w:color w:val="auto"/>
          <w:sz w:val="24"/>
          <w:szCs w:val="24"/>
        </w:rPr>
        <w:fldChar w:fldCharType="begin"/>
      </w:r>
      <w:r>
        <w:rPr>
          <w:rFonts w:eastAsia="宋体"/>
          <w:color w:val="auto"/>
          <w:sz w:val="24"/>
          <w:szCs w:val="24"/>
        </w:rPr>
        <w:instrText xml:space="preserve"> STYLEREF 2 \s </w:instrText>
      </w:r>
      <w:r>
        <w:rPr>
          <w:rFonts w:eastAsia="宋体"/>
          <w:color w:val="auto"/>
          <w:sz w:val="24"/>
          <w:szCs w:val="24"/>
        </w:rPr>
        <w:fldChar w:fldCharType="separate"/>
      </w:r>
      <w:r>
        <w:rPr>
          <w:rFonts w:eastAsia="宋体"/>
          <w:color w:val="auto"/>
          <w:sz w:val="24"/>
          <w:szCs w:val="24"/>
        </w:rPr>
        <w:t>2.5</w:t>
      </w:r>
      <w:r>
        <w:rPr>
          <w:rFonts w:eastAsia="宋体"/>
          <w:color w:val="auto"/>
          <w:sz w:val="24"/>
          <w:szCs w:val="24"/>
        </w:rPr>
        <w:fldChar w:fldCharType="end"/>
      </w:r>
      <w:r>
        <w:rPr>
          <w:rFonts w:hint="eastAsia" w:eastAsia="宋体"/>
          <w:color w:val="auto"/>
          <w:sz w:val="24"/>
          <w:szCs w:val="24"/>
          <w:lang w:eastAsia="zh-CN"/>
        </w:rPr>
        <w:t>-</w:t>
      </w:r>
      <w:r>
        <w:rPr>
          <w:rFonts w:eastAsia="宋体"/>
          <w:color w:val="auto"/>
          <w:sz w:val="24"/>
          <w:szCs w:val="24"/>
        </w:rPr>
        <w:t>1</w:t>
      </w:r>
      <w:r>
        <w:rPr>
          <w:rFonts w:hint="eastAsia" w:eastAsia="宋体"/>
          <w:color w:val="auto"/>
          <w:sz w:val="24"/>
          <w:szCs w:val="24"/>
          <w:lang w:val="en-US" w:eastAsia="zh-CN"/>
        </w:rPr>
        <w:t>6</w:t>
      </w:r>
      <w:r>
        <w:rPr>
          <w:rFonts w:hint="eastAsia" w:eastAsia="宋体"/>
          <w:color w:val="auto"/>
          <w:sz w:val="24"/>
          <w:szCs w:val="24"/>
          <w:lang w:val="en-US" w:eastAsia="zh-CN"/>
        </w:rPr>
        <w:fldChar w:fldCharType="end"/>
      </w:r>
      <w:r>
        <w:rPr>
          <w:rFonts w:hint="eastAsia" w:eastAsia="宋体"/>
          <w:color w:val="auto"/>
          <w:sz w:val="24"/>
          <w:szCs w:val="24"/>
          <w:lang w:val="en-US" w:eastAsia="zh-CN"/>
        </w:rPr>
        <w:t>。</w:t>
      </w:r>
    </w:p>
    <w:p w14:paraId="6AEA6836">
      <w:pPr>
        <w:pStyle w:val="43"/>
        <w:bidi w:val="0"/>
        <w:rPr>
          <w:color w:val="auto"/>
        </w:rPr>
      </w:pPr>
      <w:bookmarkStart w:id="119" w:name="_Ref15319"/>
      <w:r>
        <w:rPr>
          <w:color w:val="auto"/>
        </w:rPr>
        <w:t>表</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1</w:t>
      </w:r>
      <w:r>
        <w:rPr>
          <w:rFonts w:hint="eastAsia"/>
          <w:color w:val="auto"/>
          <w:lang w:val="en-US" w:eastAsia="zh-CN"/>
        </w:rPr>
        <w:t>6</w:t>
      </w:r>
      <w:r>
        <w:rPr>
          <w:color w:val="auto"/>
        </w:rPr>
        <w:fldChar w:fldCharType="end"/>
      </w:r>
      <w:r>
        <w:rPr>
          <w:color w:val="auto"/>
        </w:rPr>
        <w:t xml:space="preserve">  项目</w:t>
      </w:r>
      <w:r>
        <w:rPr>
          <w:rFonts w:hint="eastAsia"/>
          <w:color w:val="auto"/>
          <w:lang w:val="en-US" w:eastAsia="zh-CN"/>
        </w:rPr>
        <w:t>集油管线</w:t>
      </w:r>
      <w:r>
        <w:rPr>
          <w:color w:val="auto"/>
        </w:rPr>
        <w:t>危险物质临界量计算结果表</w:t>
      </w:r>
    </w:p>
    <w:bookmarkEnd w:id="119"/>
    <w:tbl>
      <w:tblPr>
        <w:tblStyle w:val="4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28" w:type="dxa"/>
          <w:left w:w="57" w:type="dxa"/>
          <w:bottom w:w="28" w:type="dxa"/>
          <w:right w:w="57" w:type="dxa"/>
        </w:tblCellMar>
      </w:tblPr>
      <w:tblGrid>
        <w:gridCol w:w="364"/>
        <w:gridCol w:w="519"/>
        <w:gridCol w:w="1733"/>
        <w:gridCol w:w="740"/>
        <w:gridCol w:w="740"/>
        <w:gridCol w:w="698"/>
        <w:gridCol w:w="730"/>
        <w:gridCol w:w="592"/>
        <w:gridCol w:w="708"/>
        <w:gridCol w:w="932"/>
        <w:gridCol w:w="659"/>
      </w:tblGrid>
      <w:tr w14:paraId="23FF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28" w:type="dxa"/>
            <w:left w:w="57" w:type="dxa"/>
            <w:bottom w:w="28" w:type="dxa"/>
            <w:right w:w="57" w:type="dxa"/>
          </w:tblCellMar>
        </w:tblPrEx>
        <w:trPr>
          <w:trHeight w:val="369" w:hRule="atLeast"/>
          <w:jc w:val="center"/>
        </w:trPr>
        <w:tc>
          <w:tcPr>
            <w:tcW w:w="216" w:type="pct"/>
            <w:vMerge w:val="restart"/>
            <w:shd w:val="clear" w:color="auto" w:fill="auto"/>
            <w:vAlign w:val="center"/>
          </w:tcPr>
          <w:p w14:paraId="03703C8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b/>
                <w:bCs/>
                <w:color w:val="auto"/>
                <w:lang w:val="en-US" w:eastAsia="zh-CN"/>
              </w:rPr>
            </w:pPr>
            <w:r>
              <w:rPr>
                <w:rFonts w:hint="eastAsia"/>
                <w:b/>
                <w:bCs/>
                <w:color w:val="auto"/>
                <w:lang w:val="en-US" w:eastAsia="zh-CN"/>
              </w:rPr>
              <w:t>序号</w:t>
            </w:r>
          </w:p>
        </w:tc>
        <w:tc>
          <w:tcPr>
            <w:tcW w:w="308" w:type="pct"/>
            <w:vMerge w:val="restart"/>
            <w:shd w:val="clear" w:color="auto" w:fill="auto"/>
            <w:vAlign w:val="center"/>
          </w:tcPr>
          <w:p w14:paraId="3F3AC2D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bCs/>
                <w:color w:val="auto"/>
                <w:lang w:val="en-US" w:eastAsia="zh-CN"/>
              </w:rPr>
            </w:pPr>
            <w:r>
              <w:rPr>
                <w:rFonts w:hint="eastAsia"/>
                <w:b/>
                <w:bCs/>
                <w:color w:val="auto"/>
                <w:lang w:val="en-US" w:eastAsia="zh-CN"/>
              </w:rPr>
              <w:t>作业区</w:t>
            </w:r>
          </w:p>
        </w:tc>
        <w:tc>
          <w:tcPr>
            <w:tcW w:w="2757" w:type="pct"/>
            <w:gridSpan w:val="5"/>
            <w:shd w:val="clear" w:color="auto" w:fill="auto"/>
            <w:vAlign w:val="center"/>
          </w:tcPr>
          <w:p w14:paraId="45C8531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管线情况</w:t>
            </w:r>
          </w:p>
        </w:tc>
        <w:tc>
          <w:tcPr>
            <w:tcW w:w="772" w:type="pct"/>
            <w:gridSpan w:val="2"/>
            <w:shd w:val="clear" w:color="auto" w:fill="auto"/>
            <w:vAlign w:val="center"/>
          </w:tcPr>
          <w:p w14:paraId="37E3AF9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最大存在量</w:t>
            </w:r>
          </w:p>
        </w:tc>
        <w:tc>
          <w:tcPr>
            <w:tcW w:w="553" w:type="pct"/>
            <w:vMerge w:val="restart"/>
            <w:shd w:val="clear" w:color="auto" w:fill="auto"/>
            <w:vAlign w:val="center"/>
          </w:tcPr>
          <w:p w14:paraId="449EC9E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临界量（t）</w:t>
            </w:r>
          </w:p>
          <w:p w14:paraId="518CA55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rFonts w:hint="eastAsia"/>
                <w:b/>
                <w:bCs/>
                <w:color w:val="auto"/>
                <w:lang w:val="en-US" w:eastAsia="zh-CN"/>
              </w:rPr>
              <w:t>（原油/伴生气）</w:t>
            </w:r>
          </w:p>
        </w:tc>
        <w:tc>
          <w:tcPr>
            <w:tcW w:w="391" w:type="pct"/>
            <w:vMerge w:val="restart"/>
            <w:shd w:val="clear" w:color="auto" w:fill="auto"/>
            <w:vAlign w:val="center"/>
          </w:tcPr>
          <w:p w14:paraId="7C2C952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比值Q</w:t>
            </w:r>
          </w:p>
        </w:tc>
      </w:tr>
      <w:tr w14:paraId="5000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216" w:type="pct"/>
            <w:vMerge w:val="continue"/>
            <w:shd w:val="clear" w:color="auto" w:fill="auto"/>
            <w:vAlign w:val="center"/>
          </w:tcPr>
          <w:p w14:paraId="4FFA735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b/>
                <w:bCs/>
                <w:color w:val="auto"/>
                <w:lang w:val="en-US" w:eastAsia="zh-CN"/>
              </w:rPr>
            </w:pPr>
          </w:p>
        </w:tc>
        <w:tc>
          <w:tcPr>
            <w:tcW w:w="308" w:type="pct"/>
            <w:vMerge w:val="continue"/>
            <w:shd w:val="clear" w:color="auto" w:fill="auto"/>
            <w:vAlign w:val="center"/>
          </w:tcPr>
          <w:p w14:paraId="6EF480D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bCs/>
                <w:color w:val="auto"/>
                <w:lang w:val="en-US" w:eastAsia="zh-CN"/>
              </w:rPr>
            </w:pPr>
          </w:p>
        </w:tc>
        <w:tc>
          <w:tcPr>
            <w:tcW w:w="1030" w:type="pct"/>
            <w:shd w:val="clear" w:color="auto" w:fill="auto"/>
            <w:vAlign w:val="center"/>
          </w:tcPr>
          <w:p w14:paraId="002D9CB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工程名称</w:t>
            </w:r>
          </w:p>
        </w:tc>
        <w:tc>
          <w:tcPr>
            <w:tcW w:w="439" w:type="pct"/>
            <w:shd w:val="clear" w:color="auto" w:fill="auto"/>
            <w:vAlign w:val="center"/>
          </w:tcPr>
          <w:p w14:paraId="1F13658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b/>
                <w:bCs/>
                <w:color w:val="auto"/>
                <w:lang w:eastAsia="zh-CN"/>
              </w:rPr>
            </w:pPr>
            <w:r>
              <w:rPr>
                <w:b/>
                <w:bCs/>
                <w:color w:val="auto"/>
              </w:rPr>
              <w:t>长度</w:t>
            </w:r>
            <w:r>
              <w:rPr>
                <w:rFonts w:hint="eastAsia"/>
                <w:b/>
                <w:bCs/>
                <w:color w:val="auto"/>
                <w:lang w:eastAsia="zh-CN"/>
              </w:rPr>
              <w:t>（</w:t>
            </w:r>
            <w:r>
              <w:rPr>
                <w:rFonts w:hint="eastAsia"/>
                <w:b/>
                <w:bCs/>
                <w:color w:val="auto"/>
                <w:lang w:val="en-US" w:eastAsia="zh-CN"/>
              </w:rPr>
              <w:t>km</w:t>
            </w:r>
            <w:r>
              <w:rPr>
                <w:rFonts w:hint="eastAsia"/>
                <w:b/>
                <w:bCs/>
                <w:color w:val="auto"/>
                <w:lang w:eastAsia="zh-CN"/>
              </w:rPr>
              <w:t>）</w:t>
            </w:r>
          </w:p>
        </w:tc>
        <w:tc>
          <w:tcPr>
            <w:tcW w:w="439" w:type="pct"/>
            <w:shd w:val="clear" w:color="auto" w:fill="auto"/>
            <w:vAlign w:val="center"/>
          </w:tcPr>
          <w:p w14:paraId="1523809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规格</w:t>
            </w:r>
          </w:p>
        </w:tc>
        <w:tc>
          <w:tcPr>
            <w:tcW w:w="414" w:type="pct"/>
            <w:shd w:val="clear" w:color="auto" w:fill="auto"/>
            <w:vAlign w:val="center"/>
          </w:tcPr>
          <w:p w14:paraId="3FEEA3A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介质</w:t>
            </w:r>
          </w:p>
        </w:tc>
        <w:tc>
          <w:tcPr>
            <w:tcW w:w="433" w:type="pct"/>
            <w:shd w:val="clear" w:color="auto" w:fill="auto"/>
            <w:vAlign w:val="center"/>
          </w:tcPr>
          <w:p w14:paraId="0960E24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color w:val="auto"/>
              </w:rPr>
            </w:pPr>
            <w:r>
              <w:rPr>
                <w:b/>
                <w:bCs/>
                <w:color w:val="auto"/>
              </w:rPr>
              <w:t>输送压力</w:t>
            </w:r>
          </w:p>
        </w:tc>
        <w:tc>
          <w:tcPr>
            <w:tcW w:w="351" w:type="pct"/>
            <w:shd w:val="clear" w:color="auto" w:fill="auto"/>
            <w:vAlign w:val="center"/>
          </w:tcPr>
          <w:p w14:paraId="0C77D40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pPr>
            <w:r>
              <w:rPr>
                <w:rFonts w:hint="eastAsia"/>
                <w:b/>
                <w:bCs/>
                <w:color w:val="auto"/>
                <w:lang w:val="en-US" w:eastAsia="zh-CN"/>
              </w:rPr>
              <w:t>原油</w:t>
            </w:r>
            <w:r>
              <w:rPr>
                <w:b/>
                <w:bCs/>
                <w:color w:val="auto"/>
              </w:rPr>
              <w:t>（t）</w:t>
            </w:r>
          </w:p>
        </w:tc>
        <w:tc>
          <w:tcPr>
            <w:tcW w:w="420" w:type="pct"/>
            <w:shd w:val="clear" w:color="auto" w:fill="auto"/>
            <w:vAlign w:val="center"/>
          </w:tcPr>
          <w:p w14:paraId="3AF02E8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pPr>
            <w:r>
              <w:rPr>
                <w:rFonts w:hint="eastAsia"/>
                <w:b/>
                <w:bCs/>
                <w:color w:val="auto"/>
                <w:lang w:val="en-US" w:eastAsia="zh-CN"/>
              </w:rPr>
              <w:t>伴生气</w:t>
            </w:r>
            <w:r>
              <w:rPr>
                <w:b/>
                <w:bCs/>
                <w:color w:val="auto"/>
              </w:rPr>
              <w:t>（t）</w:t>
            </w:r>
          </w:p>
        </w:tc>
        <w:tc>
          <w:tcPr>
            <w:tcW w:w="553" w:type="pct"/>
            <w:vMerge w:val="continue"/>
            <w:shd w:val="clear" w:color="auto" w:fill="auto"/>
            <w:vAlign w:val="center"/>
          </w:tcPr>
          <w:p w14:paraId="1C37C47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pPr>
          </w:p>
        </w:tc>
        <w:tc>
          <w:tcPr>
            <w:tcW w:w="391" w:type="pct"/>
            <w:vMerge w:val="continue"/>
            <w:shd w:val="clear" w:color="auto" w:fill="auto"/>
            <w:vAlign w:val="center"/>
          </w:tcPr>
          <w:p w14:paraId="44FA5B2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pPr>
          </w:p>
        </w:tc>
      </w:tr>
      <w:tr w14:paraId="0276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216" w:type="pct"/>
            <w:shd w:val="clear" w:color="auto" w:fill="auto"/>
            <w:vAlign w:val="center"/>
          </w:tcPr>
          <w:p w14:paraId="4B11666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w:t>
            </w:r>
          </w:p>
        </w:tc>
        <w:tc>
          <w:tcPr>
            <w:tcW w:w="308" w:type="pct"/>
            <w:vMerge w:val="restart"/>
            <w:shd w:val="clear" w:color="auto" w:fill="auto"/>
            <w:vAlign w:val="center"/>
          </w:tcPr>
          <w:p w14:paraId="41AF9C5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r>
              <w:rPr>
                <w:rFonts w:hint="eastAsia"/>
                <w:b w:val="0"/>
                <w:bCs w:val="0"/>
                <w:color w:val="auto"/>
                <w:lang w:val="en-US" w:eastAsia="zh-CN"/>
              </w:rPr>
              <w:t>百21采油作业区</w:t>
            </w:r>
          </w:p>
        </w:tc>
        <w:tc>
          <w:tcPr>
            <w:tcW w:w="1030" w:type="pct"/>
            <w:shd w:val="clear" w:color="auto" w:fill="auto"/>
            <w:vAlign w:val="center"/>
          </w:tcPr>
          <w:p w14:paraId="1398B2E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百209H至b7271井集油管线</w:t>
            </w:r>
          </w:p>
        </w:tc>
        <w:tc>
          <w:tcPr>
            <w:tcW w:w="439" w:type="pct"/>
            <w:shd w:val="clear" w:color="auto" w:fill="auto"/>
            <w:vAlign w:val="center"/>
          </w:tcPr>
          <w:p w14:paraId="07CC243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0.68</w:t>
            </w:r>
          </w:p>
        </w:tc>
        <w:tc>
          <w:tcPr>
            <w:tcW w:w="439" w:type="pct"/>
            <w:shd w:val="clear" w:color="auto" w:fill="auto"/>
            <w:vAlign w:val="center"/>
          </w:tcPr>
          <w:p w14:paraId="3EA0972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DN50</w:t>
            </w:r>
          </w:p>
        </w:tc>
        <w:tc>
          <w:tcPr>
            <w:tcW w:w="414" w:type="pct"/>
            <w:shd w:val="clear" w:color="auto" w:fill="auto"/>
            <w:vAlign w:val="center"/>
          </w:tcPr>
          <w:p w14:paraId="3F857C1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含水原油</w:t>
            </w:r>
          </w:p>
        </w:tc>
        <w:tc>
          <w:tcPr>
            <w:tcW w:w="433" w:type="pct"/>
            <w:shd w:val="clear" w:color="auto" w:fill="auto"/>
            <w:vAlign w:val="center"/>
          </w:tcPr>
          <w:p w14:paraId="6D006D0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22ACE91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MPa</w:t>
            </w:r>
          </w:p>
        </w:tc>
        <w:tc>
          <w:tcPr>
            <w:tcW w:w="351" w:type="pct"/>
            <w:shd w:val="clear" w:color="auto" w:fill="auto"/>
            <w:vAlign w:val="center"/>
          </w:tcPr>
          <w:p w14:paraId="3A172BD9">
            <w:pPr>
              <w:keepNext w:val="0"/>
              <w:keepLines w:val="0"/>
              <w:widowControl/>
              <w:suppressLineNumbers w:val="0"/>
              <w:jc w:val="center"/>
              <w:textAlignment w:val="center"/>
              <w:rPr>
                <w:rFonts w:hint="eastAsia"/>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1.1210</w:t>
            </w:r>
          </w:p>
        </w:tc>
        <w:tc>
          <w:tcPr>
            <w:tcW w:w="420" w:type="pct"/>
            <w:shd w:val="clear" w:color="auto" w:fill="auto"/>
            <w:vAlign w:val="center"/>
          </w:tcPr>
          <w:p w14:paraId="765EC748">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0.0606</w:t>
            </w:r>
          </w:p>
        </w:tc>
        <w:tc>
          <w:tcPr>
            <w:tcW w:w="553" w:type="pct"/>
            <w:shd w:val="clear" w:color="auto" w:fill="auto"/>
            <w:vAlign w:val="center"/>
          </w:tcPr>
          <w:p w14:paraId="5C97336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116466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0.0065</w:t>
            </w:r>
          </w:p>
        </w:tc>
      </w:tr>
      <w:tr w14:paraId="7197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216" w:type="pct"/>
            <w:shd w:val="clear" w:color="auto" w:fill="auto"/>
            <w:vAlign w:val="center"/>
          </w:tcPr>
          <w:p w14:paraId="5525259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2</w:t>
            </w:r>
          </w:p>
        </w:tc>
        <w:tc>
          <w:tcPr>
            <w:tcW w:w="308" w:type="pct"/>
            <w:vMerge w:val="continue"/>
            <w:shd w:val="clear" w:color="auto" w:fill="auto"/>
            <w:vAlign w:val="center"/>
          </w:tcPr>
          <w:p w14:paraId="2A0F843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1030" w:type="pct"/>
            <w:shd w:val="clear" w:color="auto" w:fill="auto"/>
            <w:vAlign w:val="center"/>
          </w:tcPr>
          <w:p w14:paraId="313487C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百791至百79井集油管线</w:t>
            </w:r>
          </w:p>
        </w:tc>
        <w:tc>
          <w:tcPr>
            <w:tcW w:w="439" w:type="pct"/>
            <w:shd w:val="clear" w:color="auto" w:fill="auto"/>
            <w:vAlign w:val="center"/>
          </w:tcPr>
          <w:p w14:paraId="404E346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1.79</w:t>
            </w:r>
          </w:p>
        </w:tc>
        <w:tc>
          <w:tcPr>
            <w:tcW w:w="439" w:type="pct"/>
            <w:shd w:val="clear" w:color="auto" w:fill="auto"/>
            <w:vAlign w:val="center"/>
          </w:tcPr>
          <w:p w14:paraId="5258D87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DN80</w:t>
            </w:r>
          </w:p>
        </w:tc>
        <w:tc>
          <w:tcPr>
            <w:tcW w:w="414" w:type="pct"/>
            <w:shd w:val="clear" w:color="auto" w:fill="auto"/>
            <w:vAlign w:val="center"/>
          </w:tcPr>
          <w:p w14:paraId="7A6D81E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含水原油</w:t>
            </w:r>
          </w:p>
        </w:tc>
        <w:tc>
          <w:tcPr>
            <w:tcW w:w="433" w:type="pct"/>
            <w:shd w:val="clear" w:color="auto" w:fill="auto"/>
            <w:vAlign w:val="center"/>
          </w:tcPr>
          <w:p w14:paraId="74F3483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7FF5FC9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MPa</w:t>
            </w:r>
          </w:p>
        </w:tc>
        <w:tc>
          <w:tcPr>
            <w:tcW w:w="351" w:type="pct"/>
            <w:shd w:val="clear" w:color="auto" w:fill="auto"/>
            <w:vAlign w:val="center"/>
          </w:tcPr>
          <w:p w14:paraId="7CDBF98D">
            <w:pPr>
              <w:keepNext w:val="0"/>
              <w:keepLines w:val="0"/>
              <w:widowControl/>
              <w:suppressLineNumbers w:val="0"/>
              <w:jc w:val="center"/>
              <w:textAlignment w:val="center"/>
              <w:rPr>
                <w:rFonts w:hint="eastAsia"/>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7.5541</w:t>
            </w:r>
          </w:p>
        </w:tc>
        <w:tc>
          <w:tcPr>
            <w:tcW w:w="420" w:type="pct"/>
            <w:shd w:val="clear" w:color="auto" w:fill="auto"/>
            <w:vAlign w:val="center"/>
          </w:tcPr>
          <w:p w14:paraId="59E03F75">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0.2630</w:t>
            </w:r>
          </w:p>
        </w:tc>
        <w:tc>
          <w:tcPr>
            <w:tcW w:w="553" w:type="pct"/>
            <w:shd w:val="clear" w:color="auto" w:fill="auto"/>
            <w:vAlign w:val="center"/>
          </w:tcPr>
          <w:p w14:paraId="5793AE3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7A87C0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0.0293</w:t>
            </w:r>
          </w:p>
        </w:tc>
      </w:tr>
      <w:tr w14:paraId="7579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36" w:hRule="atLeast"/>
          <w:jc w:val="center"/>
        </w:trPr>
        <w:tc>
          <w:tcPr>
            <w:tcW w:w="216" w:type="pct"/>
            <w:shd w:val="clear" w:color="auto" w:fill="auto"/>
            <w:vAlign w:val="center"/>
          </w:tcPr>
          <w:p w14:paraId="2D69B9B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3</w:t>
            </w:r>
          </w:p>
        </w:tc>
        <w:tc>
          <w:tcPr>
            <w:tcW w:w="308" w:type="pct"/>
            <w:vMerge w:val="continue"/>
            <w:shd w:val="clear" w:color="auto" w:fill="auto"/>
            <w:vAlign w:val="center"/>
          </w:tcPr>
          <w:p w14:paraId="7BB69E7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1030" w:type="pct"/>
            <w:shd w:val="clear" w:color="auto" w:fill="auto"/>
            <w:vAlign w:val="center"/>
          </w:tcPr>
          <w:p w14:paraId="2DE7BCF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百79至百79阀池3集油管线</w:t>
            </w:r>
          </w:p>
        </w:tc>
        <w:tc>
          <w:tcPr>
            <w:tcW w:w="439" w:type="pct"/>
            <w:shd w:val="clear" w:color="auto" w:fill="auto"/>
            <w:vAlign w:val="center"/>
          </w:tcPr>
          <w:p w14:paraId="6902723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0.4</w:t>
            </w:r>
          </w:p>
        </w:tc>
        <w:tc>
          <w:tcPr>
            <w:tcW w:w="439" w:type="pct"/>
            <w:shd w:val="clear" w:color="auto" w:fill="auto"/>
            <w:vAlign w:val="center"/>
          </w:tcPr>
          <w:p w14:paraId="7B535DE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DN150</w:t>
            </w:r>
          </w:p>
        </w:tc>
        <w:tc>
          <w:tcPr>
            <w:tcW w:w="414" w:type="pct"/>
            <w:shd w:val="clear" w:color="auto" w:fill="auto"/>
            <w:vAlign w:val="center"/>
          </w:tcPr>
          <w:p w14:paraId="40A3FB2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含水原油</w:t>
            </w:r>
          </w:p>
        </w:tc>
        <w:tc>
          <w:tcPr>
            <w:tcW w:w="433" w:type="pct"/>
            <w:shd w:val="clear" w:color="auto" w:fill="auto"/>
            <w:vAlign w:val="center"/>
          </w:tcPr>
          <w:p w14:paraId="1514026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3.5</w:t>
            </w:r>
          </w:p>
          <w:p w14:paraId="161105C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eastAsia"/>
                <w:b w:val="0"/>
                <w:bCs w:val="0"/>
                <w:color w:val="auto"/>
                <w:lang w:val="en-US" w:eastAsia="zh-CN"/>
              </w:rPr>
              <w:t>MPa</w:t>
            </w:r>
          </w:p>
        </w:tc>
        <w:tc>
          <w:tcPr>
            <w:tcW w:w="351" w:type="pct"/>
            <w:shd w:val="clear" w:color="auto" w:fill="auto"/>
            <w:vAlign w:val="center"/>
          </w:tcPr>
          <w:p w14:paraId="5CB40AA9">
            <w:pPr>
              <w:keepNext w:val="0"/>
              <w:keepLines w:val="0"/>
              <w:widowControl/>
              <w:suppressLineNumbers w:val="0"/>
              <w:jc w:val="center"/>
              <w:textAlignment w:val="center"/>
              <w:rPr>
                <w:rFonts w:hint="default"/>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5.9346</w:t>
            </w:r>
          </w:p>
        </w:tc>
        <w:tc>
          <w:tcPr>
            <w:tcW w:w="420" w:type="pct"/>
            <w:shd w:val="clear" w:color="auto" w:fill="auto"/>
            <w:vAlign w:val="center"/>
          </w:tcPr>
          <w:p w14:paraId="650EF705">
            <w:pPr>
              <w:keepNext w:val="0"/>
              <w:keepLines w:val="0"/>
              <w:widowControl/>
              <w:suppressLineNumbers w:val="0"/>
              <w:jc w:val="center"/>
              <w:textAlignment w:val="center"/>
              <w:rPr>
                <w:rFonts w:hint="default"/>
                <w:b w:val="0"/>
                <w:bCs w:val="0"/>
                <w:color w:val="auto"/>
                <w:sz w:val="21"/>
                <w:szCs w:val="21"/>
                <w:lang w:val="en-US" w:eastAsia="zh-CN"/>
              </w:rPr>
            </w:pPr>
            <w:r>
              <w:rPr>
                <w:rFonts w:hint="eastAsia" w:cs="Times New Roman"/>
                <w:i w:val="0"/>
                <w:iCs w:val="0"/>
                <w:color w:val="auto"/>
                <w:kern w:val="0"/>
                <w:sz w:val="21"/>
                <w:szCs w:val="21"/>
                <w:u w:val="none"/>
                <w:lang w:val="en-US" w:eastAsia="zh-CN" w:bidi="ar"/>
              </w:rPr>
              <w:t>0.5415</w:t>
            </w:r>
          </w:p>
        </w:tc>
        <w:tc>
          <w:tcPr>
            <w:tcW w:w="553" w:type="pct"/>
            <w:shd w:val="clear" w:color="auto" w:fill="auto"/>
            <w:vAlign w:val="center"/>
          </w:tcPr>
          <w:p w14:paraId="3BDD595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50B31811">
            <w:pPr>
              <w:keepNext w:val="0"/>
              <w:keepLines w:val="0"/>
              <w:widowControl/>
              <w:suppressLineNumbers w:val="0"/>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0.0565</w:t>
            </w:r>
          </w:p>
        </w:tc>
      </w:tr>
      <w:tr w14:paraId="7706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36" w:hRule="atLeast"/>
          <w:jc w:val="center"/>
        </w:trPr>
        <w:tc>
          <w:tcPr>
            <w:tcW w:w="216" w:type="pct"/>
            <w:shd w:val="clear" w:color="auto" w:fill="auto"/>
            <w:vAlign w:val="center"/>
          </w:tcPr>
          <w:p w14:paraId="071D5EE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4</w:t>
            </w:r>
          </w:p>
        </w:tc>
        <w:tc>
          <w:tcPr>
            <w:tcW w:w="308" w:type="pct"/>
            <w:vMerge w:val="continue"/>
            <w:shd w:val="clear" w:color="auto" w:fill="auto"/>
            <w:vAlign w:val="center"/>
          </w:tcPr>
          <w:p w14:paraId="13504B1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1030" w:type="pct"/>
            <w:shd w:val="clear" w:color="auto" w:fill="auto"/>
            <w:vAlign w:val="center"/>
          </w:tcPr>
          <w:p w14:paraId="7503EEF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r>
              <w:rPr>
                <w:rFonts w:hint="eastAsia"/>
                <w:b w:val="0"/>
                <w:bCs w:val="0"/>
                <w:color w:val="auto"/>
                <w:lang w:val="en-US" w:eastAsia="zh-CN"/>
              </w:rPr>
              <w:t>百79阀池3至百79阀池2</w:t>
            </w:r>
          </w:p>
        </w:tc>
        <w:tc>
          <w:tcPr>
            <w:tcW w:w="439" w:type="pct"/>
            <w:shd w:val="clear" w:color="auto" w:fill="auto"/>
            <w:vAlign w:val="center"/>
          </w:tcPr>
          <w:p w14:paraId="19B2044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r>
              <w:rPr>
                <w:rFonts w:hint="eastAsia"/>
                <w:b w:val="0"/>
                <w:bCs w:val="0"/>
                <w:color w:val="auto"/>
                <w:lang w:val="en-US" w:eastAsia="zh-CN"/>
              </w:rPr>
              <w:t>2.3</w:t>
            </w:r>
          </w:p>
        </w:tc>
        <w:tc>
          <w:tcPr>
            <w:tcW w:w="439" w:type="pct"/>
            <w:shd w:val="clear" w:color="auto" w:fill="auto"/>
            <w:vAlign w:val="center"/>
          </w:tcPr>
          <w:p w14:paraId="6FD0468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DN150</w:t>
            </w:r>
          </w:p>
        </w:tc>
        <w:tc>
          <w:tcPr>
            <w:tcW w:w="414" w:type="pct"/>
            <w:shd w:val="clear" w:color="auto" w:fill="auto"/>
            <w:vAlign w:val="center"/>
          </w:tcPr>
          <w:p w14:paraId="220FAE6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含水原油</w:t>
            </w:r>
          </w:p>
        </w:tc>
        <w:tc>
          <w:tcPr>
            <w:tcW w:w="433" w:type="pct"/>
            <w:shd w:val="clear" w:color="auto" w:fill="auto"/>
            <w:vAlign w:val="center"/>
          </w:tcPr>
          <w:p w14:paraId="16CAAA5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3.5</w:t>
            </w:r>
          </w:p>
          <w:p w14:paraId="0AD658E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MPa</w:t>
            </w:r>
          </w:p>
        </w:tc>
        <w:tc>
          <w:tcPr>
            <w:tcW w:w="351" w:type="pct"/>
            <w:shd w:val="clear" w:color="auto" w:fill="auto"/>
            <w:vAlign w:val="center"/>
          </w:tcPr>
          <w:p w14:paraId="7B6BDA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34.1240</w:t>
            </w:r>
          </w:p>
        </w:tc>
        <w:tc>
          <w:tcPr>
            <w:tcW w:w="420" w:type="pct"/>
            <w:shd w:val="clear" w:color="auto" w:fill="auto"/>
            <w:vAlign w:val="center"/>
          </w:tcPr>
          <w:p w14:paraId="16221D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3.1138</w:t>
            </w:r>
          </w:p>
        </w:tc>
        <w:tc>
          <w:tcPr>
            <w:tcW w:w="553" w:type="pct"/>
            <w:shd w:val="clear" w:color="auto" w:fill="auto"/>
            <w:vAlign w:val="center"/>
          </w:tcPr>
          <w:p w14:paraId="0CEFFF5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000CA3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0.3250</w:t>
            </w:r>
          </w:p>
        </w:tc>
      </w:tr>
      <w:tr w14:paraId="7133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36" w:hRule="atLeast"/>
          <w:jc w:val="center"/>
        </w:trPr>
        <w:tc>
          <w:tcPr>
            <w:tcW w:w="216" w:type="pct"/>
            <w:shd w:val="clear" w:color="auto" w:fill="auto"/>
            <w:vAlign w:val="center"/>
          </w:tcPr>
          <w:p w14:paraId="206B72D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5</w:t>
            </w:r>
          </w:p>
        </w:tc>
        <w:tc>
          <w:tcPr>
            <w:tcW w:w="308" w:type="pct"/>
            <w:vMerge w:val="continue"/>
            <w:shd w:val="clear" w:color="auto" w:fill="auto"/>
            <w:vAlign w:val="center"/>
          </w:tcPr>
          <w:p w14:paraId="29F0352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1030" w:type="pct"/>
            <w:shd w:val="clear" w:color="auto" w:fill="auto"/>
            <w:vAlign w:val="center"/>
          </w:tcPr>
          <w:p w14:paraId="077ED3C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百79阀池2至百79阀池1</w:t>
            </w:r>
          </w:p>
        </w:tc>
        <w:tc>
          <w:tcPr>
            <w:tcW w:w="439" w:type="pct"/>
            <w:shd w:val="clear" w:color="auto" w:fill="auto"/>
            <w:vAlign w:val="center"/>
          </w:tcPr>
          <w:p w14:paraId="44EC846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r>
              <w:rPr>
                <w:rFonts w:hint="eastAsia"/>
                <w:b w:val="0"/>
                <w:bCs w:val="0"/>
                <w:color w:val="auto"/>
                <w:lang w:val="en-US" w:eastAsia="zh-CN"/>
              </w:rPr>
              <w:t>1.5</w:t>
            </w:r>
          </w:p>
        </w:tc>
        <w:tc>
          <w:tcPr>
            <w:tcW w:w="439" w:type="pct"/>
            <w:shd w:val="clear" w:color="auto" w:fill="auto"/>
            <w:vAlign w:val="center"/>
          </w:tcPr>
          <w:p w14:paraId="0B377F7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DN150</w:t>
            </w:r>
          </w:p>
        </w:tc>
        <w:tc>
          <w:tcPr>
            <w:tcW w:w="414" w:type="pct"/>
            <w:shd w:val="clear" w:color="auto" w:fill="auto"/>
            <w:vAlign w:val="center"/>
          </w:tcPr>
          <w:p w14:paraId="1F1A0BE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含水原油</w:t>
            </w:r>
          </w:p>
        </w:tc>
        <w:tc>
          <w:tcPr>
            <w:tcW w:w="433" w:type="pct"/>
            <w:shd w:val="clear" w:color="auto" w:fill="auto"/>
            <w:vAlign w:val="center"/>
          </w:tcPr>
          <w:p w14:paraId="4ACEDD5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3.5</w:t>
            </w:r>
          </w:p>
          <w:p w14:paraId="48DA23E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MPa</w:t>
            </w:r>
          </w:p>
        </w:tc>
        <w:tc>
          <w:tcPr>
            <w:tcW w:w="351" w:type="pct"/>
            <w:shd w:val="clear" w:color="auto" w:fill="auto"/>
            <w:vAlign w:val="center"/>
          </w:tcPr>
          <w:p w14:paraId="6F48C1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22.2548</w:t>
            </w:r>
          </w:p>
        </w:tc>
        <w:tc>
          <w:tcPr>
            <w:tcW w:w="420" w:type="pct"/>
            <w:shd w:val="clear" w:color="auto" w:fill="auto"/>
            <w:vAlign w:val="center"/>
          </w:tcPr>
          <w:p w14:paraId="18C85B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2.0307</w:t>
            </w:r>
          </w:p>
        </w:tc>
        <w:tc>
          <w:tcPr>
            <w:tcW w:w="553" w:type="pct"/>
            <w:shd w:val="clear" w:color="auto" w:fill="auto"/>
            <w:vAlign w:val="center"/>
          </w:tcPr>
          <w:p w14:paraId="3411D0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04CC7B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0.2120</w:t>
            </w:r>
          </w:p>
        </w:tc>
      </w:tr>
      <w:tr w14:paraId="4B00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216" w:type="pct"/>
            <w:shd w:val="clear" w:color="auto" w:fill="auto"/>
            <w:vAlign w:val="center"/>
          </w:tcPr>
          <w:p w14:paraId="044E98C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6</w:t>
            </w:r>
          </w:p>
        </w:tc>
        <w:tc>
          <w:tcPr>
            <w:tcW w:w="308" w:type="pct"/>
            <w:vMerge w:val="continue"/>
            <w:shd w:val="clear" w:color="auto" w:fill="auto"/>
            <w:vAlign w:val="center"/>
          </w:tcPr>
          <w:p w14:paraId="75F8C8F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1030" w:type="pct"/>
            <w:shd w:val="clear" w:color="auto" w:fill="auto"/>
            <w:vAlign w:val="center"/>
          </w:tcPr>
          <w:p w14:paraId="381900A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百76至百79阀池2集油管线</w:t>
            </w:r>
          </w:p>
        </w:tc>
        <w:tc>
          <w:tcPr>
            <w:tcW w:w="439" w:type="pct"/>
            <w:shd w:val="clear" w:color="auto" w:fill="auto"/>
            <w:vAlign w:val="center"/>
          </w:tcPr>
          <w:p w14:paraId="2EB563E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1.25</w:t>
            </w:r>
          </w:p>
        </w:tc>
        <w:tc>
          <w:tcPr>
            <w:tcW w:w="439" w:type="pct"/>
            <w:shd w:val="clear" w:color="auto" w:fill="auto"/>
            <w:vAlign w:val="center"/>
          </w:tcPr>
          <w:p w14:paraId="6ABC16B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DN50</w:t>
            </w:r>
          </w:p>
        </w:tc>
        <w:tc>
          <w:tcPr>
            <w:tcW w:w="414" w:type="pct"/>
            <w:shd w:val="clear" w:color="auto" w:fill="auto"/>
            <w:vAlign w:val="center"/>
          </w:tcPr>
          <w:p w14:paraId="6F06C48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433" w:type="pct"/>
            <w:shd w:val="clear" w:color="auto" w:fill="auto"/>
            <w:vAlign w:val="center"/>
          </w:tcPr>
          <w:p w14:paraId="0630C95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60A0E3E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35823307">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2.0361</w:t>
            </w:r>
          </w:p>
        </w:tc>
        <w:tc>
          <w:tcPr>
            <w:tcW w:w="420" w:type="pct"/>
            <w:shd w:val="clear" w:color="auto" w:fill="auto"/>
            <w:vAlign w:val="center"/>
          </w:tcPr>
          <w:p w14:paraId="370F11A1">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0.0508</w:t>
            </w:r>
          </w:p>
        </w:tc>
        <w:tc>
          <w:tcPr>
            <w:tcW w:w="553" w:type="pct"/>
            <w:shd w:val="clear" w:color="auto" w:fill="auto"/>
            <w:vAlign w:val="center"/>
          </w:tcPr>
          <w:p w14:paraId="724D154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50B740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0.0059</w:t>
            </w:r>
          </w:p>
        </w:tc>
      </w:tr>
      <w:tr w14:paraId="2DA0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29C611B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7</w:t>
            </w:r>
          </w:p>
        </w:tc>
        <w:tc>
          <w:tcPr>
            <w:tcW w:w="308" w:type="pct"/>
            <w:vMerge w:val="restart"/>
            <w:shd w:val="clear" w:color="auto" w:fill="auto"/>
            <w:vAlign w:val="center"/>
          </w:tcPr>
          <w:p w14:paraId="37C0103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r>
              <w:rPr>
                <w:rFonts w:hint="eastAsia"/>
                <w:b w:val="0"/>
                <w:bCs w:val="0"/>
                <w:color w:val="auto"/>
                <w:lang w:val="en-US" w:eastAsia="zh-CN"/>
              </w:rPr>
              <w:t>玛湖第一采油作业区</w:t>
            </w:r>
          </w:p>
        </w:tc>
        <w:tc>
          <w:tcPr>
            <w:tcW w:w="0" w:type="auto"/>
            <w:shd w:val="clear" w:color="auto" w:fill="auto"/>
            <w:vAlign w:val="center"/>
          </w:tcPr>
          <w:p w14:paraId="433EF01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DM2721至MaHW2028井集油管线</w:t>
            </w:r>
          </w:p>
        </w:tc>
        <w:tc>
          <w:tcPr>
            <w:tcW w:w="0" w:type="auto"/>
            <w:shd w:val="clear" w:color="auto" w:fill="auto"/>
            <w:vAlign w:val="center"/>
          </w:tcPr>
          <w:p w14:paraId="669EC54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0.12</w:t>
            </w:r>
          </w:p>
        </w:tc>
        <w:tc>
          <w:tcPr>
            <w:tcW w:w="0" w:type="auto"/>
            <w:shd w:val="clear" w:color="auto" w:fill="auto"/>
            <w:vAlign w:val="center"/>
          </w:tcPr>
          <w:p w14:paraId="7597B35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DN50</w:t>
            </w:r>
          </w:p>
        </w:tc>
        <w:tc>
          <w:tcPr>
            <w:tcW w:w="0" w:type="auto"/>
            <w:shd w:val="clear" w:color="auto" w:fill="auto"/>
            <w:vAlign w:val="center"/>
          </w:tcPr>
          <w:p w14:paraId="132C73E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6E3B360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16B7750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398C0F2A">
            <w:pPr>
              <w:keepNext w:val="0"/>
              <w:keepLines w:val="0"/>
              <w:widowControl/>
              <w:suppressLineNumbers w:val="0"/>
              <w:jc w:val="center"/>
              <w:textAlignment w:val="center"/>
              <w:rPr>
                <w:rFonts w:hint="eastAsia"/>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0.1978</w:t>
            </w:r>
          </w:p>
        </w:tc>
        <w:tc>
          <w:tcPr>
            <w:tcW w:w="420" w:type="pct"/>
            <w:shd w:val="clear" w:color="auto" w:fill="auto"/>
            <w:vAlign w:val="center"/>
          </w:tcPr>
          <w:p w14:paraId="4C976503">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0.01</w:t>
            </w:r>
            <w:r>
              <w:rPr>
                <w:rFonts w:hint="eastAsia" w:cs="Times New Roman"/>
                <w:i w:val="0"/>
                <w:iCs w:val="0"/>
                <w:color w:val="auto"/>
                <w:kern w:val="0"/>
                <w:sz w:val="21"/>
                <w:szCs w:val="21"/>
                <w:u w:val="none"/>
                <w:lang w:val="en-US" w:eastAsia="zh-CN" w:bidi="ar"/>
              </w:rPr>
              <w:t>92</w:t>
            </w:r>
          </w:p>
        </w:tc>
        <w:tc>
          <w:tcPr>
            <w:tcW w:w="0" w:type="auto"/>
            <w:shd w:val="clear" w:color="auto" w:fill="auto"/>
            <w:vAlign w:val="center"/>
          </w:tcPr>
          <w:p w14:paraId="6525421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11CAC3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0.0020</w:t>
            </w:r>
          </w:p>
        </w:tc>
      </w:tr>
      <w:tr w14:paraId="768B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1423A73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8</w:t>
            </w:r>
          </w:p>
        </w:tc>
        <w:tc>
          <w:tcPr>
            <w:tcW w:w="308" w:type="pct"/>
            <w:vMerge w:val="continue"/>
            <w:shd w:val="clear" w:color="auto" w:fill="auto"/>
            <w:vAlign w:val="center"/>
          </w:tcPr>
          <w:p w14:paraId="749C875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08651F0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Ma20024_H至MaHW2069集油管线</w:t>
            </w:r>
          </w:p>
        </w:tc>
        <w:tc>
          <w:tcPr>
            <w:tcW w:w="0" w:type="auto"/>
            <w:shd w:val="clear" w:color="auto" w:fill="auto"/>
            <w:vAlign w:val="center"/>
          </w:tcPr>
          <w:p w14:paraId="1F1A71C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0.81</w:t>
            </w:r>
          </w:p>
        </w:tc>
        <w:tc>
          <w:tcPr>
            <w:tcW w:w="0" w:type="auto"/>
            <w:shd w:val="clear" w:color="auto" w:fill="auto"/>
            <w:vAlign w:val="center"/>
          </w:tcPr>
          <w:p w14:paraId="00D859C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DN50</w:t>
            </w:r>
          </w:p>
        </w:tc>
        <w:tc>
          <w:tcPr>
            <w:tcW w:w="0" w:type="auto"/>
            <w:shd w:val="clear" w:color="auto" w:fill="auto"/>
            <w:vAlign w:val="center"/>
          </w:tcPr>
          <w:p w14:paraId="32C385F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1BAECE8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62AF3FD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6A0FD81F">
            <w:pPr>
              <w:keepNext w:val="0"/>
              <w:keepLines w:val="0"/>
              <w:widowControl/>
              <w:suppressLineNumbers w:val="0"/>
              <w:jc w:val="center"/>
              <w:textAlignment w:val="center"/>
              <w:rPr>
                <w:rFonts w:hint="eastAsia"/>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1.3353</w:t>
            </w:r>
          </w:p>
        </w:tc>
        <w:tc>
          <w:tcPr>
            <w:tcW w:w="420" w:type="pct"/>
            <w:shd w:val="clear" w:color="auto" w:fill="auto"/>
            <w:vAlign w:val="center"/>
          </w:tcPr>
          <w:p w14:paraId="61F9FFA0">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r>
              <w:rPr>
                <w:rFonts w:hint="eastAsia" w:cs="Times New Roman"/>
                <w:i w:val="0"/>
                <w:iCs w:val="0"/>
                <w:color w:val="auto"/>
                <w:kern w:val="0"/>
                <w:sz w:val="21"/>
                <w:szCs w:val="21"/>
                <w:u w:val="none"/>
                <w:lang w:val="en-US" w:eastAsia="zh-CN" w:bidi="ar"/>
              </w:rPr>
              <w:t>88</w:t>
            </w:r>
          </w:p>
        </w:tc>
        <w:tc>
          <w:tcPr>
            <w:tcW w:w="0" w:type="auto"/>
            <w:shd w:val="clear" w:color="auto" w:fill="auto"/>
            <w:vAlign w:val="center"/>
          </w:tcPr>
          <w:p w14:paraId="511E5B6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4265A8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44</w:t>
            </w:r>
          </w:p>
        </w:tc>
      </w:tr>
      <w:tr w14:paraId="54A8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554E055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9</w:t>
            </w:r>
          </w:p>
        </w:tc>
        <w:tc>
          <w:tcPr>
            <w:tcW w:w="308" w:type="pct"/>
            <w:vMerge w:val="continue"/>
            <w:shd w:val="clear" w:color="auto" w:fill="auto"/>
            <w:vAlign w:val="center"/>
          </w:tcPr>
          <w:p w14:paraId="1CD86C2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3BA972D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Ma20023_H至玛一7#计量站集油管线</w:t>
            </w:r>
          </w:p>
        </w:tc>
        <w:tc>
          <w:tcPr>
            <w:tcW w:w="0" w:type="auto"/>
            <w:shd w:val="clear" w:color="auto" w:fill="auto"/>
            <w:vAlign w:val="center"/>
          </w:tcPr>
          <w:p w14:paraId="1B0C780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0.73</w:t>
            </w:r>
          </w:p>
        </w:tc>
        <w:tc>
          <w:tcPr>
            <w:tcW w:w="0" w:type="auto"/>
            <w:shd w:val="clear" w:color="auto" w:fill="auto"/>
            <w:vAlign w:val="center"/>
          </w:tcPr>
          <w:p w14:paraId="3A3A782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DN50</w:t>
            </w:r>
          </w:p>
        </w:tc>
        <w:tc>
          <w:tcPr>
            <w:tcW w:w="0" w:type="auto"/>
            <w:shd w:val="clear" w:color="auto" w:fill="auto"/>
            <w:vAlign w:val="center"/>
          </w:tcPr>
          <w:p w14:paraId="055BC8B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26A36FD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69B73BD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48FC6F13">
            <w:pPr>
              <w:keepNext w:val="0"/>
              <w:keepLines w:val="0"/>
              <w:widowControl/>
              <w:suppressLineNumbers w:val="0"/>
              <w:jc w:val="center"/>
              <w:textAlignment w:val="center"/>
              <w:rPr>
                <w:rFonts w:hint="eastAsia"/>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1.2034</w:t>
            </w:r>
          </w:p>
        </w:tc>
        <w:tc>
          <w:tcPr>
            <w:tcW w:w="420" w:type="pct"/>
            <w:shd w:val="clear" w:color="auto" w:fill="auto"/>
            <w:vAlign w:val="center"/>
          </w:tcPr>
          <w:p w14:paraId="4B0AB7C6">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350</w:t>
            </w:r>
          </w:p>
        </w:tc>
        <w:tc>
          <w:tcPr>
            <w:tcW w:w="0" w:type="auto"/>
            <w:shd w:val="clear" w:color="auto" w:fill="auto"/>
            <w:vAlign w:val="center"/>
          </w:tcPr>
          <w:p w14:paraId="6105992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14CE92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0.0040</w:t>
            </w:r>
          </w:p>
        </w:tc>
      </w:tr>
      <w:tr w14:paraId="781A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7F1FB18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10</w:t>
            </w:r>
          </w:p>
        </w:tc>
        <w:tc>
          <w:tcPr>
            <w:tcW w:w="308" w:type="pct"/>
            <w:vMerge w:val="restart"/>
            <w:shd w:val="clear" w:color="auto" w:fill="auto"/>
            <w:vAlign w:val="center"/>
          </w:tcPr>
          <w:p w14:paraId="43DBB35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r>
              <w:rPr>
                <w:rFonts w:hint="eastAsia"/>
                <w:b w:val="0"/>
                <w:bCs w:val="0"/>
                <w:color w:val="auto"/>
                <w:lang w:val="en-US" w:eastAsia="zh-CN"/>
              </w:rPr>
              <w:t>玛湖第二采油作业区</w:t>
            </w:r>
          </w:p>
        </w:tc>
        <w:tc>
          <w:tcPr>
            <w:tcW w:w="0" w:type="auto"/>
            <w:shd w:val="clear" w:color="auto" w:fill="auto"/>
            <w:vAlign w:val="center"/>
          </w:tcPr>
          <w:p w14:paraId="2CEB1BB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玛62至2#计量站集油管线</w:t>
            </w:r>
          </w:p>
        </w:tc>
        <w:tc>
          <w:tcPr>
            <w:tcW w:w="0" w:type="auto"/>
            <w:shd w:val="clear" w:color="auto" w:fill="auto"/>
            <w:vAlign w:val="center"/>
          </w:tcPr>
          <w:p w14:paraId="09D6E6E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0.7</w:t>
            </w:r>
          </w:p>
        </w:tc>
        <w:tc>
          <w:tcPr>
            <w:tcW w:w="0" w:type="auto"/>
            <w:shd w:val="clear" w:color="auto" w:fill="auto"/>
            <w:vAlign w:val="center"/>
          </w:tcPr>
          <w:p w14:paraId="1A59BC7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DN80</w:t>
            </w:r>
          </w:p>
        </w:tc>
        <w:tc>
          <w:tcPr>
            <w:tcW w:w="0" w:type="auto"/>
            <w:shd w:val="clear" w:color="auto" w:fill="auto"/>
            <w:vAlign w:val="center"/>
          </w:tcPr>
          <w:p w14:paraId="4A425E0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281D177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1E8108C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072A9DDA">
            <w:pPr>
              <w:keepNext w:val="0"/>
              <w:keepLines w:val="0"/>
              <w:widowControl/>
              <w:suppressLineNumbers w:val="0"/>
              <w:jc w:val="center"/>
              <w:textAlignment w:val="center"/>
              <w:rPr>
                <w:rFonts w:hint="eastAsia"/>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2.9189</w:t>
            </w:r>
          </w:p>
        </w:tc>
        <w:tc>
          <w:tcPr>
            <w:tcW w:w="420" w:type="pct"/>
            <w:shd w:val="clear" w:color="auto" w:fill="auto"/>
            <w:vAlign w:val="center"/>
          </w:tcPr>
          <w:p w14:paraId="00FB9E19">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582</w:t>
            </w:r>
          </w:p>
        </w:tc>
        <w:tc>
          <w:tcPr>
            <w:tcW w:w="0" w:type="auto"/>
            <w:shd w:val="clear" w:color="auto" w:fill="auto"/>
            <w:vAlign w:val="center"/>
          </w:tcPr>
          <w:p w14:paraId="0BC2220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3AEC09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0.0070</w:t>
            </w:r>
          </w:p>
        </w:tc>
      </w:tr>
      <w:tr w14:paraId="12ED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684119D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11</w:t>
            </w:r>
          </w:p>
        </w:tc>
        <w:tc>
          <w:tcPr>
            <w:tcW w:w="308" w:type="pct"/>
            <w:vMerge w:val="continue"/>
            <w:shd w:val="clear" w:color="auto" w:fill="auto"/>
            <w:vAlign w:val="center"/>
          </w:tcPr>
          <w:p w14:paraId="4759D56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66CE21A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夏91_H至夏725阀池集油管线</w:t>
            </w:r>
          </w:p>
        </w:tc>
        <w:tc>
          <w:tcPr>
            <w:tcW w:w="0" w:type="auto"/>
            <w:shd w:val="clear" w:color="auto" w:fill="auto"/>
            <w:vAlign w:val="center"/>
          </w:tcPr>
          <w:p w14:paraId="0D8790B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1.21</w:t>
            </w:r>
          </w:p>
        </w:tc>
        <w:tc>
          <w:tcPr>
            <w:tcW w:w="0" w:type="auto"/>
            <w:shd w:val="clear" w:color="auto" w:fill="auto"/>
            <w:vAlign w:val="center"/>
          </w:tcPr>
          <w:p w14:paraId="4AEA2D5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DN65</w:t>
            </w:r>
          </w:p>
        </w:tc>
        <w:tc>
          <w:tcPr>
            <w:tcW w:w="0" w:type="auto"/>
            <w:shd w:val="clear" w:color="auto" w:fill="auto"/>
            <w:vAlign w:val="center"/>
          </w:tcPr>
          <w:p w14:paraId="72A095C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334602A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22E7E0F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0EB4B6CB">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3.3309</w:t>
            </w:r>
          </w:p>
        </w:tc>
        <w:tc>
          <w:tcPr>
            <w:tcW w:w="420" w:type="pct"/>
            <w:shd w:val="clear" w:color="auto" w:fill="auto"/>
            <w:vAlign w:val="center"/>
          </w:tcPr>
          <w:p w14:paraId="28902576">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0.1926</w:t>
            </w:r>
          </w:p>
        </w:tc>
        <w:tc>
          <w:tcPr>
            <w:tcW w:w="0" w:type="auto"/>
            <w:shd w:val="clear" w:color="auto" w:fill="auto"/>
            <w:vAlign w:val="center"/>
          </w:tcPr>
          <w:p w14:paraId="1C1E10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735ED9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0.0206</w:t>
            </w:r>
          </w:p>
        </w:tc>
      </w:tr>
      <w:tr w14:paraId="434E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7844B42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12</w:t>
            </w:r>
          </w:p>
        </w:tc>
        <w:tc>
          <w:tcPr>
            <w:tcW w:w="308" w:type="pct"/>
            <w:vMerge w:val="continue"/>
            <w:shd w:val="clear" w:color="auto" w:fill="auto"/>
            <w:vAlign w:val="center"/>
          </w:tcPr>
          <w:p w14:paraId="0A6D0B7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43B9C3F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夏92_H至夏725阀池集油管线</w:t>
            </w:r>
          </w:p>
        </w:tc>
        <w:tc>
          <w:tcPr>
            <w:tcW w:w="0" w:type="auto"/>
            <w:shd w:val="clear" w:color="auto" w:fill="auto"/>
            <w:vAlign w:val="center"/>
          </w:tcPr>
          <w:p w14:paraId="0E17AD5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1.06</w:t>
            </w:r>
          </w:p>
        </w:tc>
        <w:tc>
          <w:tcPr>
            <w:tcW w:w="0" w:type="auto"/>
            <w:shd w:val="clear" w:color="auto" w:fill="auto"/>
            <w:vAlign w:val="center"/>
          </w:tcPr>
          <w:p w14:paraId="791972B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DN65</w:t>
            </w:r>
          </w:p>
        </w:tc>
        <w:tc>
          <w:tcPr>
            <w:tcW w:w="0" w:type="auto"/>
            <w:shd w:val="clear" w:color="auto" w:fill="auto"/>
            <w:vAlign w:val="center"/>
          </w:tcPr>
          <w:p w14:paraId="3548231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4BA70CB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395608C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071F014F">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2.9180</w:t>
            </w:r>
          </w:p>
        </w:tc>
        <w:tc>
          <w:tcPr>
            <w:tcW w:w="420" w:type="pct"/>
            <w:shd w:val="clear" w:color="auto" w:fill="auto"/>
            <w:vAlign w:val="center"/>
          </w:tcPr>
          <w:p w14:paraId="512A047A">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0.1687</w:t>
            </w:r>
          </w:p>
        </w:tc>
        <w:tc>
          <w:tcPr>
            <w:tcW w:w="0" w:type="auto"/>
            <w:shd w:val="clear" w:color="auto" w:fill="auto"/>
            <w:vAlign w:val="center"/>
          </w:tcPr>
          <w:p w14:paraId="5F7C8A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373616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0.0180</w:t>
            </w:r>
          </w:p>
        </w:tc>
      </w:tr>
      <w:tr w14:paraId="6C13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433DD2B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13</w:t>
            </w:r>
          </w:p>
        </w:tc>
        <w:tc>
          <w:tcPr>
            <w:tcW w:w="308" w:type="pct"/>
            <w:vMerge w:val="continue"/>
            <w:shd w:val="clear" w:color="auto" w:fill="auto"/>
            <w:vAlign w:val="center"/>
          </w:tcPr>
          <w:p w14:paraId="663EB71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5AC5476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夏724至夏203井集油管线</w:t>
            </w:r>
          </w:p>
        </w:tc>
        <w:tc>
          <w:tcPr>
            <w:tcW w:w="0" w:type="auto"/>
            <w:shd w:val="clear" w:color="auto" w:fill="auto"/>
            <w:vAlign w:val="center"/>
          </w:tcPr>
          <w:p w14:paraId="37E5E0E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0.66</w:t>
            </w:r>
          </w:p>
        </w:tc>
        <w:tc>
          <w:tcPr>
            <w:tcW w:w="0" w:type="auto"/>
            <w:shd w:val="clear" w:color="auto" w:fill="auto"/>
            <w:vAlign w:val="center"/>
          </w:tcPr>
          <w:p w14:paraId="3A973A4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DN65</w:t>
            </w:r>
          </w:p>
        </w:tc>
        <w:tc>
          <w:tcPr>
            <w:tcW w:w="0" w:type="auto"/>
            <w:shd w:val="clear" w:color="auto" w:fill="auto"/>
            <w:vAlign w:val="center"/>
          </w:tcPr>
          <w:p w14:paraId="53BE263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0C26C31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513E29A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1367DA11">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1.8168</w:t>
            </w:r>
          </w:p>
        </w:tc>
        <w:tc>
          <w:tcPr>
            <w:tcW w:w="420" w:type="pct"/>
            <w:shd w:val="clear" w:color="auto" w:fill="auto"/>
            <w:vAlign w:val="center"/>
          </w:tcPr>
          <w:p w14:paraId="50905FD9">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0.1051</w:t>
            </w:r>
          </w:p>
        </w:tc>
        <w:tc>
          <w:tcPr>
            <w:tcW w:w="0" w:type="auto"/>
            <w:shd w:val="clear" w:color="auto" w:fill="auto"/>
            <w:vAlign w:val="center"/>
          </w:tcPr>
          <w:p w14:paraId="04E9F1E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3FED76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0.0112</w:t>
            </w:r>
          </w:p>
        </w:tc>
      </w:tr>
      <w:tr w14:paraId="1D48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0C8A757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14</w:t>
            </w:r>
          </w:p>
        </w:tc>
        <w:tc>
          <w:tcPr>
            <w:tcW w:w="308" w:type="pct"/>
            <w:vMerge w:val="continue"/>
            <w:shd w:val="clear" w:color="auto" w:fill="auto"/>
            <w:vAlign w:val="center"/>
          </w:tcPr>
          <w:p w14:paraId="038D7EC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102EAC9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XHW7202至夏91_H井集油管线</w:t>
            </w:r>
          </w:p>
        </w:tc>
        <w:tc>
          <w:tcPr>
            <w:tcW w:w="0" w:type="auto"/>
            <w:shd w:val="clear" w:color="auto" w:fill="auto"/>
            <w:vAlign w:val="center"/>
          </w:tcPr>
          <w:p w14:paraId="372F0D5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1.05</w:t>
            </w:r>
          </w:p>
        </w:tc>
        <w:tc>
          <w:tcPr>
            <w:tcW w:w="0" w:type="auto"/>
            <w:shd w:val="clear" w:color="auto" w:fill="auto"/>
            <w:vAlign w:val="center"/>
          </w:tcPr>
          <w:p w14:paraId="0A8585A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DN50</w:t>
            </w:r>
          </w:p>
        </w:tc>
        <w:tc>
          <w:tcPr>
            <w:tcW w:w="0" w:type="auto"/>
            <w:shd w:val="clear" w:color="auto" w:fill="auto"/>
            <w:vAlign w:val="center"/>
          </w:tcPr>
          <w:p w14:paraId="4B8247C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00729B5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2C6D72A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771D49A7">
            <w:pPr>
              <w:keepNext w:val="0"/>
              <w:keepLines w:val="0"/>
              <w:widowControl/>
              <w:suppressLineNumbers w:val="0"/>
              <w:jc w:val="center"/>
              <w:textAlignment w:val="center"/>
              <w:rPr>
                <w:rFonts w:hint="eastAsia"/>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1.7103</w:t>
            </w:r>
          </w:p>
        </w:tc>
        <w:tc>
          <w:tcPr>
            <w:tcW w:w="420" w:type="pct"/>
            <w:shd w:val="clear" w:color="auto" w:fill="auto"/>
            <w:vAlign w:val="center"/>
          </w:tcPr>
          <w:p w14:paraId="56A84895">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0.0239</w:t>
            </w:r>
          </w:p>
        </w:tc>
        <w:tc>
          <w:tcPr>
            <w:tcW w:w="0" w:type="auto"/>
            <w:shd w:val="clear" w:color="auto" w:fill="auto"/>
            <w:vAlign w:val="center"/>
          </w:tcPr>
          <w:p w14:paraId="4DCF950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593DDE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0.0031</w:t>
            </w:r>
          </w:p>
        </w:tc>
      </w:tr>
      <w:tr w14:paraId="105C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5F400DA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15</w:t>
            </w:r>
          </w:p>
        </w:tc>
        <w:tc>
          <w:tcPr>
            <w:tcW w:w="308" w:type="pct"/>
            <w:vMerge w:val="continue"/>
            <w:shd w:val="clear" w:color="auto" w:fill="auto"/>
            <w:vAlign w:val="center"/>
          </w:tcPr>
          <w:p w14:paraId="493B8AA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606407C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夏202至XHW7202井集油管线</w:t>
            </w:r>
          </w:p>
        </w:tc>
        <w:tc>
          <w:tcPr>
            <w:tcW w:w="0" w:type="auto"/>
            <w:shd w:val="clear" w:color="auto" w:fill="auto"/>
            <w:vAlign w:val="center"/>
          </w:tcPr>
          <w:p w14:paraId="1CBB8E7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0.95</w:t>
            </w:r>
          </w:p>
        </w:tc>
        <w:tc>
          <w:tcPr>
            <w:tcW w:w="0" w:type="auto"/>
            <w:shd w:val="clear" w:color="auto" w:fill="auto"/>
            <w:vAlign w:val="center"/>
          </w:tcPr>
          <w:p w14:paraId="2E76BF5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DN50</w:t>
            </w:r>
          </w:p>
        </w:tc>
        <w:tc>
          <w:tcPr>
            <w:tcW w:w="0" w:type="auto"/>
            <w:shd w:val="clear" w:color="auto" w:fill="auto"/>
            <w:vAlign w:val="center"/>
          </w:tcPr>
          <w:p w14:paraId="1ED83C8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5B1CF69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77A26D6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542DF991">
            <w:pPr>
              <w:keepNext w:val="0"/>
              <w:keepLines w:val="0"/>
              <w:widowControl/>
              <w:suppressLineNumbers w:val="0"/>
              <w:jc w:val="center"/>
              <w:textAlignment w:val="center"/>
              <w:rPr>
                <w:rFonts w:hint="eastAsia"/>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1.5474</w:t>
            </w:r>
          </w:p>
        </w:tc>
        <w:tc>
          <w:tcPr>
            <w:tcW w:w="420" w:type="pct"/>
            <w:shd w:val="clear" w:color="auto" w:fill="auto"/>
            <w:vAlign w:val="center"/>
          </w:tcPr>
          <w:p w14:paraId="3C87C769">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0.1281</w:t>
            </w:r>
          </w:p>
        </w:tc>
        <w:tc>
          <w:tcPr>
            <w:tcW w:w="0" w:type="auto"/>
            <w:shd w:val="clear" w:color="auto" w:fill="auto"/>
            <w:vAlign w:val="center"/>
          </w:tcPr>
          <w:p w14:paraId="7E7A5E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6A1736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0.0134</w:t>
            </w:r>
          </w:p>
        </w:tc>
      </w:tr>
      <w:tr w14:paraId="3D7D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709ACD6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16</w:t>
            </w:r>
          </w:p>
        </w:tc>
        <w:tc>
          <w:tcPr>
            <w:tcW w:w="308" w:type="pct"/>
            <w:vMerge w:val="continue"/>
            <w:shd w:val="clear" w:color="auto" w:fill="auto"/>
            <w:vAlign w:val="center"/>
          </w:tcPr>
          <w:p w14:paraId="59B22CB8">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17EEE91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夏203至92_H井集油管线</w:t>
            </w:r>
          </w:p>
        </w:tc>
        <w:tc>
          <w:tcPr>
            <w:tcW w:w="0" w:type="auto"/>
            <w:shd w:val="clear" w:color="auto" w:fill="auto"/>
            <w:vAlign w:val="center"/>
          </w:tcPr>
          <w:p w14:paraId="44BFE93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1.13</w:t>
            </w:r>
          </w:p>
        </w:tc>
        <w:tc>
          <w:tcPr>
            <w:tcW w:w="0" w:type="auto"/>
            <w:shd w:val="clear" w:color="auto" w:fill="auto"/>
            <w:vAlign w:val="center"/>
          </w:tcPr>
          <w:p w14:paraId="5D1F607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DN65</w:t>
            </w:r>
          </w:p>
        </w:tc>
        <w:tc>
          <w:tcPr>
            <w:tcW w:w="0" w:type="auto"/>
            <w:shd w:val="clear" w:color="auto" w:fill="auto"/>
            <w:vAlign w:val="center"/>
          </w:tcPr>
          <w:p w14:paraId="5824570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42D2F2C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50D01BA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79424273">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3.1107</w:t>
            </w:r>
          </w:p>
        </w:tc>
        <w:tc>
          <w:tcPr>
            <w:tcW w:w="420" w:type="pct"/>
            <w:shd w:val="clear" w:color="auto" w:fill="auto"/>
            <w:vAlign w:val="center"/>
          </w:tcPr>
          <w:p w14:paraId="3295D423">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0.2574</w:t>
            </w:r>
          </w:p>
        </w:tc>
        <w:tc>
          <w:tcPr>
            <w:tcW w:w="0" w:type="auto"/>
            <w:shd w:val="clear" w:color="auto" w:fill="auto"/>
            <w:vAlign w:val="center"/>
          </w:tcPr>
          <w:p w14:paraId="4525891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40A9AC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0.0270</w:t>
            </w:r>
          </w:p>
        </w:tc>
      </w:tr>
      <w:tr w14:paraId="5367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373A05A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17</w:t>
            </w:r>
          </w:p>
        </w:tc>
        <w:tc>
          <w:tcPr>
            <w:tcW w:w="308" w:type="pct"/>
            <w:vMerge w:val="continue"/>
            <w:shd w:val="clear" w:color="auto" w:fill="auto"/>
            <w:vAlign w:val="center"/>
          </w:tcPr>
          <w:p w14:paraId="6DDD7ED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1FB4D38A">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玛61至夏724井集油管线</w:t>
            </w:r>
          </w:p>
        </w:tc>
        <w:tc>
          <w:tcPr>
            <w:tcW w:w="0" w:type="auto"/>
            <w:shd w:val="clear" w:color="auto" w:fill="auto"/>
            <w:vAlign w:val="center"/>
          </w:tcPr>
          <w:p w14:paraId="180CD76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1.1</w:t>
            </w:r>
          </w:p>
        </w:tc>
        <w:tc>
          <w:tcPr>
            <w:tcW w:w="0" w:type="auto"/>
            <w:shd w:val="clear" w:color="auto" w:fill="auto"/>
            <w:vAlign w:val="center"/>
          </w:tcPr>
          <w:p w14:paraId="2D4B8F5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DN65</w:t>
            </w:r>
          </w:p>
        </w:tc>
        <w:tc>
          <w:tcPr>
            <w:tcW w:w="0" w:type="auto"/>
            <w:shd w:val="clear" w:color="auto" w:fill="auto"/>
            <w:vAlign w:val="center"/>
          </w:tcPr>
          <w:p w14:paraId="044428D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038CB0A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28D2DD0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23293CED">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3.0281</w:t>
            </w:r>
          </w:p>
        </w:tc>
        <w:tc>
          <w:tcPr>
            <w:tcW w:w="420" w:type="pct"/>
            <w:shd w:val="clear" w:color="auto" w:fill="auto"/>
            <w:vAlign w:val="center"/>
          </w:tcPr>
          <w:p w14:paraId="42582784">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0.2415</w:t>
            </w:r>
          </w:p>
        </w:tc>
        <w:tc>
          <w:tcPr>
            <w:tcW w:w="0" w:type="auto"/>
            <w:shd w:val="clear" w:color="auto" w:fill="auto"/>
            <w:vAlign w:val="center"/>
          </w:tcPr>
          <w:p w14:paraId="51FBC6E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78FDD9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0.0254</w:t>
            </w:r>
          </w:p>
        </w:tc>
      </w:tr>
      <w:tr w14:paraId="2359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565A18C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18</w:t>
            </w:r>
          </w:p>
        </w:tc>
        <w:tc>
          <w:tcPr>
            <w:tcW w:w="308" w:type="pct"/>
            <w:vMerge w:val="continue"/>
            <w:shd w:val="clear" w:color="auto" w:fill="auto"/>
            <w:vAlign w:val="center"/>
          </w:tcPr>
          <w:p w14:paraId="6D137092">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214B040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夏209至1104阀池集油管线</w:t>
            </w:r>
          </w:p>
        </w:tc>
        <w:tc>
          <w:tcPr>
            <w:tcW w:w="0" w:type="auto"/>
            <w:shd w:val="clear" w:color="auto" w:fill="auto"/>
            <w:vAlign w:val="center"/>
          </w:tcPr>
          <w:p w14:paraId="4E114B4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0.87</w:t>
            </w:r>
          </w:p>
        </w:tc>
        <w:tc>
          <w:tcPr>
            <w:tcW w:w="0" w:type="auto"/>
            <w:shd w:val="clear" w:color="auto" w:fill="auto"/>
            <w:vAlign w:val="center"/>
          </w:tcPr>
          <w:p w14:paraId="6B6A95A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DN50</w:t>
            </w:r>
          </w:p>
        </w:tc>
        <w:tc>
          <w:tcPr>
            <w:tcW w:w="0" w:type="auto"/>
            <w:shd w:val="clear" w:color="auto" w:fill="auto"/>
            <w:vAlign w:val="center"/>
          </w:tcPr>
          <w:p w14:paraId="48899896">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1687FF34">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2F51420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3FB07109">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1.4171</w:t>
            </w:r>
          </w:p>
        </w:tc>
        <w:tc>
          <w:tcPr>
            <w:tcW w:w="420" w:type="pct"/>
            <w:shd w:val="clear" w:color="auto" w:fill="auto"/>
            <w:vAlign w:val="center"/>
          </w:tcPr>
          <w:p w14:paraId="0BFCB75F">
            <w:pPr>
              <w:keepNext w:val="0"/>
              <w:keepLines w:val="0"/>
              <w:widowControl/>
              <w:suppressLineNumbers w:val="0"/>
              <w:jc w:val="center"/>
              <w:textAlignment w:val="center"/>
              <w:rPr>
                <w:rFonts w:hint="default"/>
                <w:b w:val="0"/>
                <w:bCs w:val="0"/>
                <w:color w:val="auto"/>
                <w:lang w:val="en-US" w:eastAsia="zh-CN"/>
              </w:rPr>
            </w:pPr>
            <w:r>
              <w:rPr>
                <w:rFonts w:hint="eastAsia"/>
                <w:b w:val="0"/>
                <w:bCs w:val="0"/>
                <w:color w:val="auto"/>
                <w:lang w:val="en-US" w:eastAsia="zh-CN"/>
              </w:rPr>
              <w:t>0.1173</w:t>
            </w:r>
          </w:p>
        </w:tc>
        <w:tc>
          <w:tcPr>
            <w:tcW w:w="0" w:type="auto"/>
            <w:shd w:val="clear" w:color="auto" w:fill="auto"/>
            <w:vAlign w:val="center"/>
          </w:tcPr>
          <w:p w14:paraId="54FAB28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2D2AEF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0.0123</w:t>
            </w:r>
          </w:p>
        </w:tc>
      </w:tr>
      <w:tr w14:paraId="6482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5E86F973">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19</w:t>
            </w:r>
          </w:p>
        </w:tc>
        <w:tc>
          <w:tcPr>
            <w:tcW w:w="308" w:type="pct"/>
            <w:vMerge w:val="continue"/>
            <w:shd w:val="clear" w:color="auto" w:fill="auto"/>
            <w:vAlign w:val="center"/>
          </w:tcPr>
          <w:p w14:paraId="0A0CD34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p>
        </w:tc>
        <w:tc>
          <w:tcPr>
            <w:tcW w:w="0" w:type="auto"/>
            <w:shd w:val="clear" w:color="auto" w:fill="auto"/>
            <w:vAlign w:val="center"/>
          </w:tcPr>
          <w:p w14:paraId="1C6D1B7F">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夏207H至27号计量站集油管线</w:t>
            </w:r>
          </w:p>
        </w:tc>
        <w:tc>
          <w:tcPr>
            <w:tcW w:w="0" w:type="auto"/>
            <w:shd w:val="clear" w:color="auto" w:fill="auto"/>
            <w:vAlign w:val="center"/>
          </w:tcPr>
          <w:p w14:paraId="2E78D57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1.5</w:t>
            </w:r>
          </w:p>
        </w:tc>
        <w:tc>
          <w:tcPr>
            <w:tcW w:w="0" w:type="auto"/>
            <w:shd w:val="clear" w:color="auto" w:fill="auto"/>
            <w:vAlign w:val="center"/>
          </w:tcPr>
          <w:p w14:paraId="743981F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DN80</w:t>
            </w:r>
          </w:p>
        </w:tc>
        <w:tc>
          <w:tcPr>
            <w:tcW w:w="0" w:type="auto"/>
            <w:shd w:val="clear" w:color="auto" w:fill="auto"/>
            <w:vAlign w:val="center"/>
          </w:tcPr>
          <w:p w14:paraId="35A7D08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622DA86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2.5</w:t>
            </w:r>
          </w:p>
          <w:p w14:paraId="54CABDA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38823943">
            <w:pPr>
              <w:keepNext w:val="0"/>
              <w:keepLines w:val="0"/>
              <w:widowControl/>
              <w:suppressLineNumbers w:val="0"/>
              <w:jc w:val="center"/>
              <w:textAlignment w:val="center"/>
              <w:rPr>
                <w:rFonts w:hint="default"/>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6.2549</w:t>
            </w:r>
          </w:p>
        </w:tc>
        <w:tc>
          <w:tcPr>
            <w:tcW w:w="420" w:type="pct"/>
            <w:shd w:val="clear" w:color="auto" w:fill="auto"/>
            <w:vAlign w:val="center"/>
          </w:tcPr>
          <w:p w14:paraId="63B7F32E">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0.1684</w:t>
            </w:r>
          </w:p>
        </w:tc>
        <w:tc>
          <w:tcPr>
            <w:tcW w:w="0" w:type="auto"/>
            <w:shd w:val="clear" w:color="auto" w:fill="auto"/>
            <w:vAlign w:val="center"/>
          </w:tcPr>
          <w:p w14:paraId="02FEAE4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1C9375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0.0193</w:t>
            </w:r>
          </w:p>
        </w:tc>
      </w:tr>
      <w:tr w14:paraId="4D41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9" w:hRule="atLeast"/>
          <w:jc w:val="center"/>
        </w:trPr>
        <w:tc>
          <w:tcPr>
            <w:tcW w:w="0" w:type="auto"/>
            <w:shd w:val="clear" w:color="auto" w:fill="auto"/>
            <w:vAlign w:val="center"/>
          </w:tcPr>
          <w:p w14:paraId="7F3B9A2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20</w:t>
            </w:r>
          </w:p>
        </w:tc>
        <w:tc>
          <w:tcPr>
            <w:tcW w:w="0" w:type="auto"/>
            <w:shd w:val="clear" w:color="auto" w:fill="auto"/>
            <w:vAlign w:val="center"/>
          </w:tcPr>
          <w:p w14:paraId="35CFD02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lang w:val="en-US" w:eastAsia="zh-CN"/>
              </w:rPr>
            </w:pPr>
            <w:r>
              <w:rPr>
                <w:rFonts w:hint="eastAsia"/>
                <w:b w:val="0"/>
                <w:bCs w:val="0"/>
                <w:color w:val="auto"/>
                <w:lang w:val="en-US" w:eastAsia="zh-CN"/>
              </w:rPr>
              <w:t>玛湖第三采油作业区</w:t>
            </w:r>
          </w:p>
        </w:tc>
        <w:tc>
          <w:tcPr>
            <w:tcW w:w="0" w:type="auto"/>
            <w:shd w:val="clear" w:color="auto" w:fill="auto"/>
            <w:vAlign w:val="center"/>
          </w:tcPr>
          <w:p w14:paraId="5721A87E">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赛探1至艾湖30#站阀池集油管线</w:t>
            </w:r>
          </w:p>
        </w:tc>
        <w:tc>
          <w:tcPr>
            <w:tcW w:w="0" w:type="auto"/>
            <w:shd w:val="clear" w:color="auto" w:fill="auto"/>
            <w:vAlign w:val="center"/>
          </w:tcPr>
          <w:p w14:paraId="092D19B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val="0"/>
                <w:bCs w:val="0"/>
                <w:color w:val="auto"/>
                <w:lang w:val="en-US" w:eastAsia="zh-CN"/>
              </w:rPr>
            </w:pPr>
            <w:r>
              <w:rPr>
                <w:rFonts w:hint="eastAsia"/>
                <w:b w:val="0"/>
                <w:bCs w:val="0"/>
                <w:color w:val="auto"/>
                <w:lang w:val="en-US" w:eastAsia="zh-CN"/>
              </w:rPr>
              <w:t>0.9</w:t>
            </w:r>
          </w:p>
        </w:tc>
        <w:tc>
          <w:tcPr>
            <w:tcW w:w="0" w:type="auto"/>
            <w:shd w:val="clear" w:color="auto" w:fill="auto"/>
            <w:vAlign w:val="center"/>
          </w:tcPr>
          <w:p w14:paraId="321EF4BB">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DN150</w:t>
            </w:r>
          </w:p>
        </w:tc>
        <w:tc>
          <w:tcPr>
            <w:tcW w:w="0" w:type="auto"/>
            <w:shd w:val="clear" w:color="auto" w:fill="auto"/>
            <w:vAlign w:val="center"/>
          </w:tcPr>
          <w:p w14:paraId="18F64E65">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含水原油</w:t>
            </w:r>
          </w:p>
        </w:tc>
        <w:tc>
          <w:tcPr>
            <w:tcW w:w="0" w:type="auto"/>
            <w:shd w:val="clear" w:color="auto" w:fill="auto"/>
            <w:vAlign w:val="center"/>
          </w:tcPr>
          <w:p w14:paraId="75EE4AA0">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color w:val="auto"/>
                <w:lang w:val="en-US" w:eastAsia="zh-CN"/>
              </w:rPr>
            </w:pPr>
            <w:r>
              <w:rPr>
                <w:rFonts w:hint="eastAsia"/>
                <w:b w:val="0"/>
                <w:bCs w:val="0"/>
                <w:color w:val="auto"/>
                <w:lang w:val="en-US" w:eastAsia="zh-CN"/>
              </w:rPr>
              <w:t>3.5</w:t>
            </w:r>
          </w:p>
          <w:p w14:paraId="706821FC">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2"/>
                <w:lang w:val="en-US" w:eastAsia="zh-CN" w:bidi="ar-SA"/>
              </w:rPr>
            </w:pPr>
            <w:r>
              <w:rPr>
                <w:rFonts w:hint="eastAsia"/>
                <w:b w:val="0"/>
                <w:bCs w:val="0"/>
                <w:color w:val="auto"/>
                <w:lang w:val="en-US" w:eastAsia="zh-CN"/>
              </w:rPr>
              <w:t>MPa</w:t>
            </w:r>
          </w:p>
        </w:tc>
        <w:tc>
          <w:tcPr>
            <w:tcW w:w="351" w:type="pct"/>
            <w:shd w:val="clear" w:color="auto" w:fill="auto"/>
            <w:vAlign w:val="center"/>
          </w:tcPr>
          <w:p w14:paraId="7801914E">
            <w:pPr>
              <w:keepNext w:val="0"/>
              <w:keepLines w:val="0"/>
              <w:widowControl/>
              <w:suppressLineNumbers w:val="0"/>
              <w:jc w:val="center"/>
              <w:textAlignment w:val="center"/>
              <w:rPr>
                <w:rFonts w:hint="eastAsia"/>
                <w:b w:val="0"/>
                <w:bCs w:val="0"/>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w:t>
            </w:r>
          </w:p>
        </w:tc>
        <w:tc>
          <w:tcPr>
            <w:tcW w:w="420" w:type="pct"/>
            <w:shd w:val="clear" w:color="auto" w:fill="auto"/>
            <w:vAlign w:val="center"/>
          </w:tcPr>
          <w:p w14:paraId="6C4F8046">
            <w:pPr>
              <w:keepNext w:val="0"/>
              <w:keepLines w:val="0"/>
              <w:widowControl/>
              <w:suppressLineNumbers w:val="0"/>
              <w:jc w:val="center"/>
              <w:textAlignment w:val="center"/>
              <w:rPr>
                <w:rFonts w:hint="default"/>
                <w:b w:val="0"/>
                <w:bCs w:val="0"/>
                <w:color w:val="auto"/>
                <w:lang w:val="en-US" w:eastAsia="zh-CN"/>
              </w:rPr>
            </w:pPr>
            <w:r>
              <w:rPr>
                <w:rFonts w:hint="eastAsia" w:cs="Times New Roman"/>
                <w:i w:val="0"/>
                <w:iCs w:val="0"/>
                <w:color w:val="auto"/>
                <w:kern w:val="0"/>
                <w:sz w:val="21"/>
                <w:szCs w:val="21"/>
                <w:u w:val="none"/>
                <w:lang w:val="en-US" w:eastAsia="zh-CN" w:bidi="ar"/>
              </w:rPr>
              <w:t>0.0876</w:t>
            </w:r>
          </w:p>
        </w:tc>
        <w:tc>
          <w:tcPr>
            <w:tcW w:w="0" w:type="auto"/>
            <w:shd w:val="clear" w:color="auto" w:fill="auto"/>
            <w:vAlign w:val="center"/>
          </w:tcPr>
          <w:p w14:paraId="6057989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b w:val="0"/>
                <w:bCs w:val="0"/>
                <w:color w:val="auto"/>
              </w:rPr>
            </w:pPr>
            <w:r>
              <w:rPr>
                <w:rFonts w:hint="default" w:ascii="Times New Roman" w:hAnsi="Times New Roman" w:eastAsia="宋体" w:cs="Times New Roman"/>
                <w:i w:val="0"/>
                <w:iCs w:val="0"/>
                <w:color w:val="auto"/>
                <w:kern w:val="0"/>
                <w:sz w:val="21"/>
                <w:szCs w:val="21"/>
                <w:u w:val="none"/>
                <w:lang w:val="en-US" w:eastAsia="zh-CN" w:bidi="ar"/>
              </w:rPr>
              <w:t>2500</w:t>
            </w:r>
            <w:r>
              <w:rPr>
                <w:rFonts w:hint="eastAsia" w:cs="Times New Roman"/>
                <w:i w:val="0"/>
                <w:iCs w:val="0"/>
                <w:color w:val="auto"/>
                <w:kern w:val="0"/>
                <w:sz w:val="21"/>
                <w:szCs w:val="21"/>
                <w:u w:val="none"/>
                <w:lang w:val="en-US" w:eastAsia="zh-CN" w:bidi="ar"/>
              </w:rPr>
              <w:t>/10</w:t>
            </w:r>
          </w:p>
        </w:tc>
        <w:tc>
          <w:tcPr>
            <w:tcW w:w="391" w:type="pct"/>
            <w:shd w:val="clear" w:color="auto" w:fill="auto"/>
            <w:vAlign w:val="center"/>
          </w:tcPr>
          <w:p w14:paraId="6A650E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color w:val="auto"/>
                <w:sz w:val="21"/>
                <w:szCs w:val="21"/>
                <w:lang w:val="en-US"/>
              </w:rPr>
            </w:pPr>
            <w:r>
              <w:rPr>
                <w:rFonts w:hint="eastAsia" w:cs="Times New Roman"/>
                <w:i w:val="0"/>
                <w:iCs w:val="0"/>
                <w:color w:val="auto"/>
                <w:kern w:val="0"/>
                <w:sz w:val="21"/>
                <w:szCs w:val="21"/>
                <w:u w:val="none"/>
                <w:lang w:val="en-US" w:eastAsia="zh-CN" w:bidi="ar"/>
              </w:rPr>
              <w:t>0.0088</w:t>
            </w:r>
          </w:p>
        </w:tc>
      </w:tr>
    </w:tbl>
    <w:p w14:paraId="6D24CDE7">
      <w:pPr>
        <w:pStyle w:val="43"/>
        <w:bidi w:val="0"/>
        <w:rPr>
          <w:color w:val="auto"/>
        </w:rPr>
      </w:pPr>
      <w:bookmarkStart w:id="120" w:name="_Ref16155"/>
      <w:r>
        <w:rPr>
          <w:color w:val="auto"/>
        </w:rPr>
        <w:t>表</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rFonts w:hint="eastAsia"/>
          <w:color w:val="auto"/>
          <w:lang w:eastAsia="zh-CN"/>
        </w:rPr>
        <w:t>-</w:t>
      </w:r>
      <w:bookmarkEnd w:id="120"/>
      <w:r>
        <w:rPr>
          <w:rFonts w:hint="eastAsia"/>
          <w:color w:val="auto"/>
          <w:lang w:val="en-US" w:eastAsia="zh-CN"/>
        </w:rPr>
        <w:t>17</w:t>
      </w:r>
      <w:r>
        <w:rPr>
          <w:color w:val="auto"/>
        </w:rPr>
        <w:t xml:space="preserve">  环境风险评价工作等级</w:t>
      </w:r>
    </w:p>
    <w:tbl>
      <w:tblPr>
        <w:tblStyle w:val="47"/>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28" w:type="dxa"/>
          <w:left w:w="57" w:type="dxa"/>
          <w:bottom w:w="28" w:type="dxa"/>
          <w:right w:w="57" w:type="dxa"/>
        </w:tblCellMar>
      </w:tblPr>
      <w:tblGrid>
        <w:gridCol w:w="1502"/>
        <w:gridCol w:w="2256"/>
        <w:gridCol w:w="1039"/>
        <w:gridCol w:w="1039"/>
        <w:gridCol w:w="2581"/>
      </w:tblGrid>
      <w:tr w14:paraId="2E132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340" w:hRule="atLeast"/>
          <w:jc w:val="center"/>
        </w:trPr>
        <w:tc>
          <w:tcPr>
            <w:tcW w:w="892" w:type="pct"/>
            <w:shd w:val="clear" w:color="auto" w:fill="auto"/>
            <w:vAlign w:val="center"/>
          </w:tcPr>
          <w:p w14:paraId="7942D9C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环境风险潜势</w:t>
            </w:r>
          </w:p>
        </w:tc>
        <w:tc>
          <w:tcPr>
            <w:tcW w:w="1340" w:type="pct"/>
            <w:vAlign w:val="center"/>
          </w:tcPr>
          <w:p w14:paraId="35BBC03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Ⅳ、Ⅳ+</w:t>
            </w:r>
          </w:p>
        </w:tc>
        <w:tc>
          <w:tcPr>
            <w:tcW w:w="617" w:type="pct"/>
            <w:vAlign w:val="center"/>
          </w:tcPr>
          <w:p w14:paraId="1132CD6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Ⅲ</w:t>
            </w:r>
          </w:p>
        </w:tc>
        <w:tc>
          <w:tcPr>
            <w:tcW w:w="617" w:type="pct"/>
            <w:vAlign w:val="center"/>
          </w:tcPr>
          <w:p w14:paraId="3ACBEBC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w:t>
            </w:r>
          </w:p>
        </w:tc>
        <w:tc>
          <w:tcPr>
            <w:tcW w:w="1533" w:type="pct"/>
            <w:vAlign w:val="center"/>
          </w:tcPr>
          <w:p w14:paraId="66D1B8A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Ⅰ</w:t>
            </w:r>
          </w:p>
        </w:tc>
      </w:tr>
      <w:tr w14:paraId="25849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340" w:hRule="atLeast"/>
          <w:jc w:val="center"/>
        </w:trPr>
        <w:tc>
          <w:tcPr>
            <w:tcW w:w="892" w:type="pct"/>
            <w:shd w:val="clear" w:color="auto" w:fill="auto"/>
            <w:vAlign w:val="center"/>
          </w:tcPr>
          <w:p w14:paraId="15B7C89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评价工作等级</w:t>
            </w:r>
          </w:p>
        </w:tc>
        <w:tc>
          <w:tcPr>
            <w:tcW w:w="1340" w:type="pct"/>
            <w:vAlign w:val="center"/>
          </w:tcPr>
          <w:p w14:paraId="770471E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一</w:t>
            </w:r>
          </w:p>
        </w:tc>
        <w:tc>
          <w:tcPr>
            <w:tcW w:w="617" w:type="pct"/>
            <w:vAlign w:val="center"/>
          </w:tcPr>
          <w:p w14:paraId="2EC4387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二</w:t>
            </w:r>
          </w:p>
        </w:tc>
        <w:tc>
          <w:tcPr>
            <w:tcW w:w="617" w:type="pct"/>
            <w:vAlign w:val="center"/>
          </w:tcPr>
          <w:p w14:paraId="03378C2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w:t>
            </w:r>
          </w:p>
        </w:tc>
        <w:tc>
          <w:tcPr>
            <w:tcW w:w="1533" w:type="pct"/>
            <w:vAlign w:val="center"/>
          </w:tcPr>
          <w:p w14:paraId="493E4A8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b/>
                <w:bCs/>
                <w:color w:val="auto"/>
              </w:rPr>
              <w:t>简单分析</w:t>
            </w:r>
          </w:p>
        </w:tc>
      </w:tr>
      <w:tr w14:paraId="716F6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340" w:hRule="atLeast"/>
          <w:jc w:val="center"/>
        </w:trPr>
        <w:tc>
          <w:tcPr>
            <w:tcW w:w="892" w:type="pct"/>
            <w:shd w:val="clear" w:color="auto" w:fill="auto"/>
            <w:vAlign w:val="center"/>
          </w:tcPr>
          <w:p w14:paraId="1751050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b/>
                <w:bCs/>
                <w:color w:val="auto"/>
                <w:lang w:eastAsia="zh-CN"/>
              </w:rPr>
            </w:pPr>
            <w:r>
              <w:rPr>
                <w:rFonts w:hint="eastAsia"/>
                <w:b/>
                <w:bCs/>
                <w:color w:val="auto"/>
                <w:lang w:eastAsia="zh-CN"/>
              </w:rPr>
              <w:t>本工程</w:t>
            </w:r>
          </w:p>
        </w:tc>
        <w:tc>
          <w:tcPr>
            <w:tcW w:w="4107" w:type="pct"/>
            <w:gridSpan w:val="4"/>
            <w:vAlign w:val="center"/>
          </w:tcPr>
          <w:p w14:paraId="13724E7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危险物质数量与临界量</w:t>
            </w:r>
            <w:r>
              <w:rPr>
                <w:rFonts w:hint="eastAsia"/>
                <w:color w:val="auto"/>
                <w:lang w:val="en-US" w:eastAsia="zh-CN"/>
              </w:rPr>
              <w:t>最大</w:t>
            </w:r>
            <w:r>
              <w:rPr>
                <w:color w:val="auto"/>
              </w:rPr>
              <w:t>比值</w:t>
            </w:r>
            <w:r>
              <w:rPr>
                <w:rFonts w:hint="eastAsia"/>
                <w:color w:val="auto"/>
                <w:lang w:val="en-US" w:eastAsia="zh-CN"/>
              </w:rPr>
              <w:t>Q=0.325</w:t>
            </w:r>
            <w:r>
              <w:rPr>
                <w:color w:val="auto"/>
              </w:rPr>
              <w:t>＜1，判定项目风险潜势为Ⅰ</w:t>
            </w:r>
            <w:r>
              <w:rPr>
                <w:rFonts w:hint="eastAsia"/>
                <w:color w:val="auto"/>
                <w:lang w:eastAsia="zh-CN"/>
              </w:rPr>
              <w:t>，</w:t>
            </w:r>
            <w:r>
              <w:rPr>
                <w:color w:val="auto"/>
              </w:rPr>
              <w:t>开展简单分析</w:t>
            </w:r>
          </w:p>
        </w:tc>
      </w:tr>
    </w:tbl>
    <w:p w14:paraId="1AC08AE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rPr>
      </w:pPr>
      <w:r>
        <w:rPr>
          <w:rFonts w:hint="eastAsia"/>
          <w:color w:val="auto"/>
          <w:sz w:val="24"/>
          <w:szCs w:val="24"/>
          <w:lang w:eastAsia="zh-CN"/>
        </w:rPr>
        <w:t>本工程</w:t>
      </w:r>
      <w:r>
        <w:rPr>
          <w:rFonts w:eastAsia="宋体"/>
          <w:color w:val="auto"/>
          <w:sz w:val="24"/>
          <w:szCs w:val="24"/>
        </w:rPr>
        <w:t>管线工程涉及的危险物质主要为原油</w:t>
      </w:r>
      <w:r>
        <w:rPr>
          <w:rFonts w:hint="eastAsia"/>
          <w:color w:val="auto"/>
          <w:sz w:val="24"/>
          <w:szCs w:val="24"/>
          <w:lang w:eastAsia="zh-CN"/>
        </w:rPr>
        <w:t>、</w:t>
      </w:r>
      <w:r>
        <w:rPr>
          <w:rFonts w:hint="eastAsia"/>
          <w:color w:val="auto"/>
          <w:sz w:val="24"/>
          <w:szCs w:val="24"/>
          <w:lang w:val="en-US" w:eastAsia="zh-CN"/>
        </w:rPr>
        <w:t>伴生气</w:t>
      </w:r>
      <w:r>
        <w:rPr>
          <w:rFonts w:eastAsia="宋体"/>
          <w:color w:val="auto"/>
          <w:sz w:val="24"/>
          <w:szCs w:val="24"/>
        </w:rPr>
        <w:t>。</w:t>
      </w:r>
      <w:r>
        <w:rPr>
          <w:rFonts w:hint="eastAsia"/>
          <w:color w:val="auto"/>
          <w:sz w:val="24"/>
          <w:szCs w:val="24"/>
          <w:lang w:eastAsia="zh-CN"/>
        </w:rPr>
        <w:t>本工程</w:t>
      </w:r>
      <w:r>
        <w:rPr>
          <w:rFonts w:eastAsia="宋体"/>
          <w:color w:val="auto"/>
          <w:sz w:val="24"/>
          <w:szCs w:val="24"/>
        </w:rPr>
        <w:t>建设的管线均为单独运行的管线工程，分管线单独判定</w:t>
      </w:r>
      <w:r>
        <w:rPr>
          <w:rFonts w:hint="eastAsia" w:eastAsia="宋体"/>
          <w:color w:val="auto"/>
          <w:sz w:val="24"/>
          <w:szCs w:val="24"/>
          <w:lang w:val="en-US" w:eastAsia="zh-CN"/>
        </w:rPr>
        <w:t>最大存在总</w:t>
      </w:r>
      <w:r>
        <w:rPr>
          <w:rFonts w:eastAsia="宋体"/>
          <w:color w:val="auto"/>
          <w:sz w:val="24"/>
          <w:szCs w:val="24"/>
        </w:rPr>
        <w:t>量。根据判定，项目管线中原油在线量均低于临界量，项目管线Q值＜1，环境风险潜势为Ⅰ。</w:t>
      </w:r>
      <w:r>
        <w:rPr>
          <w:rFonts w:hint="eastAsia"/>
          <w:color w:val="auto"/>
          <w:sz w:val="24"/>
          <w:szCs w:val="24"/>
          <w:lang w:val="en-US" w:eastAsia="zh-CN"/>
        </w:rPr>
        <w:t>集油管线</w:t>
      </w:r>
      <w:r>
        <w:rPr>
          <w:rFonts w:eastAsia="宋体"/>
          <w:color w:val="auto"/>
          <w:sz w:val="24"/>
          <w:szCs w:val="24"/>
        </w:rPr>
        <w:t>环境风险评价等级均为简单分析。</w:t>
      </w:r>
    </w:p>
    <w:p w14:paraId="1F47BB7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eastAsia="宋体"/>
          <w:color w:val="auto"/>
          <w:sz w:val="24"/>
          <w:szCs w:val="24"/>
          <w:lang w:eastAsia="zh-CN"/>
        </w:rPr>
        <w:t>（</w:t>
      </w:r>
      <w:r>
        <w:rPr>
          <w:rFonts w:hint="eastAsia" w:eastAsia="宋体"/>
          <w:color w:val="auto"/>
          <w:sz w:val="24"/>
          <w:szCs w:val="24"/>
          <w:lang w:val="en-US" w:eastAsia="zh-CN"/>
        </w:rPr>
        <w:t>2</w:t>
      </w:r>
      <w:r>
        <w:rPr>
          <w:rFonts w:hint="eastAsia" w:eastAsia="宋体"/>
          <w:color w:val="auto"/>
          <w:sz w:val="24"/>
          <w:szCs w:val="24"/>
          <w:lang w:eastAsia="zh-CN"/>
        </w:rPr>
        <w:t>）</w:t>
      </w:r>
      <w:r>
        <w:rPr>
          <w:rFonts w:hint="eastAsia" w:eastAsia="宋体"/>
          <w:color w:val="auto"/>
          <w:sz w:val="24"/>
          <w:szCs w:val="24"/>
          <w:lang w:val="en-US" w:eastAsia="zh-CN"/>
        </w:rPr>
        <w:t>评价范围</w:t>
      </w:r>
    </w:p>
    <w:p w14:paraId="42BF1D7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rPr>
      </w:pPr>
      <w:r>
        <w:rPr>
          <w:rFonts w:hint="eastAsia"/>
          <w:color w:val="auto"/>
          <w:sz w:val="24"/>
          <w:szCs w:val="28"/>
          <w:lang w:val="en-US" w:eastAsia="zh-CN"/>
        </w:rPr>
        <w:t>本工程环境风险评价等级为简单分析，不设置环境影响评价范围。</w:t>
      </w:r>
    </w:p>
    <w:p w14:paraId="46F03A28">
      <w:pPr>
        <w:pStyle w:val="2"/>
        <w:bidi w:val="0"/>
        <w:rPr>
          <w:rFonts w:hint="default"/>
          <w:b/>
          <w:bCs w:val="0"/>
          <w:color w:val="auto"/>
          <w:lang w:val="en-US" w:eastAsia="zh-CN"/>
        </w:rPr>
      </w:pPr>
      <w:bookmarkStart w:id="121" w:name="_Toc14768"/>
      <w:bookmarkStart w:id="122" w:name="_Toc5328"/>
      <w:bookmarkStart w:id="123" w:name="_Toc14689"/>
      <w:bookmarkStart w:id="124" w:name="_Toc23420"/>
      <w:bookmarkStart w:id="125" w:name="_Toc26470"/>
      <w:r>
        <w:rPr>
          <w:rFonts w:hint="eastAsia"/>
          <w:b/>
          <w:bCs w:val="0"/>
          <w:color w:val="auto"/>
          <w:lang w:val="en-US" w:eastAsia="zh-CN"/>
        </w:rPr>
        <w:t>2.6评价内容与评价重点、评价时段</w:t>
      </w:r>
      <w:bookmarkEnd w:id="121"/>
      <w:bookmarkEnd w:id="122"/>
      <w:bookmarkEnd w:id="123"/>
      <w:bookmarkEnd w:id="124"/>
      <w:bookmarkEnd w:id="125"/>
    </w:p>
    <w:p w14:paraId="10662D74">
      <w:pPr>
        <w:pStyle w:val="5"/>
        <w:bidi w:val="0"/>
        <w:rPr>
          <w:rFonts w:hint="default"/>
          <w:color w:val="auto"/>
          <w:lang w:val="en-US" w:eastAsia="zh-CN"/>
        </w:rPr>
      </w:pPr>
      <w:bookmarkStart w:id="126" w:name="_Toc12189"/>
      <w:bookmarkStart w:id="127" w:name="_Toc20737"/>
      <w:r>
        <w:rPr>
          <w:rFonts w:hint="eastAsia"/>
          <w:color w:val="auto"/>
          <w:lang w:val="en-US" w:eastAsia="zh-CN"/>
        </w:rPr>
        <w:t>2.6.1评价内容</w:t>
      </w:r>
      <w:bookmarkEnd w:id="126"/>
      <w:bookmarkEnd w:id="127"/>
    </w:p>
    <w:p w14:paraId="088D796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本次评价工作主要内容包括：工程概况介绍、工程分析、环境现状调查与监测、环境影响预测与分析、环保措施可行性论证、环境经济损益分析、环境管理计划等。</w:t>
      </w:r>
    </w:p>
    <w:p w14:paraId="34739BD7">
      <w:pPr>
        <w:pStyle w:val="5"/>
        <w:bidi w:val="0"/>
        <w:rPr>
          <w:rFonts w:hint="default"/>
          <w:color w:val="auto"/>
          <w:lang w:val="en-US" w:eastAsia="zh-CN"/>
        </w:rPr>
      </w:pPr>
      <w:bookmarkStart w:id="128" w:name="_Toc31485"/>
      <w:bookmarkStart w:id="129" w:name="_Toc19125"/>
      <w:r>
        <w:rPr>
          <w:rFonts w:hint="eastAsia"/>
          <w:color w:val="auto"/>
          <w:lang w:val="en-US" w:eastAsia="zh-CN"/>
        </w:rPr>
        <w:t>2.6.2评价重点</w:t>
      </w:r>
      <w:bookmarkEnd w:id="128"/>
      <w:bookmarkEnd w:id="129"/>
    </w:p>
    <w:p w14:paraId="7EDF79E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eastAsia="宋体"/>
          <w:color w:val="auto"/>
          <w:sz w:val="24"/>
          <w:szCs w:val="28"/>
          <w:lang w:val="en-US" w:eastAsia="zh-CN"/>
        </w:rPr>
        <w:t>本次评价重点包括：现有工程回顾性调查、工程概况、工程分析、环境影响预测与分析、环保措施可行性论证等。</w:t>
      </w:r>
    </w:p>
    <w:p w14:paraId="087A62F9">
      <w:pPr>
        <w:pStyle w:val="5"/>
        <w:bidi w:val="0"/>
        <w:rPr>
          <w:rFonts w:hint="default"/>
          <w:color w:val="auto"/>
          <w:lang w:val="en-US" w:eastAsia="zh-CN"/>
        </w:rPr>
      </w:pPr>
      <w:bookmarkStart w:id="130" w:name="_Toc31521"/>
      <w:bookmarkStart w:id="131" w:name="_Toc6313"/>
      <w:r>
        <w:rPr>
          <w:rFonts w:hint="eastAsia"/>
          <w:color w:val="auto"/>
          <w:lang w:val="en-US" w:eastAsia="zh-CN"/>
        </w:rPr>
        <w:t>2.6.3评价时段</w:t>
      </w:r>
      <w:bookmarkEnd w:id="130"/>
      <w:bookmarkEnd w:id="131"/>
    </w:p>
    <w:p w14:paraId="32ED360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rPr>
      </w:pPr>
      <w:r>
        <w:rPr>
          <w:rFonts w:hint="eastAsia"/>
          <w:color w:val="auto"/>
          <w:sz w:val="24"/>
          <w:szCs w:val="28"/>
          <w:lang w:val="en-US" w:eastAsia="zh-CN"/>
        </w:rPr>
        <w:t>本工程</w:t>
      </w:r>
      <w:r>
        <w:rPr>
          <w:rFonts w:hint="eastAsia" w:eastAsia="宋体"/>
          <w:color w:val="auto"/>
          <w:sz w:val="24"/>
          <w:szCs w:val="28"/>
          <w:lang w:val="en-US" w:eastAsia="zh-CN"/>
        </w:rPr>
        <w:t>评价时段分为：施工期、运营期、退役期三个时段。</w:t>
      </w:r>
    </w:p>
    <w:p w14:paraId="68824630">
      <w:pPr>
        <w:pStyle w:val="2"/>
        <w:bidi w:val="0"/>
        <w:rPr>
          <w:rFonts w:hint="default"/>
          <w:color w:val="auto"/>
          <w:lang w:val="en-US" w:eastAsia="zh-CN"/>
        </w:rPr>
      </w:pPr>
      <w:bookmarkStart w:id="132" w:name="_Toc8646"/>
      <w:bookmarkStart w:id="133" w:name="_Toc11192"/>
      <w:bookmarkStart w:id="134" w:name="_Toc743"/>
      <w:bookmarkStart w:id="135" w:name="_Toc20053"/>
      <w:bookmarkStart w:id="136" w:name="_Toc9625"/>
      <w:r>
        <w:rPr>
          <w:rFonts w:hint="eastAsia"/>
          <w:color w:val="auto"/>
          <w:lang w:val="en-US" w:eastAsia="zh-CN"/>
        </w:rPr>
        <w:t>2.7主要环境保护目标</w:t>
      </w:r>
      <w:bookmarkEnd w:id="132"/>
      <w:bookmarkEnd w:id="133"/>
      <w:bookmarkEnd w:id="134"/>
      <w:bookmarkEnd w:id="135"/>
      <w:bookmarkEnd w:id="136"/>
    </w:p>
    <w:p w14:paraId="0466515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根据《环境影响评价技术导则 生态影响》（HJ19-2022），生态保护目标主要为受影响的重要物种、生态敏感区以及其他需要保护的物种、种群、生物群落及生态空间等。结合现状调查，评价区域生态保护目标主要为区域内分布的新疆和布克赛尔江格尔国家沙漠公园，同时，按照《建设项目环境影响评价分类管理名录（2021年版）》，将区域水土流失重点治理区环境敏感目标列入生态保护目标。</w:t>
      </w:r>
    </w:p>
    <w:p w14:paraId="39B71EAF">
      <w:pPr>
        <w:pStyle w:val="4"/>
        <w:rPr>
          <w:color w:val="auto"/>
          <w:lang w:eastAsia="zh"/>
        </w:rPr>
      </w:pPr>
      <w:r>
        <w:rPr>
          <w:rFonts w:hint="eastAsia"/>
          <w:color w:val="auto"/>
          <w:lang w:eastAsia="zh-CN"/>
        </w:rPr>
        <w:t>本工程</w:t>
      </w:r>
      <w:r>
        <w:rPr>
          <w:color w:val="auto"/>
          <w:lang w:eastAsia="zh"/>
        </w:rPr>
        <w:t>总体环境保护目标见</w:t>
      </w:r>
      <w:r>
        <w:rPr>
          <w:rFonts w:hint="default"/>
          <w:color w:val="auto"/>
          <w:lang w:val="en-US" w:eastAsia="zh"/>
        </w:rPr>
        <w:fldChar w:fldCharType="begin"/>
      </w:r>
      <w:r>
        <w:rPr>
          <w:rFonts w:hint="default"/>
          <w:color w:val="auto"/>
          <w:lang w:val="en-US" w:eastAsia="zh"/>
        </w:rPr>
        <w:instrText xml:space="preserve"> REF _Ref2493 \h </w:instrText>
      </w:r>
      <w:r>
        <w:rPr>
          <w:rFonts w:hint="default"/>
          <w:color w:val="auto"/>
          <w:lang w:val="en-US" w:eastAsia="zh"/>
        </w:rPr>
        <w:fldChar w:fldCharType="separate"/>
      </w:r>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w:t>
      </w:r>
      <w:r>
        <w:rPr>
          <w:rFonts w:hint="eastAsia" w:cs="Times New Roman"/>
          <w:color w:val="auto"/>
          <w:lang w:val="en-US" w:eastAsia="zh-CN"/>
        </w:rPr>
        <w:t>7</w:t>
      </w:r>
      <w:r>
        <w:rPr>
          <w:rFonts w:cs="Times New Roman"/>
          <w:color w:val="auto"/>
        </w:rPr>
        <w:fldChar w:fldCharType="end"/>
      </w:r>
      <w:r>
        <w:rPr>
          <w:rFonts w:cs="Times New Roman"/>
          <w:color w:val="auto"/>
        </w:rPr>
        <w:noBreakHyphen/>
      </w:r>
      <w:r>
        <w:rPr>
          <w:rFonts w:hint="eastAsia" w:cs="Times New Roman"/>
          <w:color w:val="auto"/>
          <w:lang w:val="en-US" w:eastAsia="zh-CN"/>
        </w:rPr>
        <w:t>1</w:t>
      </w:r>
      <w:r>
        <w:rPr>
          <w:rFonts w:hint="default"/>
          <w:color w:val="auto"/>
          <w:lang w:val="en-US" w:eastAsia="zh"/>
        </w:rPr>
        <w:fldChar w:fldCharType="end"/>
      </w:r>
      <w:r>
        <w:rPr>
          <w:color w:val="auto"/>
          <w:lang w:eastAsia="zh"/>
        </w:rPr>
        <w:t>。</w:t>
      </w:r>
    </w:p>
    <w:p w14:paraId="725261A4">
      <w:pPr>
        <w:pStyle w:val="43"/>
        <w:bidi w:val="0"/>
        <w:rPr>
          <w:color w:val="auto"/>
        </w:rPr>
      </w:pPr>
      <w:bookmarkStart w:id="137" w:name="_Ref2493"/>
    </w:p>
    <w:p w14:paraId="2454B2D0">
      <w:pPr>
        <w:pStyle w:val="43"/>
        <w:bidi w:val="0"/>
        <w:rPr>
          <w:color w:val="auto"/>
        </w:rPr>
      </w:pPr>
      <w:r>
        <w:rPr>
          <w:color w:val="auto"/>
        </w:rPr>
        <w:t>表</w:t>
      </w:r>
      <w:r>
        <w:rPr>
          <w:color w:val="auto"/>
        </w:rPr>
        <w:fldChar w:fldCharType="begin"/>
      </w:r>
      <w:r>
        <w:rPr>
          <w:color w:val="auto"/>
        </w:rPr>
        <w:instrText xml:space="preserve"> STYLEREF 2 \s </w:instrText>
      </w:r>
      <w:r>
        <w:rPr>
          <w:color w:val="auto"/>
        </w:rPr>
        <w:fldChar w:fldCharType="separate"/>
      </w:r>
      <w:r>
        <w:rPr>
          <w:color w:val="auto"/>
        </w:rPr>
        <w:t>2.</w:t>
      </w:r>
      <w:r>
        <w:rPr>
          <w:rFonts w:hint="eastAsia"/>
          <w:color w:val="auto"/>
          <w:lang w:val="en-US" w:eastAsia="zh-CN"/>
        </w:rPr>
        <w:t>7</w:t>
      </w:r>
      <w:r>
        <w:rPr>
          <w:color w:val="auto"/>
        </w:rPr>
        <w:fldChar w:fldCharType="end"/>
      </w:r>
      <w:r>
        <w:rPr>
          <w:color w:val="auto"/>
        </w:rPr>
        <w:noBreakHyphen/>
      </w:r>
      <w:bookmarkEnd w:id="137"/>
      <w:r>
        <w:rPr>
          <w:rFonts w:hint="eastAsia"/>
          <w:color w:val="auto"/>
          <w:lang w:val="en-US" w:eastAsia="zh-CN"/>
        </w:rPr>
        <w:t>1</w:t>
      </w:r>
      <w:r>
        <w:rPr>
          <w:color w:val="auto"/>
        </w:rPr>
        <w:t xml:space="preserve">  </w:t>
      </w:r>
      <w:r>
        <w:rPr>
          <w:rFonts w:hint="eastAsia"/>
          <w:color w:val="auto"/>
          <w:lang w:eastAsia="zh-CN"/>
        </w:rPr>
        <w:t>本工程</w:t>
      </w:r>
      <w:r>
        <w:rPr>
          <w:color w:val="auto"/>
          <w:lang w:eastAsia="zh"/>
        </w:rPr>
        <w:t>总体环境保护目标</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1" w:type="dxa"/>
          <w:bottom w:w="0" w:type="dxa"/>
          <w:right w:w="51" w:type="dxa"/>
        </w:tblCellMar>
      </w:tblPr>
      <w:tblGrid>
        <w:gridCol w:w="1025"/>
        <w:gridCol w:w="1664"/>
        <w:gridCol w:w="1515"/>
        <w:gridCol w:w="1110"/>
        <w:gridCol w:w="3094"/>
      </w:tblGrid>
      <w:tr w14:paraId="7906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jc w:val="center"/>
        </w:trPr>
        <w:tc>
          <w:tcPr>
            <w:tcW w:w="6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5701A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lang w:eastAsia="zh"/>
              </w:rPr>
            </w:pPr>
            <w:r>
              <w:rPr>
                <w:b/>
                <w:bCs/>
                <w:color w:val="auto"/>
                <w:lang w:eastAsia="zh"/>
              </w:rPr>
              <w:t>环境要素</w:t>
            </w:r>
          </w:p>
        </w:tc>
        <w:tc>
          <w:tcPr>
            <w:tcW w:w="9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A887E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lang w:eastAsia="zh"/>
              </w:rPr>
            </w:pPr>
            <w:r>
              <w:rPr>
                <w:b/>
                <w:bCs/>
                <w:color w:val="auto"/>
                <w:lang w:eastAsia="zh"/>
              </w:rPr>
              <w:t>保护对象</w:t>
            </w:r>
          </w:p>
        </w:tc>
        <w:tc>
          <w:tcPr>
            <w:tcW w:w="90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A6107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lang w:eastAsia="zh"/>
              </w:rPr>
            </w:pPr>
            <w:r>
              <w:rPr>
                <w:b/>
                <w:bCs/>
                <w:color w:val="auto"/>
                <w:lang w:eastAsia="zh"/>
              </w:rPr>
              <w:t>相对位置</w:t>
            </w:r>
          </w:p>
        </w:tc>
        <w:tc>
          <w:tcPr>
            <w:tcW w:w="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1EC51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lang w:eastAsia="zh"/>
              </w:rPr>
            </w:pPr>
            <w:r>
              <w:rPr>
                <w:b/>
                <w:bCs/>
                <w:color w:val="auto"/>
                <w:lang w:eastAsia="zh"/>
              </w:rPr>
              <w:t>保护内容</w:t>
            </w:r>
          </w:p>
        </w:tc>
        <w:tc>
          <w:tcPr>
            <w:tcW w:w="18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77F09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lang w:eastAsia="zh"/>
              </w:rPr>
            </w:pPr>
            <w:r>
              <w:rPr>
                <w:b/>
                <w:bCs/>
                <w:color w:val="auto"/>
                <w:lang w:eastAsia="zh"/>
              </w:rPr>
              <w:t>保护标准</w:t>
            </w:r>
          </w:p>
        </w:tc>
      </w:tr>
      <w:tr w14:paraId="6803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6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C5EB1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eastAsia="zh-CN"/>
              </w:rPr>
            </w:pPr>
            <w:r>
              <w:rPr>
                <w:color w:val="auto"/>
                <w:lang w:eastAsia="zh"/>
              </w:rPr>
              <w:t>大气环境</w:t>
            </w:r>
          </w:p>
        </w:tc>
        <w:tc>
          <w:tcPr>
            <w:tcW w:w="9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9217F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区域大气</w:t>
            </w:r>
          </w:p>
        </w:tc>
        <w:tc>
          <w:tcPr>
            <w:tcW w:w="90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1F29AC">
            <w:pPr>
              <w:keepNext w:val="0"/>
              <w:keepLines w:val="0"/>
              <w:widowControl/>
              <w:suppressLineNumbers w:val="0"/>
              <w:jc w:val="center"/>
              <w:rPr>
                <w:color w:val="auto"/>
                <w:lang w:eastAsia="zh"/>
              </w:rPr>
            </w:pPr>
            <w:r>
              <w:rPr>
                <w:rFonts w:hint="default" w:ascii="Times New Roman" w:hAnsi="Times New Roman" w:eastAsia="宋体" w:cs="Times New Roman"/>
                <w:color w:val="auto"/>
                <w:kern w:val="0"/>
                <w:sz w:val="21"/>
                <w:szCs w:val="21"/>
                <w:lang w:val="en-US" w:eastAsia="zh-CN" w:bidi="ar"/>
              </w:rPr>
              <w:t>项目所在区域及周边</w:t>
            </w:r>
            <w:r>
              <w:rPr>
                <w:rFonts w:hint="eastAsia"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km范围内</w:t>
            </w:r>
          </w:p>
        </w:tc>
        <w:tc>
          <w:tcPr>
            <w:tcW w:w="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A0CF7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环境空气质量</w:t>
            </w:r>
          </w:p>
        </w:tc>
        <w:tc>
          <w:tcPr>
            <w:tcW w:w="18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B02B1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lang w:eastAsia="zh"/>
              </w:rPr>
            </w:pPr>
            <w:r>
              <w:rPr>
                <w:color w:val="auto"/>
              </w:rPr>
              <w:t>《环境空气质量标准</w:t>
            </w:r>
            <w:r>
              <w:rPr>
                <w:rFonts w:hint="eastAsia"/>
                <w:color w:val="auto"/>
                <w:lang w:eastAsia="zh-CN"/>
              </w:rPr>
              <w:t>》</w:t>
            </w:r>
            <w:r>
              <w:rPr>
                <w:color w:val="auto"/>
              </w:rPr>
              <w:t>（GB3095-2012）中二级标准</w:t>
            </w:r>
          </w:p>
        </w:tc>
      </w:tr>
      <w:tr w14:paraId="2BCB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6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77454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声环境</w:t>
            </w:r>
          </w:p>
        </w:tc>
        <w:tc>
          <w:tcPr>
            <w:tcW w:w="9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047EB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项目区声环境</w:t>
            </w:r>
          </w:p>
        </w:tc>
        <w:tc>
          <w:tcPr>
            <w:tcW w:w="90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4FC63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rFonts w:hint="default" w:ascii="Times New Roman" w:hAnsi="Times New Roman" w:eastAsia="宋体" w:cs="Times New Roman"/>
                <w:color w:val="auto"/>
                <w:kern w:val="0"/>
                <w:sz w:val="21"/>
                <w:szCs w:val="21"/>
                <w:lang w:val="en-US" w:eastAsia="zh-CN" w:bidi="ar"/>
              </w:rPr>
              <w:t>项目所在区域及周边</w:t>
            </w:r>
            <w:r>
              <w:rPr>
                <w:rFonts w:hint="eastAsia" w:eastAsia="宋体" w:cs="Times New Roman"/>
                <w:color w:val="auto"/>
                <w:kern w:val="0"/>
                <w:sz w:val="21"/>
                <w:szCs w:val="21"/>
                <w:lang w:val="en-US" w:eastAsia="zh-CN" w:bidi="ar"/>
              </w:rPr>
              <w:t>200</w:t>
            </w:r>
            <w:r>
              <w:rPr>
                <w:rFonts w:hint="default" w:ascii="Times New Roman" w:hAnsi="Times New Roman" w:eastAsia="宋体" w:cs="Times New Roman"/>
                <w:color w:val="auto"/>
                <w:kern w:val="0"/>
                <w:sz w:val="21"/>
                <w:szCs w:val="21"/>
                <w:lang w:val="en-US" w:eastAsia="zh-CN" w:bidi="ar"/>
              </w:rPr>
              <w:t>m范围内</w:t>
            </w:r>
          </w:p>
        </w:tc>
        <w:tc>
          <w:tcPr>
            <w:tcW w:w="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00ED8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声环境质量</w:t>
            </w:r>
          </w:p>
        </w:tc>
        <w:tc>
          <w:tcPr>
            <w:tcW w:w="18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84A91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lang w:eastAsia="zh"/>
              </w:rPr>
            </w:pPr>
            <w:r>
              <w:rPr>
                <w:color w:val="auto"/>
              </w:rPr>
              <w:t>《声环境质量标准》（GB3096-2008）中2类标准</w:t>
            </w:r>
          </w:p>
        </w:tc>
      </w:tr>
      <w:tr w14:paraId="0598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6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928A8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地表水环境</w:t>
            </w:r>
          </w:p>
        </w:tc>
        <w:tc>
          <w:tcPr>
            <w:tcW w:w="439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0B592F21">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lang w:eastAsia="zh"/>
              </w:rPr>
            </w:pPr>
            <w:r>
              <w:rPr>
                <w:rFonts w:hint="eastAsia"/>
                <w:color w:val="auto"/>
                <w:lang w:eastAsia="zh-CN"/>
              </w:rPr>
              <w:t>本工程</w:t>
            </w:r>
            <w:r>
              <w:rPr>
                <w:rFonts w:hint="eastAsia"/>
                <w:color w:val="auto"/>
                <w:lang w:val="en-US" w:eastAsia="zh-CN"/>
              </w:rPr>
              <w:t>赛探1井东南距玛纳斯盐湖约1.2km，地表水评价范围内</w:t>
            </w:r>
            <w:r>
              <w:rPr>
                <w:color w:val="auto"/>
                <w:lang w:eastAsia="zh"/>
              </w:rPr>
              <w:t>不涉及</w:t>
            </w:r>
            <w:r>
              <w:rPr>
                <w:color w:val="auto"/>
              </w:rPr>
              <w:t>涉水环境保护目标</w:t>
            </w:r>
          </w:p>
        </w:tc>
      </w:tr>
      <w:tr w14:paraId="2BF7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6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42BBC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地下水环境</w:t>
            </w:r>
          </w:p>
        </w:tc>
        <w:tc>
          <w:tcPr>
            <w:tcW w:w="9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A64F1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区域地下水</w:t>
            </w:r>
          </w:p>
        </w:tc>
        <w:tc>
          <w:tcPr>
            <w:tcW w:w="90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92C5E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项目所在区域</w:t>
            </w:r>
          </w:p>
        </w:tc>
        <w:tc>
          <w:tcPr>
            <w:tcW w:w="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94B6D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地下水水质</w:t>
            </w:r>
          </w:p>
        </w:tc>
        <w:tc>
          <w:tcPr>
            <w:tcW w:w="18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61958D">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lang w:eastAsia="zh"/>
              </w:rPr>
            </w:pPr>
            <w:r>
              <w:rPr>
                <w:color w:val="auto"/>
              </w:rPr>
              <w:t>《地下水质量标准》（GB/T14848-2017）Ⅲ类标准，水质不受污染</w:t>
            </w:r>
          </w:p>
        </w:tc>
      </w:tr>
      <w:tr w14:paraId="154F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6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A0F4E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土壤环境</w:t>
            </w:r>
          </w:p>
        </w:tc>
        <w:tc>
          <w:tcPr>
            <w:tcW w:w="9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8C7A7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eastAsia="zh-CN"/>
              </w:rPr>
            </w:pPr>
            <w:r>
              <w:rPr>
                <w:color w:val="auto"/>
              </w:rPr>
              <w:t>井场占地范围内及周边</w:t>
            </w:r>
            <w:r>
              <w:rPr>
                <w:rFonts w:hint="eastAsia"/>
                <w:color w:val="auto"/>
                <w:lang w:val="en-US" w:eastAsia="zh-CN"/>
              </w:rPr>
              <w:t>5</w:t>
            </w:r>
            <w:r>
              <w:rPr>
                <w:color w:val="auto"/>
              </w:rPr>
              <w:t>km及管线两侧0.2km的</w:t>
            </w:r>
            <w:r>
              <w:rPr>
                <w:rFonts w:hint="eastAsia"/>
                <w:color w:val="auto"/>
                <w:lang w:val="en-US" w:eastAsia="zh-CN"/>
              </w:rPr>
              <w:t>土壤</w:t>
            </w:r>
          </w:p>
        </w:tc>
        <w:tc>
          <w:tcPr>
            <w:tcW w:w="90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90E1D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项目所在区域</w:t>
            </w:r>
          </w:p>
        </w:tc>
        <w:tc>
          <w:tcPr>
            <w:tcW w:w="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AE3E8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土壤环境质量</w:t>
            </w:r>
          </w:p>
        </w:tc>
        <w:tc>
          <w:tcPr>
            <w:tcW w:w="18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9C32C7">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lang w:eastAsia="zh"/>
              </w:rPr>
            </w:pPr>
            <w:r>
              <w:rPr>
                <w:color w:val="auto"/>
              </w:rPr>
              <w:t>《土壤环境质量</w:t>
            </w:r>
            <w:r>
              <w:rPr>
                <w:rFonts w:hint="eastAsia"/>
                <w:color w:val="auto"/>
                <w:lang w:val="en-US" w:eastAsia="zh-CN"/>
              </w:rPr>
              <w:t xml:space="preserve"> </w:t>
            </w:r>
            <w:r>
              <w:rPr>
                <w:color w:val="auto"/>
              </w:rPr>
              <w:t>建设用地土壤污染风险管控标准（试行）》（GB36600-2018）中第二类用地筛选值</w:t>
            </w:r>
            <w:r>
              <w:rPr>
                <w:rFonts w:hint="eastAsia"/>
                <w:color w:val="auto"/>
              </w:rPr>
              <w:t>其他</w:t>
            </w:r>
            <w:r>
              <w:rPr>
                <w:color w:val="auto"/>
              </w:rPr>
              <w:t>标准</w:t>
            </w:r>
            <w:r>
              <w:rPr>
                <w:rFonts w:hint="eastAsia"/>
                <w:color w:val="auto"/>
              </w:rPr>
              <w:t>限值、</w:t>
            </w:r>
            <w:r>
              <w:rPr>
                <w:color w:val="auto"/>
              </w:rPr>
              <w:t>《土壤环境质量</w:t>
            </w:r>
            <w:r>
              <w:rPr>
                <w:rFonts w:hint="eastAsia"/>
                <w:color w:val="auto"/>
                <w:lang w:val="en-US" w:eastAsia="zh-CN"/>
              </w:rPr>
              <w:t xml:space="preserve"> </w:t>
            </w:r>
            <w:r>
              <w:rPr>
                <w:color w:val="auto"/>
              </w:rPr>
              <w:t>农用地土壤污染风险管控标准（试行）》（GB15618-2018）风险筛选值</w:t>
            </w:r>
          </w:p>
        </w:tc>
      </w:tr>
      <w:tr w14:paraId="1D02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6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A2089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生态环境</w:t>
            </w:r>
          </w:p>
        </w:tc>
        <w:tc>
          <w:tcPr>
            <w:tcW w:w="9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18868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color w:val="auto"/>
                <w:lang w:eastAsia="zh"/>
              </w:rPr>
              <w:t>水土流失重点治理区、</w:t>
            </w:r>
            <w:r>
              <w:rPr>
                <w:rFonts w:hint="eastAsia"/>
                <w:color w:val="auto"/>
                <w:lang w:val="en-US" w:eastAsia="zh-CN"/>
              </w:rPr>
              <w:t>新疆和布克赛尔江格尔国家沙漠公园</w:t>
            </w:r>
          </w:p>
        </w:tc>
        <w:tc>
          <w:tcPr>
            <w:tcW w:w="90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BD808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本工程不在新疆和布克赛尔江格尔国家沙漠公园内，距离最近赛探1井场东北侧约1.42km</w:t>
            </w:r>
          </w:p>
        </w:tc>
        <w:tc>
          <w:tcPr>
            <w:tcW w:w="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A9104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lang w:eastAsia="zh"/>
              </w:rPr>
            </w:pPr>
            <w:r>
              <w:rPr>
                <w:color w:val="auto"/>
                <w:lang w:eastAsia="zh"/>
              </w:rPr>
              <w:t>生态环境质量</w:t>
            </w:r>
          </w:p>
        </w:tc>
        <w:tc>
          <w:tcPr>
            <w:tcW w:w="18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9A9839">
            <w:pPr>
              <w:pStyle w:val="44"/>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lang w:eastAsia="zh"/>
              </w:rPr>
            </w:pPr>
            <w:r>
              <w:rPr>
                <w:color w:val="auto"/>
              </w:rPr>
              <w:t>生态系统完整性与稳定性</w:t>
            </w:r>
          </w:p>
        </w:tc>
      </w:tr>
    </w:tbl>
    <w:p w14:paraId="0B502B2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p>
    <w:p w14:paraId="1D0112D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p>
    <w:p w14:paraId="08BF4071">
      <w:pPr>
        <w:rPr>
          <w:color w:val="auto"/>
          <w:sz w:val="24"/>
          <w:szCs w:val="24"/>
        </w:rPr>
      </w:pPr>
      <w:r>
        <w:rPr>
          <w:color w:val="auto"/>
          <w:sz w:val="24"/>
          <w:szCs w:val="24"/>
        </w:rPr>
        <w:br w:type="page"/>
      </w:r>
    </w:p>
    <w:p w14:paraId="1FEF38DB">
      <w:pPr>
        <w:pStyle w:val="3"/>
        <w:bidi w:val="0"/>
        <w:rPr>
          <w:color w:val="auto"/>
        </w:rPr>
      </w:pPr>
      <w:bookmarkStart w:id="138" w:name="_Toc7065"/>
      <w:bookmarkStart w:id="139" w:name="_Toc31600"/>
      <w:bookmarkStart w:id="140" w:name="_Toc5953"/>
      <w:bookmarkStart w:id="141" w:name="_Toc17846"/>
      <w:bookmarkStart w:id="142" w:name="_Toc27965"/>
      <w:r>
        <w:rPr>
          <w:rFonts w:hint="eastAsia"/>
          <w:color w:val="auto"/>
          <w:lang w:val="en-US" w:eastAsia="zh-CN"/>
        </w:rPr>
        <w:t>3</w:t>
      </w:r>
      <w:bookmarkEnd w:id="138"/>
      <w:bookmarkEnd w:id="139"/>
      <w:bookmarkEnd w:id="140"/>
      <w:r>
        <w:rPr>
          <w:rFonts w:hint="eastAsia"/>
          <w:color w:val="auto"/>
          <w:lang w:val="en-US" w:eastAsia="zh-CN"/>
        </w:rPr>
        <w:t>建设项目工程分析</w:t>
      </w:r>
      <w:bookmarkEnd w:id="141"/>
      <w:bookmarkEnd w:id="142"/>
    </w:p>
    <w:p w14:paraId="591BB9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百口泉采油厂区域开发范围位于克拉玛依市乌尔禾区和塔城地区和布克赛尔蒙古自治县。乌尔禾区主要涉及有百21采油作业区和检188采油作业区，和布克赛尔蒙古自治县以及与乌尔禾区接壤区域主要涉及有玛湖第一采油作业区、玛湖第二采油作业区和玛湖第三采油作业区，采矿权范围见图3.1-1。</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619F3A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69" w:hRule="exact"/>
        </w:trPr>
        <w:tc>
          <w:tcPr>
            <w:tcW w:w="8522" w:type="dxa"/>
            <w:tcBorders>
              <w:tl2br w:val="nil"/>
              <w:tr2bl w:val="nil"/>
            </w:tcBorders>
            <w:vAlign w:val="center"/>
          </w:tcPr>
          <w:p w14:paraId="721D5081">
            <w:pPr>
              <w:pStyle w:val="33"/>
              <w:bidi w:val="0"/>
              <w:ind w:left="0" w:leftChars="0" w:firstLine="0" w:firstLineChars="0"/>
              <w:jc w:val="center"/>
              <w:rPr>
                <w:rFonts w:hint="default" w:ascii="Times New Roman" w:hAnsi="Times New Roman" w:cs="Times New Roman"/>
                <w:color w:val="auto"/>
                <w:sz w:val="24"/>
                <w:szCs w:val="24"/>
                <w:vertAlign w:val="baseline"/>
                <w:lang w:val="en-US" w:eastAsia="zh-CN"/>
              </w:rPr>
            </w:pPr>
          </w:p>
        </w:tc>
      </w:tr>
      <w:tr w14:paraId="005876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tcPr>
          <w:p w14:paraId="49CE1B4A">
            <w:pPr>
              <w:pStyle w:val="33"/>
              <w:bidi w:val="0"/>
              <w:spacing w:line="240" w:lineRule="auto"/>
              <w:ind w:left="0" w:leftChars="0" w:firstLine="0" w:firstLineChars="0"/>
              <w:jc w:val="center"/>
              <w:rPr>
                <w:rFonts w:hint="default" w:ascii="Times New Roman" w:hAnsi="Times New Roman" w:cs="Times New Roman"/>
                <w:color w:val="auto"/>
                <w:sz w:val="24"/>
                <w:szCs w:val="24"/>
                <w:vertAlign w:val="baseline"/>
                <w:lang w:val="en-US" w:eastAsia="zh-CN"/>
              </w:rPr>
            </w:pPr>
            <w:r>
              <w:rPr>
                <w:rFonts w:hint="eastAsia"/>
                <w:b/>
                <w:bCs/>
                <w:color w:val="auto"/>
                <w:sz w:val="21"/>
                <w:szCs w:val="22"/>
                <w:lang w:val="en-US" w:eastAsia="zh-CN"/>
              </w:rPr>
              <w:t>图3.1-1  百口泉采油厂采矿权分布范围示意图</w:t>
            </w:r>
          </w:p>
        </w:tc>
      </w:tr>
    </w:tbl>
    <w:p w14:paraId="2B13E15C">
      <w:pPr>
        <w:pStyle w:val="2"/>
        <w:bidi w:val="0"/>
        <w:rPr>
          <w:rFonts w:hint="default"/>
          <w:color w:val="auto"/>
          <w:lang w:val="en-US" w:eastAsia="zh-CN"/>
        </w:rPr>
      </w:pPr>
      <w:bookmarkStart w:id="143" w:name="_Toc226"/>
      <w:r>
        <w:rPr>
          <w:rFonts w:hint="eastAsia"/>
          <w:color w:val="auto"/>
          <w:lang w:val="en-US" w:eastAsia="zh-CN"/>
        </w:rPr>
        <w:t>3.1现有工程开发现状及环境影响回顾</w:t>
      </w:r>
      <w:bookmarkEnd w:id="143"/>
    </w:p>
    <w:p w14:paraId="70B2C2F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本工程</w:t>
      </w:r>
      <w:r>
        <w:rPr>
          <w:rFonts w:hint="eastAsia"/>
          <w:color w:val="auto"/>
          <w:sz w:val="24"/>
          <w:szCs w:val="24"/>
          <w:lang w:val="en-US" w:eastAsia="zh-CN"/>
        </w:rPr>
        <w:t>涉及</w:t>
      </w:r>
      <w:r>
        <w:rPr>
          <w:rFonts w:hint="eastAsia" w:ascii="Times New Roman" w:hAnsi="Times New Roman" w:eastAsia="宋体"/>
          <w:color w:val="auto"/>
          <w:sz w:val="24"/>
          <w:szCs w:val="24"/>
          <w:lang w:val="en-US" w:eastAsia="zh-CN"/>
        </w:rPr>
        <w:t>的老区块有玛131井区、玛2井区、玛18井区</w:t>
      </w:r>
      <w:r>
        <w:rPr>
          <w:rFonts w:hint="eastAsia"/>
          <w:color w:val="auto"/>
          <w:sz w:val="24"/>
          <w:szCs w:val="24"/>
          <w:lang w:val="en-US" w:eastAsia="zh-CN"/>
        </w:rPr>
        <w:t>、夏72井区</w:t>
      </w:r>
      <w:r>
        <w:rPr>
          <w:rFonts w:hint="eastAsia" w:ascii="Times New Roman" w:hAnsi="Times New Roman" w:eastAsia="宋体"/>
          <w:color w:val="auto"/>
          <w:sz w:val="24"/>
          <w:szCs w:val="24"/>
          <w:lang w:val="en-US" w:eastAsia="zh-CN"/>
        </w:rPr>
        <w:t>，部分隶属于克拉玛依市乌尔禾区，部分隶属于塔城地区和布克赛尔蒙古自治县。玛131井区由百口泉采油厂玛湖第二作业区管辖，玛2井区由百口泉采油厂玛湖第一采油作业区管辖，玛18井区由百口泉采油厂玛湖第三采油作业区管辖；百厂探区隶属于克拉玛依市乌尔禾区，由百口泉采油厂百21作业区管辖。</w:t>
      </w:r>
    </w:p>
    <w:p w14:paraId="150E76A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玛131井区</w:t>
      </w:r>
    </w:p>
    <w:p w14:paraId="5DF8A29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玛131井区西南部行政隶属于克拉玛依市乌尔禾区，东北及东南部分区域隶属于和布克赛尔蒙古自治县，西部距乌尔禾镇约22km，距夏联站15km，距乌尔禾稀油处理站30km，距百联站55km。奎北铁路即油田公路横穿而过，工区油气集输、供配电、通信等系统较为完善。</w:t>
      </w:r>
    </w:p>
    <w:p w14:paraId="0732F5F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rPr>
        <w:t>2015年，玛131井区开展了《中国石油新疆油田分公司玛北斜坡区玛131井区百口泉组油藏开发建设工程环境影响报告书》，于2015年5月18日取得原新疆维吾尔自治区环境保护厅批复（新环函</w:t>
      </w:r>
      <w:r>
        <w:rPr>
          <w:rFonts w:hint="eastAsia" w:ascii="宋体" w:hAnsi="宋体" w:eastAsia="宋体" w:cs="宋体"/>
          <w:color w:val="auto"/>
          <w:sz w:val="24"/>
          <w:szCs w:val="24"/>
        </w:rPr>
        <w:t>〔</w:t>
      </w:r>
      <w:r>
        <w:rPr>
          <w:rFonts w:hint="eastAsia"/>
          <w:color w:val="auto"/>
          <w:sz w:val="24"/>
          <w:szCs w:val="24"/>
        </w:rPr>
        <w:t>2015</w:t>
      </w:r>
      <w:r>
        <w:rPr>
          <w:rFonts w:hint="eastAsia" w:ascii="宋体" w:hAnsi="宋体" w:eastAsia="宋体" w:cs="宋体"/>
          <w:color w:val="auto"/>
          <w:sz w:val="24"/>
          <w:szCs w:val="24"/>
        </w:rPr>
        <w:t>〕</w:t>
      </w:r>
      <w:r>
        <w:rPr>
          <w:rFonts w:hint="eastAsia"/>
          <w:color w:val="auto"/>
          <w:sz w:val="24"/>
          <w:szCs w:val="24"/>
        </w:rPr>
        <w:t>619号）。</w:t>
      </w:r>
      <w:r>
        <w:rPr>
          <w:rFonts w:hint="eastAsia" w:ascii="Times New Roman" w:hAnsi="Times New Roman" w:cs="Times New Roman"/>
          <w:color w:val="auto"/>
          <w:sz w:val="24"/>
          <w:szCs w:val="24"/>
          <w:lang w:val="en-US" w:eastAsia="zh-CN"/>
        </w:rPr>
        <w:t>玛131井区目前共有174口采油井，大部分采油井采用的三级布站密闭生产即采油井-计量站-玛131转油站-</w:t>
      </w:r>
      <w:r>
        <w:rPr>
          <w:rFonts w:hint="eastAsia" w:cs="Times New Roman"/>
          <w:color w:val="auto"/>
          <w:sz w:val="24"/>
          <w:szCs w:val="24"/>
          <w:lang w:val="en-US" w:eastAsia="zh-CN"/>
        </w:rPr>
        <w:t>百口泉注输联合站</w:t>
      </w:r>
      <w:r>
        <w:rPr>
          <w:rFonts w:hint="eastAsia" w:ascii="Times New Roman" w:hAnsi="Times New Roman" w:cs="Times New Roman"/>
          <w:color w:val="auto"/>
          <w:sz w:val="24"/>
          <w:szCs w:val="24"/>
          <w:lang w:val="en-US" w:eastAsia="zh-CN"/>
        </w:rPr>
        <w:t>，井区有18座计量站，1座转油站（玛131转油站）。</w:t>
      </w:r>
      <w:r>
        <w:rPr>
          <w:rFonts w:hint="eastAsia" w:ascii="Times New Roman" w:hAnsi="Times New Roman" w:cs="Times New Roman"/>
          <w:b/>
          <w:bCs/>
          <w:color w:val="auto"/>
          <w:sz w:val="24"/>
          <w:szCs w:val="24"/>
          <w:lang w:val="en-US" w:eastAsia="zh-CN"/>
        </w:rPr>
        <w:t>本次对玛131井区内</w:t>
      </w:r>
      <w:r>
        <w:rPr>
          <w:rFonts w:hint="eastAsia"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口产能井进行密闭改造，接入密闭生产系统，提高密闭率。</w:t>
      </w:r>
    </w:p>
    <w:p w14:paraId="1360865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玛2井区</w:t>
      </w:r>
    </w:p>
    <w:p w14:paraId="35825F3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玛2井区位于准噶尔盆地西北缘玛纳斯湖北部，行政隶属克拉玛依市乌尔禾区和塔城地区和布克赛尔蒙古自治县管辖。玛2井区南距玛纳斯湖约5km，西距艾里克湖约2.5km。其北部为玛北油田玛131井区，西南为艾湖油田玛18井区。奎北铁路从油区穿过，交通便利，已建转油站、供电等地面系统工程，油区油气集输及配套系统具有良好的依托条件。</w:t>
      </w:r>
    </w:p>
    <w:p w14:paraId="4A21B70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玛2井区产能建设始建于2013年，当时主要采用单井拉油方式；2018年对井区进行了第一次扩边开发，采用集中拉油方式生产；2019年，对现有区块进行加密开发，并建设转油站等地面工程，实现区块内大部分产能井的密闭集输。</w:t>
      </w:r>
    </w:p>
    <w:p w14:paraId="365812F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b/>
          <w:bCs/>
          <w:color w:val="auto"/>
          <w:sz w:val="24"/>
          <w:szCs w:val="24"/>
          <w:lang w:val="en-US" w:eastAsia="zh-CN"/>
        </w:rPr>
      </w:pPr>
      <w:r>
        <w:rPr>
          <w:rFonts w:hint="eastAsia"/>
          <w:color w:val="auto"/>
          <w:sz w:val="24"/>
          <w:szCs w:val="24"/>
        </w:rPr>
        <w:t>2013年编制了《玛北油田玛2井区建设工程环境影响报告书》，2013年1月11日取得原新疆维吾尔自治区环保厅批复（新环监函</w:t>
      </w:r>
      <w:r>
        <w:rPr>
          <w:rFonts w:hint="eastAsia" w:ascii="宋体" w:hAnsi="宋体" w:eastAsia="宋体" w:cs="宋体"/>
          <w:color w:val="auto"/>
          <w:sz w:val="24"/>
          <w:szCs w:val="24"/>
        </w:rPr>
        <w:t>〔</w:t>
      </w:r>
      <w:r>
        <w:rPr>
          <w:rFonts w:hint="eastAsia"/>
          <w:color w:val="auto"/>
          <w:sz w:val="24"/>
          <w:szCs w:val="24"/>
        </w:rPr>
        <w:t>2013</w:t>
      </w:r>
      <w:r>
        <w:rPr>
          <w:rFonts w:hint="eastAsia" w:ascii="宋体" w:hAnsi="宋体" w:eastAsia="宋体" w:cs="宋体"/>
          <w:color w:val="auto"/>
          <w:sz w:val="24"/>
          <w:szCs w:val="24"/>
        </w:rPr>
        <w:t>〕</w:t>
      </w:r>
      <w:r>
        <w:rPr>
          <w:rFonts w:hint="eastAsia"/>
          <w:color w:val="auto"/>
          <w:sz w:val="24"/>
          <w:szCs w:val="24"/>
        </w:rPr>
        <w:t>17号）；2018年编制了《玛北油田玛2井区下乌尔禾组、百口泉组油藏</w:t>
      </w:r>
      <w:r>
        <w:rPr>
          <w:rFonts w:hint="eastAsia"/>
          <w:color w:val="auto"/>
          <w:sz w:val="24"/>
          <w:szCs w:val="24"/>
          <w:lang w:val="en-US" w:eastAsia="zh-CN"/>
        </w:rPr>
        <w:t>油藏2018年开发建设工程</w:t>
      </w:r>
      <w:r>
        <w:rPr>
          <w:rFonts w:hint="eastAsia"/>
          <w:color w:val="auto"/>
          <w:sz w:val="24"/>
          <w:szCs w:val="24"/>
        </w:rPr>
        <w:t>环境影响报告书》，于2018年10月8日取得原新疆维吾尔自治区环境保护厅批复（新环函</w:t>
      </w:r>
      <w:r>
        <w:rPr>
          <w:rFonts w:hint="eastAsia" w:ascii="宋体" w:hAnsi="宋体" w:eastAsia="宋体" w:cs="宋体"/>
          <w:color w:val="auto"/>
          <w:sz w:val="24"/>
          <w:szCs w:val="24"/>
        </w:rPr>
        <w:t>〔</w:t>
      </w:r>
      <w:r>
        <w:rPr>
          <w:rFonts w:hint="eastAsia"/>
          <w:color w:val="auto"/>
          <w:sz w:val="24"/>
          <w:szCs w:val="24"/>
        </w:rPr>
        <w:t>2018</w:t>
      </w:r>
      <w:r>
        <w:rPr>
          <w:rFonts w:hint="eastAsia" w:ascii="宋体" w:hAnsi="宋体" w:eastAsia="宋体" w:cs="宋体"/>
          <w:color w:val="auto"/>
          <w:sz w:val="24"/>
          <w:szCs w:val="24"/>
        </w:rPr>
        <w:t>〕</w:t>
      </w:r>
      <w:r>
        <w:rPr>
          <w:rFonts w:hint="eastAsia"/>
          <w:color w:val="auto"/>
          <w:sz w:val="24"/>
          <w:szCs w:val="24"/>
        </w:rPr>
        <w:t>1445号）；2019年编制了《玛北油田玛2井区百口泉组、下乌尔禾组油藏（2019年-2023年）地面工程环境影响报告</w:t>
      </w:r>
      <w:r>
        <w:rPr>
          <w:rFonts w:hint="eastAsia"/>
          <w:color w:val="auto"/>
          <w:sz w:val="24"/>
          <w:szCs w:val="24"/>
          <w:lang w:val="en-US" w:eastAsia="zh-CN"/>
        </w:rPr>
        <w:t>表</w:t>
      </w:r>
      <w:r>
        <w:rPr>
          <w:rFonts w:hint="eastAsia"/>
          <w:color w:val="auto"/>
          <w:sz w:val="24"/>
          <w:szCs w:val="24"/>
        </w:rPr>
        <w:t>》，于2019年2月27日取得新疆维吾尔自治区生态环境厅批复（新环函</w:t>
      </w:r>
      <w:r>
        <w:rPr>
          <w:rFonts w:hint="eastAsia" w:ascii="宋体" w:hAnsi="宋体" w:eastAsia="宋体" w:cs="宋体"/>
          <w:color w:val="auto"/>
          <w:sz w:val="24"/>
          <w:szCs w:val="24"/>
        </w:rPr>
        <w:t>〔</w:t>
      </w:r>
      <w:r>
        <w:rPr>
          <w:rFonts w:hint="eastAsia"/>
          <w:color w:val="auto"/>
          <w:sz w:val="24"/>
          <w:szCs w:val="24"/>
        </w:rPr>
        <w:t>2019</w:t>
      </w:r>
      <w:r>
        <w:rPr>
          <w:rFonts w:hint="eastAsia" w:ascii="宋体" w:hAnsi="宋体" w:eastAsia="宋体" w:cs="宋体"/>
          <w:color w:val="auto"/>
          <w:sz w:val="24"/>
          <w:szCs w:val="24"/>
        </w:rPr>
        <w:t>〕</w:t>
      </w:r>
      <w:r>
        <w:rPr>
          <w:rFonts w:hint="eastAsia"/>
          <w:color w:val="auto"/>
          <w:sz w:val="24"/>
          <w:szCs w:val="24"/>
        </w:rPr>
        <w:t>233号）</w:t>
      </w:r>
      <w:r>
        <w:rPr>
          <w:rFonts w:hint="eastAsia"/>
          <w:color w:val="auto"/>
          <w:sz w:val="24"/>
          <w:szCs w:val="24"/>
          <w:lang w:eastAsia="zh-CN"/>
        </w:rPr>
        <w:t>；《</w:t>
      </w:r>
      <w:r>
        <w:rPr>
          <w:rFonts w:hint="eastAsia"/>
          <w:color w:val="auto"/>
          <w:sz w:val="24"/>
          <w:szCs w:val="24"/>
          <w:lang w:val="en-US" w:eastAsia="zh-CN"/>
        </w:rPr>
        <w:t>玛北油田玛2井区下乌尔禾组、百口泉组油藏2019年扩边开发建设工程环境影响报告书</w:t>
      </w:r>
      <w:r>
        <w:rPr>
          <w:rFonts w:hint="eastAsia"/>
          <w:color w:val="auto"/>
          <w:sz w:val="24"/>
          <w:szCs w:val="24"/>
          <w:lang w:eastAsia="zh-CN"/>
        </w:rPr>
        <w:t>》，</w:t>
      </w:r>
      <w:r>
        <w:rPr>
          <w:rFonts w:hint="eastAsia"/>
          <w:color w:val="auto"/>
          <w:sz w:val="24"/>
          <w:szCs w:val="24"/>
          <w:lang w:val="en-US" w:eastAsia="zh-CN"/>
        </w:rPr>
        <w:t>于2019年6月9日</w:t>
      </w:r>
      <w:r>
        <w:rPr>
          <w:rFonts w:hint="eastAsia"/>
          <w:color w:val="auto"/>
          <w:sz w:val="24"/>
          <w:szCs w:val="24"/>
        </w:rPr>
        <w:t>取得新疆维吾尔自治区生态环境厅批复（新环</w:t>
      </w:r>
      <w:r>
        <w:rPr>
          <w:rFonts w:hint="eastAsia"/>
          <w:color w:val="auto"/>
          <w:sz w:val="24"/>
          <w:szCs w:val="24"/>
          <w:lang w:val="en-US" w:eastAsia="zh-CN"/>
        </w:rPr>
        <w:t>审</w:t>
      </w:r>
      <w:r>
        <w:rPr>
          <w:rFonts w:hint="eastAsia" w:ascii="宋体" w:hAnsi="宋体" w:eastAsia="宋体" w:cs="宋体"/>
          <w:color w:val="auto"/>
          <w:sz w:val="24"/>
          <w:szCs w:val="24"/>
        </w:rPr>
        <w:t>〔</w:t>
      </w:r>
      <w:r>
        <w:rPr>
          <w:rFonts w:hint="eastAsia"/>
          <w:color w:val="auto"/>
          <w:sz w:val="24"/>
          <w:szCs w:val="24"/>
        </w:rPr>
        <w:t>2019</w:t>
      </w:r>
      <w:r>
        <w:rPr>
          <w:rFonts w:hint="eastAsia" w:ascii="宋体" w:hAnsi="宋体" w:eastAsia="宋体" w:cs="宋体"/>
          <w:color w:val="auto"/>
          <w:sz w:val="24"/>
          <w:szCs w:val="24"/>
        </w:rPr>
        <w:t>〕</w:t>
      </w:r>
      <w:r>
        <w:rPr>
          <w:rFonts w:hint="eastAsia" w:eastAsia="宋体"/>
          <w:color w:val="auto"/>
          <w:sz w:val="24"/>
          <w:szCs w:val="24"/>
          <w:lang w:val="en-US" w:eastAsia="zh-CN"/>
        </w:rPr>
        <w:t>45</w:t>
      </w:r>
      <w:r>
        <w:rPr>
          <w:rFonts w:hint="eastAsia"/>
          <w:color w:val="auto"/>
          <w:sz w:val="24"/>
          <w:szCs w:val="24"/>
        </w:rPr>
        <w:t>号）</w:t>
      </w:r>
      <w:r>
        <w:rPr>
          <w:rFonts w:hint="eastAsia"/>
          <w:color w:val="auto"/>
          <w:sz w:val="24"/>
          <w:szCs w:val="24"/>
          <w:lang w:eastAsia="zh-CN"/>
        </w:rPr>
        <w:t>；</w:t>
      </w:r>
      <w:r>
        <w:rPr>
          <w:rFonts w:hint="eastAsia"/>
          <w:color w:val="auto"/>
          <w:sz w:val="24"/>
          <w:szCs w:val="24"/>
          <w:lang w:val="en-US" w:eastAsia="zh-CN"/>
        </w:rPr>
        <w:t>2023年编制了《玛2井区百口泉组油藏南部扩边开发地面工程（变更）环境影响</w:t>
      </w:r>
      <w:r>
        <w:rPr>
          <w:rFonts w:hint="default" w:ascii="Times New Roman" w:hAnsi="Times New Roman" w:cs="Times New Roman"/>
          <w:color w:val="auto"/>
          <w:sz w:val="24"/>
          <w:szCs w:val="24"/>
          <w:lang w:val="en-US" w:eastAsia="zh-CN"/>
        </w:rPr>
        <w:t>报告书》，于2023年7月24日取得塔城地区生态环境局批复（塔地环字</w:t>
      </w:r>
      <w:r>
        <w:rPr>
          <w:rFonts w:hint="default" w:ascii="Times New Roman" w:hAnsi="Times New Roman" w:eastAsia="宋体" w:cs="Times New Roman"/>
          <w:color w:val="auto"/>
          <w:sz w:val="24"/>
          <w:szCs w:val="24"/>
          <w:lang w:val="en-US" w:eastAsia="zh-CN"/>
        </w:rPr>
        <w:t>〔2023〕143号</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w:t>
      </w:r>
      <w:r>
        <w:rPr>
          <w:rFonts w:hint="eastAsia"/>
          <w:color w:val="auto"/>
          <w:sz w:val="24"/>
          <w:szCs w:val="24"/>
          <w:lang w:eastAsia="zh-CN"/>
        </w:rPr>
        <w:t>玛2井区共有采油井143口井，计量站6座，转油站1座（玛2转油站），配套集油管线99.203km（其中集油干支线10条，30.99km）。大部分采油井采用的三级布站密闭生产，即：采油井→计量站→玛2转油站→</w:t>
      </w:r>
      <w:r>
        <w:rPr>
          <w:rFonts w:hint="eastAsia"/>
          <w:color w:val="auto"/>
          <w:sz w:val="24"/>
          <w:szCs w:val="24"/>
          <w:lang w:val="en-US" w:eastAsia="zh-CN"/>
        </w:rPr>
        <w:t>百口泉注输联合站</w:t>
      </w:r>
      <w:r>
        <w:rPr>
          <w:rFonts w:hint="eastAsia"/>
          <w:color w:val="auto"/>
          <w:sz w:val="24"/>
          <w:szCs w:val="24"/>
          <w:lang w:eastAsia="zh-CN"/>
        </w:rPr>
        <w:t>。</w:t>
      </w:r>
      <w:r>
        <w:rPr>
          <w:rFonts w:hint="eastAsia"/>
          <w:b/>
          <w:bCs/>
          <w:color w:val="auto"/>
          <w:sz w:val="24"/>
          <w:szCs w:val="24"/>
          <w:lang w:val="en-US" w:eastAsia="zh-CN"/>
        </w:rPr>
        <w:t>本次对玛2井区内3口</w:t>
      </w:r>
      <w:r>
        <w:rPr>
          <w:rFonts w:hint="eastAsia" w:ascii="Times New Roman" w:hAnsi="Times New Roman" w:cs="Times New Roman"/>
          <w:b/>
          <w:bCs/>
          <w:color w:val="auto"/>
          <w:sz w:val="24"/>
          <w:szCs w:val="24"/>
          <w:lang w:val="en-US" w:eastAsia="zh-CN"/>
        </w:rPr>
        <w:t>产能井进行密闭改造，接入密闭生产系统，提高密闭率。</w:t>
      </w:r>
    </w:p>
    <w:p w14:paraId="4243776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（3）玛18井区</w:t>
      </w:r>
    </w:p>
    <w:p w14:paraId="58FA841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玛18井区行政隶属克拉玛依市乌尔禾区和塔城地区和布克赛尔蒙古自治县管辖，井区北部为艾里克湖，东南部为玛纳斯湖，距克拉玛依市乌尔禾区南偏东约26km，距百口泉注输联合站约27km，距乌尔禾稀油处理站约29km，距玛北油田玛2井区约23km。主要开发层位为百口泉组（T</w:t>
      </w:r>
      <w:r>
        <w:rPr>
          <w:rFonts w:hint="eastAsia"/>
          <w:color w:val="auto"/>
          <w:sz w:val="24"/>
          <w:szCs w:val="24"/>
          <w:vertAlign w:val="subscript"/>
        </w:rPr>
        <w:t>1</w:t>
      </w:r>
      <w:r>
        <w:rPr>
          <w:rFonts w:hint="eastAsia"/>
          <w:color w:val="auto"/>
          <w:sz w:val="24"/>
          <w:szCs w:val="24"/>
        </w:rPr>
        <w:t>b），含油面积82.04km</w:t>
      </w:r>
      <w:r>
        <w:rPr>
          <w:rFonts w:hint="eastAsia"/>
          <w:color w:val="auto"/>
          <w:sz w:val="24"/>
          <w:szCs w:val="24"/>
          <w:vertAlign w:val="superscript"/>
        </w:rPr>
        <w:t>2</w:t>
      </w:r>
      <w:r>
        <w:rPr>
          <w:rFonts w:hint="eastAsia"/>
          <w:color w:val="auto"/>
          <w:sz w:val="24"/>
          <w:szCs w:val="24"/>
        </w:rPr>
        <w:t>，探明地质储量5947.07×10</w:t>
      </w:r>
      <w:r>
        <w:rPr>
          <w:rFonts w:hint="eastAsia"/>
          <w:color w:val="auto"/>
          <w:sz w:val="24"/>
          <w:szCs w:val="24"/>
          <w:vertAlign w:val="superscript"/>
        </w:rPr>
        <w:t>4</w:t>
      </w:r>
      <w:r>
        <w:rPr>
          <w:rFonts w:hint="eastAsia"/>
          <w:color w:val="auto"/>
          <w:sz w:val="24"/>
          <w:szCs w:val="24"/>
        </w:rPr>
        <w:t>t，技术可采储量1272.68×10</w:t>
      </w:r>
      <w:r>
        <w:rPr>
          <w:rFonts w:hint="eastAsia"/>
          <w:color w:val="auto"/>
          <w:sz w:val="24"/>
          <w:szCs w:val="24"/>
          <w:vertAlign w:val="superscript"/>
        </w:rPr>
        <w:t>4</w:t>
      </w:r>
      <w:r>
        <w:rPr>
          <w:rFonts w:hint="eastAsia"/>
          <w:color w:val="auto"/>
          <w:sz w:val="24"/>
          <w:szCs w:val="24"/>
        </w:rPr>
        <w:t>t。奎北铁路横穿工区，交通条件较为便利。油区油气集输及配套系统具有良好的依托条件。</w:t>
      </w:r>
    </w:p>
    <w:p w14:paraId="3E97527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bCs/>
          <w:color w:val="auto"/>
          <w:sz w:val="24"/>
          <w:szCs w:val="24"/>
          <w:lang w:val="en-US" w:eastAsia="zh-CN"/>
        </w:rPr>
      </w:pPr>
      <w:r>
        <w:rPr>
          <w:rFonts w:hint="eastAsia"/>
          <w:color w:val="auto"/>
          <w:sz w:val="24"/>
          <w:szCs w:val="24"/>
        </w:rPr>
        <w:t>2015年，玛18井区开展了《玛湖凹陷玛18-艾湖1井区块百口泉组油藏开发建设工程环境影响报告书》，于2015年5月27日取得原新疆维吾尔自治区环境保护厅批复（新环函</w:t>
      </w:r>
      <w:r>
        <w:rPr>
          <w:rFonts w:hint="eastAsia" w:ascii="宋体" w:hAnsi="宋体" w:eastAsia="宋体" w:cs="宋体"/>
          <w:color w:val="auto"/>
          <w:sz w:val="24"/>
          <w:szCs w:val="24"/>
        </w:rPr>
        <w:t>〔</w:t>
      </w:r>
      <w:r>
        <w:rPr>
          <w:rFonts w:hint="eastAsia"/>
          <w:color w:val="auto"/>
          <w:sz w:val="24"/>
          <w:szCs w:val="24"/>
        </w:rPr>
        <w:t>2015</w:t>
      </w:r>
      <w:r>
        <w:rPr>
          <w:rFonts w:hint="eastAsia" w:ascii="宋体" w:hAnsi="宋体" w:eastAsia="宋体" w:cs="宋体"/>
          <w:color w:val="auto"/>
          <w:sz w:val="24"/>
          <w:szCs w:val="24"/>
        </w:rPr>
        <w:t>〕</w:t>
      </w:r>
      <w:r>
        <w:rPr>
          <w:rFonts w:hint="eastAsia"/>
          <w:color w:val="auto"/>
          <w:sz w:val="24"/>
          <w:szCs w:val="24"/>
        </w:rPr>
        <w:t>620号）</w:t>
      </w:r>
      <w:r>
        <w:rPr>
          <w:rFonts w:hint="eastAsia"/>
          <w:color w:val="auto"/>
          <w:sz w:val="24"/>
          <w:szCs w:val="24"/>
          <w:lang w:eastAsia="zh-CN"/>
        </w:rPr>
        <w:t>；</w:t>
      </w:r>
      <w:r>
        <w:rPr>
          <w:rFonts w:hint="eastAsia"/>
          <w:color w:val="auto"/>
          <w:sz w:val="24"/>
          <w:szCs w:val="24"/>
          <w:lang w:val="en-US" w:eastAsia="zh-CN"/>
        </w:rPr>
        <w:t>2018年编制了</w:t>
      </w:r>
      <w:r>
        <w:rPr>
          <w:rFonts w:hint="eastAsia" w:ascii="Times New Roman" w:hAnsi="Times New Roman" w:eastAsia="宋体"/>
          <w:color w:val="auto"/>
          <w:sz w:val="24"/>
          <w:szCs w:val="24"/>
          <w:lang w:val="en-US" w:eastAsia="zh-CN"/>
        </w:rPr>
        <w:t>《玛18转油站改扩建工程环境影响报告表》，于2018年6月8日取得原和布克赛尔蒙古自治县环境保护局批复（和环评函字</w:t>
      </w:r>
      <w:r>
        <w:rPr>
          <w:rFonts w:hint="default" w:ascii="Times New Roman" w:hAnsi="Times New Roman" w:eastAsia="宋体" w:cs="Times New Roman"/>
          <w:color w:val="auto"/>
          <w:sz w:val="24"/>
          <w:szCs w:val="24"/>
          <w:lang w:val="en-US" w:eastAsia="zh-CN"/>
        </w:rPr>
        <w:t>〔2018〕16号</w:t>
      </w:r>
      <w:r>
        <w:rPr>
          <w:rFonts w:hint="eastAsia" w:ascii="Times New Roman" w:hAnsi="Times New Roman" w:eastAsia="宋体"/>
          <w:color w:val="auto"/>
          <w:sz w:val="24"/>
          <w:szCs w:val="24"/>
          <w:lang w:val="en-US" w:eastAsia="zh-CN"/>
        </w:rPr>
        <w:t>）</w:t>
      </w:r>
      <w:r>
        <w:rPr>
          <w:rFonts w:hint="eastAsia"/>
          <w:color w:val="auto"/>
          <w:sz w:val="24"/>
          <w:szCs w:val="24"/>
        </w:rPr>
        <w:t>。玛18井区共有采油井</w:t>
      </w:r>
      <w:r>
        <w:rPr>
          <w:rFonts w:hint="eastAsia"/>
          <w:color w:val="auto"/>
          <w:sz w:val="24"/>
          <w:szCs w:val="24"/>
          <w:lang w:val="en-US" w:eastAsia="zh-CN"/>
        </w:rPr>
        <w:t>395</w:t>
      </w:r>
      <w:r>
        <w:rPr>
          <w:rFonts w:hint="eastAsia"/>
          <w:color w:val="auto"/>
          <w:sz w:val="24"/>
          <w:szCs w:val="24"/>
        </w:rPr>
        <w:t>口井，计量站</w:t>
      </w:r>
      <w:r>
        <w:rPr>
          <w:rFonts w:hint="eastAsia"/>
          <w:color w:val="auto"/>
          <w:sz w:val="24"/>
          <w:szCs w:val="24"/>
          <w:lang w:val="en-US" w:eastAsia="zh-CN"/>
        </w:rPr>
        <w:t>46</w:t>
      </w:r>
      <w:r>
        <w:rPr>
          <w:rFonts w:hint="eastAsia"/>
          <w:color w:val="auto"/>
          <w:sz w:val="24"/>
          <w:szCs w:val="24"/>
        </w:rPr>
        <w:t>座，转油站</w:t>
      </w:r>
      <w:r>
        <w:rPr>
          <w:rFonts w:hint="eastAsia"/>
          <w:color w:val="auto"/>
          <w:sz w:val="24"/>
          <w:szCs w:val="24"/>
          <w:lang w:val="en-US" w:eastAsia="zh-CN"/>
        </w:rPr>
        <w:t>1</w:t>
      </w:r>
      <w:r>
        <w:rPr>
          <w:rFonts w:hint="eastAsia"/>
          <w:color w:val="auto"/>
          <w:sz w:val="24"/>
          <w:szCs w:val="24"/>
        </w:rPr>
        <w:t>座（玛18转油站）。大部分采油井采用的三级布站密闭生产，即：采油井→计量站→玛18转油站→</w:t>
      </w:r>
      <w:r>
        <w:rPr>
          <w:rFonts w:hint="eastAsia"/>
          <w:color w:val="auto"/>
          <w:sz w:val="24"/>
          <w:szCs w:val="24"/>
          <w:lang w:val="en-US" w:eastAsia="zh-CN"/>
        </w:rPr>
        <w:t>百口泉注输联合站。</w:t>
      </w:r>
      <w:r>
        <w:rPr>
          <w:rFonts w:hint="eastAsia"/>
          <w:b/>
          <w:bCs/>
          <w:color w:val="auto"/>
          <w:sz w:val="24"/>
          <w:szCs w:val="24"/>
          <w:lang w:val="en-US" w:eastAsia="zh-CN"/>
        </w:rPr>
        <w:t>本次对玛18井区</w:t>
      </w:r>
      <w:r>
        <w:rPr>
          <w:rFonts w:hint="eastAsia" w:ascii="Times New Roman" w:hAnsi="Times New Roman" w:cs="Times New Roman"/>
          <w:b/>
          <w:bCs/>
          <w:color w:val="auto"/>
          <w:sz w:val="24"/>
          <w:szCs w:val="24"/>
          <w:lang w:val="en-US" w:eastAsia="zh-CN"/>
        </w:rPr>
        <w:t>1口预探井转产能（位于老区块范围内）并接入密闭生产系统。</w:t>
      </w:r>
    </w:p>
    <w:p w14:paraId="7DE9867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（4）夏72井区</w:t>
      </w:r>
    </w:p>
    <w:p w14:paraId="751A79A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夏72井区西部区域行政隶属于新疆维吾尔自治区克拉玛依市乌尔禾区，东部区域隶属于和布克赛尔蒙古自治县，距乌尔禾约22km，南面与玛北油田玛2井区相邻，区域构造位于准噶尔盆地中央坳陷玛湖凹陷北斜坡区。该区已探明开发的玛131区块夏72井断块百口泉组油藏，距玛北油田玛131转油站约12.80km。开发区地表条件为戈壁、沙丘，区内地势较平坦。</w:t>
      </w:r>
    </w:p>
    <w:p w14:paraId="71534BE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2018年，开展了《夏72井区二叠系风城组油藏2018年建设工程》，于2018年6月25日取得原塔城地区环境保护局批复（塔地环字〔2018〕118号）；2022年，开展了《玛北油田玛131井区夏72井断块百口泉组油藏开发工程》，于2022年6月30日取得新疆维吾尔自治区生态环境厅批复</w:t>
      </w:r>
      <w:r>
        <w:rPr>
          <w:rFonts w:hint="default" w:ascii="Times New Roman" w:hAnsi="Times New Roman" w:cs="Times New Roman"/>
          <w:color w:val="auto"/>
          <w:sz w:val="24"/>
          <w:szCs w:val="24"/>
          <w:lang w:val="en-US" w:eastAsia="zh-CN"/>
        </w:rPr>
        <w:t>（新环审</w:t>
      </w:r>
      <w:r>
        <w:rPr>
          <w:rFonts w:hint="default" w:ascii="Times New Roman" w:hAnsi="Times New Roman" w:eastAsia="宋体" w:cs="Times New Roman"/>
          <w:color w:val="auto"/>
          <w:sz w:val="24"/>
          <w:szCs w:val="24"/>
          <w:lang w:val="en-US" w:eastAsia="zh-CN"/>
        </w:rPr>
        <w:t>〔2022〕133号</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w:t>
      </w:r>
      <w:r>
        <w:rPr>
          <w:rFonts w:hint="eastAsia" w:ascii="Times New Roman" w:hAnsi="Times New Roman" w:cs="Times New Roman"/>
          <w:b/>
          <w:bCs/>
          <w:color w:val="auto"/>
          <w:sz w:val="24"/>
          <w:szCs w:val="24"/>
          <w:lang w:val="en-US" w:eastAsia="zh-CN"/>
        </w:rPr>
        <w:t>本次对</w:t>
      </w:r>
      <w:r>
        <w:rPr>
          <w:rFonts w:hint="eastAsia" w:cs="Times New Roman"/>
          <w:b/>
          <w:bCs/>
          <w:color w:val="auto"/>
          <w:sz w:val="24"/>
          <w:szCs w:val="24"/>
          <w:lang w:val="en-US" w:eastAsia="zh-CN"/>
        </w:rPr>
        <w:t>夏72</w:t>
      </w:r>
      <w:r>
        <w:rPr>
          <w:rFonts w:hint="eastAsia" w:ascii="Times New Roman" w:hAnsi="Times New Roman" w:cs="Times New Roman"/>
          <w:b/>
          <w:bCs/>
          <w:color w:val="auto"/>
          <w:sz w:val="24"/>
          <w:szCs w:val="24"/>
          <w:lang w:val="en-US" w:eastAsia="zh-CN"/>
        </w:rPr>
        <w:t>井区内</w:t>
      </w:r>
      <w:r>
        <w:rPr>
          <w:rFonts w:hint="eastAsia"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口评价井转产能（均位于老区块范围内）并接入密闭生产系统；</w:t>
      </w:r>
      <w:r>
        <w:rPr>
          <w:rFonts w:hint="eastAsia"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口产能井进行密闭改造，接入密闭生产系统，提高密闭率。</w:t>
      </w:r>
      <w:r>
        <w:rPr>
          <w:rFonts w:hint="eastAsia" w:cs="Times New Roman"/>
          <w:b/>
          <w:bCs/>
          <w:color w:val="auto"/>
          <w:sz w:val="24"/>
          <w:szCs w:val="24"/>
          <w:lang w:val="en-US" w:eastAsia="zh-CN"/>
        </w:rPr>
        <w:t>其中</w:t>
      </w:r>
      <w:r>
        <w:rPr>
          <w:rFonts w:hint="eastAsia" w:ascii="Times New Roman" w:hAnsi="Times New Roman" w:cs="Times New Roman"/>
          <w:b/>
          <w:bCs/>
          <w:color w:val="auto"/>
          <w:sz w:val="24"/>
          <w:szCs w:val="24"/>
          <w:lang w:val="en-US" w:eastAsia="zh-CN"/>
        </w:rPr>
        <w:t>玛61井不在老区块范围内，属于扩边开发。</w:t>
      </w:r>
    </w:p>
    <w:p w14:paraId="5EE203C9">
      <w:pPr>
        <w:pStyle w:val="11"/>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eastAsia="宋体"/>
          <w:color w:val="auto"/>
          <w:sz w:val="24"/>
          <w:szCs w:val="24"/>
          <w:lang w:val="en-US" w:eastAsia="zh-CN"/>
        </w:rPr>
      </w:pPr>
      <w:r>
        <w:rPr>
          <w:rFonts w:hint="eastAsia"/>
          <w:b/>
          <w:bCs/>
          <w:color w:val="auto"/>
          <w:sz w:val="24"/>
          <w:szCs w:val="24"/>
          <w:lang w:val="en-US" w:eastAsia="zh-CN"/>
        </w:rPr>
        <w:t>百厂探区涉及的4口井（百209H井、百79井、百791井、百76井）位于克拉玛依市乌尔禾区，该区块未开展过区块环评，其属于新区块开发。</w:t>
      </w:r>
    </w:p>
    <w:p w14:paraId="3D55AD6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各井区区域位置关系图见图3.1-2。</w:t>
      </w:r>
    </w:p>
    <w:p w14:paraId="6ACB6989">
      <w:pPr>
        <w:pStyle w:val="5"/>
        <w:bidi w:val="0"/>
        <w:rPr>
          <w:rFonts w:hint="default"/>
          <w:color w:val="auto"/>
          <w:lang w:val="en-US" w:eastAsia="zh-CN"/>
        </w:rPr>
      </w:pPr>
      <w:r>
        <w:rPr>
          <w:rFonts w:hint="eastAsia"/>
          <w:color w:val="auto"/>
          <w:lang w:val="en-US" w:eastAsia="zh-CN"/>
        </w:rPr>
        <w:t>3.1.1油气水物性</w:t>
      </w:r>
    </w:p>
    <w:p w14:paraId="7BB46C89">
      <w:pPr>
        <w:pStyle w:val="6"/>
        <w:bidi w:val="0"/>
        <w:rPr>
          <w:rFonts w:hint="default"/>
          <w:color w:val="auto"/>
          <w:lang w:val="en-US" w:eastAsia="zh-CN"/>
        </w:rPr>
      </w:pPr>
      <w:r>
        <w:rPr>
          <w:rFonts w:hint="eastAsia"/>
          <w:color w:val="auto"/>
          <w:lang w:val="en-US" w:eastAsia="zh-CN"/>
        </w:rPr>
        <w:t>3.1.1.1原油物性</w:t>
      </w:r>
    </w:p>
    <w:p w14:paraId="53ABCA3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玛131井区、玛18井区、玛2井区、百厂探区原油物性见表3.1-1。</w:t>
      </w:r>
    </w:p>
    <w:p w14:paraId="358D3E3A">
      <w:pPr>
        <w:pStyle w:val="43"/>
        <w:bidi w:val="0"/>
        <w:rPr>
          <w:rFonts w:hint="default" w:ascii="Times New Roman" w:hAnsi="Times New Roman" w:eastAsia="宋体"/>
          <w:color w:val="auto"/>
        </w:rPr>
      </w:pPr>
      <w:bookmarkStart w:id="144" w:name="_Ref159356140"/>
      <w:r>
        <w:rPr>
          <w:rFonts w:hint="default" w:ascii="Times New Roman" w:hAnsi="Times New Roman" w:eastAsia="宋体"/>
          <w:color w:val="auto"/>
        </w:rPr>
        <w:t>表</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STYLEREF 2 \s </w:instrText>
      </w:r>
      <w:r>
        <w:rPr>
          <w:rFonts w:hint="default" w:ascii="Times New Roman" w:hAnsi="Times New Roman" w:eastAsia="宋体"/>
          <w:color w:val="auto"/>
        </w:rPr>
        <w:fldChar w:fldCharType="separate"/>
      </w:r>
      <w:r>
        <w:rPr>
          <w:rFonts w:hint="default" w:ascii="Times New Roman" w:hAnsi="Times New Roman" w:eastAsia="宋体"/>
          <w:color w:val="auto"/>
        </w:rPr>
        <w:t>3.</w:t>
      </w:r>
      <w:r>
        <w:rPr>
          <w:rFonts w:hint="eastAsia" w:ascii="Times New Roman" w:hAnsi="Times New Roman" w:eastAsia="宋体"/>
          <w:color w:val="auto"/>
          <w:lang w:val="en-US" w:eastAsia="zh-CN"/>
        </w:rPr>
        <w:t>1</w:t>
      </w:r>
      <w:r>
        <w:rPr>
          <w:rFonts w:hint="default" w:ascii="Times New Roman" w:hAnsi="Times New Roman" w:eastAsia="宋体"/>
          <w:color w:val="auto"/>
        </w:rPr>
        <w:fldChar w:fldCharType="end"/>
      </w:r>
      <w:r>
        <w:rPr>
          <w:rFonts w:hint="default" w:ascii="Times New Roman" w:hAnsi="Times New Roman" w:eastAsia="宋体"/>
          <w:color w:val="auto"/>
        </w:rPr>
        <w:noBreakHyphen/>
      </w:r>
      <w:bookmarkEnd w:id="144"/>
      <w:r>
        <w:rPr>
          <w:rFonts w:hint="default" w:ascii="Times New Roman" w:hAnsi="Times New Roman" w:eastAsia="宋体"/>
          <w:color w:val="auto"/>
        </w:rPr>
        <w:t xml:space="preserve">1 </w:t>
      </w:r>
      <w:r>
        <w:rPr>
          <w:rFonts w:hint="eastAsia" w:ascii="Times New Roman" w:hAnsi="Times New Roman" w:eastAsia="宋体"/>
          <w:color w:val="auto"/>
          <w:lang w:val="en-US" w:eastAsia="zh-CN"/>
        </w:rPr>
        <w:t xml:space="preserve"> </w:t>
      </w:r>
      <w:r>
        <w:rPr>
          <w:rFonts w:hint="default" w:ascii="Times New Roman" w:hAnsi="Times New Roman" w:eastAsia="宋体"/>
          <w:color w:val="auto"/>
        </w:rPr>
        <w:t>百口泉采油厂原油物性表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529"/>
        <w:gridCol w:w="1166"/>
        <w:gridCol w:w="1166"/>
        <w:gridCol w:w="1166"/>
        <w:gridCol w:w="1166"/>
        <w:gridCol w:w="1161"/>
      </w:tblGrid>
      <w:tr w14:paraId="7489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Merge w:val="restart"/>
            <w:vAlign w:val="center"/>
          </w:tcPr>
          <w:p w14:paraId="0B044C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井区名称</w:t>
            </w:r>
          </w:p>
        </w:tc>
        <w:tc>
          <w:tcPr>
            <w:tcW w:w="897" w:type="pct"/>
            <w:vMerge w:val="restart"/>
            <w:vAlign w:val="center"/>
          </w:tcPr>
          <w:p w14:paraId="60EB57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层位</w:t>
            </w:r>
          </w:p>
        </w:tc>
        <w:tc>
          <w:tcPr>
            <w:tcW w:w="684" w:type="pct"/>
            <w:vAlign w:val="center"/>
          </w:tcPr>
          <w:p w14:paraId="03482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密度</w:t>
            </w:r>
          </w:p>
        </w:tc>
        <w:tc>
          <w:tcPr>
            <w:tcW w:w="684" w:type="pct"/>
          </w:tcPr>
          <w:p w14:paraId="7D849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30℃粘度</w:t>
            </w:r>
          </w:p>
        </w:tc>
        <w:tc>
          <w:tcPr>
            <w:tcW w:w="684" w:type="pct"/>
            <w:vAlign w:val="center"/>
          </w:tcPr>
          <w:p w14:paraId="23149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50℃粘度</w:t>
            </w:r>
          </w:p>
        </w:tc>
        <w:tc>
          <w:tcPr>
            <w:tcW w:w="684" w:type="pct"/>
            <w:vAlign w:val="center"/>
          </w:tcPr>
          <w:p w14:paraId="27EF4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含蜡</w:t>
            </w:r>
          </w:p>
        </w:tc>
        <w:tc>
          <w:tcPr>
            <w:tcW w:w="681" w:type="pct"/>
            <w:vAlign w:val="center"/>
          </w:tcPr>
          <w:p w14:paraId="5DABCC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凝固点</w:t>
            </w:r>
          </w:p>
        </w:tc>
      </w:tr>
      <w:tr w14:paraId="3C67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Merge w:val="continue"/>
            <w:vAlign w:val="center"/>
          </w:tcPr>
          <w:p w14:paraId="7852A3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7" w:type="pct"/>
            <w:vMerge w:val="continue"/>
            <w:vAlign w:val="center"/>
          </w:tcPr>
          <w:p w14:paraId="57142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684" w:type="pct"/>
            <w:vAlign w:val="center"/>
          </w:tcPr>
          <w:p w14:paraId="0E4D3A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(g/cm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684" w:type="pct"/>
          </w:tcPr>
          <w:p w14:paraId="7D1AD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(mPa.s)</w:t>
            </w:r>
          </w:p>
        </w:tc>
        <w:tc>
          <w:tcPr>
            <w:tcW w:w="684" w:type="pct"/>
            <w:vAlign w:val="center"/>
          </w:tcPr>
          <w:p w14:paraId="158CB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(mPa.s)</w:t>
            </w:r>
          </w:p>
        </w:tc>
        <w:tc>
          <w:tcPr>
            <w:tcW w:w="684" w:type="pct"/>
            <w:vAlign w:val="center"/>
          </w:tcPr>
          <w:p w14:paraId="5E16D9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681" w:type="pct"/>
            <w:vAlign w:val="center"/>
          </w:tcPr>
          <w:p w14:paraId="67EC9C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r>
      <w:tr w14:paraId="61F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Align w:val="center"/>
          </w:tcPr>
          <w:p w14:paraId="333A0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玛131</w:t>
            </w:r>
          </w:p>
        </w:tc>
        <w:tc>
          <w:tcPr>
            <w:tcW w:w="897" w:type="pct"/>
            <w:vAlign w:val="center"/>
          </w:tcPr>
          <w:p w14:paraId="1C030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superscript"/>
                <w:lang w:val="en-US" w:eastAsia="zh-CN"/>
              </w:rPr>
              <w:t>1</w:t>
            </w:r>
          </w:p>
        </w:tc>
        <w:tc>
          <w:tcPr>
            <w:tcW w:w="684" w:type="pct"/>
            <w:vAlign w:val="center"/>
          </w:tcPr>
          <w:p w14:paraId="59FC8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0.829</w:t>
            </w:r>
          </w:p>
        </w:tc>
        <w:tc>
          <w:tcPr>
            <w:tcW w:w="684" w:type="pct"/>
            <w:vAlign w:val="center"/>
          </w:tcPr>
          <w:p w14:paraId="38DA6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4" w:type="pct"/>
            <w:vAlign w:val="center"/>
          </w:tcPr>
          <w:p w14:paraId="0BF973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6.37</w:t>
            </w:r>
          </w:p>
        </w:tc>
        <w:tc>
          <w:tcPr>
            <w:tcW w:w="684" w:type="pct"/>
            <w:vAlign w:val="center"/>
          </w:tcPr>
          <w:p w14:paraId="37A1D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w:t>
            </w:r>
          </w:p>
        </w:tc>
        <w:tc>
          <w:tcPr>
            <w:tcW w:w="681" w:type="pct"/>
            <w:vAlign w:val="center"/>
          </w:tcPr>
          <w:p w14:paraId="6FF0F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11.7</w:t>
            </w:r>
          </w:p>
        </w:tc>
      </w:tr>
      <w:tr w14:paraId="3E55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Merge w:val="restart"/>
            <w:vAlign w:val="center"/>
          </w:tcPr>
          <w:p w14:paraId="4F7ED8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玛18</w:t>
            </w:r>
          </w:p>
        </w:tc>
        <w:tc>
          <w:tcPr>
            <w:tcW w:w="897" w:type="pct"/>
            <w:vAlign w:val="center"/>
          </w:tcPr>
          <w:p w14:paraId="08135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vertAlign w:val="subscript"/>
              </w:rPr>
              <w:t>1</w:t>
            </w:r>
          </w:p>
        </w:tc>
        <w:tc>
          <w:tcPr>
            <w:tcW w:w="684" w:type="pct"/>
            <w:vAlign w:val="center"/>
          </w:tcPr>
          <w:p w14:paraId="604E4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0.829</w:t>
            </w:r>
          </w:p>
        </w:tc>
        <w:tc>
          <w:tcPr>
            <w:tcW w:w="684" w:type="pct"/>
            <w:vMerge w:val="restart"/>
            <w:vAlign w:val="center"/>
          </w:tcPr>
          <w:p w14:paraId="42369D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37.02</w:t>
            </w:r>
          </w:p>
        </w:tc>
        <w:tc>
          <w:tcPr>
            <w:tcW w:w="684" w:type="pct"/>
            <w:vAlign w:val="center"/>
          </w:tcPr>
          <w:p w14:paraId="6BF1FA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5.41</w:t>
            </w:r>
          </w:p>
        </w:tc>
        <w:tc>
          <w:tcPr>
            <w:tcW w:w="684" w:type="pct"/>
            <w:vAlign w:val="center"/>
          </w:tcPr>
          <w:p w14:paraId="2EBCE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11.04</w:t>
            </w:r>
          </w:p>
        </w:tc>
        <w:tc>
          <w:tcPr>
            <w:tcW w:w="681" w:type="pct"/>
            <w:vAlign w:val="center"/>
          </w:tcPr>
          <w:p w14:paraId="42275D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13.05</w:t>
            </w:r>
          </w:p>
        </w:tc>
      </w:tr>
      <w:tr w14:paraId="3D71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Merge w:val="continue"/>
            <w:vAlign w:val="center"/>
          </w:tcPr>
          <w:p w14:paraId="6BFC1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97" w:type="pct"/>
            <w:vAlign w:val="center"/>
          </w:tcPr>
          <w:p w14:paraId="626776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vertAlign w:val="subscript"/>
              </w:rPr>
              <w:t>1</w:t>
            </w:r>
          </w:p>
        </w:tc>
        <w:tc>
          <w:tcPr>
            <w:tcW w:w="684" w:type="pct"/>
            <w:vAlign w:val="center"/>
          </w:tcPr>
          <w:p w14:paraId="73A19B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0.826</w:t>
            </w:r>
          </w:p>
        </w:tc>
        <w:tc>
          <w:tcPr>
            <w:tcW w:w="684" w:type="pct"/>
            <w:vMerge w:val="continue"/>
            <w:vAlign w:val="center"/>
          </w:tcPr>
          <w:p w14:paraId="74D774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vAlign w:val="center"/>
          </w:tcPr>
          <w:p w14:paraId="6ABCC1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4.94</w:t>
            </w:r>
          </w:p>
        </w:tc>
        <w:tc>
          <w:tcPr>
            <w:tcW w:w="684" w:type="pct"/>
            <w:vAlign w:val="center"/>
          </w:tcPr>
          <w:p w14:paraId="63BBC3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11.45</w:t>
            </w:r>
          </w:p>
        </w:tc>
        <w:tc>
          <w:tcPr>
            <w:tcW w:w="681" w:type="pct"/>
            <w:vAlign w:val="center"/>
          </w:tcPr>
          <w:p w14:paraId="6847B8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12.59</w:t>
            </w:r>
          </w:p>
        </w:tc>
      </w:tr>
      <w:tr w14:paraId="1C76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pct"/>
            <w:vMerge w:val="restart"/>
            <w:vAlign w:val="center"/>
          </w:tcPr>
          <w:p w14:paraId="3AF91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玛2</w:t>
            </w:r>
          </w:p>
        </w:tc>
        <w:tc>
          <w:tcPr>
            <w:tcW w:w="897" w:type="pct"/>
            <w:vAlign w:val="center"/>
          </w:tcPr>
          <w:p w14:paraId="1A438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下乌尔禾组</w:t>
            </w:r>
          </w:p>
        </w:tc>
        <w:tc>
          <w:tcPr>
            <w:tcW w:w="684" w:type="pct"/>
            <w:vAlign w:val="center"/>
          </w:tcPr>
          <w:p w14:paraId="22302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0.838</w:t>
            </w:r>
          </w:p>
        </w:tc>
        <w:tc>
          <w:tcPr>
            <w:tcW w:w="684" w:type="pct"/>
            <w:vMerge w:val="restart"/>
            <w:vAlign w:val="center"/>
          </w:tcPr>
          <w:p w14:paraId="102D0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31.6</w:t>
            </w:r>
          </w:p>
        </w:tc>
        <w:tc>
          <w:tcPr>
            <w:tcW w:w="684" w:type="pct"/>
            <w:vAlign w:val="center"/>
          </w:tcPr>
          <w:p w14:paraId="2B6ABD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684" w:type="pct"/>
            <w:vAlign w:val="center"/>
          </w:tcPr>
          <w:p w14:paraId="164056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681" w:type="pct"/>
            <w:vAlign w:val="center"/>
          </w:tcPr>
          <w:p w14:paraId="3E198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r>
              <w:rPr>
                <w:rFonts w:hint="eastAsia" w:cs="Times New Roman"/>
                <w:color w:val="auto"/>
                <w:sz w:val="21"/>
                <w:szCs w:val="21"/>
                <w:lang w:val="en-US" w:eastAsia="zh-CN"/>
              </w:rPr>
              <w:t>.00</w:t>
            </w:r>
          </w:p>
        </w:tc>
      </w:tr>
      <w:tr w14:paraId="14B8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Merge w:val="continue"/>
            <w:vAlign w:val="center"/>
          </w:tcPr>
          <w:p w14:paraId="63D8E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97" w:type="pct"/>
            <w:vAlign w:val="center"/>
          </w:tcPr>
          <w:p w14:paraId="52FFC6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百口泉组</w:t>
            </w:r>
          </w:p>
        </w:tc>
        <w:tc>
          <w:tcPr>
            <w:tcW w:w="684" w:type="pct"/>
            <w:vAlign w:val="center"/>
          </w:tcPr>
          <w:p w14:paraId="55DA42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0.843</w:t>
            </w:r>
          </w:p>
        </w:tc>
        <w:tc>
          <w:tcPr>
            <w:tcW w:w="684" w:type="pct"/>
            <w:vMerge w:val="continue"/>
            <w:vAlign w:val="center"/>
          </w:tcPr>
          <w:p w14:paraId="57170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vAlign w:val="center"/>
          </w:tcPr>
          <w:p w14:paraId="75B3C3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684" w:type="pct"/>
            <w:vAlign w:val="center"/>
          </w:tcPr>
          <w:p w14:paraId="23E9A9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681" w:type="pct"/>
            <w:vAlign w:val="center"/>
          </w:tcPr>
          <w:p w14:paraId="58ACB3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r>
      <w:tr w14:paraId="3220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Align w:val="center"/>
          </w:tcPr>
          <w:p w14:paraId="72426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夏72</w:t>
            </w:r>
          </w:p>
        </w:tc>
        <w:tc>
          <w:tcPr>
            <w:tcW w:w="897" w:type="pct"/>
            <w:vAlign w:val="center"/>
          </w:tcPr>
          <w:p w14:paraId="06FC72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w:t>
            </w:r>
            <w:r>
              <w:rPr>
                <w:rFonts w:hint="eastAsia" w:cs="Times New Roman"/>
                <w:color w:val="auto"/>
                <w:sz w:val="21"/>
                <w:szCs w:val="21"/>
                <w:vertAlign w:val="subscript"/>
                <w:lang w:val="en-US" w:eastAsia="zh-CN"/>
              </w:rPr>
              <w:t>1</w:t>
            </w:r>
            <w:r>
              <w:rPr>
                <w:rFonts w:hint="eastAsia" w:cs="Times New Roman"/>
                <w:color w:val="auto"/>
                <w:sz w:val="21"/>
                <w:szCs w:val="21"/>
                <w:lang w:val="en-US" w:eastAsia="zh-CN"/>
              </w:rPr>
              <w:t>f</w:t>
            </w:r>
            <w:r>
              <w:rPr>
                <w:rFonts w:hint="eastAsia" w:cs="Times New Roman"/>
                <w:color w:val="auto"/>
                <w:sz w:val="21"/>
                <w:szCs w:val="21"/>
                <w:vertAlign w:val="subscript"/>
                <w:lang w:val="en-US" w:eastAsia="zh-CN"/>
              </w:rPr>
              <w:t>1</w:t>
            </w:r>
          </w:p>
        </w:tc>
        <w:tc>
          <w:tcPr>
            <w:tcW w:w="684" w:type="pct"/>
            <w:vAlign w:val="center"/>
          </w:tcPr>
          <w:p w14:paraId="1FBD4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0.856</w:t>
            </w:r>
          </w:p>
        </w:tc>
        <w:tc>
          <w:tcPr>
            <w:tcW w:w="684" w:type="pct"/>
            <w:vAlign w:val="center"/>
          </w:tcPr>
          <w:p w14:paraId="3E03F6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4" w:type="pct"/>
            <w:vAlign w:val="center"/>
          </w:tcPr>
          <w:p w14:paraId="421ECD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10.6</w:t>
            </w:r>
          </w:p>
        </w:tc>
        <w:tc>
          <w:tcPr>
            <w:tcW w:w="684" w:type="pct"/>
            <w:vAlign w:val="center"/>
          </w:tcPr>
          <w:p w14:paraId="3B538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7.1</w:t>
            </w:r>
          </w:p>
        </w:tc>
        <w:tc>
          <w:tcPr>
            <w:tcW w:w="681" w:type="pct"/>
            <w:vAlign w:val="center"/>
          </w:tcPr>
          <w:p w14:paraId="68101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5.81</w:t>
            </w:r>
          </w:p>
        </w:tc>
      </w:tr>
      <w:tr w14:paraId="3A8C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Merge w:val="restart"/>
            <w:vAlign w:val="center"/>
          </w:tcPr>
          <w:p w14:paraId="481458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百厂探区</w:t>
            </w:r>
          </w:p>
        </w:tc>
        <w:tc>
          <w:tcPr>
            <w:tcW w:w="897" w:type="pct"/>
            <w:vAlign w:val="center"/>
          </w:tcPr>
          <w:p w14:paraId="35C1F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二叠系夏子街组</w:t>
            </w:r>
          </w:p>
        </w:tc>
        <w:tc>
          <w:tcPr>
            <w:tcW w:w="684" w:type="pct"/>
            <w:vAlign w:val="center"/>
          </w:tcPr>
          <w:p w14:paraId="1C8C5B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0.864</w:t>
            </w:r>
          </w:p>
        </w:tc>
        <w:tc>
          <w:tcPr>
            <w:tcW w:w="684" w:type="pct"/>
            <w:vAlign w:val="center"/>
          </w:tcPr>
          <w:p w14:paraId="2F6E54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84" w:type="pct"/>
            <w:vAlign w:val="center"/>
          </w:tcPr>
          <w:p w14:paraId="43D237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12.16</w:t>
            </w:r>
          </w:p>
        </w:tc>
        <w:tc>
          <w:tcPr>
            <w:tcW w:w="684" w:type="pct"/>
            <w:vAlign w:val="center"/>
          </w:tcPr>
          <w:p w14:paraId="33EBE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8.4</w:t>
            </w:r>
          </w:p>
        </w:tc>
        <w:tc>
          <w:tcPr>
            <w:tcW w:w="681" w:type="pct"/>
            <w:vAlign w:val="center"/>
          </w:tcPr>
          <w:p w14:paraId="3206F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r>
      <w:tr w14:paraId="4DE4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Merge w:val="continue"/>
            <w:vAlign w:val="center"/>
          </w:tcPr>
          <w:p w14:paraId="779CC8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897" w:type="pct"/>
            <w:vAlign w:val="center"/>
          </w:tcPr>
          <w:p w14:paraId="4C9C15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石炭系</w:t>
            </w:r>
          </w:p>
        </w:tc>
        <w:tc>
          <w:tcPr>
            <w:tcW w:w="684" w:type="pct"/>
            <w:vAlign w:val="center"/>
          </w:tcPr>
          <w:p w14:paraId="23634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0.868</w:t>
            </w:r>
          </w:p>
        </w:tc>
        <w:tc>
          <w:tcPr>
            <w:tcW w:w="684" w:type="pct"/>
            <w:vAlign w:val="center"/>
          </w:tcPr>
          <w:p w14:paraId="2E7F9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84" w:type="pct"/>
            <w:vAlign w:val="center"/>
          </w:tcPr>
          <w:p w14:paraId="7CE46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19.57</w:t>
            </w:r>
          </w:p>
        </w:tc>
        <w:tc>
          <w:tcPr>
            <w:tcW w:w="684" w:type="pct"/>
            <w:vAlign w:val="center"/>
          </w:tcPr>
          <w:p w14:paraId="42F9C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6.76</w:t>
            </w:r>
          </w:p>
        </w:tc>
        <w:tc>
          <w:tcPr>
            <w:tcW w:w="681" w:type="pct"/>
            <w:vAlign w:val="center"/>
          </w:tcPr>
          <w:p w14:paraId="7E7D07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12.00</w:t>
            </w:r>
          </w:p>
        </w:tc>
      </w:tr>
      <w:tr w14:paraId="47E1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Merge w:val="continue"/>
            <w:vAlign w:val="center"/>
          </w:tcPr>
          <w:p w14:paraId="69D430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897" w:type="pct"/>
            <w:vAlign w:val="center"/>
          </w:tcPr>
          <w:p w14:paraId="038A18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三叠系</w:t>
            </w:r>
          </w:p>
        </w:tc>
        <w:tc>
          <w:tcPr>
            <w:tcW w:w="684" w:type="pct"/>
            <w:vAlign w:val="center"/>
          </w:tcPr>
          <w:p w14:paraId="02496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0.845</w:t>
            </w:r>
          </w:p>
        </w:tc>
        <w:tc>
          <w:tcPr>
            <w:tcW w:w="684" w:type="pct"/>
            <w:vAlign w:val="center"/>
          </w:tcPr>
          <w:p w14:paraId="31FAE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84" w:type="pct"/>
            <w:vAlign w:val="center"/>
          </w:tcPr>
          <w:p w14:paraId="2C4F3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8.58</w:t>
            </w:r>
          </w:p>
        </w:tc>
        <w:tc>
          <w:tcPr>
            <w:tcW w:w="684" w:type="pct"/>
            <w:vAlign w:val="center"/>
          </w:tcPr>
          <w:p w14:paraId="1EFCA6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3.70</w:t>
            </w:r>
          </w:p>
        </w:tc>
        <w:tc>
          <w:tcPr>
            <w:tcW w:w="681" w:type="pct"/>
            <w:vAlign w:val="center"/>
          </w:tcPr>
          <w:p w14:paraId="29E334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2.20</w:t>
            </w:r>
          </w:p>
        </w:tc>
      </w:tr>
    </w:tbl>
    <w:p w14:paraId="35AB4F43">
      <w:pPr>
        <w:bidi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4174"/>
      </w:tblGrid>
      <w:tr w14:paraId="18A55A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83" w:hRule="exact"/>
        </w:trPr>
        <w:tc>
          <w:tcPr>
            <w:tcW w:w="14174" w:type="dxa"/>
            <w:tcBorders>
              <w:tl2br w:val="nil"/>
              <w:tr2bl w:val="nil"/>
            </w:tcBorders>
            <w:vAlign w:val="center"/>
          </w:tcPr>
          <w:p w14:paraId="0B8C918A">
            <w:pPr>
              <w:bidi w:val="0"/>
              <w:jc w:val="center"/>
              <w:rPr>
                <w:rFonts w:hint="eastAsia"/>
                <w:color w:val="auto"/>
                <w:vertAlign w:val="baseline"/>
                <w:lang w:val="en-US" w:eastAsia="zh-CN"/>
              </w:rPr>
            </w:pPr>
          </w:p>
        </w:tc>
      </w:tr>
      <w:tr w14:paraId="53F291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0" w:hRule="atLeast"/>
        </w:trPr>
        <w:tc>
          <w:tcPr>
            <w:tcW w:w="14174" w:type="dxa"/>
            <w:tcBorders>
              <w:tl2br w:val="nil"/>
              <w:tr2bl w:val="nil"/>
            </w:tcBorders>
            <w:vAlign w:val="center"/>
          </w:tcPr>
          <w:p w14:paraId="0B5C0628">
            <w:pPr>
              <w:bidi w:val="0"/>
              <w:jc w:val="center"/>
              <w:rPr>
                <w:rFonts w:hint="default"/>
                <w:color w:val="auto"/>
                <w:vertAlign w:val="baseline"/>
                <w:lang w:val="en-US" w:eastAsia="zh-CN"/>
              </w:rPr>
            </w:pPr>
            <w:r>
              <w:rPr>
                <w:rFonts w:hint="eastAsia"/>
                <w:b/>
                <w:bCs/>
                <w:color w:val="auto"/>
                <w:vertAlign w:val="baseline"/>
                <w:lang w:val="en-US" w:eastAsia="zh-CN"/>
              </w:rPr>
              <w:t>图3.1-1  区块位置示意图</w:t>
            </w:r>
          </w:p>
        </w:tc>
      </w:tr>
    </w:tbl>
    <w:p w14:paraId="0115D83C">
      <w:pPr>
        <w:bidi w:val="0"/>
        <w:rPr>
          <w:rFonts w:hint="eastAsia"/>
          <w:color w:val="auto"/>
          <w:lang w:val="en-US" w:eastAsia="zh-CN"/>
        </w:rPr>
      </w:pPr>
    </w:p>
    <w:p w14:paraId="3C3B726B">
      <w:pPr>
        <w:bidi w:val="0"/>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E55D645">
      <w:pPr>
        <w:pStyle w:val="6"/>
        <w:bidi w:val="0"/>
        <w:rPr>
          <w:rFonts w:hint="default"/>
          <w:color w:val="auto"/>
          <w:lang w:val="en-US" w:eastAsia="zh-CN"/>
        </w:rPr>
      </w:pPr>
      <w:r>
        <w:rPr>
          <w:rFonts w:hint="eastAsia"/>
          <w:color w:val="auto"/>
          <w:lang w:val="en-US" w:eastAsia="zh-CN"/>
        </w:rPr>
        <w:t>3.1.1.2伴生气物性</w:t>
      </w:r>
    </w:p>
    <w:p w14:paraId="7C496E7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b/>
          <w:bCs/>
          <w:color w:val="auto"/>
          <w:sz w:val="24"/>
          <w:szCs w:val="24"/>
          <w:lang w:val="en-US" w:eastAsia="zh-CN"/>
        </w:rPr>
      </w:pPr>
      <w:r>
        <w:rPr>
          <w:rFonts w:hint="eastAsia"/>
          <w:color w:val="auto"/>
          <w:sz w:val="24"/>
          <w:szCs w:val="24"/>
          <w:lang w:val="en-US" w:eastAsia="zh-CN"/>
        </w:rPr>
        <w:t>百厂探区属于新开采区块，涉及的井处于勘探井或评价井阶段，当前试油阶段仅见少量油气显示或无明显气体产出，暂不具备有效采样条件，后续将结合井下流体显示、储层测试结果更清晰后再启动气样分析。玛131井区、玛18井区、玛2井区伴生气物性见表3.1-2。</w:t>
      </w:r>
      <w:r>
        <w:rPr>
          <w:rFonts w:hint="eastAsia"/>
          <w:b/>
          <w:bCs/>
          <w:color w:val="auto"/>
          <w:sz w:val="24"/>
          <w:szCs w:val="24"/>
          <w:lang w:val="en-US" w:eastAsia="zh-CN"/>
        </w:rPr>
        <w:t>伴生气中不含硫化氢。</w:t>
      </w:r>
    </w:p>
    <w:p w14:paraId="2973FF3C">
      <w:pPr>
        <w:pStyle w:val="43"/>
        <w:bidi w:val="0"/>
        <w:rPr>
          <w:rFonts w:hint="default" w:ascii="Times New Roman" w:hAnsi="Times New Roman" w:eastAsia="宋体"/>
          <w:color w:val="auto"/>
        </w:rPr>
      </w:pPr>
      <w:bookmarkStart w:id="145" w:name="_Ref159356246"/>
      <w:r>
        <w:rPr>
          <w:rFonts w:hint="default" w:ascii="Times New Roman" w:hAnsi="Times New Roman" w:eastAsia="宋体"/>
          <w:color w:val="auto"/>
        </w:rPr>
        <w:t>表</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STYLEREF 2 \s </w:instrText>
      </w:r>
      <w:r>
        <w:rPr>
          <w:rFonts w:hint="default" w:ascii="Times New Roman" w:hAnsi="Times New Roman" w:eastAsia="宋体"/>
          <w:color w:val="auto"/>
        </w:rPr>
        <w:fldChar w:fldCharType="separate"/>
      </w:r>
      <w:r>
        <w:rPr>
          <w:rFonts w:hint="default" w:ascii="Times New Roman" w:hAnsi="Times New Roman" w:eastAsia="宋体"/>
          <w:color w:val="auto"/>
        </w:rPr>
        <w:t>3.</w:t>
      </w:r>
      <w:r>
        <w:rPr>
          <w:rFonts w:hint="eastAsia"/>
          <w:color w:val="auto"/>
          <w:lang w:val="en-US" w:eastAsia="zh-CN"/>
        </w:rPr>
        <w:t>1</w:t>
      </w:r>
      <w:r>
        <w:rPr>
          <w:rFonts w:hint="default" w:ascii="Times New Roman" w:hAnsi="Times New Roman" w:eastAsia="宋体"/>
          <w:color w:val="auto"/>
        </w:rPr>
        <w:fldChar w:fldCharType="end"/>
      </w:r>
      <w:bookmarkEnd w:id="145"/>
      <w:r>
        <w:rPr>
          <w:rFonts w:hint="default" w:ascii="Times New Roman" w:hAnsi="Times New Roman" w:eastAsia="宋体"/>
          <w:color w:val="auto"/>
          <w:lang w:val="en-US" w:eastAsia="zh-CN"/>
        </w:rPr>
        <w:t>-</w:t>
      </w:r>
      <w:r>
        <w:rPr>
          <w:rFonts w:hint="eastAsia"/>
          <w:color w:val="auto"/>
          <w:lang w:val="en-US" w:eastAsia="zh-CN"/>
        </w:rPr>
        <w:t>2</w:t>
      </w:r>
      <w:r>
        <w:rPr>
          <w:rFonts w:hint="default" w:ascii="Times New Roman" w:hAnsi="Times New Roman" w:eastAsia="宋体"/>
          <w:color w:val="auto"/>
        </w:rPr>
        <w:t xml:space="preserve"> </w:t>
      </w:r>
      <w:r>
        <w:rPr>
          <w:rFonts w:hint="eastAsia" w:ascii="Times New Roman" w:hAnsi="Times New Roman" w:eastAsia="宋体"/>
          <w:color w:val="auto"/>
          <w:lang w:val="en-US" w:eastAsia="zh-CN"/>
        </w:rPr>
        <w:t xml:space="preserve"> </w:t>
      </w:r>
      <w:r>
        <w:rPr>
          <w:rFonts w:hint="default" w:ascii="Times New Roman" w:hAnsi="Times New Roman" w:eastAsia="宋体"/>
          <w:color w:val="auto"/>
        </w:rPr>
        <w:t>百口泉采油厂伴生气物性表（无H</w:t>
      </w:r>
      <w:r>
        <w:rPr>
          <w:rFonts w:hint="default" w:ascii="Times New Roman" w:hAnsi="Times New Roman" w:eastAsia="宋体"/>
          <w:color w:val="auto"/>
          <w:vertAlign w:val="subscript"/>
        </w:rPr>
        <w:t>2</w:t>
      </w:r>
      <w:r>
        <w:rPr>
          <w:rFonts w:hint="default" w:ascii="Times New Roman" w:hAnsi="Times New Roman" w:eastAsia="宋体"/>
          <w:color w:val="auto"/>
        </w:rPr>
        <w:t>S）</w:t>
      </w:r>
    </w:p>
    <w:tbl>
      <w:tblPr>
        <w:tblStyle w:val="27"/>
        <w:tblW w:w="4997" w:type="pct"/>
        <w:tblInd w:w="0" w:type="dxa"/>
        <w:tblLayout w:type="autofit"/>
        <w:tblCellMar>
          <w:top w:w="0" w:type="dxa"/>
          <w:left w:w="108" w:type="dxa"/>
          <w:bottom w:w="0" w:type="dxa"/>
          <w:right w:w="108" w:type="dxa"/>
        </w:tblCellMar>
      </w:tblPr>
      <w:tblGrid>
        <w:gridCol w:w="745"/>
        <w:gridCol w:w="795"/>
        <w:gridCol w:w="699"/>
        <w:gridCol w:w="690"/>
        <w:gridCol w:w="697"/>
        <w:gridCol w:w="697"/>
        <w:gridCol w:w="697"/>
        <w:gridCol w:w="699"/>
        <w:gridCol w:w="699"/>
        <w:gridCol w:w="690"/>
        <w:gridCol w:w="716"/>
        <w:gridCol w:w="693"/>
      </w:tblGrid>
      <w:tr w14:paraId="6E09A7FC">
        <w:tblPrEx>
          <w:tblCellMar>
            <w:top w:w="0" w:type="dxa"/>
            <w:left w:w="108" w:type="dxa"/>
            <w:bottom w:w="0" w:type="dxa"/>
            <w:right w:w="108" w:type="dxa"/>
          </w:tblCellMar>
        </w:tblPrEx>
        <w:trPr>
          <w:trHeight w:val="270" w:hRule="atLeast"/>
        </w:trPr>
        <w:tc>
          <w:tcPr>
            <w:tcW w:w="438" w:type="pct"/>
            <w:vMerge w:val="restart"/>
            <w:tcBorders>
              <w:top w:val="single" w:color="auto" w:sz="4" w:space="0"/>
              <w:left w:val="single" w:color="auto" w:sz="4" w:space="0"/>
              <w:bottom w:val="single" w:color="auto" w:sz="4" w:space="0"/>
              <w:right w:val="single" w:color="auto" w:sz="4" w:space="0"/>
            </w:tcBorders>
            <w:vAlign w:val="center"/>
          </w:tcPr>
          <w:p w14:paraId="05A5B574">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区块</w:t>
            </w:r>
          </w:p>
        </w:tc>
        <w:tc>
          <w:tcPr>
            <w:tcW w:w="467" w:type="pct"/>
            <w:vMerge w:val="restart"/>
            <w:tcBorders>
              <w:top w:val="single" w:color="auto" w:sz="4" w:space="0"/>
              <w:left w:val="single" w:color="auto" w:sz="4" w:space="0"/>
              <w:bottom w:val="single" w:color="auto" w:sz="4" w:space="0"/>
              <w:right w:val="single" w:color="auto" w:sz="4" w:space="0"/>
            </w:tcBorders>
            <w:vAlign w:val="center"/>
          </w:tcPr>
          <w:p w14:paraId="71BEDB7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相对密度</w:t>
            </w:r>
          </w:p>
        </w:tc>
        <w:tc>
          <w:tcPr>
            <w:tcW w:w="4094" w:type="pct"/>
            <w:gridSpan w:val="10"/>
            <w:tcBorders>
              <w:top w:val="single" w:color="auto" w:sz="4" w:space="0"/>
              <w:left w:val="nil"/>
              <w:bottom w:val="single" w:color="auto" w:sz="4" w:space="0"/>
              <w:right w:val="single" w:color="auto" w:sz="4" w:space="0"/>
            </w:tcBorders>
            <w:vAlign w:val="center"/>
          </w:tcPr>
          <w:p w14:paraId="49E5EE89">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天然气组分（%）</w:t>
            </w:r>
          </w:p>
        </w:tc>
      </w:tr>
      <w:tr w14:paraId="37294F5C">
        <w:tblPrEx>
          <w:tblCellMar>
            <w:top w:w="0" w:type="dxa"/>
            <w:left w:w="108" w:type="dxa"/>
            <w:bottom w:w="0" w:type="dxa"/>
            <w:right w:w="108" w:type="dxa"/>
          </w:tblCellMar>
        </w:tblPrEx>
        <w:trPr>
          <w:trHeight w:val="270" w:hRule="atLeast"/>
        </w:trPr>
        <w:tc>
          <w:tcPr>
            <w:tcW w:w="438" w:type="pct"/>
            <w:vMerge w:val="continue"/>
            <w:tcBorders>
              <w:top w:val="single" w:color="auto" w:sz="4" w:space="0"/>
              <w:left w:val="single" w:color="auto" w:sz="4" w:space="0"/>
              <w:bottom w:val="single" w:color="auto" w:sz="4" w:space="0"/>
              <w:right w:val="single" w:color="auto" w:sz="4" w:space="0"/>
            </w:tcBorders>
            <w:vAlign w:val="center"/>
          </w:tcPr>
          <w:p w14:paraId="6572F1BD">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p>
        </w:tc>
        <w:tc>
          <w:tcPr>
            <w:tcW w:w="467" w:type="pct"/>
            <w:vMerge w:val="continue"/>
            <w:tcBorders>
              <w:top w:val="single" w:color="auto" w:sz="4" w:space="0"/>
              <w:left w:val="single" w:color="auto" w:sz="4" w:space="0"/>
              <w:bottom w:val="single" w:color="auto" w:sz="4" w:space="0"/>
              <w:right w:val="single" w:color="auto" w:sz="4" w:space="0"/>
            </w:tcBorders>
            <w:vAlign w:val="center"/>
          </w:tcPr>
          <w:p w14:paraId="34F1ED45">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p>
        </w:tc>
        <w:tc>
          <w:tcPr>
            <w:tcW w:w="410" w:type="pct"/>
            <w:tcBorders>
              <w:top w:val="nil"/>
              <w:left w:val="nil"/>
              <w:bottom w:val="single" w:color="auto" w:sz="4" w:space="0"/>
              <w:right w:val="single" w:color="auto" w:sz="4" w:space="0"/>
            </w:tcBorders>
            <w:vAlign w:val="center"/>
          </w:tcPr>
          <w:p w14:paraId="3F50C3F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甲烷</w:t>
            </w:r>
          </w:p>
        </w:tc>
        <w:tc>
          <w:tcPr>
            <w:tcW w:w="405" w:type="pct"/>
            <w:tcBorders>
              <w:top w:val="nil"/>
              <w:left w:val="nil"/>
              <w:bottom w:val="single" w:color="auto" w:sz="4" w:space="0"/>
              <w:right w:val="single" w:color="auto" w:sz="4" w:space="0"/>
            </w:tcBorders>
            <w:vAlign w:val="center"/>
          </w:tcPr>
          <w:p w14:paraId="47B67FC1">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乙烷</w:t>
            </w:r>
          </w:p>
        </w:tc>
        <w:tc>
          <w:tcPr>
            <w:tcW w:w="409" w:type="pct"/>
            <w:tcBorders>
              <w:top w:val="nil"/>
              <w:left w:val="nil"/>
              <w:bottom w:val="single" w:color="auto" w:sz="4" w:space="0"/>
              <w:right w:val="single" w:color="auto" w:sz="4" w:space="0"/>
            </w:tcBorders>
            <w:vAlign w:val="center"/>
          </w:tcPr>
          <w:p w14:paraId="3FFA3818">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丙烷</w:t>
            </w:r>
          </w:p>
        </w:tc>
        <w:tc>
          <w:tcPr>
            <w:tcW w:w="409" w:type="pct"/>
            <w:tcBorders>
              <w:top w:val="nil"/>
              <w:left w:val="nil"/>
              <w:bottom w:val="single" w:color="auto" w:sz="4" w:space="0"/>
              <w:right w:val="single" w:color="auto" w:sz="4" w:space="0"/>
            </w:tcBorders>
            <w:vAlign w:val="center"/>
          </w:tcPr>
          <w:p w14:paraId="49CF92A4">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异丁烷</w:t>
            </w:r>
          </w:p>
        </w:tc>
        <w:tc>
          <w:tcPr>
            <w:tcW w:w="409" w:type="pct"/>
            <w:tcBorders>
              <w:top w:val="nil"/>
              <w:left w:val="nil"/>
              <w:bottom w:val="single" w:color="auto" w:sz="4" w:space="0"/>
              <w:right w:val="single" w:color="auto" w:sz="4" w:space="0"/>
            </w:tcBorders>
            <w:vAlign w:val="center"/>
          </w:tcPr>
          <w:p w14:paraId="7C00C2D1">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正丁烷</w:t>
            </w:r>
          </w:p>
        </w:tc>
        <w:tc>
          <w:tcPr>
            <w:tcW w:w="410" w:type="pct"/>
            <w:tcBorders>
              <w:top w:val="nil"/>
              <w:left w:val="nil"/>
              <w:bottom w:val="single" w:color="auto" w:sz="4" w:space="0"/>
              <w:right w:val="single" w:color="auto" w:sz="4" w:space="0"/>
            </w:tcBorders>
            <w:vAlign w:val="center"/>
          </w:tcPr>
          <w:p w14:paraId="237B6806">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异戊烷</w:t>
            </w:r>
          </w:p>
        </w:tc>
        <w:tc>
          <w:tcPr>
            <w:tcW w:w="410" w:type="pct"/>
            <w:tcBorders>
              <w:top w:val="nil"/>
              <w:left w:val="nil"/>
              <w:bottom w:val="single" w:color="auto" w:sz="4" w:space="0"/>
              <w:right w:val="single" w:color="auto" w:sz="4" w:space="0"/>
            </w:tcBorders>
            <w:vAlign w:val="center"/>
          </w:tcPr>
          <w:p w14:paraId="21834CA9">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正戊烷</w:t>
            </w:r>
          </w:p>
        </w:tc>
        <w:tc>
          <w:tcPr>
            <w:tcW w:w="405" w:type="pct"/>
            <w:tcBorders>
              <w:top w:val="nil"/>
              <w:left w:val="nil"/>
              <w:bottom w:val="single" w:color="auto" w:sz="4" w:space="0"/>
              <w:right w:val="single" w:color="auto" w:sz="4" w:space="0"/>
            </w:tcBorders>
            <w:vAlign w:val="center"/>
          </w:tcPr>
          <w:p w14:paraId="4CFA2D38">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异己烷</w:t>
            </w:r>
          </w:p>
        </w:tc>
        <w:tc>
          <w:tcPr>
            <w:tcW w:w="420" w:type="pct"/>
            <w:tcBorders>
              <w:top w:val="nil"/>
              <w:left w:val="nil"/>
              <w:bottom w:val="single" w:color="auto" w:sz="4" w:space="0"/>
              <w:right w:val="single" w:color="auto" w:sz="4" w:space="0"/>
            </w:tcBorders>
            <w:vAlign w:val="center"/>
          </w:tcPr>
          <w:p w14:paraId="5701D459">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氮气</w:t>
            </w:r>
          </w:p>
        </w:tc>
        <w:tc>
          <w:tcPr>
            <w:tcW w:w="405" w:type="pct"/>
            <w:tcBorders>
              <w:top w:val="nil"/>
              <w:left w:val="nil"/>
              <w:bottom w:val="single" w:color="auto" w:sz="4" w:space="0"/>
              <w:right w:val="single" w:color="auto" w:sz="4" w:space="0"/>
            </w:tcBorders>
            <w:vAlign w:val="center"/>
          </w:tcPr>
          <w:p w14:paraId="3B5137DC">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二氧化碳</w:t>
            </w:r>
          </w:p>
        </w:tc>
      </w:tr>
      <w:tr w14:paraId="5D3259AE">
        <w:tblPrEx>
          <w:tblCellMar>
            <w:top w:w="0" w:type="dxa"/>
            <w:left w:w="108" w:type="dxa"/>
            <w:bottom w:w="0" w:type="dxa"/>
            <w:right w:w="108" w:type="dxa"/>
          </w:tblCellMar>
        </w:tblPrEx>
        <w:trPr>
          <w:trHeight w:val="270" w:hRule="atLeast"/>
        </w:trPr>
        <w:tc>
          <w:tcPr>
            <w:tcW w:w="438" w:type="pct"/>
            <w:tcBorders>
              <w:top w:val="nil"/>
              <w:left w:val="single" w:color="auto" w:sz="4" w:space="0"/>
              <w:bottom w:val="single" w:color="auto" w:sz="4" w:space="0"/>
              <w:right w:val="single" w:color="auto" w:sz="4" w:space="0"/>
            </w:tcBorders>
            <w:vAlign w:val="center"/>
          </w:tcPr>
          <w:p w14:paraId="6B533D58">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玛131</w:t>
            </w:r>
          </w:p>
        </w:tc>
        <w:tc>
          <w:tcPr>
            <w:tcW w:w="467" w:type="pct"/>
            <w:tcBorders>
              <w:top w:val="nil"/>
              <w:left w:val="nil"/>
              <w:bottom w:val="single" w:color="auto" w:sz="4" w:space="0"/>
              <w:right w:val="single" w:color="auto" w:sz="4" w:space="0"/>
            </w:tcBorders>
            <w:vAlign w:val="center"/>
          </w:tcPr>
          <w:p w14:paraId="2C84EDB2">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0.64</w:t>
            </w:r>
          </w:p>
        </w:tc>
        <w:tc>
          <w:tcPr>
            <w:tcW w:w="410" w:type="pct"/>
            <w:tcBorders>
              <w:top w:val="nil"/>
              <w:left w:val="nil"/>
              <w:bottom w:val="single" w:color="auto" w:sz="4" w:space="0"/>
              <w:right w:val="single" w:color="auto" w:sz="4" w:space="0"/>
            </w:tcBorders>
            <w:vAlign w:val="center"/>
          </w:tcPr>
          <w:p w14:paraId="3C5D616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bookmarkStart w:id="146" w:name="RANGE!G47"/>
            <w:r>
              <w:rPr>
                <w:rFonts w:hint="default" w:ascii="Times New Roman" w:hAnsi="Times New Roman" w:eastAsia="宋体" w:cs="Times New Roman"/>
                <w:snapToGrid w:val="0"/>
                <w:color w:val="auto"/>
                <w:kern w:val="2"/>
                <w:sz w:val="21"/>
                <w:szCs w:val="21"/>
                <w:shd w:val="clear" w:color="auto" w:fill="FFFFFF"/>
              </w:rPr>
              <w:t>88.89</w:t>
            </w:r>
            <w:bookmarkEnd w:id="146"/>
          </w:p>
        </w:tc>
        <w:tc>
          <w:tcPr>
            <w:tcW w:w="405" w:type="pct"/>
            <w:tcBorders>
              <w:top w:val="nil"/>
              <w:left w:val="nil"/>
              <w:bottom w:val="single" w:color="auto" w:sz="4" w:space="0"/>
              <w:right w:val="single" w:color="auto" w:sz="4" w:space="0"/>
            </w:tcBorders>
            <w:vAlign w:val="center"/>
          </w:tcPr>
          <w:p w14:paraId="168794D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4.25</w:t>
            </w:r>
          </w:p>
        </w:tc>
        <w:tc>
          <w:tcPr>
            <w:tcW w:w="409" w:type="pct"/>
            <w:tcBorders>
              <w:top w:val="nil"/>
              <w:left w:val="nil"/>
              <w:bottom w:val="single" w:color="auto" w:sz="4" w:space="0"/>
              <w:right w:val="single" w:color="auto" w:sz="4" w:space="0"/>
            </w:tcBorders>
            <w:vAlign w:val="center"/>
          </w:tcPr>
          <w:p w14:paraId="40040DB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1.69</w:t>
            </w:r>
          </w:p>
        </w:tc>
        <w:tc>
          <w:tcPr>
            <w:tcW w:w="409" w:type="pct"/>
            <w:tcBorders>
              <w:top w:val="nil"/>
              <w:left w:val="nil"/>
              <w:bottom w:val="single" w:color="auto" w:sz="4" w:space="0"/>
              <w:right w:val="single" w:color="auto" w:sz="4" w:space="0"/>
            </w:tcBorders>
            <w:vAlign w:val="center"/>
          </w:tcPr>
          <w:p w14:paraId="45C44036">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0.65</w:t>
            </w:r>
          </w:p>
        </w:tc>
        <w:tc>
          <w:tcPr>
            <w:tcW w:w="409" w:type="pct"/>
            <w:tcBorders>
              <w:top w:val="nil"/>
              <w:left w:val="nil"/>
              <w:bottom w:val="single" w:color="auto" w:sz="4" w:space="0"/>
              <w:right w:val="single" w:color="auto" w:sz="4" w:space="0"/>
            </w:tcBorders>
            <w:vAlign w:val="center"/>
          </w:tcPr>
          <w:p w14:paraId="3C8D374C">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1.19</w:t>
            </w:r>
          </w:p>
        </w:tc>
        <w:tc>
          <w:tcPr>
            <w:tcW w:w="410" w:type="pct"/>
            <w:tcBorders>
              <w:top w:val="nil"/>
              <w:left w:val="nil"/>
              <w:bottom w:val="single" w:color="auto" w:sz="4" w:space="0"/>
              <w:right w:val="single" w:color="auto" w:sz="4" w:space="0"/>
            </w:tcBorders>
            <w:vAlign w:val="center"/>
          </w:tcPr>
          <w:p w14:paraId="67478651">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0.48</w:t>
            </w:r>
          </w:p>
        </w:tc>
        <w:tc>
          <w:tcPr>
            <w:tcW w:w="410" w:type="pct"/>
            <w:tcBorders>
              <w:top w:val="nil"/>
              <w:left w:val="nil"/>
              <w:bottom w:val="single" w:color="auto" w:sz="4" w:space="0"/>
              <w:right w:val="single" w:color="auto" w:sz="4" w:space="0"/>
            </w:tcBorders>
            <w:vAlign w:val="center"/>
          </w:tcPr>
          <w:p w14:paraId="09ACD10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0.78</w:t>
            </w:r>
          </w:p>
        </w:tc>
        <w:tc>
          <w:tcPr>
            <w:tcW w:w="405" w:type="pct"/>
            <w:tcBorders>
              <w:top w:val="nil"/>
              <w:left w:val="nil"/>
              <w:bottom w:val="single" w:color="auto" w:sz="4" w:space="0"/>
              <w:right w:val="single" w:color="auto" w:sz="4" w:space="0"/>
            </w:tcBorders>
            <w:vAlign w:val="center"/>
          </w:tcPr>
          <w:p w14:paraId="395D48E4">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0.51</w:t>
            </w:r>
          </w:p>
        </w:tc>
        <w:tc>
          <w:tcPr>
            <w:tcW w:w="420" w:type="pct"/>
            <w:tcBorders>
              <w:top w:val="nil"/>
              <w:left w:val="nil"/>
              <w:bottom w:val="single" w:color="auto" w:sz="4" w:space="0"/>
              <w:right w:val="single" w:color="auto" w:sz="4" w:space="0"/>
            </w:tcBorders>
            <w:vAlign w:val="center"/>
          </w:tcPr>
          <w:p w14:paraId="7B3CD7C7">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1.47</w:t>
            </w:r>
          </w:p>
        </w:tc>
        <w:tc>
          <w:tcPr>
            <w:tcW w:w="405" w:type="pct"/>
            <w:tcBorders>
              <w:top w:val="nil"/>
              <w:left w:val="nil"/>
              <w:bottom w:val="single" w:color="auto" w:sz="4" w:space="0"/>
              <w:right w:val="single" w:color="auto" w:sz="4" w:space="0"/>
            </w:tcBorders>
            <w:vAlign w:val="center"/>
          </w:tcPr>
          <w:p w14:paraId="5283A8AD">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0.64</w:t>
            </w:r>
          </w:p>
        </w:tc>
      </w:tr>
      <w:tr w14:paraId="02D4EE1E">
        <w:tblPrEx>
          <w:tblCellMar>
            <w:top w:w="0" w:type="dxa"/>
            <w:left w:w="108" w:type="dxa"/>
            <w:bottom w:w="0" w:type="dxa"/>
            <w:right w:w="108" w:type="dxa"/>
          </w:tblCellMar>
        </w:tblPrEx>
        <w:trPr>
          <w:trHeight w:val="285" w:hRule="atLeast"/>
        </w:trPr>
        <w:tc>
          <w:tcPr>
            <w:tcW w:w="438" w:type="pct"/>
            <w:tcBorders>
              <w:top w:val="nil"/>
              <w:left w:val="single" w:color="auto" w:sz="4" w:space="0"/>
              <w:bottom w:val="single" w:color="auto" w:sz="4" w:space="0"/>
              <w:right w:val="single" w:color="auto" w:sz="4" w:space="0"/>
            </w:tcBorders>
            <w:vAlign w:val="center"/>
          </w:tcPr>
          <w:p w14:paraId="50027E73">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玛18</w:t>
            </w:r>
          </w:p>
        </w:tc>
        <w:tc>
          <w:tcPr>
            <w:tcW w:w="467" w:type="pct"/>
            <w:tcBorders>
              <w:top w:val="nil"/>
              <w:left w:val="nil"/>
              <w:bottom w:val="single" w:color="auto" w:sz="4" w:space="0"/>
              <w:right w:val="single" w:color="auto" w:sz="4" w:space="0"/>
            </w:tcBorders>
            <w:vAlign w:val="center"/>
          </w:tcPr>
          <w:p w14:paraId="6BD0E389">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0.66</w:t>
            </w:r>
          </w:p>
        </w:tc>
        <w:tc>
          <w:tcPr>
            <w:tcW w:w="410" w:type="pct"/>
            <w:tcBorders>
              <w:top w:val="nil"/>
              <w:left w:val="nil"/>
              <w:bottom w:val="single" w:color="auto" w:sz="4" w:space="0"/>
              <w:right w:val="single" w:color="auto" w:sz="4" w:space="0"/>
            </w:tcBorders>
            <w:vAlign w:val="center"/>
          </w:tcPr>
          <w:p w14:paraId="1A11C342">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87.27</w:t>
            </w:r>
          </w:p>
        </w:tc>
        <w:tc>
          <w:tcPr>
            <w:tcW w:w="405" w:type="pct"/>
            <w:tcBorders>
              <w:top w:val="nil"/>
              <w:left w:val="nil"/>
              <w:bottom w:val="single" w:color="auto" w:sz="4" w:space="0"/>
              <w:right w:val="single" w:color="auto" w:sz="4" w:space="0"/>
            </w:tcBorders>
            <w:vAlign w:val="center"/>
          </w:tcPr>
          <w:p w14:paraId="7926A93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5.19</w:t>
            </w:r>
          </w:p>
        </w:tc>
        <w:tc>
          <w:tcPr>
            <w:tcW w:w="409" w:type="pct"/>
            <w:tcBorders>
              <w:top w:val="nil"/>
              <w:left w:val="nil"/>
              <w:bottom w:val="single" w:color="auto" w:sz="4" w:space="0"/>
              <w:right w:val="single" w:color="auto" w:sz="4" w:space="0"/>
            </w:tcBorders>
            <w:vAlign w:val="center"/>
          </w:tcPr>
          <w:p w14:paraId="233816C5">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2.28</w:t>
            </w:r>
          </w:p>
        </w:tc>
        <w:tc>
          <w:tcPr>
            <w:tcW w:w="409" w:type="pct"/>
            <w:tcBorders>
              <w:top w:val="nil"/>
              <w:left w:val="nil"/>
              <w:bottom w:val="single" w:color="auto" w:sz="4" w:space="0"/>
              <w:right w:val="single" w:color="auto" w:sz="4" w:space="0"/>
            </w:tcBorders>
            <w:vAlign w:val="center"/>
          </w:tcPr>
          <w:p w14:paraId="7A8770C6">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0.78</w:t>
            </w:r>
          </w:p>
        </w:tc>
        <w:tc>
          <w:tcPr>
            <w:tcW w:w="409" w:type="pct"/>
            <w:tcBorders>
              <w:top w:val="nil"/>
              <w:left w:val="nil"/>
              <w:bottom w:val="single" w:color="auto" w:sz="4" w:space="0"/>
              <w:right w:val="single" w:color="auto" w:sz="4" w:space="0"/>
            </w:tcBorders>
            <w:vAlign w:val="center"/>
          </w:tcPr>
          <w:p w14:paraId="4A8648EA">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1.5</w:t>
            </w:r>
          </w:p>
        </w:tc>
        <w:tc>
          <w:tcPr>
            <w:tcW w:w="410" w:type="pct"/>
            <w:tcBorders>
              <w:top w:val="nil"/>
              <w:left w:val="nil"/>
              <w:bottom w:val="single" w:color="auto" w:sz="4" w:space="0"/>
              <w:right w:val="single" w:color="auto" w:sz="4" w:space="0"/>
            </w:tcBorders>
            <w:vAlign w:val="center"/>
          </w:tcPr>
          <w:p w14:paraId="78DBD98F">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0.03</w:t>
            </w:r>
          </w:p>
        </w:tc>
        <w:tc>
          <w:tcPr>
            <w:tcW w:w="410" w:type="pct"/>
            <w:tcBorders>
              <w:top w:val="nil"/>
              <w:left w:val="nil"/>
              <w:bottom w:val="single" w:color="auto" w:sz="4" w:space="0"/>
              <w:right w:val="single" w:color="auto" w:sz="4" w:space="0"/>
            </w:tcBorders>
            <w:vAlign w:val="center"/>
          </w:tcPr>
          <w:p w14:paraId="4EC8C9A5">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0.63</w:t>
            </w:r>
          </w:p>
        </w:tc>
        <w:tc>
          <w:tcPr>
            <w:tcW w:w="405" w:type="pct"/>
            <w:tcBorders>
              <w:top w:val="nil"/>
              <w:left w:val="nil"/>
              <w:bottom w:val="single" w:color="auto" w:sz="4" w:space="0"/>
              <w:right w:val="single" w:color="auto" w:sz="4" w:space="0"/>
            </w:tcBorders>
            <w:vAlign w:val="center"/>
          </w:tcPr>
          <w:p w14:paraId="1DCF6445">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0.09</w:t>
            </w:r>
          </w:p>
        </w:tc>
        <w:tc>
          <w:tcPr>
            <w:tcW w:w="420" w:type="pct"/>
            <w:tcBorders>
              <w:top w:val="nil"/>
              <w:left w:val="nil"/>
              <w:bottom w:val="single" w:color="auto" w:sz="4" w:space="0"/>
              <w:right w:val="single" w:color="auto" w:sz="4" w:space="0"/>
            </w:tcBorders>
            <w:vAlign w:val="center"/>
          </w:tcPr>
          <w:p w14:paraId="16FA1CF6">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2.19</w:t>
            </w:r>
          </w:p>
        </w:tc>
        <w:tc>
          <w:tcPr>
            <w:tcW w:w="405" w:type="pct"/>
            <w:tcBorders>
              <w:top w:val="nil"/>
              <w:left w:val="nil"/>
              <w:bottom w:val="single" w:color="auto" w:sz="4" w:space="0"/>
              <w:right w:val="single" w:color="auto" w:sz="4" w:space="0"/>
            </w:tcBorders>
            <w:vAlign w:val="center"/>
          </w:tcPr>
          <w:p w14:paraId="6E5170FF">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0.03</w:t>
            </w:r>
          </w:p>
        </w:tc>
      </w:tr>
      <w:tr w14:paraId="3D7AF768">
        <w:tblPrEx>
          <w:tblCellMar>
            <w:top w:w="0" w:type="dxa"/>
            <w:left w:w="108" w:type="dxa"/>
            <w:bottom w:w="0" w:type="dxa"/>
            <w:right w:w="108" w:type="dxa"/>
          </w:tblCellMar>
        </w:tblPrEx>
        <w:trPr>
          <w:trHeight w:val="525" w:hRule="atLeast"/>
        </w:trPr>
        <w:tc>
          <w:tcPr>
            <w:tcW w:w="438" w:type="pct"/>
            <w:vMerge w:val="restart"/>
            <w:tcBorders>
              <w:top w:val="single" w:color="auto" w:sz="4" w:space="0"/>
              <w:left w:val="single" w:color="auto" w:sz="4" w:space="0"/>
              <w:bottom w:val="single" w:color="auto" w:sz="4" w:space="0"/>
              <w:right w:val="single" w:color="auto" w:sz="4" w:space="0"/>
            </w:tcBorders>
            <w:vAlign w:val="center"/>
          </w:tcPr>
          <w:p w14:paraId="50A0FCD0">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玛2</w:t>
            </w:r>
          </w:p>
        </w:tc>
        <w:tc>
          <w:tcPr>
            <w:tcW w:w="467" w:type="pct"/>
            <w:tcBorders>
              <w:top w:val="single" w:color="auto" w:sz="4" w:space="0"/>
              <w:left w:val="single" w:color="auto" w:sz="4" w:space="0"/>
              <w:bottom w:val="single" w:color="auto" w:sz="4" w:space="0"/>
              <w:right w:val="single" w:color="auto" w:sz="4" w:space="0"/>
            </w:tcBorders>
            <w:vAlign w:val="center"/>
          </w:tcPr>
          <w:p w14:paraId="294F5CB5">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0.82</w:t>
            </w:r>
          </w:p>
        </w:tc>
        <w:tc>
          <w:tcPr>
            <w:tcW w:w="410" w:type="pct"/>
            <w:tcBorders>
              <w:top w:val="single" w:color="auto" w:sz="4" w:space="0"/>
              <w:left w:val="single" w:color="auto" w:sz="4" w:space="0"/>
              <w:bottom w:val="single" w:color="auto" w:sz="4" w:space="0"/>
              <w:right w:val="single" w:color="auto" w:sz="4" w:space="0"/>
            </w:tcBorders>
            <w:vAlign w:val="center"/>
          </w:tcPr>
          <w:p w14:paraId="7F0B110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65.74</w:t>
            </w:r>
          </w:p>
        </w:tc>
        <w:tc>
          <w:tcPr>
            <w:tcW w:w="405" w:type="pct"/>
            <w:tcBorders>
              <w:top w:val="single" w:color="auto" w:sz="4" w:space="0"/>
              <w:left w:val="single" w:color="auto" w:sz="4" w:space="0"/>
              <w:bottom w:val="single" w:color="auto" w:sz="4" w:space="0"/>
              <w:right w:val="single" w:color="auto" w:sz="4" w:space="0"/>
            </w:tcBorders>
            <w:vAlign w:val="center"/>
          </w:tcPr>
          <w:p w14:paraId="756D3458">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9.33</w:t>
            </w:r>
          </w:p>
        </w:tc>
        <w:tc>
          <w:tcPr>
            <w:tcW w:w="409" w:type="pct"/>
            <w:tcBorders>
              <w:top w:val="single" w:color="auto" w:sz="4" w:space="0"/>
              <w:left w:val="single" w:color="auto" w:sz="4" w:space="0"/>
              <w:bottom w:val="single" w:color="auto" w:sz="4" w:space="0"/>
              <w:right w:val="single" w:color="auto" w:sz="4" w:space="0"/>
            </w:tcBorders>
            <w:vAlign w:val="center"/>
          </w:tcPr>
          <w:p w14:paraId="002556F9">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6.57</w:t>
            </w:r>
          </w:p>
        </w:tc>
        <w:tc>
          <w:tcPr>
            <w:tcW w:w="409" w:type="pct"/>
            <w:tcBorders>
              <w:top w:val="single" w:color="auto" w:sz="4" w:space="0"/>
              <w:left w:val="single" w:color="auto" w:sz="4" w:space="0"/>
              <w:bottom w:val="single" w:color="auto" w:sz="4" w:space="0"/>
              <w:right w:val="single" w:color="auto" w:sz="4" w:space="0"/>
            </w:tcBorders>
            <w:vAlign w:val="center"/>
          </w:tcPr>
          <w:p w14:paraId="7F493D13">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09" w:type="pct"/>
            <w:tcBorders>
              <w:top w:val="single" w:color="auto" w:sz="4" w:space="0"/>
              <w:left w:val="single" w:color="auto" w:sz="4" w:space="0"/>
              <w:bottom w:val="single" w:color="auto" w:sz="4" w:space="0"/>
              <w:right w:val="single" w:color="auto" w:sz="4" w:space="0"/>
            </w:tcBorders>
            <w:vAlign w:val="center"/>
          </w:tcPr>
          <w:p w14:paraId="4A0D2107">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10" w:type="pct"/>
            <w:tcBorders>
              <w:top w:val="single" w:color="auto" w:sz="4" w:space="0"/>
              <w:left w:val="single" w:color="auto" w:sz="4" w:space="0"/>
              <w:bottom w:val="single" w:color="auto" w:sz="4" w:space="0"/>
              <w:right w:val="single" w:color="auto" w:sz="4" w:space="0"/>
            </w:tcBorders>
            <w:vAlign w:val="center"/>
          </w:tcPr>
          <w:p w14:paraId="34B9A29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10" w:type="pct"/>
            <w:tcBorders>
              <w:top w:val="single" w:color="auto" w:sz="4" w:space="0"/>
              <w:left w:val="single" w:color="auto" w:sz="4" w:space="0"/>
              <w:bottom w:val="single" w:color="auto" w:sz="4" w:space="0"/>
              <w:right w:val="single" w:color="auto" w:sz="4" w:space="0"/>
            </w:tcBorders>
            <w:vAlign w:val="center"/>
          </w:tcPr>
          <w:p w14:paraId="5F2AC14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05" w:type="pct"/>
            <w:tcBorders>
              <w:top w:val="single" w:color="auto" w:sz="4" w:space="0"/>
              <w:left w:val="single" w:color="auto" w:sz="4" w:space="0"/>
              <w:bottom w:val="single" w:color="auto" w:sz="4" w:space="0"/>
              <w:right w:val="single" w:color="auto" w:sz="4" w:space="0"/>
            </w:tcBorders>
            <w:vAlign w:val="center"/>
          </w:tcPr>
          <w:p w14:paraId="3D0AC19A">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20" w:type="pct"/>
            <w:tcBorders>
              <w:top w:val="single" w:color="auto" w:sz="4" w:space="0"/>
              <w:left w:val="single" w:color="auto" w:sz="4" w:space="0"/>
              <w:bottom w:val="single" w:color="auto" w:sz="4" w:space="0"/>
              <w:right w:val="single" w:color="auto" w:sz="4" w:space="0"/>
            </w:tcBorders>
            <w:vAlign w:val="center"/>
          </w:tcPr>
          <w:p w14:paraId="3C834309">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11.02</w:t>
            </w:r>
          </w:p>
        </w:tc>
        <w:tc>
          <w:tcPr>
            <w:tcW w:w="405" w:type="pct"/>
            <w:tcBorders>
              <w:top w:val="single" w:color="auto" w:sz="4" w:space="0"/>
              <w:left w:val="single" w:color="auto" w:sz="4" w:space="0"/>
              <w:bottom w:val="single" w:color="auto" w:sz="4" w:space="0"/>
              <w:right w:val="single" w:color="auto" w:sz="4" w:space="0"/>
            </w:tcBorders>
            <w:vAlign w:val="center"/>
          </w:tcPr>
          <w:p w14:paraId="6522AE6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0.17</w:t>
            </w:r>
          </w:p>
        </w:tc>
      </w:tr>
      <w:tr w14:paraId="664DAC67">
        <w:tblPrEx>
          <w:tblCellMar>
            <w:top w:w="0" w:type="dxa"/>
            <w:left w:w="108" w:type="dxa"/>
            <w:bottom w:w="0" w:type="dxa"/>
            <w:right w:w="108" w:type="dxa"/>
          </w:tblCellMar>
        </w:tblPrEx>
        <w:trPr>
          <w:trHeight w:val="285" w:hRule="atLeast"/>
        </w:trPr>
        <w:tc>
          <w:tcPr>
            <w:tcW w:w="438" w:type="pct"/>
            <w:vMerge w:val="continue"/>
            <w:tcBorders>
              <w:top w:val="single" w:color="auto" w:sz="4" w:space="0"/>
              <w:left w:val="single" w:color="auto" w:sz="4" w:space="0"/>
              <w:bottom w:val="single" w:color="auto" w:sz="4" w:space="0"/>
              <w:right w:val="single" w:color="auto" w:sz="4" w:space="0"/>
            </w:tcBorders>
            <w:vAlign w:val="center"/>
          </w:tcPr>
          <w:p w14:paraId="05D6C096">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p>
        </w:tc>
        <w:tc>
          <w:tcPr>
            <w:tcW w:w="467" w:type="pct"/>
            <w:tcBorders>
              <w:top w:val="single" w:color="auto" w:sz="4" w:space="0"/>
              <w:left w:val="single" w:color="auto" w:sz="4" w:space="0"/>
              <w:bottom w:val="single" w:color="auto" w:sz="4" w:space="0"/>
              <w:right w:val="single" w:color="auto" w:sz="4" w:space="0"/>
            </w:tcBorders>
            <w:vAlign w:val="center"/>
          </w:tcPr>
          <w:p w14:paraId="2842B445">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0.68</w:t>
            </w:r>
          </w:p>
        </w:tc>
        <w:tc>
          <w:tcPr>
            <w:tcW w:w="410" w:type="pct"/>
            <w:tcBorders>
              <w:top w:val="single" w:color="auto" w:sz="4" w:space="0"/>
              <w:left w:val="single" w:color="auto" w:sz="4" w:space="0"/>
              <w:bottom w:val="single" w:color="auto" w:sz="4" w:space="0"/>
              <w:right w:val="single" w:color="auto" w:sz="4" w:space="0"/>
            </w:tcBorders>
            <w:vAlign w:val="center"/>
          </w:tcPr>
          <w:p w14:paraId="151FFBD3">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83.09</w:t>
            </w:r>
          </w:p>
        </w:tc>
        <w:tc>
          <w:tcPr>
            <w:tcW w:w="405" w:type="pct"/>
            <w:tcBorders>
              <w:top w:val="single" w:color="auto" w:sz="4" w:space="0"/>
              <w:left w:val="single" w:color="auto" w:sz="4" w:space="0"/>
              <w:bottom w:val="single" w:color="auto" w:sz="4" w:space="0"/>
              <w:right w:val="single" w:color="auto" w:sz="4" w:space="0"/>
            </w:tcBorders>
            <w:vAlign w:val="center"/>
          </w:tcPr>
          <w:p w14:paraId="78D4F6DC">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7.76</w:t>
            </w:r>
          </w:p>
        </w:tc>
        <w:tc>
          <w:tcPr>
            <w:tcW w:w="409" w:type="pct"/>
            <w:tcBorders>
              <w:top w:val="single" w:color="auto" w:sz="4" w:space="0"/>
              <w:left w:val="single" w:color="auto" w:sz="4" w:space="0"/>
              <w:bottom w:val="single" w:color="auto" w:sz="4" w:space="0"/>
              <w:right w:val="single" w:color="auto" w:sz="4" w:space="0"/>
            </w:tcBorders>
            <w:vAlign w:val="center"/>
          </w:tcPr>
          <w:p w14:paraId="4D7045D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2.75</w:t>
            </w:r>
          </w:p>
        </w:tc>
        <w:tc>
          <w:tcPr>
            <w:tcW w:w="409" w:type="pct"/>
            <w:tcBorders>
              <w:top w:val="single" w:color="auto" w:sz="4" w:space="0"/>
              <w:left w:val="single" w:color="auto" w:sz="4" w:space="0"/>
              <w:bottom w:val="single" w:color="auto" w:sz="4" w:space="0"/>
              <w:right w:val="single" w:color="auto" w:sz="4" w:space="0"/>
            </w:tcBorders>
            <w:vAlign w:val="center"/>
          </w:tcPr>
          <w:p w14:paraId="525061CF">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09" w:type="pct"/>
            <w:tcBorders>
              <w:top w:val="single" w:color="auto" w:sz="4" w:space="0"/>
              <w:left w:val="single" w:color="auto" w:sz="4" w:space="0"/>
              <w:bottom w:val="single" w:color="auto" w:sz="4" w:space="0"/>
              <w:right w:val="single" w:color="auto" w:sz="4" w:space="0"/>
            </w:tcBorders>
            <w:vAlign w:val="center"/>
          </w:tcPr>
          <w:p w14:paraId="2AC31A86">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10" w:type="pct"/>
            <w:tcBorders>
              <w:top w:val="single" w:color="auto" w:sz="4" w:space="0"/>
              <w:left w:val="single" w:color="auto" w:sz="4" w:space="0"/>
              <w:bottom w:val="single" w:color="auto" w:sz="4" w:space="0"/>
              <w:right w:val="single" w:color="auto" w:sz="4" w:space="0"/>
            </w:tcBorders>
            <w:vAlign w:val="center"/>
          </w:tcPr>
          <w:p w14:paraId="08A017D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10" w:type="pct"/>
            <w:tcBorders>
              <w:top w:val="single" w:color="auto" w:sz="4" w:space="0"/>
              <w:left w:val="single" w:color="auto" w:sz="4" w:space="0"/>
              <w:bottom w:val="single" w:color="auto" w:sz="4" w:space="0"/>
              <w:right w:val="single" w:color="auto" w:sz="4" w:space="0"/>
            </w:tcBorders>
            <w:vAlign w:val="center"/>
          </w:tcPr>
          <w:p w14:paraId="5E850D58">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05" w:type="pct"/>
            <w:tcBorders>
              <w:top w:val="single" w:color="auto" w:sz="4" w:space="0"/>
              <w:left w:val="single" w:color="auto" w:sz="4" w:space="0"/>
              <w:bottom w:val="single" w:color="auto" w:sz="4" w:space="0"/>
              <w:right w:val="single" w:color="auto" w:sz="4" w:space="0"/>
            </w:tcBorders>
            <w:vAlign w:val="center"/>
          </w:tcPr>
          <w:p w14:paraId="627FEF3A">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w:t>
            </w:r>
          </w:p>
        </w:tc>
        <w:tc>
          <w:tcPr>
            <w:tcW w:w="420" w:type="pct"/>
            <w:tcBorders>
              <w:top w:val="single" w:color="auto" w:sz="4" w:space="0"/>
              <w:left w:val="single" w:color="auto" w:sz="4" w:space="0"/>
              <w:bottom w:val="single" w:color="auto" w:sz="4" w:space="0"/>
              <w:right w:val="single" w:color="auto" w:sz="4" w:space="0"/>
            </w:tcBorders>
            <w:vAlign w:val="center"/>
          </w:tcPr>
          <w:p w14:paraId="138402A8">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3.5</w:t>
            </w:r>
          </w:p>
        </w:tc>
        <w:tc>
          <w:tcPr>
            <w:tcW w:w="405" w:type="pct"/>
            <w:tcBorders>
              <w:top w:val="single" w:color="auto" w:sz="4" w:space="0"/>
              <w:left w:val="single" w:color="auto" w:sz="4" w:space="0"/>
              <w:bottom w:val="single" w:color="auto" w:sz="4" w:space="0"/>
              <w:right w:val="single" w:color="auto" w:sz="4" w:space="0"/>
            </w:tcBorders>
            <w:vAlign w:val="center"/>
          </w:tcPr>
          <w:p w14:paraId="364FBA3F">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0.18</w:t>
            </w:r>
          </w:p>
        </w:tc>
      </w:tr>
      <w:tr w14:paraId="3F98EE61">
        <w:tblPrEx>
          <w:tblCellMar>
            <w:top w:w="0" w:type="dxa"/>
            <w:left w:w="108" w:type="dxa"/>
            <w:bottom w:w="0" w:type="dxa"/>
            <w:right w:w="108" w:type="dxa"/>
          </w:tblCellMar>
        </w:tblPrEx>
        <w:trPr>
          <w:trHeight w:val="285" w:hRule="atLeast"/>
        </w:trPr>
        <w:tc>
          <w:tcPr>
            <w:tcW w:w="438" w:type="pct"/>
            <w:tcBorders>
              <w:top w:val="single" w:color="auto" w:sz="4" w:space="0"/>
              <w:left w:val="single" w:color="auto" w:sz="4" w:space="0"/>
              <w:bottom w:val="single" w:color="auto" w:sz="4" w:space="0"/>
              <w:right w:val="single" w:color="auto" w:sz="4" w:space="0"/>
            </w:tcBorders>
            <w:vAlign w:val="center"/>
          </w:tcPr>
          <w:p w14:paraId="48600E27">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夏72</w:t>
            </w:r>
          </w:p>
        </w:tc>
        <w:tc>
          <w:tcPr>
            <w:tcW w:w="467" w:type="pct"/>
            <w:tcBorders>
              <w:top w:val="single" w:color="auto" w:sz="4" w:space="0"/>
              <w:left w:val="single" w:color="auto" w:sz="4" w:space="0"/>
              <w:bottom w:val="single" w:color="auto" w:sz="4" w:space="0"/>
              <w:right w:val="single" w:color="auto" w:sz="4" w:space="0"/>
            </w:tcBorders>
            <w:vAlign w:val="center"/>
          </w:tcPr>
          <w:p w14:paraId="43DDB801">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0.68</w:t>
            </w:r>
          </w:p>
        </w:tc>
        <w:tc>
          <w:tcPr>
            <w:tcW w:w="410" w:type="pct"/>
            <w:tcBorders>
              <w:top w:val="single" w:color="auto" w:sz="4" w:space="0"/>
              <w:left w:val="single" w:color="auto" w:sz="4" w:space="0"/>
              <w:bottom w:val="single" w:color="auto" w:sz="4" w:space="0"/>
              <w:right w:val="single" w:color="auto" w:sz="4" w:space="0"/>
            </w:tcBorders>
            <w:vAlign w:val="center"/>
          </w:tcPr>
          <w:p w14:paraId="4DED49C5">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82.2</w:t>
            </w:r>
          </w:p>
        </w:tc>
        <w:tc>
          <w:tcPr>
            <w:tcW w:w="405" w:type="pct"/>
            <w:tcBorders>
              <w:top w:val="single" w:color="auto" w:sz="4" w:space="0"/>
              <w:left w:val="single" w:color="auto" w:sz="4" w:space="0"/>
              <w:bottom w:val="single" w:color="auto" w:sz="4" w:space="0"/>
              <w:right w:val="single" w:color="auto" w:sz="4" w:space="0"/>
            </w:tcBorders>
            <w:vAlign w:val="center"/>
          </w:tcPr>
          <w:p w14:paraId="77C3E552">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5.85</w:t>
            </w:r>
          </w:p>
        </w:tc>
        <w:tc>
          <w:tcPr>
            <w:tcW w:w="409" w:type="pct"/>
            <w:tcBorders>
              <w:top w:val="single" w:color="auto" w:sz="4" w:space="0"/>
              <w:left w:val="single" w:color="auto" w:sz="4" w:space="0"/>
              <w:bottom w:val="single" w:color="auto" w:sz="4" w:space="0"/>
              <w:right w:val="single" w:color="auto" w:sz="4" w:space="0"/>
            </w:tcBorders>
            <w:vAlign w:val="center"/>
          </w:tcPr>
          <w:p w14:paraId="31A75C02">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3.21</w:t>
            </w:r>
          </w:p>
        </w:tc>
        <w:tc>
          <w:tcPr>
            <w:tcW w:w="409" w:type="pct"/>
            <w:tcBorders>
              <w:top w:val="single" w:color="auto" w:sz="4" w:space="0"/>
              <w:left w:val="single" w:color="auto" w:sz="4" w:space="0"/>
              <w:bottom w:val="single" w:color="auto" w:sz="4" w:space="0"/>
              <w:right w:val="single" w:color="auto" w:sz="4" w:space="0"/>
            </w:tcBorders>
            <w:vAlign w:val="center"/>
          </w:tcPr>
          <w:p w14:paraId="0800C88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0.95</w:t>
            </w:r>
          </w:p>
        </w:tc>
        <w:tc>
          <w:tcPr>
            <w:tcW w:w="409" w:type="pct"/>
            <w:tcBorders>
              <w:top w:val="single" w:color="auto" w:sz="4" w:space="0"/>
              <w:left w:val="single" w:color="auto" w:sz="4" w:space="0"/>
              <w:bottom w:val="single" w:color="auto" w:sz="4" w:space="0"/>
              <w:right w:val="single" w:color="auto" w:sz="4" w:space="0"/>
            </w:tcBorders>
            <w:vAlign w:val="center"/>
          </w:tcPr>
          <w:p w14:paraId="74384D48">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1.04</w:t>
            </w:r>
          </w:p>
        </w:tc>
        <w:tc>
          <w:tcPr>
            <w:tcW w:w="410" w:type="pct"/>
            <w:tcBorders>
              <w:top w:val="single" w:color="auto" w:sz="4" w:space="0"/>
              <w:left w:val="single" w:color="auto" w:sz="4" w:space="0"/>
              <w:bottom w:val="single" w:color="auto" w:sz="4" w:space="0"/>
              <w:right w:val="single" w:color="auto" w:sz="4" w:space="0"/>
            </w:tcBorders>
            <w:vAlign w:val="center"/>
          </w:tcPr>
          <w:p w14:paraId="7F1616FA">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0.36</w:t>
            </w:r>
          </w:p>
        </w:tc>
        <w:tc>
          <w:tcPr>
            <w:tcW w:w="410" w:type="pct"/>
            <w:tcBorders>
              <w:top w:val="single" w:color="auto" w:sz="4" w:space="0"/>
              <w:left w:val="single" w:color="auto" w:sz="4" w:space="0"/>
              <w:bottom w:val="single" w:color="auto" w:sz="4" w:space="0"/>
              <w:right w:val="single" w:color="auto" w:sz="4" w:space="0"/>
            </w:tcBorders>
            <w:vAlign w:val="center"/>
          </w:tcPr>
          <w:p w14:paraId="368DEC39">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0.25</w:t>
            </w:r>
          </w:p>
        </w:tc>
        <w:tc>
          <w:tcPr>
            <w:tcW w:w="405" w:type="pct"/>
            <w:tcBorders>
              <w:top w:val="single" w:color="auto" w:sz="4" w:space="0"/>
              <w:left w:val="single" w:color="auto" w:sz="4" w:space="0"/>
              <w:bottom w:val="single" w:color="auto" w:sz="4" w:space="0"/>
              <w:right w:val="single" w:color="auto" w:sz="4" w:space="0"/>
            </w:tcBorders>
            <w:vAlign w:val="center"/>
          </w:tcPr>
          <w:p w14:paraId="22A51FE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w:t>
            </w:r>
          </w:p>
        </w:tc>
        <w:tc>
          <w:tcPr>
            <w:tcW w:w="420" w:type="pct"/>
            <w:tcBorders>
              <w:top w:val="single" w:color="auto" w:sz="4" w:space="0"/>
              <w:left w:val="single" w:color="auto" w:sz="4" w:space="0"/>
              <w:bottom w:val="single" w:color="auto" w:sz="4" w:space="0"/>
              <w:right w:val="single" w:color="auto" w:sz="4" w:space="0"/>
            </w:tcBorders>
            <w:vAlign w:val="center"/>
          </w:tcPr>
          <w:p w14:paraId="32AE3BF1">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5.92</w:t>
            </w:r>
          </w:p>
        </w:tc>
        <w:tc>
          <w:tcPr>
            <w:tcW w:w="405" w:type="pct"/>
            <w:tcBorders>
              <w:top w:val="single" w:color="auto" w:sz="4" w:space="0"/>
              <w:left w:val="single" w:color="auto" w:sz="4" w:space="0"/>
              <w:bottom w:val="single" w:color="auto" w:sz="4" w:space="0"/>
              <w:right w:val="single" w:color="auto" w:sz="4" w:space="0"/>
            </w:tcBorders>
            <w:vAlign w:val="center"/>
          </w:tcPr>
          <w:p w14:paraId="1ED568D1">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0.07</w:t>
            </w:r>
          </w:p>
        </w:tc>
      </w:tr>
    </w:tbl>
    <w:p w14:paraId="6872AA1D">
      <w:pPr>
        <w:pStyle w:val="6"/>
        <w:bidi w:val="0"/>
        <w:rPr>
          <w:rFonts w:hint="default"/>
          <w:color w:val="auto"/>
          <w:lang w:val="en-US" w:eastAsia="zh-CN"/>
        </w:rPr>
      </w:pPr>
      <w:r>
        <w:rPr>
          <w:rFonts w:hint="eastAsia"/>
          <w:color w:val="auto"/>
          <w:lang w:val="en-US" w:eastAsia="zh-CN"/>
        </w:rPr>
        <w:t>3.1.1.3采出水物性</w:t>
      </w:r>
    </w:p>
    <w:p w14:paraId="7E7A42C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lang w:val="en-US" w:eastAsia="zh-CN"/>
        </w:rPr>
        <w:t>玛131井区、玛18井区、玛2井区、百厂探区采出水物性见表3.1-3。</w:t>
      </w:r>
    </w:p>
    <w:p w14:paraId="42C05104">
      <w:pPr>
        <w:pStyle w:val="43"/>
        <w:bidi w:val="0"/>
        <w:rPr>
          <w:rFonts w:hint="default" w:ascii="Times New Roman" w:hAnsi="Times New Roman" w:eastAsia="宋体"/>
          <w:color w:val="auto"/>
        </w:rPr>
      </w:pPr>
      <w:bookmarkStart w:id="147" w:name="_Ref159356340"/>
      <w:r>
        <w:rPr>
          <w:rFonts w:hint="default" w:ascii="Times New Roman" w:hAnsi="Times New Roman" w:eastAsia="宋体"/>
          <w:color w:val="auto"/>
        </w:rPr>
        <w:t>表</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STYLEREF 2 \s </w:instrText>
      </w:r>
      <w:r>
        <w:rPr>
          <w:rFonts w:hint="default" w:ascii="Times New Roman" w:hAnsi="Times New Roman" w:eastAsia="宋体"/>
          <w:color w:val="auto"/>
        </w:rPr>
        <w:fldChar w:fldCharType="separate"/>
      </w:r>
      <w:r>
        <w:rPr>
          <w:rFonts w:hint="default" w:ascii="Times New Roman" w:hAnsi="Times New Roman" w:eastAsia="宋体"/>
          <w:color w:val="auto"/>
        </w:rPr>
        <w:t>3.</w:t>
      </w:r>
      <w:r>
        <w:rPr>
          <w:rFonts w:hint="eastAsia"/>
          <w:color w:val="auto"/>
          <w:lang w:val="en-US" w:eastAsia="zh-CN"/>
        </w:rPr>
        <w:t>1</w:t>
      </w:r>
      <w:r>
        <w:rPr>
          <w:rFonts w:hint="default" w:ascii="Times New Roman" w:hAnsi="Times New Roman" w:eastAsia="宋体"/>
          <w:color w:val="auto"/>
        </w:rPr>
        <w:fldChar w:fldCharType="end"/>
      </w:r>
      <w:bookmarkEnd w:id="147"/>
      <w:r>
        <w:rPr>
          <w:rFonts w:hint="eastAsia"/>
          <w:color w:val="auto"/>
          <w:lang w:val="en-US" w:eastAsia="zh-CN"/>
        </w:rPr>
        <w:t>-3</w:t>
      </w:r>
      <w:r>
        <w:rPr>
          <w:rFonts w:hint="default" w:ascii="Times New Roman" w:hAnsi="Times New Roman" w:eastAsia="宋体"/>
          <w:color w:val="auto"/>
        </w:rPr>
        <w:t xml:space="preserve"> </w:t>
      </w:r>
      <w:r>
        <w:rPr>
          <w:rFonts w:hint="eastAsia" w:ascii="Times New Roman" w:hAnsi="Times New Roman" w:eastAsia="宋体"/>
          <w:color w:val="auto"/>
          <w:lang w:val="en-US" w:eastAsia="zh-CN"/>
        </w:rPr>
        <w:t xml:space="preserve"> </w:t>
      </w:r>
      <w:r>
        <w:rPr>
          <w:rFonts w:hint="default" w:ascii="Times New Roman" w:hAnsi="Times New Roman" w:eastAsia="宋体"/>
          <w:color w:val="auto"/>
        </w:rPr>
        <w:t>百口泉采油厂地层水性质参考表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2295"/>
        <w:gridCol w:w="2496"/>
        <w:gridCol w:w="2181"/>
      </w:tblGrid>
      <w:tr w14:paraId="6C35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Align w:val="center"/>
          </w:tcPr>
          <w:p w14:paraId="6CC93EF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eastAsia="宋体" w:cs="Times New Roman"/>
                <w:b/>
                <w:bCs/>
                <w:snapToGrid w:val="0"/>
                <w:color w:val="auto"/>
                <w:kern w:val="2"/>
                <w:sz w:val="21"/>
                <w:szCs w:val="21"/>
                <w:shd w:val="clear" w:color="auto" w:fill="FFFFFF"/>
                <w:lang w:val="en-US" w:eastAsia="zh-CN"/>
              </w:rPr>
            </w:pPr>
            <w:r>
              <w:rPr>
                <w:rFonts w:hint="eastAsia" w:ascii="Times New Roman" w:hAnsi="Times New Roman" w:cs="Times New Roman"/>
                <w:b/>
                <w:bCs/>
                <w:snapToGrid w:val="0"/>
                <w:color w:val="auto"/>
                <w:kern w:val="2"/>
                <w:sz w:val="21"/>
                <w:szCs w:val="21"/>
                <w:shd w:val="clear" w:color="auto" w:fill="FFFFFF"/>
                <w:lang w:val="en-US" w:eastAsia="zh-CN"/>
              </w:rPr>
              <w:t>井区</w:t>
            </w:r>
          </w:p>
        </w:tc>
        <w:tc>
          <w:tcPr>
            <w:tcW w:w="1346" w:type="pct"/>
            <w:vAlign w:val="center"/>
          </w:tcPr>
          <w:p w14:paraId="10AA309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密度g/cm</w:t>
            </w:r>
            <w:r>
              <w:rPr>
                <w:rFonts w:hint="default" w:ascii="Times New Roman" w:hAnsi="Times New Roman" w:eastAsia="宋体" w:cs="Times New Roman"/>
                <w:b/>
                <w:bCs/>
                <w:snapToGrid w:val="0"/>
                <w:color w:val="auto"/>
                <w:kern w:val="2"/>
                <w:sz w:val="21"/>
                <w:szCs w:val="21"/>
                <w:shd w:val="clear" w:color="auto" w:fill="FFFFFF"/>
                <w:vertAlign w:val="superscript"/>
              </w:rPr>
              <w:t>3</w:t>
            </w:r>
          </w:p>
        </w:tc>
        <w:tc>
          <w:tcPr>
            <w:tcW w:w="1464" w:type="pct"/>
            <w:vAlign w:val="center"/>
          </w:tcPr>
          <w:p w14:paraId="5C0FC0D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矿化度mg/L</w:t>
            </w:r>
          </w:p>
        </w:tc>
        <w:tc>
          <w:tcPr>
            <w:tcW w:w="1279" w:type="pct"/>
            <w:vAlign w:val="center"/>
          </w:tcPr>
          <w:p w14:paraId="02D1DE8F">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
                <w:bCs/>
                <w:snapToGrid w:val="0"/>
                <w:color w:val="auto"/>
                <w:kern w:val="2"/>
                <w:sz w:val="21"/>
                <w:szCs w:val="21"/>
                <w:shd w:val="clear" w:color="auto" w:fill="FFFFFF"/>
              </w:rPr>
            </w:pPr>
            <w:r>
              <w:rPr>
                <w:rFonts w:hint="default" w:ascii="Times New Roman" w:hAnsi="Times New Roman" w:eastAsia="宋体" w:cs="Times New Roman"/>
                <w:b/>
                <w:bCs/>
                <w:snapToGrid w:val="0"/>
                <w:color w:val="auto"/>
                <w:kern w:val="2"/>
                <w:sz w:val="21"/>
                <w:szCs w:val="21"/>
                <w:shd w:val="clear" w:color="auto" w:fill="FFFFFF"/>
              </w:rPr>
              <w:t>水型</w:t>
            </w:r>
          </w:p>
        </w:tc>
      </w:tr>
      <w:tr w14:paraId="2BAC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Align w:val="center"/>
          </w:tcPr>
          <w:p w14:paraId="62BDEA8D">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玛131</w:t>
            </w:r>
          </w:p>
        </w:tc>
        <w:tc>
          <w:tcPr>
            <w:tcW w:w="1346" w:type="pct"/>
            <w:vAlign w:val="center"/>
          </w:tcPr>
          <w:p w14:paraId="5F4B384D">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1.018</w:t>
            </w:r>
          </w:p>
        </w:tc>
        <w:tc>
          <w:tcPr>
            <w:tcW w:w="1464" w:type="pct"/>
            <w:vAlign w:val="center"/>
          </w:tcPr>
          <w:p w14:paraId="7FBDA3E3">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10000</w:t>
            </w:r>
          </w:p>
        </w:tc>
        <w:tc>
          <w:tcPr>
            <w:tcW w:w="1279" w:type="pct"/>
            <w:vAlign w:val="center"/>
          </w:tcPr>
          <w:p w14:paraId="42ED9003">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CaCl</w:t>
            </w:r>
            <w:r>
              <w:rPr>
                <w:rFonts w:hint="default" w:ascii="Times New Roman" w:hAnsi="Times New Roman" w:eastAsia="宋体" w:cs="Times New Roman"/>
                <w:snapToGrid w:val="0"/>
                <w:color w:val="auto"/>
                <w:kern w:val="2"/>
                <w:sz w:val="21"/>
                <w:szCs w:val="21"/>
                <w:shd w:val="clear" w:color="auto" w:fill="FFFFFF"/>
                <w:vertAlign w:val="subscript"/>
              </w:rPr>
              <w:t>2</w:t>
            </w:r>
          </w:p>
        </w:tc>
      </w:tr>
      <w:tr w14:paraId="729D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Align w:val="center"/>
          </w:tcPr>
          <w:p w14:paraId="0D87A38A">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玛18</w:t>
            </w:r>
          </w:p>
        </w:tc>
        <w:tc>
          <w:tcPr>
            <w:tcW w:w="1346" w:type="pct"/>
            <w:vAlign w:val="center"/>
          </w:tcPr>
          <w:p w14:paraId="583E87A9">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1.021</w:t>
            </w:r>
          </w:p>
        </w:tc>
        <w:tc>
          <w:tcPr>
            <w:tcW w:w="1464" w:type="pct"/>
            <w:vAlign w:val="center"/>
          </w:tcPr>
          <w:p w14:paraId="14A1F059">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10000</w:t>
            </w:r>
          </w:p>
        </w:tc>
        <w:tc>
          <w:tcPr>
            <w:tcW w:w="1279" w:type="pct"/>
            <w:vAlign w:val="center"/>
          </w:tcPr>
          <w:p w14:paraId="2FA67A87">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CaCl</w:t>
            </w:r>
            <w:r>
              <w:rPr>
                <w:rFonts w:hint="default" w:ascii="Times New Roman" w:hAnsi="Times New Roman" w:eastAsia="宋体" w:cs="Times New Roman"/>
                <w:snapToGrid w:val="0"/>
                <w:color w:val="auto"/>
                <w:kern w:val="2"/>
                <w:sz w:val="21"/>
                <w:szCs w:val="21"/>
                <w:shd w:val="clear" w:color="auto" w:fill="FFFFFF"/>
                <w:vertAlign w:val="subscript"/>
              </w:rPr>
              <w:t>2</w:t>
            </w:r>
          </w:p>
        </w:tc>
      </w:tr>
      <w:tr w14:paraId="2B82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Align w:val="center"/>
          </w:tcPr>
          <w:p w14:paraId="20825757">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玛2</w:t>
            </w:r>
          </w:p>
        </w:tc>
        <w:tc>
          <w:tcPr>
            <w:tcW w:w="1346" w:type="pct"/>
            <w:vAlign w:val="center"/>
          </w:tcPr>
          <w:p w14:paraId="10175977">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1.036</w:t>
            </w:r>
          </w:p>
        </w:tc>
        <w:tc>
          <w:tcPr>
            <w:tcW w:w="1464" w:type="pct"/>
            <w:vAlign w:val="center"/>
          </w:tcPr>
          <w:p w14:paraId="14732231">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9340.48</w:t>
            </w:r>
          </w:p>
        </w:tc>
        <w:tc>
          <w:tcPr>
            <w:tcW w:w="1279" w:type="pct"/>
            <w:vAlign w:val="center"/>
          </w:tcPr>
          <w:p w14:paraId="32189B1F">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rPr>
            </w:pPr>
            <w:r>
              <w:rPr>
                <w:rFonts w:hint="default" w:ascii="Times New Roman" w:hAnsi="Times New Roman" w:eastAsia="宋体" w:cs="Times New Roman"/>
                <w:snapToGrid w:val="0"/>
                <w:color w:val="auto"/>
                <w:kern w:val="2"/>
                <w:sz w:val="21"/>
                <w:szCs w:val="21"/>
                <w:shd w:val="clear" w:color="auto" w:fill="FFFFFF"/>
              </w:rPr>
              <w:t>CaCl</w:t>
            </w:r>
            <w:r>
              <w:rPr>
                <w:rFonts w:hint="default" w:ascii="Times New Roman" w:hAnsi="Times New Roman" w:eastAsia="宋体" w:cs="Times New Roman"/>
                <w:snapToGrid w:val="0"/>
                <w:color w:val="auto"/>
                <w:kern w:val="2"/>
                <w:sz w:val="21"/>
                <w:szCs w:val="21"/>
                <w:shd w:val="clear" w:color="auto" w:fill="FFFFFF"/>
                <w:vertAlign w:val="subscript"/>
              </w:rPr>
              <w:t>2</w:t>
            </w:r>
          </w:p>
        </w:tc>
      </w:tr>
      <w:tr w14:paraId="113D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Align w:val="center"/>
          </w:tcPr>
          <w:p w14:paraId="5F54A0B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夏72</w:t>
            </w:r>
          </w:p>
        </w:tc>
        <w:tc>
          <w:tcPr>
            <w:tcW w:w="1346" w:type="pct"/>
            <w:vAlign w:val="center"/>
          </w:tcPr>
          <w:p w14:paraId="61157594">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1.0159</w:t>
            </w:r>
          </w:p>
        </w:tc>
        <w:tc>
          <w:tcPr>
            <w:tcW w:w="1464" w:type="pct"/>
            <w:vAlign w:val="center"/>
          </w:tcPr>
          <w:p w14:paraId="0C7CEE90">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14868.44</w:t>
            </w:r>
          </w:p>
        </w:tc>
        <w:tc>
          <w:tcPr>
            <w:tcW w:w="1279" w:type="pct"/>
            <w:vAlign w:val="center"/>
          </w:tcPr>
          <w:p w14:paraId="378D62EB">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NaHCO</w:t>
            </w:r>
            <w:r>
              <w:rPr>
                <w:rFonts w:hint="eastAsia" w:ascii="Times New Roman" w:hAnsi="Times New Roman" w:cs="Times New Roman"/>
                <w:snapToGrid w:val="0"/>
                <w:color w:val="auto"/>
                <w:kern w:val="2"/>
                <w:sz w:val="21"/>
                <w:szCs w:val="21"/>
                <w:shd w:val="clear" w:color="auto" w:fill="FFFFFF"/>
                <w:vertAlign w:val="subscript"/>
                <w:lang w:val="en-US" w:eastAsia="zh-CN"/>
              </w:rPr>
              <w:t>3</w:t>
            </w:r>
          </w:p>
        </w:tc>
      </w:tr>
      <w:tr w14:paraId="31CB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Merge w:val="restart"/>
            <w:vAlign w:val="center"/>
          </w:tcPr>
          <w:p w14:paraId="0C4CBA94">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百厂探区</w:t>
            </w:r>
          </w:p>
        </w:tc>
        <w:tc>
          <w:tcPr>
            <w:tcW w:w="1346" w:type="pct"/>
            <w:vAlign w:val="center"/>
          </w:tcPr>
          <w:p w14:paraId="1BD70DF6">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w:t>
            </w:r>
          </w:p>
        </w:tc>
        <w:tc>
          <w:tcPr>
            <w:tcW w:w="1464" w:type="pct"/>
            <w:vAlign w:val="center"/>
          </w:tcPr>
          <w:p w14:paraId="07895B6F">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64814.56</w:t>
            </w:r>
          </w:p>
        </w:tc>
        <w:tc>
          <w:tcPr>
            <w:tcW w:w="1279" w:type="pct"/>
            <w:vAlign w:val="center"/>
          </w:tcPr>
          <w:p w14:paraId="5477AF48">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Na</w:t>
            </w:r>
            <w:r>
              <w:rPr>
                <w:rFonts w:hint="eastAsia" w:ascii="Times New Roman" w:hAnsi="Times New Roman" w:cs="Times New Roman"/>
                <w:snapToGrid w:val="0"/>
                <w:color w:val="auto"/>
                <w:kern w:val="2"/>
                <w:sz w:val="21"/>
                <w:szCs w:val="21"/>
                <w:shd w:val="clear" w:color="auto" w:fill="FFFFFF"/>
                <w:vertAlign w:val="subscript"/>
                <w:lang w:val="en-US" w:eastAsia="zh-CN"/>
              </w:rPr>
              <w:t>2</w:t>
            </w:r>
            <w:r>
              <w:rPr>
                <w:rFonts w:hint="eastAsia" w:ascii="Times New Roman" w:hAnsi="Times New Roman" w:cs="Times New Roman"/>
                <w:snapToGrid w:val="0"/>
                <w:color w:val="auto"/>
                <w:kern w:val="2"/>
                <w:sz w:val="21"/>
                <w:szCs w:val="21"/>
                <w:shd w:val="clear" w:color="auto" w:fill="FFFFFF"/>
                <w:lang w:val="en-US" w:eastAsia="zh-CN"/>
              </w:rPr>
              <w:t>SO</w:t>
            </w:r>
            <w:r>
              <w:rPr>
                <w:rFonts w:hint="eastAsia" w:ascii="Times New Roman" w:hAnsi="Times New Roman" w:cs="Times New Roman"/>
                <w:snapToGrid w:val="0"/>
                <w:color w:val="auto"/>
                <w:kern w:val="2"/>
                <w:sz w:val="21"/>
                <w:szCs w:val="21"/>
                <w:shd w:val="clear" w:color="auto" w:fill="FFFFFF"/>
                <w:vertAlign w:val="subscript"/>
                <w:lang w:val="en-US" w:eastAsia="zh-CN"/>
              </w:rPr>
              <w:t>4</w:t>
            </w:r>
          </w:p>
        </w:tc>
      </w:tr>
      <w:tr w14:paraId="2099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Merge w:val="continue"/>
            <w:vAlign w:val="center"/>
          </w:tcPr>
          <w:p w14:paraId="79EAEFEE">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cs="Times New Roman"/>
                <w:snapToGrid w:val="0"/>
                <w:color w:val="auto"/>
                <w:kern w:val="2"/>
                <w:sz w:val="21"/>
                <w:szCs w:val="21"/>
                <w:shd w:val="clear" w:color="auto" w:fill="FFFFFF"/>
                <w:lang w:val="en-US" w:eastAsia="zh-CN"/>
              </w:rPr>
            </w:pPr>
          </w:p>
        </w:tc>
        <w:tc>
          <w:tcPr>
            <w:tcW w:w="1346" w:type="pct"/>
            <w:vAlign w:val="center"/>
          </w:tcPr>
          <w:p w14:paraId="65A48571">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w:t>
            </w:r>
          </w:p>
        </w:tc>
        <w:tc>
          <w:tcPr>
            <w:tcW w:w="1464" w:type="pct"/>
            <w:vAlign w:val="center"/>
          </w:tcPr>
          <w:p w14:paraId="62C5D837">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3789.13</w:t>
            </w:r>
          </w:p>
        </w:tc>
        <w:tc>
          <w:tcPr>
            <w:tcW w:w="1279" w:type="pct"/>
            <w:vAlign w:val="center"/>
          </w:tcPr>
          <w:p w14:paraId="28F4E12F">
            <w:pPr>
              <w:pStyle w:val="24"/>
              <w:keepNext w:val="0"/>
              <w:keepLines w:val="0"/>
              <w:pageBreakBefore w:val="0"/>
              <w:widowControl w:val="0"/>
              <w:tabs>
                <w:tab w:val="left" w:pos="2028"/>
              </w:tabs>
              <w:kinsoku/>
              <w:wordWrap/>
              <w:overflowPunct/>
              <w:topLinePunct w:val="0"/>
              <w:autoSpaceDE/>
              <w:autoSpaceDN/>
              <w:bidi w:val="0"/>
              <w:adjustRightInd w:val="0"/>
              <w:snapToGrid w:val="0"/>
              <w:spacing w:before="0" w:beforeAutospacing="0" w:after="0" w:afterAutospacing="0"/>
              <w:jc w:val="center"/>
              <w:textAlignment w:val="auto"/>
              <w:rPr>
                <w:rFonts w:hint="eastAsia" w:ascii="Times New Roman" w:hAnsi="Times New Roman" w:cs="Times New Roman"/>
                <w:snapToGrid w:val="0"/>
                <w:color w:val="auto"/>
                <w:kern w:val="2"/>
                <w:sz w:val="21"/>
                <w:szCs w:val="21"/>
                <w:shd w:val="clear" w:color="auto" w:fill="FFFFFF"/>
                <w:lang w:val="en-US" w:eastAsia="zh-CN"/>
              </w:rPr>
            </w:pPr>
            <w:r>
              <w:rPr>
                <w:rFonts w:hint="eastAsia" w:ascii="Times New Roman" w:hAnsi="Times New Roman" w:cs="Times New Roman"/>
                <w:snapToGrid w:val="0"/>
                <w:color w:val="auto"/>
                <w:kern w:val="2"/>
                <w:sz w:val="21"/>
                <w:szCs w:val="21"/>
                <w:shd w:val="clear" w:color="auto" w:fill="FFFFFF"/>
                <w:lang w:val="en-US" w:eastAsia="zh-CN"/>
              </w:rPr>
              <w:t>NaHCO</w:t>
            </w:r>
            <w:r>
              <w:rPr>
                <w:rFonts w:hint="eastAsia" w:ascii="Times New Roman" w:hAnsi="Times New Roman" w:cs="Times New Roman"/>
                <w:snapToGrid w:val="0"/>
                <w:color w:val="auto"/>
                <w:kern w:val="2"/>
                <w:sz w:val="21"/>
                <w:szCs w:val="21"/>
                <w:shd w:val="clear" w:color="auto" w:fill="FFFFFF"/>
                <w:vertAlign w:val="subscript"/>
                <w:lang w:val="en-US" w:eastAsia="zh-CN"/>
              </w:rPr>
              <w:t>3</w:t>
            </w:r>
          </w:p>
        </w:tc>
      </w:tr>
    </w:tbl>
    <w:p w14:paraId="1FCA60A1">
      <w:pPr>
        <w:pStyle w:val="5"/>
        <w:bidi w:val="0"/>
        <w:rPr>
          <w:rFonts w:hint="default"/>
          <w:color w:val="auto"/>
          <w:lang w:val="en-US" w:eastAsia="zh-CN"/>
        </w:rPr>
      </w:pPr>
      <w:r>
        <w:rPr>
          <w:rFonts w:hint="eastAsia"/>
          <w:color w:val="auto"/>
          <w:lang w:val="en-US" w:eastAsia="zh-CN"/>
        </w:rPr>
        <w:t>3.1.2区块环保手续履行情况</w:t>
      </w:r>
    </w:p>
    <w:p w14:paraId="2F9159C2">
      <w:pPr>
        <w:pStyle w:val="6"/>
        <w:bidi w:val="0"/>
        <w:rPr>
          <w:rFonts w:hint="default"/>
          <w:color w:val="auto"/>
          <w:lang w:val="en-US" w:eastAsia="zh-CN"/>
        </w:rPr>
      </w:pPr>
      <w:r>
        <w:rPr>
          <w:rFonts w:hint="eastAsia"/>
          <w:color w:val="auto"/>
          <w:lang w:val="en-US" w:eastAsia="zh-CN"/>
        </w:rPr>
        <w:t>3.1.2.1环境影响评价手续</w:t>
      </w:r>
    </w:p>
    <w:p w14:paraId="792A8CB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本工程涉及的百口泉注输联合站位于克拉玛依市乌尔禾区，属于百21采油作业区，为本工程的依托工程，在依托工程内容单独分析。本工程共涉及5个区块（玛131井区、玛18井区、玛2井区、夏72井区和百厂探区），除百厂探区外其余各区块均按照国家法律法规开展了区块环境影响评价和环保竣工验收，百厂探区仅开展过评价井勘探环境影响评价工作。</w:t>
      </w:r>
    </w:p>
    <w:p w14:paraId="2643746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lang w:val="en-US" w:eastAsia="zh-CN"/>
        </w:rPr>
        <w:t>玛131井区</w:t>
      </w:r>
    </w:p>
    <w:p w14:paraId="33EFE31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玛131井区于2015年开展了《玛北斜坡区玛131井区百口泉组油藏开发建设工程环境影响报告书》，2015年5月18日取得原新疆维吾尔自治区环保厅批复（新环函</w:t>
      </w:r>
      <w:r>
        <w:rPr>
          <w:rFonts w:hint="eastAsia" w:ascii="宋体" w:hAnsi="宋体" w:eastAsia="宋体" w:cs="宋体"/>
          <w:color w:val="auto"/>
          <w:sz w:val="24"/>
          <w:szCs w:val="24"/>
        </w:rPr>
        <w:t>〔</w:t>
      </w:r>
      <w:r>
        <w:rPr>
          <w:rFonts w:hint="eastAsia"/>
          <w:color w:val="auto"/>
          <w:sz w:val="24"/>
          <w:szCs w:val="24"/>
        </w:rPr>
        <w:t>2015</w:t>
      </w:r>
      <w:r>
        <w:rPr>
          <w:rFonts w:hint="eastAsia" w:ascii="宋体" w:hAnsi="宋体" w:eastAsia="宋体" w:cs="宋体"/>
          <w:color w:val="auto"/>
          <w:sz w:val="24"/>
          <w:szCs w:val="24"/>
        </w:rPr>
        <w:t>〕</w:t>
      </w:r>
      <w:r>
        <w:rPr>
          <w:rFonts w:hint="eastAsia"/>
          <w:color w:val="auto"/>
          <w:sz w:val="24"/>
          <w:szCs w:val="24"/>
        </w:rPr>
        <w:t>619号），滚动开发至2019年11月，于2020年1月15日进行了该项目第一批自主竣工环保验收；随后又滚动开发至2020年10月，于2021年1月7日进行了该项目第二批自主竣工环保验收</w:t>
      </w:r>
      <w:r>
        <w:rPr>
          <w:rFonts w:hint="eastAsia"/>
          <w:color w:val="auto"/>
          <w:sz w:val="24"/>
          <w:szCs w:val="24"/>
          <w:lang w:eastAsia="zh-CN"/>
        </w:rPr>
        <w:t>；</w:t>
      </w:r>
      <w:r>
        <w:rPr>
          <w:rFonts w:hint="eastAsia"/>
          <w:color w:val="auto"/>
          <w:sz w:val="24"/>
          <w:szCs w:val="24"/>
          <w:lang w:val="en-US" w:eastAsia="zh-CN"/>
        </w:rPr>
        <w:t>2022年11月16日完成第三批自主竣工环保验收；2023年3月7日完成第四批自主竣工环保验收</w:t>
      </w:r>
      <w:r>
        <w:rPr>
          <w:rFonts w:hint="eastAsia"/>
          <w:color w:val="auto"/>
          <w:sz w:val="24"/>
          <w:szCs w:val="24"/>
        </w:rPr>
        <w:t>。本</w:t>
      </w:r>
      <w:r>
        <w:rPr>
          <w:rFonts w:hint="eastAsia"/>
          <w:color w:val="auto"/>
          <w:sz w:val="24"/>
          <w:szCs w:val="24"/>
          <w:lang w:val="en-US" w:eastAsia="zh-CN"/>
        </w:rPr>
        <w:t>工程</w:t>
      </w:r>
      <w:r>
        <w:rPr>
          <w:rFonts w:hint="eastAsia"/>
          <w:color w:val="auto"/>
          <w:sz w:val="24"/>
          <w:szCs w:val="24"/>
        </w:rPr>
        <w:t>依托的玛131转油站于2018年另行开展了《中国石油新疆油田分公司玛北油田玛131井区100万吨/年转油站建设项目环境影响报告书》，于2018年8月15日取得原新疆维吾尔自治区环境保护厅批复（新环函</w:t>
      </w:r>
      <w:r>
        <w:rPr>
          <w:rFonts w:hint="eastAsia" w:ascii="宋体" w:hAnsi="宋体" w:eastAsia="宋体" w:cs="宋体"/>
          <w:color w:val="auto"/>
          <w:sz w:val="24"/>
          <w:szCs w:val="24"/>
        </w:rPr>
        <w:t>〔</w:t>
      </w:r>
      <w:r>
        <w:rPr>
          <w:rFonts w:hint="eastAsia"/>
          <w:color w:val="auto"/>
          <w:sz w:val="24"/>
          <w:szCs w:val="24"/>
        </w:rPr>
        <w:t>2018</w:t>
      </w:r>
      <w:r>
        <w:rPr>
          <w:rFonts w:hint="eastAsia" w:ascii="宋体" w:hAnsi="宋体" w:eastAsia="宋体" w:cs="宋体"/>
          <w:color w:val="auto"/>
          <w:sz w:val="24"/>
          <w:szCs w:val="24"/>
        </w:rPr>
        <w:t>〕</w:t>
      </w:r>
      <w:r>
        <w:rPr>
          <w:rFonts w:hint="eastAsia"/>
          <w:color w:val="auto"/>
          <w:sz w:val="24"/>
          <w:szCs w:val="24"/>
        </w:rPr>
        <w:t>1183号），2019年11月20日进行了自主竣工环境保护验收。2020年开展了《2020年玛131转油站扩建及地面配套工程环境影响报告表》对玛131转油站进行扩建，于2020年11月11日取得克拉玛依市生态环境局批复（克环函</w:t>
      </w:r>
      <w:r>
        <w:rPr>
          <w:rFonts w:hint="eastAsia" w:ascii="宋体" w:hAnsi="宋体" w:eastAsia="宋体" w:cs="宋体"/>
          <w:color w:val="auto"/>
          <w:sz w:val="24"/>
          <w:szCs w:val="24"/>
        </w:rPr>
        <w:t>〔</w:t>
      </w:r>
      <w:r>
        <w:rPr>
          <w:rFonts w:hint="eastAsia"/>
          <w:color w:val="auto"/>
          <w:sz w:val="24"/>
          <w:szCs w:val="24"/>
        </w:rPr>
        <w:t>2020</w:t>
      </w:r>
      <w:r>
        <w:rPr>
          <w:rFonts w:hint="eastAsia" w:ascii="宋体" w:hAnsi="宋体" w:eastAsia="宋体" w:cs="宋体"/>
          <w:color w:val="auto"/>
          <w:sz w:val="24"/>
          <w:szCs w:val="24"/>
        </w:rPr>
        <w:t>〕</w:t>
      </w:r>
      <w:r>
        <w:rPr>
          <w:rFonts w:hint="eastAsia"/>
          <w:color w:val="auto"/>
          <w:sz w:val="24"/>
          <w:szCs w:val="24"/>
        </w:rPr>
        <w:t>176号），</w:t>
      </w:r>
      <w:r>
        <w:rPr>
          <w:rFonts w:hint="eastAsia"/>
          <w:color w:val="auto"/>
          <w:sz w:val="24"/>
          <w:szCs w:val="24"/>
          <w:lang w:val="en-US" w:eastAsia="zh-CN"/>
        </w:rPr>
        <w:t>2023年3月7日进行了自主竣工环保</w:t>
      </w:r>
      <w:r>
        <w:rPr>
          <w:rFonts w:hint="eastAsia"/>
          <w:color w:val="auto"/>
          <w:sz w:val="24"/>
          <w:szCs w:val="24"/>
        </w:rPr>
        <w:t>验收。</w:t>
      </w:r>
    </w:p>
    <w:p w14:paraId="2EE7307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玛2井区</w:t>
      </w:r>
    </w:p>
    <w:p w14:paraId="33DFF32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玛2井区产能建设始建于2013年，当时主要采用单井拉油方式；2018年对井区进行了第一次扩边开发，采用集中拉油方式生产；2019年，对现有区块进行加密开发，并建设转油站等地面工程，实现区块内大部分产能井的密闭集输。</w:t>
      </w:r>
    </w:p>
    <w:p w14:paraId="2C77469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rPr>
      </w:pPr>
      <w:r>
        <w:rPr>
          <w:rFonts w:hint="eastAsia"/>
          <w:color w:val="auto"/>
          <w:sz w:val="24"/>
          <w:szCs w:val="24"/>
        </w:rPr>
        <w:t>2013年编制了《玛北油田玛2井区建设工程环境影响报告书》，2013年1月11日取得原新疆维吾尔自治区环保厅批复（新环监函</w:t>
      </w:r>
      <w:r>
        <w:rPr>
          <w:rFonts w:hint="eastAsia" w:ascii="宋体" w:hAnsi="宋体" w:eastAsia="宋体" w:cs="宋体"/>
          <w:color w:val="auto"/>
          <w:sz w:val="24"/>
          <w:szCs w:val="24"/>
        </w:rPr>
        <w:t>〔</w:t>
      </w:r>
      <w:r>
        <w:rPr>
          <w:rFonts w:hint="eastAsia"/>
          <w:color w:val="auto"/>
          <w:sz w:val="24"/>
          <w:szCs w:val="24"/>
        </w:rPr>
        <w:t>2013</w:t>
      </w:r>
      <w:r>
        <w:rPr>
          <w:rFonts w:hint="eastAsia" w:ascii="宋体" w:hAnsi="宋体" w:eastAsia="宋体" w:cs="宋体"/>
          <w:color w:val="auto"/>
          <w:sz w:val="24"/>
          <w:szCs w:val="24"/>
        </w:rPr>
        <w:t>〕</w:t>
      </w:r>
      <w:r>
        <w:rPr>
          <w:rFonts w:hint="eastAsia"/>
          <w:color w:val="auto"/>
          <w:sz w:val="24"/>
          <w:szCs w:val="24"/>
        </w:rPr>
        <w:t>17号），2018年12月24日对该项目进行自主验收；2018年编制了《玛北油田玛2井区下乌尔禾组、百口泉组油藏</w:t>
      </w:r>
      <w:r>
        <w:rPr>
          <w:rFonts w:hint="eastAsia"/>
          <w:color w:val="auto"/>
          <w:sz w:val="24"/>
          <w:szCs w:val="24"/>
          <w:lang w:val="en-US" w:eastAsia="zh-CN"/>
        </w:rPr>
        <w:t>2018年</w:t>
      </w:r>
      <w:r>
        <w:rPr>
          <w:rFonts w:hint="eastAsia"/>
          <w:color w:val="auto"/>
          <w:sz w:val="24"/>
          <w:szCs w:val="24"/>
        </w:rPr>
        <w:t>开发建设工程环境影响报告书》，于2018年10月8日取得原新疆维吾尔自治区环境保护厅批复（新环函</w:t>
      </w:r>
      <w:r>
        <w:rPr>
          <w:rFonts w:hint="eastAsia" w:ascii="宋体" w:hAnsi="宋体" w:eastAsia="宋体" w:cs="宋体"/>
          <w:color w:val="auto"/>
          <w:sz w:val="24"/>
          <w:szCs w:val="24"/>
        </w:rPr>
        <w:t>〔</w:t>
      </w:r>
      <w:r>
        <w:rPr>
          <w:rFonts w:hint="eastAsia"/>
          <w:color w:val="auto"/>
          <w:sz w:val="24"/>
          <w:szCs w:val="24"/>
        </w:rPr>
        <w:t>2018</w:t>
      </w:r>
      <w:r>
        <w:rPr>
          <w:rFonts w:hint="eastAsia" w:ascii="宋体" w:hAnsi="宋体" w:eastAsia="宋体" w:cs="宋体"/>
          <w:color w:val="auto"/>
          <w:sz w:val="24"/>
          <w:szCs w:val="24"/>
        </w:rPr>
        <w:t>〕</w:t>
      </w:r>
      <w:r>
        <w:rPr>
          <w:rFonts w:hint="eastAsia"/>
          <w:color w:val="auto"/>
          <w:sz w:val="24"/>
          <w:szCs w:val="24"/>
        </w:rPr>
        <w:t>1445号），20</w:t>
      </w:r>
      <w:r>
        <w:rPr>
          <w:rFonts w:hint="eastAsia"/>
          <w:color w:val="auto"/>
          <w:sz w:val="24"/>
          <w:szCs w:val="24"/>
          <w:lang w:val="en-US" w:eastAsia="zh-CN"/>
        </w:rPr>
        <w:t>19</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16</w:t>
      </w:r>
      <w:r>
        <w:rPr>
          <w:rFonts w:hint="eastAsia"/>
          <w:color w:val="auto"/>
          <w:sz w:val="24"/>
          <w:szCs w:val="24"/>
        </w:rPr>
        <w:t>日</w:t>
      </w:r>
      <w:r>
        <w:rPr>
          <w:rFonts w:hint="eastAsia"/>
          <w:color w:val="auto"/>
          <w:sz w:val="24"/>
          <w:szCs w:val="24"/>
          <w:lang w:val="en-US" w:eastAsia="zh-CN"/>
        </w:rPr>
        <w:t>完成第一批</w:t>
      </w:r>
      <w:r>
        <w:rPr>
          <w:rFonts w:hint="eastAsia"/>
          <w:color w:val="auto"/>
          <w:sz w:val="24"/>
          <w:szCs w:val="24"/>
        </w:rPr>
        <w:t>自主</w:t>
      </w:r>
      <w:r>
        <w:rPr>
          <w:rFonts w:hint="eastAsia"/>
          <w:color w:val="auto"/>
          <w:sz w:val="24"/>
          <w:szCs w:val="24"/>
          <w:lang w:val="en-US" w:eastAsia="zh-CN"/>
        </w:rPr>
        <w:t>竣工环保</w:t>
      </w:r>
      <w:r>
        <w:rPr>
          <w:rFonts w:hint="eastAsia"/>
          <w:color w:val="auto"/>
          <w:sz w:val="24"/>
          <w:szCs w:val="24"/>
        </w:rPr>
        <w:t>验收</w:t>
      </w:r>
      <w:r>
        <w:rPr>
          <w:rFonts w:hint="eastAsia"/>
          <w:color w:val="auto"/>
          <w:sz w:val="24"/>
          <w:szCs w:val="24"/>
          <w:lang w:eastAsia="zh-CN"/>
        </w:rPr>
        <w:t>，</w:t>
      </w:r>
      <w:r>
        <w:rPr>
          <w:rFonts w:hint="eastAsia"/>
          <w:color w:val="auto"/>
          <w:sz w:val="24"/>
          <w:szCs w:val="24"/>
          <w:lang w:val="en-US" w:eastAsia="zh-CN"/>
        </w:rPr>
        <w:t>2020年10月30日完成第二批自主竣工环保验收，2021年12月15日完成第三批自主竣工环保验收，2024年11月20日完成第四批自主竣工环保验收</w:t>
      </w:r>
      <w:r>
        <w:rPr>
          <w:rFonts w:hint="eastAsia"/>
          <w:color w:val="auto"/>
          <w:sz w:val="24"/>
          <w:szCs w:val="24"/>
        </w:rPr>
        <w:t>；2019年编制了《玛北油田玛2井区百口泉组、下乌尔禾组油藏（2019年-2023年）地面工程环境影响报告</w:t>
      </w:r>
      <w:r>
        <w:rPr>
          <w:rFonts w:hint="eastAsia"/>
          <w:color w:val="auto"/>
          <w:sz w:val="24"/>
          <w:szCs w:val="24"/>
          <w:lang w:val="en-US" w:eastAsia="zh-CN"/>
        </w:rPr>
        <w:t>表</w:t>
      </w:r>
      <w:r>
        <w:rPr>
          <w:rFonts w:hint="eastAsia"/>
          <w:color w:val="auto"/>
          <w:sz w:val="24"/>
          <w:szCs w:val="24"/>
        </w:rPr>
        <w:t>》，于2019年2月27日取得新疆维吾尔自治区生态环境厅批复（新环函</w:t>
      </w:r>
      <w:r>
        <w:rPr>
          <w:rFonts w:hint="eastAsia" w:ascii="宋体" w:hAnsi="宋体" w:eastAsia="宋体" w:cs="宋体"/>
          <w:color w:val="auto"/>
          <w:sz w:val="24"/>
          <w:szCs w:val="24"/>
        </w:rPr>
        <w:t>〔</w:t>
      </w:r>
      <w:r>
        <w:rPr>
          <w:rFonts w:hint="eastAsia"/>
          <w:color w:val="auto"/>
          <w:sz w:val="24"/>
          <w:szCs w:val="24"/>
        </w:rPr>
        <w:t>2019</w:t>
      </w:r>
      <w:r>
        <w:rPr>
          <w:rFonts w:hint="eastAsia" w:ascii="宋体" w:hAnsi="宋体" w:eastAsia="宋体" w:cs="宋体"/>
          <w:color w:val="auto"/>
          <w:sz w:val="24"/>
          <w:szCs w:val="24"/>
        </w:rPr>
        <w:t>〕</w:t>
      </w:r>
      <w:r>
        <w:rPr>
          <w:rFonts w:hint="eastAsia"/>
          <w:color w:val="auto"/>
          <w:sz w:val="24"/>
          <w:szCs w:val="24"/>
        </w:rPr>
        <w:t>233号），2021年2月1日完成该项目第一批自主</w:t>
      </w:r>
      <w:r>
        <w:rPr>
          <w:rFonts w:hint="eastAsia"/>
          <w:color w:val="auto"/>
          <w:sz w:val="24"/>
          <w:szCs w:val="24"/>
          <w:lang w:val="en-US" w:eastAsia="zh-CN"/>
        </w:rPr>
        <w:t>竣工环保</w:t>
      </w:r>
      <w:r>
        <w:rPr>
          <w:rFonts w:hint="eastAsia"/>
          <w:color w:val="auto"/>
          <w:sz w:val="24"/>
          <w:szCs w:val="24"/>
        </w:rPr>
        <w:t>验收</w:t>
      </w:r>
      <w:r>
        <w:rPr>
          <w:rFonts w:hint="eastAsia"/>
          <w:color w:val="auto"/>
          <w:sz w:val="24"/>
          <w:szCs w:val="24"/>
          <w:lang w:eastAsia="zh-CN"/>
        </w:rPr>
        <w:t>；</w:t>
      </w:r>
      <w:r>
        <w:rPr>
          <w:rFonts w:hint="eastAsia"/>
          <w:color w:val="auto"/>
          <w:sz w:val="24"/>
          <w:szCs w:val="24"/>
          <w:lang w:val="en-US" w:eastAsia="zh-CN"/>
        </w:rPr>
        <w:t>2024年11月22日完成第二批自主竣工环保验收；</w:t>
      </w:r>
      <w:r>
        <w:rPr>
          <w:rFonts w:hint="eastAsia"/>
          <w:color w:val="auto"/>
          <w:sz w:val="24"/>
          <w:szCs w:val="24"/>
          <w:lang w:eastAsia="zh-CN"/>
        </w:rPr>
        <w:t>《</w:t>
      </w:r>
      <w:r>
        <w:rPr>
          <w:rFonts w:hint="eastAsia"/>
          <w:color w:val="auto"/>
          <w:sz w:val="24"/>
          <w:szCs w:val="24"/>
          <w:lang w:val="en-US" w:eastAsia="zh-CN"/>
        </w:rPr>
        <w:t>玛北油田玛2井区下乌尔禾组、百口泉组油藏2019年扩边开发建设工程环境影响报告书</w:t>
      </w:r>
      <w:r>
        <w:rPr>
          <w:rFonts w:hint="eastAsia"/>
          <w:color w:val="auto"/>
          <w:sz w:val="24"/>
          <w:szCs w:val="24"/>
          <w:lang w:eastAsia="zh-CN"/>
        </w:rPr>
        <w:t>》，</w:t>
      </w:r>
      <w:r>
        <w:rPr>
          <w:rFonts w:hint="eastAsia"/>
          <w:color w:val="auto"/>
          <w:sz w:val="24"/>
          <w:szCs w:val="24"/>
          <w:lang w:val="en-US" w:eastAsia="zh-CN"/>
        </w:rPr>
        <w:t>于2019年6月9日</w:t>
      </w:r>
      <w:r>
        <w:rPr>
          <w:rFonts w:hint="eastAsia"/>
          <w:color w:val="auto"/>
          <w:sz w:val="24"/>
          <w:szCs w:val="24"/>
        </w:rPr>
        <w:t>取得新疆维吾尔自治区生态环境厅批复（新环</w:t>
      </w:r>
      <w:r>
        <w:rPr>
          <w:rFonts w:hint="eastAsia"/>
          <w:color w:val="auto"/>
          <w:sz w:val="24"/>
          <w:szCs w:val="24"/>
          <w:lang w:val="en-US" w:eastAsia="zh-CN"/>
        </w:rPr>
        <w:t>审</w:t>
      </w:r>
      <w:r>
        <w:rPr>
          <w:rFonts w:hint="eastAsia" w:ascii="宋体" w:hAnsi="宋体" w:eastAsia="宋体" w:cs="宋体"/>
          <w:color w:val="auto"/>
          <w:sz w:val="24"/>
          <w:szCs w:val="24"/>
        </w:rPr>
        <w:t>〔</w:t>
      </w:r>
      <w:r>
        <w:rPr>
          <w:rFonts w:hint="eastAsia"/>
          <w:color w:val="auto"/>
          <w:sz w:val="24"/>
          <w:szCs w:val="24"/>
        </w:rPr>
        <w:t>2019</w:t>
      </w:r>
      <w:r>
        <w:rPr>
          <w:rFonts w:hint="eastAsia" w:ascii="宋体" w:hAnsi="宋体" w:eastAsia="宋体" w:cs="宋体"/>
          <w:color w:val="auto"/>
          <w:sz w:val="24"/>
          <w:szCs w:val="24"/>
        </w:rPr>
        <w:t>〕</w:t>
      </w:r>
      <w:r>
        <w:rPr>
          <w:rFonts w:hint="eastAsia" w:eastAsia="宋体"/>
          <w:color w:val="auto"/>
          <w:sz w:val="24"/>
          <w:szCs w:val="24"/>
          <w:lang w:val="en-US" w:eastAsia="zh-CN"/>
        </w:rPr>
        <w:t>45</w:t>
      </w:r>
      <w:r>
        <w:rPr>
          <w:rFonts w:hint="eastAsia"/>
          <w:color w:val="auto"/>
          <w:sz w:val="24"/>
          <w:szCs w:val="24"/>
        </w:rPr>
        <w:t>号）</w:t>
      </w:r>
      <w:r>
        <w:rPr>
          <w:rFonts w:hint="eastAsia"/>
          <w:color w:val="auto"/>
          <w:sz w:val="24"/>
          <w:szCs w:val="24"/>
          <w:lang w:eastAsia="zh-CN"/>
        </w:rPr>
        <w:t>，</w:t>
      </w:r>
      <w:r>
        <w:rPr>
          <w:rFonts w:hint="eastAsia" w:ascii="Times New Roman" w:hAnsi="Times New Roman" w:cs="Times New Roman"/>
          <w:color w:val="auto"/>
          <w:sz w:val="24"/>
          <w:szCs w:val="24"/>
          <w:lang w:val="en-US" w:eastAsia="zh-CN"/>
        </w:rPr>
        <w:t>该项目正在验收中</w:t>
      </w:r>
      <w:r>
        <w:rPr>
          <w:rFonts w:hint="eastAsia"/>
          <w:color w:val="auto"/>
          <w:sz w:val="24"/>
          <w:szCs w:val="24"/>
          <w:lang w:eastAsia="zh-CN"/>
        </w:rPr>
        <w:t>；</w:t>
      </w:r>
      <w:r>
        <w:rPr>
          <w:rFonts w:hint="eastAsia"/>
          <w:color w:val="auto"/>
          <w:sz w:val="24"/>
          <w:szCs w:val="24"/>
          <w:lang w:val="en-US" w:eastAsia="zh-CN"/>
        </w:rPr>
        <w:t>2021年编制了《玛2转油站扩建及配套地面建设工程环境影响报告表》，2021年3月31日取得塔城地区生态环境局批复（塔地环字</w:t>
      </w:r>
      <w:r>
        <w:rPr>
          <w:rFonts w:hint="default" w:ascii="Times New Roman" w:hAnsi="Times New Roman" w:eastAsia="宋体" w:cs="Times New Roman"/>
          <w:color w:val="auto"/>
          <w:sz w:val="24"/>
          <w:szCs w:val="24"/>
          <w:lang w:val="en-US" w:eastAsia="zh-CN"/>
        </w:rPr>
        <w:t>〔2023〕</w:t>
      </w:r>
      <w:r>
        <w:rPr>
          <w:rFonts w:hint="eastAsia" w:ascii="Times New Roman" w:hAnsi="Times New Roman" w:eastAsia="宋体" w:cs="Times New Roman"/>
          <w:color w:val="auto"/>
          <w:sz w:val="24"/>
          <w:szCs w:val="24"/>
          <w:lang w:val="en-US" w:eastAsia="zh-CN"/>
        </w:rPr>
        <w:t>39号</w:t>
      </w:r>
      <w:r>
        <w:rPr>
          <w:rFonts w:hint="eastAsia"/>
          <w:color w:val="auto"/>
          <w:sz w:val="24"/>
          <w:szCs w:val="24"/>
          <w:lang w:val="en-US" w:eastAsia="zh-CN"/>
        </w:rPr>
        <w:t>），于2023年11月19日完成第一批自主竣工环保验收；2023年编制了《玛2井区百口泉组油藏南部扩边开发地面工程（变更）环境影响</w:t>
      </w:r>
      <w:r>
        <w:rPr>
          <w:rFonts w:hint="default" w:ascii="Times New Roman" w:hAnsi="Times New Roman" w:cs="Times New Roman"/>
          <w:color w:val="auto"/>
          <w:sz w:val="24"/>
          <w:szCs w:val="24"/>
          <w:lang w:val="en-US" w:eastAsia="zh-CN"/>
        </w:rPr>
        <w:t>报告书》，于2023年7月24日取得塔城地区生态环境局批复（塔地环字</w:t>
      </w:r>
      <w:r>
        <w:rPr>
          <w:rFonts w:hint="default" w:ascii="Times New Roman" w:hAnsi="Times New Roman" w:eastAsia="宋体" w:cs="Times New Roman"/>
          <w:color w:val="auto"/>
          <w:sz w:val="24"/>
          <w:szCs w:val="24"/>
          <w:lang w:val="en-US" w:eastAsia="zh-CN"/>
        </w:rPr>
        <w:t>〔2023〕143号</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，2024年11月24日完成第一批自主</w:t>
      </w:r>
      <w:r>
        <w:rPr>
          <w:rFonts w:hint="eastAsia" w:cs="Times New Roman"/>
          <w:color w:val="auto"/>
          <w:sz w:val="24"/>
          <w:szCs w:val="24"/>
          <w:lang w:val="en-US" w:eastAsia="zh-CN"/>
        </w:rPr>
        <w:t>竣工环保</w:t>
      </w:r>
      <w:r>
        <w:rPr>
          <w:rFonts w:hint="eastAsia" w:ascii="Times New Roman" w:hAnsi="Times New Roman" w:cs="Times New Roman"/>
          <w:color w:val="auto"/>
          <w:sz w:val="24"/>
          <w:szCs w:val="24"/>
          <w:lang w:val="en-US" w:eastAsia="zh-CN"/>
        </w:rPr>
        <w:t>验收。</w:t>
      </w:r>
    </w:p>
    <w:p w14:paraId="6E2D01C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lang w:val="en-US" w:eastAsia="zh-CN"/>
        </w:rPr>
        <w:t>玛18井区</w:t>
      </w:r>
    </w:p>
    <w:p w14:paraId="700271A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玛18井区于2014年开展了《玛湖凹陷玛18-艾湖1井区块百口泉组油藏开发建设工程环境影响报告书》，2015年5月27日取得原新疆维吾尔自治区环保厅批复（新环函</w:t>
      </w:r>
      <w:r>
        <w:rPr>
          <w:rFonts w:hint="eastAsia" w:ascii="宋体" w:hAnsi="宋体" w:eastAsia="宋体" w:cs="宋体"/>
          <w:color w:val="auto"/>
          <w:sz w:val="24"/>
          <w:szCs w:val="24"/>
        </w:rPr>
        <w:t>〔</w:t>
      </w:r>
      <w:r>
        <w:rPr>
          <w:rFonts w:hint="eastAsia"/>
          <w:color w:val="auto"/>
          <w:sz w:val="24"/>
          <w:szCs w:val="24"/>
        </w:rPr>
        <w:t>2015</w:t>
      </w:r>
      <w:r>
        <w:rPr>
          <w:rFonts w:hint="eastAsia" w:ascii="宋体" w:hAnsi="宋体" w:eastAsia="宋体" w:cs="宋体"/>
          <w:color w:val="auto"/>
          <w:sz w:val="24"/>
          <w:szCs w:val="24"/>
        </w:rPr>
        <w:t>〕</w:t>
      </w:r>
      <w:r>
        <w:rPr>
          <w:rFonts w:hint="eastAsia"/>
          <w:color w:val="auto"/>
          <w:sz w:val="24"/>
          <w:szCs w:val="24"/>
        </w:rPr>
        <w:t>620号），滚动开发至202</w:t>
      </w:r>
      <w:r>
        <w:rPr>
          <w:rFonts w:hint="eastAsia"/>
          <w:color w:val="auto"/>
          <w:sz w:val="24"/>
          <w:szCs w:val="24"/>
          <w:lang w:val="en-US" w:eastAsia="zh-CN"/>
        </w:rPr>
        <w:t>4</w:t>
      </w:r>
      <w:r>
        <w:rPr>
          <w:rFonts w:hint="eastAsia"/>
          <w:color w:val="auto"/>
          <w:sz w:val="24"/>
          <w:szCs w:val="24"/>
        </w:rPr>
        <w:t>年，共进行了</w:t>
      </w:r>
      <w:r>
        <w:rPr>
          <w:rFonts w:hint="eastAsia"/>
          <w:color w:val="auto"/>
          <w:sz w:val="24"/>
          <w:szCs w:val="24"/>
          <w:lang w:val="en-US" w:eastAsia="zh-CN"/>
        </w:rPr>
        <w:t>5</w:t>
      </w:r>
      <w:r>
        <w:rPr>
          <w:rFonts w:hint="eastAsia"/>
          <w:color w:val="auto"/>
          <w:sz w:val="24"/>
          <w:szCs w:val="24"/>
        </w:rPr>
        <w:t>批自主竣工环保验收。</w:t>
      </w:r>
    </w:p>
    <w:p w14:paraId="5193673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本工程依托的玛18转油站扩建于2018年另行开展了《玛18转油站改扩建工程环境影响报告表》，于2018年6月8日取得原和布克赛尔蒙古自治县环境保护局批复（和环评函字</w:t>
      </w:r>
      <w:r>
        <w:rPr>
          <w:rFonts w:hint="default" w:ascii="Times New Roman" w:hAnsi="Times New Roman" w:eastAsia="宋体" w:cs="Times New Roman"/>
          <w:color w:val="auto"/>
          <w:sz w:val="24"/>
          <w:szCs w:val="24"/>
          <w:lang w:val="en-US" w:eastAsia="zh-CN"/>
        </w:rPr>
        <w:t>〔2018〕16号</w:t>
      </w:r>
      <w:r>
        <w:rPr>
          <w:rFonts w:hint="eastAsia" w:ascii="Times New Roman" w:hAnsi="Times New Roman" w:eastAsia="宋体"/>
          <w:color w:val="auto"/>
          <w:sz w:val="24"/>
          <w:szCs w:val="24"/>
          <w:lang w:val="en-US" w:eastAsia="zh-CN"/>
        </w:rPr>
        <w:t>），</w:t>
      </w:r>
      <w:r>
        <w:rPr>
          <w:rFonts w:hint="eastAsia"/>
          <w:color w:val="auto"/>
          <w:sz w:val="24"/>
          <w:szCs w:val="24"/>
          <w:lang w:val="en-US" w:eastAsia="zh-CN"/>
        </w:rPr>
        <w:t>于</w:t>
      </w:r>
      <w:r>
        <w:rPr>
          <w:rFonts w:hint="eastAsia" w:ascii="Times New Roman" w:hAnsi="Times New Roman" w:eastAsia="宋体"/>
          <w:color w:val="auto"/>
          <w:sz w:val="24"/>
          <w:szCs w:val="24"/>
          <w:lang w:val="en-US" w:eastAsia="zh-CN"/>
        </w:rPr>
        <w:t>2019年12月7日完成自主</w:t>
      </w:r>
      <w:r>
        <w:rPr>
          <w:rFonts w:hint="eastAsia"/>
          <w:color w:val="auto"/>
          <w:sz w:val="24"/>
          <w:szCs w:val="24"/>
          <w:lang w:val="en-US" w:eastAsia="zh-CN"/>
        </w:rPr>
        <w:t>竣工环保</w:t>
      </w:r>
      <w:r>
        <w:rPr>
          <w:rFonts w:hint="eastAsia" w:ascii="Times New Roman" w:hAnsi="Times New Roman" w:eastAsia="宋体"/>
          <w:color w:val="auto"/>
          <w:sz w:val="24"/>
          <w:szCs w:val="24"/>
          <w:lang w:val="en-US" w:eastAsia="zh-CN"/>
        </w:rPr>
        <w:t>验收。</w:t>
      </w:r>
    </w:p>
    <w:p w14:paraId="16E6F44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（4）夏72井区</w:t>
      </w:r>
    </w:p>
    <w:p w14:paraId="185178B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lang w:val="en-US" w:eastAsia="zh-CN"/>
        </w:rPr>
        <w:t>2018年，开展了《夏72井区二叠系风城组油藏2018年建设工程环境影响报告表》，于2018年6月25日取得原塔城地区环境保护局批复（塔地环字〔2018〕118号）；2019年11月20日完成第一批自主竣工环保验收；2022年，开展了《玛北油田玛131井区夏72井断块百口泉组油藏开发工程环境影响报告书》，于2022年6月30日取得新疆维吾尔自治区生态环境厅批复</w:t>
      </w:r>
      <w:r>
        <w:rPr>
          <w:rFonts w:hint="default" w:ascii="Times New Roman" w:hAnsi="Times New Roman" w:cs="Times New Roman"/>
          <w:color w:val="auto"/>
          <w:sz w:val="24"/>
          <w:szCs w:val="24"/>
          <w:lang w:val="en-US" w:eastAsia="zh-CN"/>
        </w:rPr>
        <w:t>（新环审</w:t>
      </w:r>
      <w:r>
        <w:rPr>
          <w:rFonts w:hint="default" w:ascii="Times New Roman" w:hAnsi="Times New Roman" w:eastAsia="宋体" w:cs="Times New Roman"/>
          <w:color w:val="auto"/>
          <w:sz w:val="24"/>
          <w:szCs w:val="24"/>
          <w:lang w:val="en-US" w:eastAsia="zh-CN"/>
        </w:rPr>
        <w:t>〔2022〕133号</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，该项目正在验收中。</w:t>
      </w:r>
    </w:p>
    <w:p w14:paraId="0B68D4B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w:t>
      </w:r>
      <w:r>
        <w:rPr>
          <w:rFonts w:hint="eastAsia"/>
          <w:color w:val="auto"/>
          <w:sz w:val="24"/>
          <w:szCs w:val="24"/>
          <w:lang w:val="en-US" w:eastAsia="zh-CN"/>
        </w:rPr>
        <w:t>5</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百厂探区</w:t>
      </w:r>
    </w:p>
    <w:p w14:paraId="2A5C683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百厂探区未进行过区块开发环评，本工程</w:t>
      </w:r>
      <w:r>
        <w:rPr>
          <w:rFonts w:hint="eastAsia"/>
          <w:color w:val="auto"/>
          <w:sz w:val="24"/>
          <w:szCs w:val="24"/>
          <w:lang w:val="en-US" w:eastAsia="zh-CN"/>
        </w:rPr>
        <w:t>涉及</w:t>
      </w:r>
      <w:r>
        <w:rPr>
          <w:rFonts w:hint="eastAsia" w:ascii="Times New Roman" w:hAnsi="Times New Roman" w:eastAsia="宋体"/>
          <w:color w:val="auto"/>
          <w:sz w:val="24"/>
          <w:szCs w:val="24"/>
          <w:lang w:val="en-US" w:eastAsia="zh-CN"/>
        </w:rPr>
        <w:t>的3口井分批次进行了环境影响评价工作。</w:t>
      </w:r>
    </w:p>
    <w:p w14:paraId="3CB47A5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综上所述，本工程涉及的环保手续履行情况见表3.</w:t>
      </w:r>
      <w:r>
        <w:rPr>
          <w:rFonts w:hint="eastAsia"/>
          <w:color w:val="auto"/>
          <w:sz w:val="24"/>
          <w:szCs w:val="24"/>
          <w:lang w:val="en-US" w:eastAsia="zh-CN"/>
        </w:rPr>
        <w:t>1</w:t>
      </w:r>
      <w:r>
        <w:rPr>
          <w:rFonts w:hint="eastAsia" w:ascii="Times New Roman" w:hAnsi="Times New Roman" w:eastAsia="宋体"/>
          <w:color w:val="auto"/>
          <w:sz w:val="24"/>
          <w:szCs w:val="24"/>
          <w:lang w:val="en-US" w:eastAsia="zh-CN"/>
        </w:rPr>
        <w:t>-</w:t>
      </w:r>
      <w:r>
        <w:rPr>
          <w:rFonts w:hint="eastAsia"/>
          <w:color w:val="auto"/>
          <w:sz w:val="24"/>
          <w:szCs w:val="24"/>
          <w:lang w:val="en-US" w:eastAsia="zh-CN"/>
        </w:rPr>
        <w:t>4</w:t>
      </w:r>
      <w:r>
        <w:rPr>
          <w:rFonts w:hint="eastAsia" w:ascii="Times New Roman" w:hAnsi="Times New Roman" w:eastAsia="宋体"/>
          <w:color w:val="auto"/>
          <w:sz w:val="24"/>
          <w:szCs w:val="24"/>
          <w:lang w:val="en-US" w:eastAsia="zh-CN"/>
        </w:rPr>
        <w:t>。</w:t>
      </w:r>
    </w:p>
    <w:p w14:paraId="3156707B">
      <w:pPr>
        <w:pStyle w:val="43"/>
        <w:bidi w:val="0"/>
        <w:rPr>
          <w:rFonts w:hint="default"/>
          <w:color w:val="auto"/>
          <w:lang w:val="en-US" w:eastAsia="zh-CN"/>
        </w:rPr>
      </w:pPr>
      <w:r>
        <w:rPr>
          <w:rFonts w:hint="eastAsia"/>
          <w:color w:val="auto"/>
          <w:lang w:val="en-US" w:eastAsia="zh-CN"/>
        </w:rPr>
        <w:t>表3.1-4  本工程区块环保手续履行情况一览表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3185"/>
        <w:gridCol w:w="2131"/>
        <w:gridCol w:w="2131"/>
      </w:tblGrid>
      <w:tr w14:paraId="186C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Align w:val="center"/>
          </w:tcPr>
          <w:p w14:paraId="17CDD996">
            <w:pPr>
              <w:bidi w:val="0"/>
              <w:jc w:val="center"/>
              <w:rPr>
                <w:rFonts w:hint="eastAsia" w:eastAsia="宋体"/>
                <w:b/>
                <w:bCs/>
                <w:color w:val="auto"/>
                <w:sz w:val="21"/>
                <w:szCs w:val="21"/>
                <w:lang w:val="en-US" w:eastAsia="zh-CN"/>
              </w:rPr>
            </w:pPr>
            <w:r>
              <w:rPr>
                <w:rFonts w:hint="eastAsia"/>
                <w:b/>
                <w:bCs/>
                <w:color w:val="auto"/>
                <w:sz w:val="21"/>
                <w:szCs w:val="21"/>
                <w:lang w:val="en-US" w:eastAsia="zh-CN"/>
              </w:rPr>
              <w:t>区块</w:t>
            </w:r>
          </w:p>
        </w:tc>
        <w:tc>
          <w:tcPr>
            <w:tcW w:w="3185" w:type="dxa"/>
            <w:vAlign w:val="center"/>
          </w:tcPr>
          <w:p w14:paraId="0792EF64">
            <w:pPr>
              <w:bidi w:val="0"/>
              <w:jc w:val="center"/>
              <w:rPr>
                <w:rFonts w:hint="default" w:eastAsia="宋体"/>
                <w:b/>
                <w:bCs/>
                <w:color w:val="auto"/>
                <w:sz w:val="21"/>
                <w:szCs w:val="21"/>
                <w:lang w:val="en-US" w:eastAsia="zh-CN"/>
              </w:rPr>
            </w:pPr>
            <w:r>
              <w:rPr>
                <w:rFonts w:hint="eastAsia"/>
                <w:b/>
                <w:bCs/>
                <w:color w:val="auto"/>
                <w:sz w:val="21"/>
                <w:szCs w:val="21"/>
                <w:lang w:val="en-US" w:eastAsia="zh-CN"/>
              </w:rPr>
              <w:t>项目名称</w:t>
            </w:r>
          </w:p>
        </w:tc>
        <w:tc>
          <w:tcPr>
            <w:tcW w:w="2131" w:type="dxa"/>
            <w:vAlign w:val="center"/>
          </w:tcPr>
          <w:p w14:paraId="351F11D7">
            <w:pPr>
              <w:bidi w:val="0"/>
              <w:jc w:val="center"/>
              <w:rPr>
                <w:rFonts w:hint="default" w:eastAsia="宋体"/>
                <w:b/>
                <w:bCs/>
                <w:color w:val="auto"/>
                <w:sz w:val="21"/>
                <w:szCs w:val="21"/>
                <w:lang w:val="en-US" w:eastAsia="zh-CN"/>
              </w:rPr>
            </w:pPr>
            <w:r>
              <w:rPr>
                <w:rFonts w:hint="eastAsia"/>
                <w:b/>
                <w:bCs/>
                <w:color w:val="auto"/>
                <w:sz w:val="21"/>
                <w:szCs w:val="21"/>
                <w:lang w:val="en-US" w:eastAsia="zh-CN"/>
              </w:rPr>
              <w:t>环评批复情况</w:t>
            </w:r>
          </w:p>
        </w:tc>
        <w:tc>
          <w:tcPr>
            <w:tcW w:w="2131" w:type="dxa"/>
            <w:vAlign w:val="center"/>
          </w:tcPr>
          <w:p w14:paraId="6768F389">
            <w:pPr>
              <w:bidi w:val="0"/>
              <w:jc w:val="center"/>
              <w:rPr>
                <w:rFonts w:hint="default" w:eastAsia="宋体"/>
                <w:b/>
                <w:bCs/>
                <w:color w:val="auto"/>
                <w:sz w:val="21"/>
                <w:szCs w:val="21"/>
                <w:lang w:val="en-US" w:eastAsia="zh-CN"/>
              </w:rPr>
            </w:pPr>
            <w:r>
              <w:rPr>
                <w:rFonts w:hint="eastAsia"/>
                <w:b/>
                <w:bCs/>
                <w:color w:val="auto"/>
                <w:sz w:val="21"/>
                <w:szCs w:val="21"/>
                <w:lang w:val="en-US" w:eastAsia="zh-CN"/>
              </w:rPr>
              <w:t>竣工环保验收情况</w:t>
            </w:r>
          </w:p>
        </w:tc>
      </w:tr>
      <w:tr w14:paraId="76FA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restart"/>
            <w:vAlign w:val="center"/>
          </w:tcPr>
          <w:p w14:paraId="5C46F229">
            <w:pPr>
              <w:bidi w:val="0"/>
              <w:jc w:val="center"/>
              <w:rPr>
                <w:rFonts w:hint="default" w:eastAsia="宋体"/>
                <w:color w:val="auto"/>
                <w:sz w:val="21"/>
                <w:szCs w:val="21"/>
                <w:lang w:val="en-US" w:eastAsia="zh-CN"/>
              </w:rPr>
            </w:pPr>
            <w:r>
              <w:rPr>
                <w:rFonts w:hint="eastAsia"/>
                <w:color w:val="auto"/>
                <w:sz w:val="21"/>
                <w:szCs w:val="21"/>
                <w:lang w:val="en-US" w:eastAsia="zh-CN"/>
              </w:rPr>
              <w:t>玛131井区</w:t>
            </w:r>
          </w:p>
        </w:tc>
        <w:tc>
          <w:tcPr>
            <w:tcW w:w="3185" w:type="dxa"/>
            <w:vAlign w:val="center"/>
          </w:tcPr>
          <w:p w14:paraId="4864FC16">
            <w:pPr>
              <w:bidi w:val="0"/>
              <w:jc w:val="center"/>
              <w:rPr>
                <w:color w:val="auto"/>
                <w:sz w:val="21"/>
                <w:szCs w:val="21"/>
              </w:rPr>
            </w:pPr>
            <w:r>
              <w:rPr>
                <w:rFonts w:hint="eastAsia"/>
                <w:color w:val="auto"/>
                <w:sz w:val="21"/>
                <w:szCs w:val="21"/>
              </w:rPr>
              <w:t>玛北斜坡区玛131井区百口泉组油藏开发建设工程环境影响报告书</w:t>
            </w:r>
          </w:p>
        </w:tc>
        <w:tc>
          <w:tcPr>
            <w:tcW w:w="2131" w:type="dxa"/>
            <w:vAlign w:val="center"/>
          </w:tcPr>
          <w:p w14:paraId="16320738">
            <w:pPr>
              <w:bidi w:val="0"/>
              <w:jc w:val="center"/>
              <w:rPr>
                <w:color w:val="auto"/>
                <w:sz w:val="21"/>
                <w:szCs w:val="21"/>
              </w:rPr>
            </w:pPr>
            <w:r>
              <w:rPr>
                <w:rFonts w:hint="eastAsia"/>
                <w:color w:val="auto"/>
                <w:sz w:val="21"/>
                <w:szCs w:val="21"/>
              </w:rPr>
              <w:t>原新疆维吾尔自治区环保厅，新环函</w:t>
            </w:r>
            <w:r>
              <w:rPr>
                <w:rFonts w:hint="eastAsia" w:ascii="宋体" w:hAnsi="宋体" w:eastAsia="宋体" w:cs="宋体"/>
                <w:color w:val="auto"/>
                <w:sz w:val="21"/>
                <w:szCs w:val="21"/>
              </w:rPr>
              <w:t>〔</w:t>
            </w:r>
            <w:r>
              <w:rPr>
                <w:rFonts w:hint="eastAsia"/>
                <w:color w:val="auto"/>
                <w:sz w:val="21"/>
                <w:szCs w:val="21"/>
              </w:rPr>
              <w:t>2015</w:t>
            </w:r>
            <w:r>
              <w:rPr>
                <w:rFonts w:hint="eastAsia" w:ascii="宋体" w:hAnsi="宋体" w:eastAsia="宋体" w:cs="宋体"/>
                <w:color w:val="auto"/>
                <w:sz w:val="21"/>
                <w:szCs w:val="21"/>
              </w:rPr>
              <w:t>〕</w:t>
            </w:r>
            <w:r>
              <w:rPr>
                <w:rFonts w:hint="eastAsia"/>
                <w:color w:val="auto"/>
                <w:sz w:val="21"/>
                <w:szCs w:val="21"/>
              </w:rPr>
              <w:t>619号，2015.5.18</w:t>
            </w:r>
          </w:p>
        </w:tc>
        <w:tc>
          <w:tcPr>
            <w:tcW w:w="2131" w:type="dxa"/>
            <w:vAlign w:val="center"/>
          </w:tcPr>
          <w:p w14:paraId="236015EB">
            <w:pPr>
              <w:bidi w:val="0"/>
              <w:jc w:val="center"/>
              <w:rPr>
                <w:rFonts w:hint="default" w:eastAsia="宋体"/>
                <w:color w:val="auto"/>
                <w:sz w:val="21"/>
                <w:szCs w:val="21"/>
                <w:lang w:val="en-US" w:eastAsia="zh-CN"/>
              </w:rPr>
            </w:pPr>
            <w:r>
              <w:rPr>
                <w:rFonts w:hint="eastAsia"/>
                <w:color w:val="auto"/>
                <w:sz w:val="21"/>
                <w:szCs w:val="21"/>
                <w:lang w:val="en-US" w:eastAsia="zh-CN"/>
              </w:rPr>
              <w:t>进行过4次自主竣工环保验收，</w:t>
            </w:r>
            <w:r>
              <w:rPr>
                <w:rFonts w:hint="eastAsia"/>
                <w:color w:val="auto"/>
                <w:sz w:val="21"/>
                <w:szCs w:val="21"/>
              </w:rPr>
              <w:t>第一批</w:t>
            </w:r>
            <w:r>
              <w:rPr>
                <w:rFonts w:hint="eastAsia"/>
                <w:color w:val="auto"/>
                <w:sz w:val="21"/>
                <w:szCs w:val="21"/>
                <w:lang w:eastAsia="zh-CN"/>
              </w:rPr>
              <w:t>：</w:t>
            </w:r>
            <w:r>
              <w:rPr>
                <w:rFonts w:hint="eastAsia"/>
                <w:color w:val="auto"/>
                <w:sz w:val="21"/>
                <w:szCs w:val="21"/>
              </w:rPr>
              <w:t>2020.1.15；</w:t>
            </w:r>
            <w:r>
              <w:rPr>
                <w:rFonts w:hint="eastAsia"/>
                <w:color w:val="auto"/>
                <w:sz w:val="21"/>
                <w:szCs w:val="21"/>
                <w:lang w:val="en-US" w:eastAsia="zh-CN"/>
              </w:rPr>
              <w:t>第</w:t>
            </w:r>
            <w:r>
              <w:rPr>
                <w:rFonts w:hint="eastAsia"/>
                <w:color w:val="auto"/>
                <w:sz w:val="21"/>
                <w:szCs w:val="21"/>
              </w:rPr>
              <w:t>二批</w:t>
            </w:r>
            <w:r>
              <w:rPr>
                <w:rFonts w:hint="eastAsia"/>
                <w:color w:val="auto"/>
                <w:sz w:val="21"/>
                <w:szCs w:val="21"/>
                <w:lang w:eastAsia="zh-CN"/>
              </w:rPr>
              <w:t>：</w:t>
            </w:r>
            <w:r>
              <w:rPr>
                <w:rFonts w:hint="eastAsia"/>
                <w:color w:val="auto"/>
                <w:sz w:val="21"/>
                <w:szCs w:val="21"/>
              </w:rPr>
              <w:t>2021.1.7</w:t>
            </w:r>
            <w:r>
              <w:rPr>
                <w:rFonts w:hint="eastAsia"/>
                <w:color w:val="auto"/>
                <w:sz w:val="21"/>
                <w:szCs w:val="21"/>
                <w:lang w:eastAsia="zh-CN"/>
              </w:rPr>
              <w:t>；</w:t>
            </w:r>
            <w:r>
              <w:rPr>
                <w:rFonts w:hint="eastAsia"/>
                <w:color w:val="auto"/>
                <w:sz w:val="21"/>
                <w:szCs w:val="21"/>
                <w:lang w:val="en-US" w:eastAsia="zh-CN"/>
              </w:rPr>
              <w:t>第三批：2022.11.16；第四批：2023.3.7</w:t>
            </w:r>
          </w:p>
        </w:tc>
      </w:tr>
      <w:tr w14:paraId="40C7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3DCC1ACF">
            <w:pPr>
              <w:bidi w:val="0"/>
              <w:jc w:val="center"/>
              <w:rPr>
                <w:color w:val="auto"/>
                <w:sz w:val="21"/>
                <w:szCs w:val="21"/>
              </w:rPr>
            </w:pPr>
          </w:p>
        </w:tc>
        <w:tc>
          <w:tcPr>
            <w:tcW w:w="3185" w:type="dxa"/>
            <w:vAlign w:val="center"/>
          </w:tcPr>
          <w:p w14:paraId="763FA2C9">
            <w:pPr>
              <w:bidi w:val="0"/>
              <w:jc w:val="center"/>
              <w:rPr>
                <w:color w:val="auto"/>
                <w:sz w:val="21"/>
                <w:szCs w:val="21"/>
              </w:rPr>
            </w:pPr>
            <w:r>
              <w:rPr>
                <w:rFonts w:hint="eastAsia"/>
                <w:color w:val="auto"/>
                <w:sz w:val="21"/>
                <w:szCs w:val="21"/>
              </w:rPr>
              <w:t>中国石油新疆油田分公司玛北油田玛131井区100万吨/年转油站建设项目环境影响报告书</w:t>
            </w:r>
          </w:p>
        </w:tc>
        <w:tc>
          <w:tcPr>
            <w:tcW w:w="2131" w:type="dxa"/>
            <w:vAlign w:val="center"/>
          </w:tcPr>
          <w:p w14:paraId="18C480C8">
            <w:pPr>
              <w:bidi w:val="0"/>
              <w:jc w:val="center"/>
              <w:rPr>
                <w:rFonts w:hint="eastAsia"/>
                <w:color w:val="auto"/>
                <w:sz w:val="21"/>
                <w:szCs w:val="21"/>
              </w:rPr>
            </w:pPr>
            <w:r>
              <w:rPr>
                <w:rFonts w:hint="eastAsia"/>
                <w:color w:val="auto"/>
                <w:sz w:val="21"/>
                <w:szCs w:val="21"/>
              </w:rPr>
              <w:t>原新疆维吾尔自治区</w:t>
            </w:r>
          </w:p>
          <w:p w14:paraId="2B127492">
            <w:pPr>
              <w:bidi w:val="0"/>
              <w:jc w:val="center"/>
              <w:rPr>
                <w:color w:val="auto"/>
                <w:sz w:val="21"/>
                <w:szCs w:val="21"/>
              </w:rPr>
            </w:pPr>
            <w:r>
              <w:rPr>
                <w:rFonts w:hint="eastAsia"/>
                <w:color w:val="auto"/>
                <w:sz w:val="21"/>
                <w:szCs w:val="21"/>
              </w:rPr>
              <w:t>环境保护厅，新环函〔2018〕1183号，2018.8.15</w:t>
            </w:r>
          </w:p>
        </w:tc>
        <w:tc>
          <w:tcPr>
            <w:tcW w:w="2131" w:type="dxa"/>
            <w:vAlign w:val="center"/>
          </w:tcPr>
          <w:p w14:paraId="7F2B51D4">
            <w:pPr>
              <w:bidi w:val="0"/>
              <w:jc w:val="center"/>
              <w:rPr>
                <w:color w:val="auto"/>
                <w:sz w:val="21"/>
                <w:szCs w:val="21"/>
              </w:rPr>
            </w:pPr>
            <w:r>
              <w:rPr>
                <w:rFonts w:hint="eastAsia"/>
                <w:color w:val="auto"/>
                <w:sz w:val="21"/>
                <w:szCs w:val="21"/>
              </w:rPr>
              <w:t>2019.11.20进行了自主竣工</w:t>
            </w:r>
            <w:r>
              <w:rPr>
                <w:rFonts w:hint="eastAsia"/>
                <w:color w:val="auto"/>
                <w:sz w:val="21"/>
                <w:szCs w:val="21"/>
                <w:lang w:val="en-US" w:eastAsia="zh-CN"/>
              </w:rPr>
              <w:t>环保</w:t>
            </w:r>
            <w:r>
              <w:rPr>
                <w:rFonts w:hint="eastAsia"/>
                <w:color w:val="auto"/>
                <w:sz w:val="21"/>
                <w:szCs w:val="21"/>
              </w:rPr>
              <w:t>验收</w:t>
            </w:r>
          </w:p>
        </w:tc>
      </w:tr>
      <w:tr w14:paraId="154E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2E50C25F">
            <w:pPr>
              <w:bidi w:val="0"/>
              <w:jc w:val="center"/>
              <w:rPr>
                <w:color w:val="auto"/>
                <w:sz w:val="21"/>
                <w:szCs w:val="21"/>
              </w:rPr>
            </w:pPr>
          </w:p>
        </w:tc>
        <w:tc>
          <w:tcPr>
            <w:tcW w:w="3185" w:type="dxa"/>
            <w:vAlign w:val="center"/>
          </w:tcPr>
          <w:p w14:paraId="50B64D1D">
            <w:pPr>
              <w:bidi w:val="0"/>
              <w:jc w:val="center"/>
              <w:rPr>
                <w:rFonts w:hint="eastAsia"/>
                <w:color w:val="auto"/>
                <w:sz w:val="21"/>
                <w:szCs w:val="21"/>
              </w:rPr>
            </w:pPr>
            <w:r>
              <w:rPr>
                <w:rFonts w:hint="eastAsia"/>
                <w:color w:val="auto"/>
                <w:sz w:val="21"/>
                <w:szCs w:val="21"/>
              </w:rPr>
              <w:t>2020年玛131转油站扩建及地面配套工程环境影响报告表</w:t>
            </w:r>
          </w:p>
        </w:tc>
        <w:tc>
          <w:tcPr>
            <w:tcW w:w="2131" w:type="dxa"/>
            <w:vAlign w:val="center"/>
          </w:tcPr>
          <w:p w14:paraId="33CCFBF4">
            <w:pPr>
              <w:bidi w:val="0"/>
              <w:jc w:val="center"/>
              <w:rPr>
                <w:rFonts w:hint="eastAsia"/>
                <w:color w:val="auto"/>
                <w:sz w:val="21"/>
                <w:szCs w:val="21"/>
              </w:rPr>
            </w:pPr>
            <w:r>
              <w:rPr>
                <w:rFonts w:hint="eastAsia"/>
                <w:color w:val="auto"/>
                <w:sz w:val="21"/>
                <w:szCs w:val="21"/>
              </w:rPr>
              <w:t>克拉玛依市生态环境</w:t>
            </w:r>
          </w:p>
          <w:p w14:paraId="32F1CFC9">
            <w:pPr>
              <w:bidi w:val="0"/>
              <w:jc w:val="center"/>
              <w:rPr>
                <w:rFonts w:hint="eastAsia"/>
                <w:color w:val="auto"/>
                <w:sz w:val="21"/>
                <w:szCs w:val="21"/>
              </w:rPr>
            </w:pPr>
            <w:r>
              <w:rPr>
                <w:rFonts w:hint="eastAsia"/>
                <w:color w:val="auto"/>
                <w:sz w:val="21"/>
                <w:szCs w:val="21"/>
              </w:rPr>
              <w:t>局，克环函〔2020〕176号，2020.11.11</w:t>
            </w:r>
          </w:p>
        </w:tc>
        <w:tc>
          <w:tcPr>
            <w:tcW w:w="2131" w:type="dxa"/>
            <w:vAlign w:val="center"/>
          </w:tcPr>
          <w:p w14:paraId="1E864603">
            <w:pPr>
              <w:bidi w:val="0"/>
              <w:jc w:val="center"/>
              <w:rPr>
                <w:rFonts w:hint="default" w:eastAsia="宋体"/>
                <w:color w:val="auto"/>
                <w:sz w:val="21"/>
                <w:szCs w:val="21"/>
                <w:lang w:val="en-US" w:eastAsia="zh-CN"/>
              </w:rPr>
            </w:pPr>
            <w:r>
              <w:rPr>
                <w:rFonts w:hint="eastAsia"/>
                <w:color w:val="auto"/>
                <w:sz w:val="21"/>
                <w:szCs w:val="21"/>
                <w:lang w:val="en-US" w:eastAsia="zh-CN"/>
              </w:rPr>
              <w:t>2023.3.7进行了自主竣工环保验收</w:t>
            </w:r>
          </w:p>
        </w:tc>
      </w:tr>
      <w:tr w14:paraId="112D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restart"/>
            <w:vAlign w:val="center"/>
          </w:tcPr>
          <w:p w14:paraId="5783BB01">
            <w:pPr>
              <w:bidi w:val="0"/>
              <w:jc w:val="center"/>
              <w:rPr>
                <w:rFonts w:hint="default" w:eastAsia="宋体"/>
                <w:color w:val="auto"/>
                <w:sz w:val="21"/>
                <w:szCs w:val="21"/>
                <w:lang w:val="en-US" w:eastAsia="zh-CN"/>
              </w:rPr>
            </w:pPr>
            <w:r>
              <w:rPr>
                <w:rFonts w:hint="eastAsia"/>
                <w:color w:val="auto"/>
                <w:sz w:val="21"/>
                <w:szCs w:val="21"/>
                <w:lang w:val="en-US" w:eastAsia="zh-CN"/>
              </w:rPr>
              <w:t>玛2井区</w:t>
            </w:r>
          </w:p>
        </w:tc>
        <w:tc>
          <w:tcPr>
            <w:tcW w:w="3185" w:type="dxa"/>
            <w:vAlign w:val="center"/>
          </w:tcPr>
          <w:p w14:paraId="19D3D90C">
            <w:pPr>
              <w:bidi w:val="0"/>
              <w:jc w:val="center"/>
              <w:rPr>
                <w:rFonts w:hint="eastAsia"/>
                <w:color w:val="auto"/>
                <w:sz w:val="21"/>
                <w:szCs w:val="21"/>
              </w:rPr>
            </w:pPr>
            <w:r>
              <w:rPr>
                <w:rFonts w:hint="eastAsia"/>
                <w:color w:val="auto"/>
                <w:sz w:val="21"/>
                <w:szCs w:val="21"/>
              </w:rPr>
              <w:t>玛北油田玛2井区建设工程环境影响报告书</w:t>
            </w:r>
          </w:p>
        </w:tc>
        <w:tc>
          <w:tcPr>
            <w:tcW w:w="2131" w:type="dxa"/>
            <w:vAlign w:val="center"/>
          </w:tcPr>
          <w:p w14:paraId="0E7E3FF3">
            <w:pPr>
              <w:bidi w:val="0"/>
              <w:jc w:val="center"/>
              <w:rPr>
                <w:rFonts w:hint="eastAsia"/>
                <w:color w:val="auto"/>
                <w:sz w:val="21"/>
                <w:szCs w:val="21"/>
              </w:rPr>
            </w:pPr>
            <w:r>
              <w:rPr>
                <w:rFonts w:hint="eastAsia"/>
                <w:color w:val="auto"/>
                <w:sz w:val="21"/>
                <w:szCs w:val="21"/>
              </w:rPr>
              <w:t>原新疆维吾尔自治区环保厅，新环监函</w:t>
            </w:r>
          </w:p>
          <w:p w14:paraId="15D2EBD2">
            <w:pPr>
              <w:bidi w:val="0"/>
              <w:jc w:val="center"/>
              <w:rPr>
                <w:rFonts w:hint="eastAsia"/>
                <w:color w:val="auto"/>
                <w:sz w:val="21"/>
                <w:szCs w:val="21"/>
              </w:rPr>
            </w:pPr>
            <w:r>
              <w:rPr>
                <w:rFonts w:hint="eastAsia" w:ascii="宋体" w:hAnsi="宋体" w:eastAsia="宋体" w:cs="宋体"/>
                <w:color w:val="auto"/>
                <w:sz w:val="21"/>
                <w:szCs w:val="21"/>
              </w:rPr>
              <w:t>〔</w:t>
            </w:r>
            <w:r>
              <w:rPr>
                <w:rFonts w:hint="eastAsia"/>
                <w:color w:val="auto"/>
                <w:sz w:val="21"/>
                <w:szCs w:val="21"/>
              </w:rPr>
              <w:t>2013</w:t>
            </w:r>
            <w:r>
              <w:rPr>
                <w:rFonts w:hint="eastAsia" w:ascii="宋体" w:hAnsi="宋体" w:eastAsia="宋体" w:cs="宋体"/>
                <w:color w:val="auto"/>
                <w:sz w:val="21"/>
                <w:szCs w:val="21"/>
              </w:rPr>
              <w:t>〕</w:t>
            </w:r>
            <w:r>
              <w:rPr>
                <w:rFonts w:hint="eastAsia"/>
                <w:color w:val="auto"/>
                <w:sz w:val="21"/>
                <w:szCs w:val="21"/>
              </w:rPr>
              <w:t>17号，2013.1.11</w:t>
            </w:r>
          </w:p>
        </w:tc>
        <w:tc>
          <w:tcPr>
            <w:tcW w:w="2131" w:type="dxa"/>
            <w:vAlign w:val="center"/>
          </w:tcPr>
          <w:p w14:paraId="2DD88FE2">
            <w:pPr>
              <w:bidi w:val="0"/>
              <w:jc w:val="center"/>
              <w:rPr>
                <w:rFonts w:hint="eastAsia"/>
                <w:color w:val="auto"/>
                <w:sz w:val="21"/>
                <w:szCs w:val="21"/>
                <w:lang w:val="en-US" w:eastAsia="zh-CN"/>
              </w:rPr>
            </w:pPr>
            <w:r>
              <w:rPr>
                <w:rFonts w:hint="eastAsia"/>
                <w:color w:val="auto"/>
                <w:sz w:val="21"/>
                <w:szCs w:val="21"/>
                <w:lang w:val="en-US" w:eastAsia="zh-CN"/>
              </w:rPr>
              <w:t>2018.12.24自主竣工环保验收</w:t>
            </w:r>
          </w:p>
        </w:tc>
      </w:tr>
      <w:tr w14:paraId="6859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2E26EAA7">
            <w:pPr>
              <w:bidi w:val="0"/>
              <w:jc w:val="center"/>
              <w:rPr>
                <w:color w:val="auto"/>
                <w:sz w:val="21"/>
                <w:szCs w:val="21"/>
              </w:rPr>
            </w:pPr>
          </w:p>
        </w:tc>
        <w:tc>
          <w:tcPr>
            <w:tcW w:w="3185" w:type="dxa"/>
            <w:vAlign w:val="center"/>
          </w:tcPr>
          <w:p w14:paraId="27B84C1A">
            <w:pPr>
              <w:bidi w:val="0"/>
              <w:jc w:val="center"/>
              <w:rPr>
                <w:rFonts w:hint="eastAsia"/>
                <w:color w:val="auto"/>
                <w:sz w:val="21"/>
                <w:szCs w:val="21"/>
              </w:rPr>
            </w:pPr>
            <w:r>
              <w:rPr>
                <w:rFonts w:hint="eastAsia"/>
                <w:color w:val="auto"/>
                <w:sz w:val="21"/>
                <w:szCs w:val="21"/>
              </w:rPr>
              <w:t>玛北油田玛2井区下乌尔禾组、百口泉组油藏2018年开发建设工程环境影响报告书</w:t>
            </w:r>
          </w:p>
        </w:tc>
        <w:tc>
          <w:tcPr>
            <w:tcW w:w="2131" w:type="dxa"/>
            <w:vAlign w:val="center"/>
          </w:tcPr>
          <w:p w14:paraId="2BC1F5FF">
            <w:pPr>
              <w:bidi w:val="0"/>
              <w:jc w:val="center"/>
              <w:rPr>
                <w:rFonts w:hint="eastAsia"/>
                <w:color w:val="auto"/>
                <w:sz w:val="21"/>
                <w:szCs w:val="21"/>
              </w:rPr>
            </w:pPr>
            <w:r>
              <w:rPr>
                <w:rFonts w:hint="eastAsia"/>
                <w:color w:val="auto"/>
                <w:sz w:val="21"/>
                <w:szCs w:val="21"/>
              </w:rPr>
              <w:t>原新疆维吾尔自治区</w:t>
            </w:r>
            <w:r>
              <w:rPr>
                <w:rFonts w:hint="eastAsia"/>
                <w:color w:val="auto"/>
                <w:sz w:val="21"/>
                <w:szCs w:val="21"/>
                <w:lang w:eastAsia="zh-CN"/>
              </w:rPr>
              <w:t>环境保护厅</w:t>
            </w:r>
            <w:r>
              <w:rPr>
                <w:rFonts w:hint="eastAsia"/>
                <w:color w:val="auto"/>
                <w:sz w:val="21"/>
                <w:szCs w:val="21"/>
              </w:rPr>
              <w:t>，新环函</w:t>
            </w:r>
            <w:r>
              <w:rPr>
                <w:rFonts w:hint="eastAsia" w:ascii="宋体" w:hAnsi="宋体" w:eastAsia="宋体" w:cs="宋体"/>
                <w:color w:val="auto"/>
                <w:sz w:val="21"/>
                <w:szCs w:val="21"/>
              </w:rPr>
              <w:t>〔</w:t>
            </w:r>
            <w:r>
              <w:rPr>
                <w:rFonts w:hint="eastAsia"/>
                <w:color w:val="auto"/>
                <w:sz w:val="21"/>
                <w:szCs w:val="21"/>
              </w:rPr>
              <w:t>2018</w:t>
            </w:r>
            <w:r>
              <w:rPr>
                <w:rFonts w:hint="eastAsia" w:ascii="宋体" w:hAnsi="宋体" w:eastAsia="宋体" w:cs="宋体"/>
                <w:color w:val="auto"/>
                <w:sz w:val="21"/>
                <w:szCs w:val="21"/>
              </w:rPr>
              <w:t>〕</w:t>
            </w:r>
            <w:r>
              <w:rPr>
                <w:rFonts w:hint="eastAsia"/>
                <w:color w:val="auto"/>
                <w:sz w:val="21"/>
                <w:szCs w:val="21"/>
              </w:rPr>
              <w:t>1445号，2018.10.8</w:t>
            </w:r>
          </w:p>
        </w:tc>
        <w:tc>
          <w:tcPr>
            <w:tcW w:w="2131" w:type="dxa"/>
            <w:vAlign w:val="center"/>
          </w:tcPr>
          <w:p w14:paraId="01870F1B">
            <w:pPr>
              <w:bidi w:val="0"/>
              <w:jc w:val="center"/>
              <w:rPr>
                <w:rFonts w:hint="default"/>
                <w:color w:val="auto"/>
                <w:sz w:val="21"/>
                <w:szCs w:val="21"/>
                <w:lang w:val="en-US" w:eastAsia="zh-CN"/>
              </w:rPr>
            </w:pPr>
            <w:r>
              <w:rPr>
                <w:rFonts w:hint="eastAsia"/>
                <w:color w:val="auto"/>
                <w:sz w:val="21"/>
                <w:szCs w:val="21"/>
                <w:lang w:val="en-US" w:eastAsia="zh-CN"/>
              </w:rPr>
              <w:t>进行过4次自主竣工环保验收，第一批：2019.11.16；第二批：2020.10.30；第三批：2021.12.15；第四批：2024.11.20</w:t>
            </w:r>
          </w:p>
        </w:tc>
      </w:tr>
      <w:tr w14:paraId="4B58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662391B8">
            <w:pPr>
              <w:bidi w:val="0"/>
              <w:jc w:val="center"/>
              <w:rPr>
                <w:color w:val="auto"/>
                <w:sz w:val="21"/>
                <w:szCs w:val="21"/>
              </w:rPr>
            </w:pPr>
          </w:p>
        </w:tc>
        <w:tc>
          <w:tcPr>
            <w:tcW w:w="3185" w:type="dxa"/>
            <w:vAlign w:val="center"/>
          </w:tcPr>
          <w:p w14:paraId="78FCB0C2">
            <w:pPr>
              <w:bidi w:val="0"/>
              <w:jc w:val="center"/>
              <w:rPr>
                <w:rFonts w:hint="eastAsia" w:eastAsia="宋体"/>
                <w:color w:val="auto"/>
                <w:sz w:val="21"/>
                <w:szCs w:val="21"/>
                <w:lang w:val="en-US" w:eastAsia="zh-CN"/>
              </w:rPr>
            </w:pPr>
            <w:r>
              <w:rPr>
                <w:rFonts w:hint="eastAsia"/>
                <w:color w:val="auto"/>
                <w:sz w:val="21"/>
                <w:szCs w:val="21"/>
              </w:rPr>
              <w:t>玛北油田玛2井区百口泉组、下乌尔禾组油藏（2019年-2023年）地面工程环境影响报告</w:t>
            </w:r>
            <w:r>
              <w:rPr>
                <w:rFonts w:hint="eastAsia"/>
                <w:color w:val="auto"/>
                <w:sz w:val="21"/>
                <w:szCs w:val="21"/>
                <w:lang w:val="en-US" w:eastAsia="zh-CN"/>
              </w:rPr>
              <w:t>表</w:t>
            </w:r>
          </w:p>
        </w:tc>
        <w:tc>
          <w:tcPr>
            <w:tcW w:w="2131" w:type="dxa"/>
            <w:vAlign w:val="center"/>
          </w:tcPr>
          <w:p w14:paraId="494042B9">
            <w:pPr>
              <w:bidi w:val="0"/>
              <w:jc w:val="center"/>
              <w:rPr>
                <w:rFonts w:hint="eastAsia"/>
                <w:color w:val="auto"/>
                <w:sz w:val="21"/>
                <w:szCs w:val="21"/>
              </w:rPr>
            </w:pPr>
            <w:r>
              <w:rPr>
                <w:rFonts w:hint="eastAsia"/>
                <w:color w:val="auto"/>
                <w:sz w:val="21"/>
                <w:szCs w:val="21"/>
              </w:rPr>
              <w:t>新疆维吾尔自治区生态环境厅，新环函</w:t>
            </w:r>
            <w:r>
              <w:rPr>
                <w:rFonts w:hint="eastAsia" w:ascii="宋体" w:hAnsi="宋体" w:eastAsia="宋体" w:cs="宋体"/>
                <w:color w:val="auto"/>
                <w:sz w:val="21"/>
                <w:szCs w:val="21"/>
              </w:rPr>
              <w:t>〔</w:t>
            </w:r>
            <w:r>
              <w:rPr>
                <w:rFonts w:hint="eastAsia"/>
                <w:color w:val="auto"/>
                <w:sz w:val="21"/>
                <w:szCs w:val="21"/>
              </w:rPr>
              <w:t>2019</w:t>
            </w:r>
            <w:r>
              <w:rPr>
                <w:rFonts w:hint="eastAsia" w:ascii="宋体" w:hAnsi="宋体" w:eastAsia="宋体" w:cs="宋体"/>
                <w:color w:val="auto"/>
                <w:sz w:val="21"/>
                <w:szCs w:val="21"/>
              </w:rPr>
              <w:t>〕</w:t>
            </w:r>
            <w:r>
              <w:rPr>
                <w:rFonts w:hint="eastAsia"/>
                <w:color w:val="auto"/>
                <w:sz w:val="21"/>
                <w:szCs w:val="21"/>
              </w:rPr>
              <w:t>233号，</w:t>
            </w:r>
          </w:p>
          <w:p w14:paraId="65EE7F50">
            <w:pPr>
              <w:bidi w:val="0"/>
              <w:jc w:val="center"/>
              <w:rPr>
                <w:rFonts w:hint="eastAsia"/>
                <w:color w:val="auto"/>
                <w:sz w:val="21"/>
                <w:szCs w:val="21"/>
              </w:rPr>
            </w:pPr>
            <w:r>
              <w:rPr>
                <w:rFonts w:hint="eastAsia"/>
                <w:color w:val="auto"/>
                <w:sz w:val="21"/>
                <w:szCs w:val="21"/>
              </w:rPr>
              <w:t>2019.2.27</w:t>
            </w:r>
          </w:p>
        </w:tc>
        <w:tc>
          <w:tcPr>
            <w:tcW w:w="2131" w:type="dxa"/>
            <w:vAlign w:val="center"/>
          </w:tcPr>
          <w:p w14:paraId="4B9F142F">
            <w:pPr>
              <w:bidi w:val="0"/>
              <w:jc w:val="center"/>
              <w:rPr>
                <w:rFonts w:hint="default"/>
                <w:color w:val="auto"/>
                <w:sz w:val="21"/>
                <w:szCs w:val="21"/>
                <w:lang w:val="en-US" w:eastAsia="zh-CN"/>
              </w:rPr>
            </w:pPr>
            <w:r>
              <w:rPr>
                <w:rFonts w:hint="eastAsia"/>
                <w:color w:val="auto"/>
                <w:sz w:val="21"/>
                <w:szCs w:val="21"/>
                <w:lang w:val="en-US" w:eastAsia="zh-CN"/>
              </w:rPr>
              <w:t>2021.2.1第一批自主竣工环保验收；2024.11.22日第二批自主竣工环保验收</w:t>
            </w:r>
          </w:p>
        </w:tc>
      </w:tr>
      <w:tr w14:paraId="2BB5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3B81F0B8">
            <w:pPr>
              <w:bidi w:val="0"/>
              <w:jc w:val="center"/>
              <w:rPr>
                <w:color w:val="auto"/>
                <w:sz w:val="21"/>
                <w:szCs w:val="21"/>
              </w:rPr>
            </w:pPr>
          </w:p>
        </w:tc>
        <w:tc>
          <w:tcPr>
            <w:tcW w:w="3185" w:type="dxa"/>
            <w:vAlign w:val="center"/>
          </w:tcPr>
          <w:p w14:paraId="66C06C65">
            <w:pPr>
              <w:bidi w:val="0"/>
              <w:jc w:val="center"/>
              <w:rPr>
                <w:rFonts w:hint="eastAsia"/>
                <w:color w:val="auto"/>
                <w:sz w:val="21"/>
                <w:szCs w:val="21"/>
              </w:rPr>
            </w:pPr>
            <w:r>
              <w:rPr>
                <w:rFonts w:hint="eastAsia"/>
                <w:color w:val="auto"/>
                <w:sz w:val="21"/>
                <w:szCs w:val="21"/>
                <w:lang w:val="en-US" w:eastAsia="zh-CN"/>
              </w:rPr>
              <w:t>玛北油田玛2井区下乌尔禾组、百口泉组油藏2019年扩边开发建设工程环境影响报告书</w:t>
            </w:r>
          </w:p>
        </w:tc>
        <w:tc>
          <w:tcPr>
            <w:tcW w:w="2131" w:type="dxa"/>
            <w:vAlign w:val="center"/>
          </w:tcPr>
          <w:p w14:paraId="4B1D71ED">
            <w:pPr>
              <w:bidi w:val="0"/>
              <w:jc w:val="center"/>
              <w:rPr>
                <w:rFonts w:hint="default" w:eastAsia="宋体"/>
                <w:color w:val="auto"/>
                <w:sz w:val="21"/>
                <w:szCs w:val="21"/>
                <w:lang w:val="en-US" w:eastAsia="zh-CN"/>
              </w:rPr>
            </w:pPr>
            <w:r>
              <w:rPr>
                <w:rFonts w:hint="eastAsia"/>
                <w:color w:val="auto"/>
                <w:sz w:val="21"/>
                <w:szCs w:val="21"/>
              </w:rPr>
              <w:t>新疆维吾尔自治区生态环境厅</w:t>
            </w:r>
            <w:r>
              <w:rPr>
                <w:rFonts w:hint="eastAsia"/>
                <w:color w:val="auto"/>
                <w:sz w:val="21"/>
                <w:szCs w:val="21"/>
                <w:lang w:eastAsia="zh-CN"/>
              </w:rPr>
              <w:t>，</w:t>
            </w:r>
            <w:r>
              <w:rPr>
                <w:rFonts w:hint="eastAsia"/>
                <w:color w:val="auto"/>
                <w:sz w:val="21"/>
                <w:szCs w:val="21"/>
              </w:rPr>
              <w:t>新环</w:t>
            </w:r>
            <w:r>
              <w:rPr>
                <w:rFonts w:hint="eastAsia"/>
                <w:color w:val="auto"/>
                <w:sz w:val="21"/>
                <w:szCs w:val="21"/>
                <w:lang w:val="en-US" w:eastAsia="zh-CN"/>
              </w:rPr>
              <w:t>审</w:t>
            </w:r>
            <w:r>
              <w:rPr>
                <w:rFonts w:hint="eastAsia" w:ascii="宋体" w:hAnsi="宋体" w:eastAsia="宋体" w:cs="宋体"/>
                <w:color w:val="auto"/>
                <w:sz w:val="21"/>
                <w:szCs w:val="21"/>
              </w:rPr>
              <w:t>〔</w:t>
            </w:r>
            <w:r>
              <w:rPr>
                <w:rFonts w:hint="eastAsia"/>
                <w:color w:val="auto"/>
                <w:sz w:val="21"/>
                <w:szCs w:val="21"/>
              </w:rPr>
              <w:t>2019</w:t>
            </w:r>
            <w:r>
              <w:rPr>
                <w:rFonts w:hint="eastAsia" w:ascii="宋体" w:hAnsi="宋体" w:eastAsia="宋体" w:cs="宋体"/>
                <w:color w:val="auto"/>
                <w:sz w:val="21"/>
                <w:szCs w:val="21"/>
              </w:rPr>
              <w:t>〕</w:t>
            </w:r>
            <w:r>
              <w:rPr>
                <w:rFonts w:hint="eastAsia" w:eastAsia="宋体"/>
                <w:color w:val="auto"/>
                <w:sz w:val="21"/>
                <w:szCs w:val="21"/>
                <w:lang w:val="en-US" w:eastAsia="zh-CN"/>
              </w:rPr>
              <w:t>45</w:t>
            </w:r>
            <w:r>
              <w:rPr>
                <w:rFonts w:hint="eastAsia"/>
                <w:color w:val="auto"/>
                <w:sz w:val="21"/>
                <w:szCs w:val="21"/>
              </w:rPr>
              <w:t>号</w:t>
            </w:r>
            <w:r>
              <w:rPr>
                <w:rFonts w:hint="eastAsia"/>
                <w:color w:val="auto"/>
                <w:sz w:val="21"/>
                <w:szCs w:val="21"/>
                <w:lang w:eastAsia="zh-CN"/>
              </w:rPr>
              <w:t>，</w:t>
            </w:r>
            <w:r>
              <w:rPr>
                <w:rFonts w:hint="eastAsia"/>
                <w:color w:val="auto"/>
                <w:sz w:val="21"/>
                <w:szCs w:val="21"/>
                <w:lang w:val="en-US" w:eastAsia="zh-CN"/>
              </w:rPr>
              <w:t>2019.6.9</w:t>
            </w:r>
          </w:p>
        </w:tc>
        <w:tc>
          <w:tcPr>
            <w:tcW w:w="2131" w:type="dxa"/>
            <w:vAlign w:val="center"/>
          </w:tcPr>
          <w:p w14:paraId="48115CE6">
            <w:pPr>
              <w:bidi w:val="0"/>
              <w:jc w:val="center"/>
              <w:rPr>
                <w:rFonts w:hint="default"/>
                <w:color w:val="auto"/>
                <w:sz w:val="21"/>
                <w:szCs w:val="21"/>
                <w:lang w:val="en-US" w:eastAsia="zh-CN"/>
              </w:rPr>
            </w:pPr>
            <w:r>
              <w:rPr>
                <w:rFonts w:hint="eastAsia"/>
                <w:color w:val="auto"/>
                <w:sz w:val="21"/>
                <w:szCs w:val="21"/>
                <w:lang w:val="en-US" w:eastAsia="zh-CN"/>
              </w:rPr>
              <w:t>正在验收中</w:t>
            </w:r>
          </w:p>
        </w:tc>
      </w:tr>
      <w:tr w14:paraId="6948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7483DC39">
            <w:pPr>
              <w:bidi w:val="0"/>
              <w:jc w:val="center"/>
              <w:rPr>
                <w:color w:val="auto"/>
                <w:sz w:val="21"/>
                <w:szCs w:val="21"/>
              </w:rPr>
            </w:pPr>
          </w:p>
        </w:tc>
        <w:tc>
          <w:tcPr>
            <w:tcW w:w="3185" w:type="dxa"/>
            <w:shd w:val="clear" w:color="auto" w:fill="auto"/>
            <w:vAlign w:val="center"/>
          </w:tcPr>
          <w:p w14:paraId="33C8E0B3">
            <w:pPr>
              <w:bidi w:val="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玛2转油站扩建及配套地面建设工程环境影响报告表</w:t>
            </w:r>
          </w:p>
        </w:tc>
        <w:tc>
          <w:tcPr>
            <w:tcW w:w="2131" w:type="dxa"/>
            <w:shd w:val="clear" w:color="auto" w:fill="auto"/>
            <w:vAlign w:val="center"/>
          </w:tcPr>
          <w:p w14:paraId="052F6509">
            <w:pPr>
              <w:bidi w:val="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塔城地区生态环境局，塔地环字</w:t>
            </w: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39号，2021.3.31</w:t>
            </w:r>
          </w:p>
        </w:tc>
        <w:tc>
          <w:tcPr>
            <w:tcW w:w="2131" w:type="dxa"/>
            <w:shd w:val="clear" w:color="auto" w:fill="auto"/>
            <w:vAlign w:val="center"/>
          </w:tcPr>
          <w:p w14:paraId="08AAB87E">
            <w:pPr>
              <w:bidi w:val="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2023.11.19第一批自主竣工环保验收</w:t>
            </w:r>
          </w:p>
        </w:tc>
      </w:tr>
      <w:tr w14:paraId="7A3E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668B5E30">
            <w:pPr>
              <w:bidi w:val="0"/>
              <w:jc w:val="center"/>
              <w:rPr>
                <w:color w:val="auto"/>
                <w:sz w:val="21"/>
                <w:szCs w:val="21"/>
              </w:rPr>
            </w:pPr>
          </w:p>
        </w:tc>
        <w:tc>
          <w:tcPr>
            <w:tcW w:w="3185" w:type="dxa"/>
            <w:shd w:val="clear" w:color="auto" w:fill="auto"/>
            <w:vAlign w:val="center"/>
          </w:tcPr>
          <w:p w14:paraId="2A577E9D">
            <w:pPr>
              <w:bidi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玛2井区百口泉组油藏南部扩边开发地面工程（变更）环境影响</w:t>
            </w:r>
            <w:r>
              <w:rPr>
                <w:rFonts w:hint="default" w:ascii="Times New Roman" w:hAnsi="Times New Roman" w:cs="Times New Roman"/>
                <w:color w:val="auto"/>
                <w:sz w:val="21"/>
                <w:szCs w:val="21"/>
                <w:lang w:val="en-US" w:eastAsia="zh-CN"/>
              </w:rPr>
              <w:t>报告书</w:t>
            </w:r>
          </w:p>
        </w:tc>
        <w:tc>
          <w:tcPr>
            <w:tcW w:w="2131" w:type="dxa"/>
            <w:shd w:val="clear" w:color="auto" w:fill="auto"/>
            <w:vAlign w:val="center"/>
          </w:tcPr>
          <w:p w14:paraId="1DFDD0A0">
            <w:pPr>
              <w:bidi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塔城地区生态环境局</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塔地环字</w:t>
            </w:r>
            <w:r>
              <w:rPr>
                <w:rFonts w:hint="default" w:ascii="Times New Roman" w:hAnsi="Times New Roman" w:eastAsia="宋体" w:cs="Times New Roman"/>
                <w:color w:val="auto"/>
                <w:sz w:val="21"/>
                <w:szCs w:val="21"/>
                <w:lang w:val="en-US" w:eastAsia="zh-CN"/>
              </w:rPr>
              <w:t>〔2023〕143号</w:t>
            </w:r>
            <w:r>
              <w:rPr>
                <w:rFonts w:hint="eastAsia" w:ascii="Times New Roman" w:hAnsi="Times New Roman" w:eastAsia="宋体" w:cs="Times New Roman"/>
                <w:color w:val="auto"/>
                <w:sz w:val="21"/>
                <w:szCs w:val="21"/>
                <w:lang w:val="en-US" w:eastAsia="zh-CN"/>
              </w:rPr>
              <w:t>，2023.7.24</w:t>
            </w:r>
          </w:p>
        </w:tc>
        <w:tc>
          <w:tcPr>
            <w:tcW w:w="2131" w:type="dxa"/>
            <w:shd w:val="clear" w:color="auto" w:fill="auto"/>
            <w:vAlign w:val="center"/>
          </w:tcPr>
          <w:p w14:paraId="13635D52">
            <w:pPr>
              <w:bidi w:val="0"/>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2024.11.24第一批自主竣工环保验收</w:t>
            </w:r>
          </w:p>
        </w:tc>
      </w:tr>
      <w:tr w14:paraId="0BBD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restart"/>
            <w:vAlign w:val="center"/>
          </w:tcPr>
          <w:p w14:paraId="2F916DA9">
            <w:pPr>
              <w:bidi w:val="0"/>
              <w:jc w:val="center"/>
              <w:rPr>
                <w:rFonts w:hint="default" w:eastAsia="宋体"/>
                <w:color w:val="auto"/>
                <w:sz w:val="21"/>
                <w:szCs w:val="21"/>
                <w:lang w:val="en-US" w:eastAsia="zh-CN"/>
              </w:rPr>
            </w:pPr>
            <w:r>
              <w:rPr>
                <w:rFonts w:hint="eastAsia"/>
                <w:color w:val="auto"/>
                <w:sz w:val="21"/>
                <w:szCs w:val="21"/>
                <w:lang w:val="en-US" w:eastAsia="zh-CN"/>
              </w:rPr>
              <w:t>玛18井区</w:t>
            </w:r>
          </w:p>
        </w:tc>
        <w:tc>
          <w:tcPr>
            <w:tcW w:w="3185" w:type="dxa"/>
            <w:vAlign w:val="center"/>
          </w:tcPr>
          <w:p w14:paraId="068FFC20">
            <w:pPr>
              <w:bidi w:val="0"/>
              <w:jc w:val="center"/>
              <w:rPr>
                <w:rFonts w:hint="eastAsia"/>
                <w:color w:val="auto"/>
                <w:sz w:val="21"/>
                <w:szCs w:val="21"/>
                <w:lang w:val="en-US" w:eastAsia="zh-CN"/>
              </w:rPr>
            </w:pPr>
            <w:r>
              <w:rPr>
                <w:rFonts w:hint="eastAsia"/>
                <w:color w:val="auto"/>
                <w:sz w:val="21"/>
                <w:szCs w:val="21"/>
                <w:lang w:val="en-US" w:eastAsia="zh-CN"/>
              </w:rPr>
              <w:t>玛湖凹陷玛18-艾湖1井区块百口泉组油藏开发建设工程环境影响报告书</w:t>
            </w:r>
          </w:p>
        </w:tc>
        <w:tc>
          <w:tcPr>
            <w:tcW w:w="2131" w:type="dxa"/>
            <w:vAlign w:val="center"/>
          </w:tcPr>
          <w:p w14:paraId="629B22F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原新疆维吾尔自治区</w:t>
            </w:r>
          </w:p>
          <w:p w14:paraId="3999FDEB">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环保厅，新环函</w:t>
            </w:r>
          </w:p>
          <w:p w14:paraId="1AA3BA0B">
            <w:pPr>
              <w:bidi w:val="0"/>
              <w:jc w:val="center"/>
              <w:rPr>
                <w:rFonts w:hint="default" w:ascii="Times New Roman" w:hAnsi="Times New Roman" w:cs="Times New Roman"/>
                <w:color w:val="auto"/>
                <w:sz w:val="21"/>
                <w:szCs w:val="21"/>
                <w:lang w:val="en-US" w:eastAsia="zh-CN"/>
              </w:rPr>
            </w:pPr>
            <w:r>
              <w:rPr>
                <w:rFonts w:hint="eastAsia" w:ascii="宋体" w:hAnsi="宋体" w:eastAsia="宋体" w:cs="宋体"/>
                <w:color w:val="auto"/>
                <w:sz w:val="21"/>
                <w:szCs w:val="21"/>
                <w:lang w:val="en-US" w:eastAsia="zh-CN"/>
              </w:rPr>
              <w:t>〔</w:t>
            </w:r>
            <w:r>
              <w:rPr>
                <w:rFonts w:hint="default" w:ascii="Times New Roman" w:hAnsi="Times New Roman" w:cs="Times New Roman"/>
                <w:color w:val="auto"/>
                <w:sz w:val="21"/>
                <w:szCs w:val="21"/>
                <w:lang w:val="en-US" w:eastAsia="zh-CN"/>
              </w:rPr>
              <w:t>2015</w:t>
            </w:r>
            <w:r>
              <w:rPr>
                <w:rFonts w:hint="eastAsia" w:ascii="宋体" w:hAnsi="宋体" w:eastAsia="宋体" w:cs="宋体"/>
                <w:color w:val="auto"/>
                <w:sz w:val="21"/>
                <w:szCs w:val="21"/>
                <w:lang w:val="en-US" w:eastAsia="zh-CN"/>
              </w:rPr>
              <w:t>〕</w:t>
            </w:r>
            <w:r>
              <w:rPr>
                <w:rFonts w:hint="default" w:ascii="Times New Roman" w:hAnsi="Times New Roman" w:cs="Times New Roman"/>
                <w:color w:val="auto"/>
                <w:sz w:val="21"/>
                <w:szCs w:val="21"/>
                <w:lang w:val="en-US" w:eastAsia="zh-CN"/>
              </w:rPr>
              <w:t>620号，2015.5.27</w:t>
            </w:r>
          </w:p>
        </w:tc>
        <w:tc>
          <w:tcPr>
            <w:tcW w:w="2131" w:type="dxa"/>
            <w:vAlign w:val="center"/>
          </w:tcPr>
          <w:p w14:paraId="031704EB">
            <w:pPr>
              <w:bidi w:val="0"/>
              <w:jc w:val="center"/>
              <w:rPr>
                <w:rFonts w:hint="default"/>
                <w:color w:val="auto"/>
                <w:sz w:val="21"/>
                <w:szCs w:val="21"/>
                <w:lang w:val="en-US" w:eastAsia="zh-CN"/>
              </w:rPr>
            </w:pPr>
            <w:r>
              <w:rPr>
                <w:rFonts w:hint="eastAsia"/>
                <w:color w:val="auto"/>
                <w:sz w:val="21"/>
                <w:szCs w:val="21"/>
                <w:lang w:val="en-US" w:eastAsia="zh-CN"/>
              </w:rPr>
              <w:t>进行过5次自主竣工环保验收，第一批：2018.5.31；第二批：2020.1.13；第三批：2020.12.29；第四批：2022.3.10；第五批：2023.2.16</w:t>
            </w:r>
          </w:p>
        </w:tc>
      </w:tr>
      <w:tr w14:paraId="32B5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3C0E760A">
            <w:pPr>
              <w:bidi w:val="0"/>
              <w:jc w:val="center"/>
              <w:rPr>
                <w:color w:val="auto"/>
                <w:sz w:val="21"/>
                <w:szCs w:val="21"/>
              </w:rPr>
            </w:pPr>
          </w:p>
        </w:tc>
        <w:tc>
          <w:tcPr>
            <w:tcW w:w="3185" w:type="dxa"/>
            <w:vAlign w:val="center"/>
          </w:tcPr>
          <w:p w14:paraId="7CDA4D00">
            <w:pPr>
              <w:bidi w:val="0"/>
              <w:jc w:val="center"/>
              <w:rPr>
                <w:rFonts w:hint="eastAsia"/>
                <w:color w:val="auto"/>
                <w:sz w:val="21"/>
                <w:szCs w:val="21"/>
                <w:lang w:val="en-US" w:eastAsia="zh-CN"/>
              </w:rPr>
            </w:pPr>
            <w:r>
              <w:rPr>
                <w:rFonts w:hint="eastAsia"/>
                <w:color w:val="auto"/>
                <w:sz w:val="21"/>
                <w:szCs w:val="21"/>
                <w:lang w:val="en-US" w:eastAsia="zh-CN"/>
              </w:rPr>
              <w:t>玛18转油站改扩建工程环境影响报告表</w:t>
            </w:r>
          </w:p>
        </w:tc>
        <w:tc>
          <w:tcPr>
            <w:tcW w:w="2131" w:type="dxa"/>
            <w:vAlign w:val="center"/>
          </w:tcPr>
          <w:p w14:paraId="6391A06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原和布克赛尔蒙古自</w:t>
            </w:r>
          </w:p>
          <w:p w14:paraId="706CDC1D">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治县环境保护局-和环评函字</w:t>
            </w:r>
            <w:r>
              <w:rPr>
                <w:rFonts w:hint="eastAsia" w:ascii="宋体" w:hAnsi="宋体" w:eastAsia="宋体" w:cs="宋体"/>
                <w:color w:val="auto"/>
                <w:sz w:val="21"/>
                <w:szCs w:val="21"/>
                <w:lang w:val="en-US" w:eastAsia="zh-CN"/>
              </w:rPr>
              <w:t>〔</w:t>
            </w:r>
            <w:r>
              <w:rPr>
                <w:rFonts w:hint="default" w:ascii="Times New Roman" w:hAnsi="Times New Roman" w:cs="Times New Roman"/>
                <w:color w:val="auto"/>
                <w:sz w:val="21"/>
                <w:szCs w:val="21"/>
                <w:lang w:val="en-US" w:eastAsia="zh-CN"/>
              </w:rPr>
              <w:t>2018</w:t>
            </w:r>
            <w:r>
              <w:rPr>
                <w:rFonts w:hint="eastAsia" w:ascii="宋体" w:hAnsi="宋体" w:eastAsia="宋体" w:cs="宋体"/>
                <w:color w:val="auto"/>
                <w:sz w:val="21"/>
                <w:szCs w:val="21"/>
                <w:lang w:val="en-US" w:eastAsia="zh-CN"/>
              </w:rPr>
              <w:t>〕</w:t>
            </w:r>
            <w:r>
              <w:rPr>
                <w:rFonts w:hint="default" w:ascii="Times New Roman" w:hAnsi="Times New Roman" w:cs="Times New Roman"/>
                <w:color w:val="auto"/>
                <w:sz w:val="21"/>
                <w:szCs w:val="21"/>
                <w:lang w:val="en-US" w:eastAsia="zh-CN"/>
              </w:rPr>
              <w:t>16号，2018.6</w:t>
            </w:r>
          </w:p>
        </w:tc>
        <w:tc>
          <w:tcPr>
            <w:tcW w:w="2131" w:type="dxa"/>
            <w:vAlign w:val="center"/>
          </w:tcPr>
          <w:p w14:paraId="4F87EBC1">
            <w:pPr>
              <w:bidi w:val="0"/>
              <w:jc w:val="center"/>
              <w:rPr>
                <w:rFonts w:hint="eastAsia"/>
                <w:color w:val="auto"/>
                <w:sz w:val="21"/>
                <w:szCs w:val="21"/>
                <w:lang w:val="en-US" w:eastAsia="zh-CN"/>
              </w:rPr>
            </w:pPr>
            <w:r>
              <w:rPr>
                <w:rFonts w:hint="eastAsia"/>
                <w:color w:val="auto"/>
                <w:sz w:val="21"/>
                <w:szCs w:val="21"/>
                <w:lang w:val="en-US" w:eastAsia="zh-CN"/>
              </w:rPr>
              <w:t>2019.12.7自主竣工环保验收</w:t>
            </w:r>
          </w:p>
        </w:tc>
      </w:tr>
      <w:tr w14:paraId="3537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restart"/>
            <w:vAlign w:val="center"/>
          </w:tcPr>
          <w:p w14:paraId="325F4B7C">
            <w:pPr>
              <w:bidi w:val="0"/>
              <w:jc w:val="center"/>
              <w:rPr>
                <w:rFonts w:hint="default" w:eastAsia="宋体"/>
                <w:color w:val="auto"/>
                <w:sz w:val="21"/>
                <w:szCs w:val="21"/>
                <w:lang w:val="en-US" w:eastAsia="zh-CN"/>
              </w:rPr>
            </w:pPr>
            <w:r>
              <w:rPr>
                <w:rFonts w:hint="eastAsia"/>
                <w:color w:val="auto"/>
                <w:sz w:val="21"/>
                <w:szCs w:val="21"/>
                <w:lang w:val="en-US" w:eastAsia="zh-CN"/>
              </w:rPr>
              <w:t>夏72井区</w:t>
            </w:r>
          </w:p>
        </w:tc>
        <w:tc>
          <w:tcPr>
            <w:tcW w:w="3185" w:type="dxa"/>
            <w:vAlign w:val="center"/>
          </w:tcPr>
          <w:p w14:paraId="6A19466A">
            <w:pPr>
              <w:bidi w:val="0"/>
              <w:jc w:val="center"/>
              <w:rPr>
                <w:rFonts w:hint="default"/>
                <w:color w:val="auto"/>
                <w:sz w:val="21"/>
                <w:szCs w:val="21"/>
                <w:lang w:val="en-US" w:eastAsia="zh-CN"/>
              </w:rPr>
            </w:pPr>
            <w:r>
              <w:rPr>
                <w:rFonts w:hint="eastAsia"/>
                <w:color w:val="auto"/>
                <w:sz w:val="21"/>
                <w:szCs w:val="21"/>
                <w:lang w:val="en-US" w:eastAsia="zh-CN"/>
              </w:rPr>
              <w:t>夏72井区二叠系风城组油藏2018年建设工程环境影响报告表</w:t>
            </w:r>
          </w:p>
        </w:tc>
        <w:tc>
          <w:tcPr>
            <w:tcW w:w="2131" w:type="dxa"/>
            <w:vAlign w:val="center"/>
          </w:tcPr>
          <w:p w14:paraId="078442BB">
            <w:pPr>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原塔城地区环境保护局，塔地环字〔2018〕118号，2018.6.25</w:t>
            </w:r>
          </w:p>
        </w:tc>
        <w:tc>
          <w:tcPr>
            <w:tcW w:w="2131" w:type="dxa"/>
            <w:vAlign w:val="center"/>
          </w:tcPr>
          <w:p w14:paraId="76A52019">
            <w:pPr>
              <w:bidi w:val="0"/>
              <w:jc w:val="center"/>
              <w:rPr>
                <w:rFonts w:hint="default"/>
                <w:color w:val="auto"/>
                <w:sz w:val="21"/>
                <w:szCs w:val="21"/>
                <w:lang w:val="en-US" w:eastAsia="zh-CN"/>
              </w:rPr>
            </w:pPr>
            <w:r>
              <w:rPr>
                <w:rFonts w:hint="eastAsia"/>
                <w:color w:val="auto"/>
                <w:sz w:val="21"/>
                <w:szCs w:val="21"/>
                <w:lang w:val="en-US" w:eastAsia="zh-CN"/>
              </w:rPr>
              <w:t>2019.11.20第一批自主竣工环保验收</w:t>
            </w:r>
          </w:p>
        </w:tc>
      </w:tr>
      <w:tr w14:paraId="02D6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0F8F61A0">
            <w:pPr>
              <w:bidi w:val="0"/>
              <w:jc w:val="center"/>
              <w:rPr>
                <w:color w:val="auto"/>
                <w:sz w:val="21"/>
                <w:szCs w:val="21"/>
              </w:rPr>
            </w:pPr>
          </w:p>
        </w:tc>
        <w:tc>
          <w:tcPr>
            <w:tcW w:w="3185" w:type="dxa"/>
            <w:vAlign w:val="center"/>
          </w:tcPr>
          <w:p w14:paraId="373FD30D">
            <w:pPr>
              <w:bidi w:val="0"/>
              <w:jc w:val="center"/>
              <w:rPr>
                <w:rFonts w:hint="default"/>
                <w:color w:val="auto"/>
                <w:sz w:val="21"/>
                <w:szCs w:val="21"/>
                <w:lang w:val="en-US" w:eastAsia="zh-CN"/>
              </w:rPr>
            </w:pPr>
            <w:r>
              <w:rPr>
                <w:rFonts w:hint="eastAsia"/>
                <w:color w:val="auto"/>
                <w:sz w:val="21"/>
                <w:szCs w:val="21"/>
                <w:lang w:val="en-US" w:eastAsia="zh-CN"/>
              </w:rPr>
              <w:t>玛北油田玛131井区夏72井断块百口泉组油藏开发工程环境影响报告书</w:t>
            </w:r>
          </w:p>
        </w:tc>
        <w:tc>
          <w:tcPr>
            <w:tcW w:w="2131" w:type="dxa"/>
            <w:shd w:val="clear" w:color="auto" w:fill="auto"/>
            <w:vAlign w:val="center"/>
          </w:tcPr>
          <w:p w14:paraId="5AE0B586">
            <w:pPr>
              <w:bidi w:val="0"/>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新疆维吾尔自治区生态环境厅，</w:t>
            </w:r>
            <w:r>
              <w:rPr>
                <w:rFonts w:hint="default" w:ascii="Times New Roman" w:hAnsi="Times New Roman" w:cs="Times New Roman"/>
                <w:color w:val="auto"/>
                <w:sz w:val="21"/>
                <w:szCs w:val="21"/>
                <w:lang w:val="en-US" w:eastAsia="zh-CN"/>
              </w:rPr>
              <w:t>新环审</w:t>
            </w:r>
            <w:r>
              <w:rPr>
                <w:rFonts w:hint="default" w:ascii="Times New Roman" w:hAnsi="Times New Roman" w:eastAsia="宋体" w:cs="Times New Roman"/>
                <w:color w:val="auto"/>
                <w:sz w:val="21"/>
                <w:szCs w:val="21"/>
                <w:lang w:val="en-US" w:eastAsia="zh-CN"/>
              </w:rPr>
              <w:t>〔2022〕133号</w:t>
            </w:r>
            <w:r>
              <w:rPr>
                <w:rFonts w:hint="eastAsia" w:ascii="Times New Roman" w:hAnsi="Times New Roman" w:eastAsia="宋体" w:cs="Times New Roman"/>
                <w:color w:val="auto"/>
                <w:sz w:val="21"/>
                <w:szCs w:val="21"/>
                <w:lang w:val="en-US" w:eastAsia="zh-CN"/>
              </w:rPr>
              <w:t>，2022.6.30</w:t>
            </w:r>
          </w:p>
        </w:tc>
        <w:tc>
          <w:tcPr>
            <w:tcW w:w="2131" w:type="dxa"/>
            <w:shd w:val="clear" w:color="auto" w:fill="auto"/>
            <w:vAlign w:val="center"/>
          </w:tcPr>
          <w:p w14:paraId="56A5DFAF">
            <w:pPr>
              <w:bidi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正在验收中</w:t>
            </w:r>
          </w:p>
        </w:tc>
      </w:tr>
      <w:tr w14:paraId="02F4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restart"/>
            <w:vAlign w:val="center"/>
          </w:tcPr>
          <w:p w14:paraId="2CDB9C70">
            <w:pPr>
              <w:bidi w:val="0"/>
              <w:jc w:val="center"/>
              <w:rPr>
                <w:rFonts w:hint="eastAsia" w:eastAsia="宋体"/>
                <w:color w:val="auto"/>
                <w:sz w:val="21"/>
                <w:szCs w:val="21"/>
                <w:lang w:val="en-US" w:eastAsia="zh-CN"/>
              </w:rPr>
            </w:pPr>
            <w:r>
              <w:rPr>
                <w:rFonts w:hint="eastAsia"/>
                <w:color w:val="auto"/>
                <w:sz w:val="21"/>
                <w:szCs w:val="21"/>
                <w:lang w:val="en-US" w:eastAsia="zh-CN"/>
              </w:rPr>
              <w:t>百厂探区</w:t>
            </w:r>
          </w:p>
        </w:tc>
        <w:tc>
          <w:tcPr>
            <w:tcW w:w="3185" w:type="dxa"/>
            <w:vAlign w:val="center"/>
          </w:tcPr>
          <w:p w14:paraId="1D78C607">
            <w:pPr>
              <w:bidi w:val="0"/>
              <w:jc w:val="center"/>
              <w:rPr>
                <w:rFonts w:hint="default"/>
                <w:color w:val="auto"/>
                <w:sz w:val="21"/>
                <w:szCs w:val="21"/>
                <w:lang w:val="en-US" w:eastAsia="zh-CN"/>
              </w:rPr>
            </w:pPr>
            <w:r>
              <w:rPr>
                <w:rFonts w:hint="eastAsia"/>
                <w:color w:val="auto"/>
                <w:sz w:val="21"/>
                <w:szCs w:val="21"/>
                <w:lang w:val="en-US" w:eastAsia="zh-CN"/>
              </w:rPr>
              <w:t>百791井勘探钻探项目环境影响报告表</w:t>
            </w:r>
          </w:p>
        </w:tc>
        <w:tc>
          <w:tcPr>
            <w:tcW w:w="2131" w:type="dxa"/>
            <w:vAlign w:val="center"/>
          </w:tcPr>
          <w:p w14:paraId="61A79841">
            <w:pPr>
              <w:bidi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克拉玛依市生态环境局，克环函</w:t>
            </w:r>
            <w:r>
              <w:rPr>
                <w:rFonts w:hint="eastAsia" w:ascii="宋体" w:hAnsi="宋体" w:eastAsia="宋体" w:cs="宋体"/>
                <w:color w:val="auto"/>
                <w:sz w:val="21"/>
                <w:szCs w:val="21"/>
                <w:lang w:val="en-US" w:eastAsia="zh-CN"/>
              </w:rPr>
              <w:t>〔</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24</w:t>
            </w: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51号</w:t>
            </w:r>
            <w:r>
              <w:rPr>
                <w:rFonts w:hint="eastAsia" w:ascii="Times New Roman" w:hAnsi="Times New Roman" w:eastAsia="宋体" w:cs="Times New Roman"/>
                <w:color w:val="auto"/>
                <w:sz w:val="21"/>
                <w:szCs w:val="21"/>
                <w:lang w:val="en-US" w:eastAsia="zh-CN"/>
              </w:rPr>
              <w:t>，2024.5.20</w:t>
            </w:r>
          </w:p>
        </w:tc>
        <w:tc>
          <w:tcPr>
            <w:tcW w:w="2131" w:type="dxa"/>
            <w:vAlign w:val="center"/>
          </w:tcPr>
          <w:p w14:paraId="5C17D7D9">
            <w:pPr>
              <w:bidi w:val="0"/>
              <w:jc w:val="center"/>
              <w:rPr>
                <w:rFonts w:hint="default"/>
                <w:color w:val="auto"/>
                <w:sz w:val="21"/>
                <w:szCs w:val="21"/>
                <w:lang w:val="en-US" w:eastAsia="zh-CN"/>
              </w:rPr>
            </w:pPr>
            <w:r>
              <w:rPr>
                <w:rFonts w:hint="eastAsia"/>
                <w:color w:val="auto"/>
                <w:sz w:val="21"/>
                <w:szCs w:val="21"/>
                <w:lang w:val="en-US" w:eastAsia="zh-CN"/>
              </w:rPr>
              <w:t>2025.6.30自主竣工环保验收</w:t>
            </w:r>
          </w:p>
        </w:tc>
      </w:tr>
      <w:tr w14:paraId="54E9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vAlign w:val="center"/>
          </w:tcPr>
          <w:p w14:paraId="4AABEB4E">
            <w:pPr>
              <w:bidi w:val="0"/>
              <w:jc w:val="center"/>
              <w:rPr>
                <w:rFonts w:hint="eastAsia"/>
                <w:color w:val="auto"/>
                <w:sz w:val="21"/>
                <w:szCs w:val="21"/>
                <w:lang w:val="en-US" w:eastAsia="zh-CN"/>
              </w:rPr>
            </w:pPr>
          </w:p>
        </w:tc>
        <w:tc>
          <w:tcPr>
            <w:tcW w:w="3185" w:type="dxa"/>
            <w:vAlign w:val="center"/>
          </w:tcPr>
          <w:p w14:paraId="0E47701C">
            <w:pPr>
              <w:bidi w:val="0"/>
              <w:jc w:val="center"/>
              <w:rPr>
                <w:rFonts w:hint="default"/>
                <w:color w:val="auto"/>
                <w:sz w:val="21"/>
                <w:szCs w:val="21"/>
                <w:lang w:val="en-US" w:eastAsia="zh-CN"/>
              </w:rPr>
            </w:pPr>
            <w:r>
              <w:rPr>
                <w:rFonts w:hint="eastAsia"/>
                <w:color w:val="auto"/>
                <w:sz w:val="21"/>
                <w:szCs w:val="21"/>
                <w:lang w:val="en-US" w:eastAsia="zh-CN"/>
              </w:rPr>
              <w:t>百79、百80井勘探钻探项目环境影响报告表</w:t>
            </w:r>
          </w:p>
        </w:tc>
        <w:tc>
          <w:tcPr>
            <w:tcW w:w="2131" w:type="dxa"/>
            <w:vAlign w:val="center"/>
          </w:tcPr>
          <w:p w14:paraId="4E3A089E">
            <w:pPr>
              <w:bidi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克拉玛依市生态环境局，克环函</w:t>
            </w:r>
            <w:r>
              <w:rPr>
                <w:rFonts w:hint="eastAsia" w:ascii="宋体" w:hAnsi="宋体" w:eastAsia="宋体" w:cs="宋体"/>
                <w:color w:val="auto"/>
                <w:sz w:val="21"/>
                <w:szCs w:val="21"/>
                <w:lang w:val="en-US" w:eastAsia="zh-CN"/>
              </w:rPr>
              <w:t>〔</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23</w:t>
            </w:r>
            <w:r>
              <w:rPr>
                <w:rFonts w:hint="eastAsia" w:ascii="宋体" w:hAnsi="宋体" w:eastAsia="宋体" w:cs="宋体"/>
                <w:color w:val="auto"/>
                <w:sz w:val="21"/>
                <w:szCs w:val="21"/>
                <w:lang w:val="en-US" w:eastAsia="zh-CN"/>
              </w:rPr>
              <w:t>〕</w:t>
            </w:r>
            <w:r>
              <w:rPr>
                <w:rFonts w:hint="eastAsia" w:ascii="Times New Roman" w:hAnsi="Times New Roman" w:eastAsia="宋体" w:cs="Times New Roman"/>
                <w:color w:val="auto"/>
                <w:sz w:val="21"/>
                <w:szCs w:val="21"/>
                <w:lang w:val="en-US" w:eastAsia="zh-CN"/>
              </w:rPr>
              <w:t>78</w:t>
            </w:r>
            <w:r>
              <w:rPr>
                <w:rFonts w:hint="default" w:ascii="Times New Roman" w:hAnsi="Times New Roman" w:eastAsia="宋体" w:cs="Times New Roman"/>
                <w:color w:val="auto"/>
                <w:sz w:val="21"/>
                <w:szCs w:val="21"/>
                <w:lang w:val="en-US" w:eastAsia="zh-CN"/>
              </w:rPr>
              <w:t>号</w:t>
            </w:r>
            <w:r>
              <w:rPr>
                <w:rFonts w:hint="eastAsia" w:ascii="Times New Roman" w:hAnsi="Times New Roman" w:eastAsia="宋体" w:cs="Times New Roman"/>
                <w:color w:val="auto"/>
                <w:sz w:val="21"/>
                <w:szCs w:val="21"/>
                <w:lang w:val="en-US" w:eastAsia="zh-CN"/>
              </w:rPr>
              <w:t>，2023.7.17</w:t>
            </w:r>
          </w:p>
        </w:tc>
        <w:tc>
          <w:tcPr>
            <w:tcW w:w="2131" w:type="dxa"/>
            <w:vAlign w:val="center"/>
          </w:tcPr>
          <w:p w14:paraId="1F2A8947">
            <w:pPr>
              <w:bidi w:val="0"/>
              <w:jc w:val="center"/>
              <w:rPr>
                <w:rFonts w:hint="eastAsia"/>
                <w:color w:val="auto"/>
                <w:sz w:val="21"/>
                <w:szCs w:val="21"/>
                <w:lang w:val="en-US" w:eastAsia="zh-CN"/>
              </w:rPr>
            </w:pPr>
            <w:r>
              <w:rPr>
                <w:rFonts w:hint="eastAsia"/>
                <w:color w:val="auto"/>
                <w:sz w:val="21"/>
                <w:szCs w:val="21"/>
                <w:lang w:val="en-US" w:eastAsia="zh-CN"/>
              </w:rPr>
              <w:t>2024.9.7自主竣工环保验收</w:t>
            </w:r>
          </w:p>
        </w:tc>
      </w:tr>
    </w:tbl>
    <w:p w14:paraId="4A48B5CB">
      <w:pPr>
        <w:pStyle w:val="6"/>
        <w:bidi w:val="0"/>
        <w:rPr>
          <w:rFonts w:hint="default"/>
          <w:color w:val="auto"/>
          <w:lang w:val="en-US" w:eastAsia="zh-CN"/>
        </w:rPr>
      </w:pPr>
      <w:r>
        <w:rPr>
          <w:rFonts w:hint="eastAsia"/>
          <w:color w:val="auto"/>
          <w:lang w:val="en-US" w:eastAsia="zh-CN"/>
        </w:rPr>
        <w:t>3.1.2.2排污许可手续</w:t>
      </w:r>
    </w:p>
    <w:p w14:paraId="64541BE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color w:val="auto"/>
        </w:rPr>
        <w:t>根据调查，按照生态环境部门管理要求，</w:t>
      </w:r>
    </w:p>
    <w:p w14:paraId="0274CF11">
      <w:pPr>
        <w:pStyle w:val="43"/>
        <w:bidi w:val="0"/>
        <w:rPr>
          <w:color w:val="auto"/>
        </w:rPr>
      </w:pPr>
      <w:r>
        <w:rPr>
          <w:rFonts w:hint="eastAsia"/>
          <w:color w:val="auto"/>
          <w:lang w:val="en-US" w:eastAsia="zh-CN"/>
        </w:rPr>
        <w:t xml:space="preserve">表3.1-5  </w:t>
      </w:r>
      <w:r>
        <w:rPr>
          <w:color w:val="auto"/>
        </w:rPr>
        <w:t>排污许可手续履行情况</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1280"/>
        <w:gridCol w:w="966"/>
        <w:gridCol w:w="2587"/>
        <w:gridCol w:w="3575"/>
      </w:tblGrid>
      <w:tr w14:paraId="09AE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jc w:val="center"/>
        </w:trPr>
        <w:tc>
          <w:tcPr>
            <w:tcW w:w="761" w:type="pct"/>
            <w:shd w:val="clear" w:color="auto" w:fill="auto"/>
            <w:vAlign w:val="center"/>
          </w:tcPr>
          <w:p w14:paraId="59D86E25">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b/>
                <w:bCs/>
                <w:color w:val="auto"/>
              </w:rPr>
            </w:pPr>
            <w:r>
              <w:rPr>
                <w:b/>
                <w:bCs/>
                <w:color w:val="auto"/>
              </w:rPr>
              <w:t>名称</w:t>
            </w:r>
          </w:p>
        </w:tc>
        <w:tc>
          <w:tcPr>
            <w:tcW w:w="574" w:type="pct"/>
            <w:shd w:val="clear" w:color="auto" w:fill="auto"/>
            <w:vAlign w:val="center"/>
          </w:tcPr>
          <w:p w14:paraId="4B76EE44">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b/>
                <w:bCs/>
                <w:color w:val="auto"/>
              </w:rPr>
            </w:pPr>
            <w:r>
              <w:rPr>
                <w:b/>
                <w:bCs/>
                <w:color w:val="auto"/>
              </w:rPr>
              <w:t>管理类别</w:t>
            </w:r>
          </w:p>
        </w:tc>
        <w:tc>
          <w:tcPr>
            <w:tcW w:w="1538" w:type="pct"/>
            <w:shd w:val="clear" w:color="auto" w:fill="auto"/>
            <w:vAlign w:val="center"/>
          </w:tcPr>
          <w:p w14:paraId="59A4D01A">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b/>
                <w:bCs/>
                <w:color w:val="auto"/>
              </w:rPr>
            </w:pPr>
            <w:r>
              <w:rPr>
                <w:b/>
                <w:bCs/>
                <w:color w:val="auto"/>
              </w:rPr>
              <w:t>编号</w:t>
            </w:r>
          </w:p>
        </w:tc>
        <w:tc>
          <w:tcPr>
            <w:tcW w:w="2125" w:type="pct"/>
            <w:shd w:val="clear" w:color="auto" w:fill="auto"/>
            <w:vAlign w:val="center"/>
          </w:tcPr>
          <w:p w14:paraId="36BC01D5">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b/>
                <w:bCs/>
                <w:color w:val="auto"/>
              </w:rPr>
            </w:pPr>
            <w:r>
              <w:rPr>
                <w:b/>
                <w:bCs/>
                <w:color w:val="auto"/>
              </w:rPr>
              <w:t>有效期</w:t>
            </w:r>
          </w:p>
        </w:tc>
      </w:tr>
      <w:tr w14:paraId="7615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761" w:type="pct"/>
            <w:shd w:val="clear" w:color="auto" w:fill="auto"/>
            <w:vAlign w:val="center"/>
          </w:tcPr>
          <w:p w14:paraId="2354CA3B">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eastAsia="宋体"/>
                <w:color w:val="auto"/>
                <w:lang w:val="en-US" w:eastAsia="zh-CN"/>
              </w:rPr>
            </w:pPr>
            <w:r>
              <w:rPr>
                <w:rFonts w:hint="eastAsia"/>
                <w:color w:val="auto"/>
                <w:lang w:val="en-US" w:eastAsia="zh-CN"/>
              </w:rPr>
              <w:t>玛2转油站</w:t>
            </w:r>
          </w:p>
        </w:tc>
        <w:tc>
          <w:tcPr>
            <w:tcW w:w="574" w:type="pct"/>
            <w:shd w:val="clear" w:color="auto" w:fill="auto"/>
            <w:vAlign w:val="center"/>
          </w:tcPr>
          <w:p w14:paraId="4D5108C4">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color w:val="auto"/>
              </w:rPr>
            </w:pPr>
            <w:r>
              <w:rPr>
                <w:color w:val="auto"/>
              </w:rPr>
              <w:t>登记管理</w:t>
            </w:r>
          </w:p>
        </w:tc>
        <w:tc>
          <w:tcPr>
            <w:tcW w:w="1538" w:type="pct"/>
            <w:tcBorders>
              <w:top w:val="single" w:color="auto" w:sz="4" w:space="0"/>
              <w:left w:val="single" w:color="auto" w:sz="4" w:space="0"/>
              <w:bottom w:val="single" w:color="auto" w:sz="4" w:space="0"/>
              <w:right w:val="single" w:color="auto" w:sz="4" w:space="0"/>
            </w:tcBorders>
            <w:shd w:val="clear" w:color="auto" w:fill="auto"/>
            <w:vAlign w:val="center"/>
          </w:tcPr>
          <w:p w14:paraId="19FEEBD1">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eastAsia="宋体"/>
                <w:color w:val="auto"/>
                <w:lang w:val="en-US" w:eastAsia="zh-CN"/>
              </w:rPr>
            </w:pPr>
            <w:r>
              <w:rPr>
                <w:rFonts w:hint="eastAsia"/>
                <w:color w:val="auto"/>
                <w:lang w:val="en-US" w:eastAsia="zh-CN"/>
              </w:rPr>
              <w:t>91650200715597998M040X</w:t>
            </w:r>
          </w:p>
        </w:tc>
        <w:tc>
          <w:tcPr>
            <w:tcW w:w="2125" w:type="pct"/>
            <w:tcBorders>
              <w:top w:val="single" w:color="auto" w:sz="4" w:space="0"/>
              <w:left w:val="single" w:color="auto" w:sz="4" w:space="0"/>
              <w:bottom w:val="single" w:color="auto" w:sz="4" w:space="0"/>
              <w:right w:val="single" w:color="auto" w:sz="4" w:space="0"/>
            </w:tcBorders>
            <w:shd w:val="clear" w:color="auto" w:fill="auto"/>
            <w:vAlign w:val="center"/>
          </w:tcPr>
          <w:p w14:paraId="29406C47">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eastAsia="宋体"/>
                <w:color w:val="auto"/>
                <w:lang w:val="en-US" w:eastAsia="zh-CN"/>
              </w:rPr>
            </w:pPr>
            <w:r>
              <w:rPr>
                <w:rFonts w:hint="eastAsia"/>
                <w:color w:val="auto"/>
                <w:lang w:val="en-US" w:eastAsia="zh-CN"/>
              </w:rPr>
              <w:t>2025年01月10日至2030年01月09日</w:t>
            </w:r>
          </w:p>
        </w:tc>
      </w:tr>
      <w:tr w14:paraId="3512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761" w:type="pct"/>
            <w:shd w:val="clear" w:color="auto" w:fill="auto"/>
            <w:vAlign w:val="center"/>
          </w:tcPr>
          <w:p w14:paraId="575DAB61">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eastAsia="宋体"/>
                <w:color w:val="auto"/>
                <w:lang w:val="en-US" w:eastAsia="zh-CN"/>
              </w:rPr>
            </w:pPr>
            <w:r>
              <w:rPr>
                <w:rFonts w:hint="eastAsia"/>
                <w:color w:val="auto"/>
                <w:lang w:val="en-US" w:eastAsia="zh-CN"/>
              </w:rPr>
              <w:t>玛18转油站</w:t>
            </w:r>
          </w:p>
        </w:tc>
        <w:tc>
          <w:tcPr>
            <w:tcW w:w="574" w:type="pct"/>
            <w:shd w:val="clear" w:color="auto" w:fill="auto"/>
            <w:vAlign w:val="center"/>
          </w:tcPr>
          <w:p w14:paraId="760D2846">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color w:val="auto"/>
              </w:rPr>
            </w:pPr>
            <w:r>
              <w:rPr>
                <w:color w:val="auto"/>
              </w:rPr>
              <w:t>登记管理</w:t>
            </w:r>
          </w:p>
        </w:tc>
        <w:tc>
          <w:tcPr>
            <w:tcW w:w="1538" w:type="pct"/>
            <w:tcBorders>
              <w:top w:val="single" w:color="auto" w:sz="4" w:space="0"/>
              <w:left w:val="single" w:color="auto" w:sz="4" w:space="0"/>
              <w:bottom w:val="single" w:color="auto" w:sz="4" w:space="0"/>
              <w:right w:val="single" w:color="auto" w:sz="4" w:space="0"/>
            </w:tcBorders>
            <w:shd w:val="clear" w:color="auto" w:fill="auto"/>
            <w:vAlign w:val="center"/>
          </w:tcPr>
          <w:p w14:paraId="6B96BCF2">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eastAsia="宋体"/>
                <w:color w:val="auto"/>
                <w:lang w:val="en-US" w:eastAsia="zh-CN"/>
              </w:rPr>
            </w:pPr>
            <w:r>
              <w:rPr>
                <w:rFonts w:hint="eastAsia"/>
                <w:color w:val="auto"/>
                <w:lang w:val="en-US" w:eastAsia="zh-CN"/>
              </w:rPr>
              <w:t>91650200715597998M029W</w:t>
            </w:r>
          </w:p>
        </w:tc>
        <w:tc>
          <w:tcPr>
            <w:tcW w:w="2125" w:type="pct"/>
            <w:tcBorders>
              <w:top w:val="single" w:color="auto" w:sz="4" w:space="0"/>
              <w:left w:val="single" w:color="auto" w:sz="4" w:space="0"/>
              <w:bottom w:val="single" w:color="auto" w:sz="4" w:space="0"/>
              <w:right w:val="single" w:color="auto" w:sz="4" w:space="0"/>
            </w:tcBorders>
            <w:shd w:val="clear" w:color="auto" w:fill="auto"/>
            <w:vAlign w:val="center"/>
          </w:tcPr>
          <w:p w14:paraId="3970F9E6">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color w:val="auto"/>
              </w:rPr>
            </w:pPr>
            <w:r>
              <w:rPr>
                <w:rFonts w:hint="eastAsia"/>
                <w:color w:val="auto"/>
                <w:lang w:val="en-US" w:eastAsia="zh-CN"/>
              </w:rPr>
              <w:t>2025年01月10日至2030年01月09日</w:t>
            </w:r>
          </w:p>
        </w:tc>
      </w:tr>
      <w:tr w14:paraId="5804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761" w:type="pct"/>
            <w:shd w:val="clear" w:color="auto" w:fill="auto"/>
            <w:vAlign w:val="center"/>
          </w:tcPr>
          <w:p w14:paraId="2802E908">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eastAsia="宋体"/>
                <w:color w:val="auto"/>
                <w:lang w:val="en-US" w:eastAsia="zh-CN"/>
              </w:rPr>
            </w:pPr>
            <w:r>
              <w:rPr>
                <w:rFonts w:hint="eastAsia"/>
                <w:color w:val="auto"/>
                <w:lang w:val="en-US" w:eastAsia="zh-CN"/>
              </w:rPr>
              <w:t>百口泉注输联合站玛131转油站/艾湖2转油站</w:t>
            </w:r>
          </w:p>
        </w:tc>
        <w:tc>
          <w:tcPr>
            <w:tcW w:w="574" w:type="pct"/>
            <w:shd w:val="clear" w:color="auto" w:fill="auto"/>
            <w:vAlign w:val="center"/>
          </w:tcPr>
          <w:p w14:paraId="4FF16255">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color w:val="auto"/>
              </w:rPr>
            </w:pPr>
            <w:r>
              <w:rPr>
                <w:color w:val="auto"/>
              </w:rPr>
              <w:t>登记管理</w:t>
            </w:r>
          </w:p>
        </w:tc>
        <w:tc>
          <w:tcPr>
            <w:tcW w:w="1538" w:type="pct"/>
            <w:tcBorders>
              <w:top w:val="single" w:color="auto" w:sz="4" w:space="0"/>
              <w:left w:val="single" w:color="auto" w:sz="4" w:space="0"/>
              <w:bottom w:val="single" w:color="auto" w:sz="4" w:space="0"/>
              <w:right w:val="single" w:color="auto" w:sz="4" w:space="0"/>
            </w:tcBorders>
            <w:shd w:val="clear" w:color="auto" w:fill="auto"/>
            <w:vAlign w:val="center"/>
          </w:tcPr>
          <w:p w14:paraId="35F7835F">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color w:val="auto"/>
                <w:lang w:val="en-US"/>
              </w:rPr>
            </w:pPr>
            <w:r>
              <w:rPr>
                <w:rFonts w:hint="eastAsia"/>
                <w:color w:val="auto"/>
                <w:lang w:val="en-US" w:eastAsia="zh-CN"/>
              </w:rPr>
              <w:t>91650200715597998M027X</w:t>
            </w:r>
          </w:p>
        </w:tc>
        <w:tc>
          <w:tcPr>
            <w:tcW w:w="2125" w:type="pct"/>
            <w:tcBorders>
              <w:top w:val="single" w:color="auto" w:sz="4" w:space="0"/>
              <w:left w:val="single" w:color="auto" w:sz="4" w:space="0"/>
              <w:bottom w:val="single" w:color="auto" w:sz="4" w:space="0"/>
              <w:right w:val="single" w:color="auto" w:sz="4" w:space="0"/>
            </w:tcBorders>
            <w:shd w:val="clear" w:color="auto" w:fill="auto"/>
            <w:vAlign w:val="center"/>
          </w:tcPr>
          <w:p w14:paraId="5339DBBE">
            <w:pPr>
              <w:pStyle w:val="44"/>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color w:val="auto"/>
              </w:rPr>
            </w:pPr>
            <w:r>
              <w:rPr>
                <w:rFonts w:hint="eastAsia"/>
                <w:color w:val="auto"/>
                <w:lang w:val="en-US" w:eastAsia="zh-CN"/>
              </w:rPr>
              <w:t>2025年01月10日至2030年01月09日</w:t>
            </w:r>
          </w:p>
        </w:tc>
      </w:tr>
    </w:tbl>
    <w:p w14:paraId="37CA1604">
      <w:pPr>
        <w:pStyle w:val="6"/>
        <w:bidi w:val="0"/>
        <w:rPr>
          <w:rFonts w:hint="default"/>
          <w:color w:val="auto"/>
          <w:lang w:val="en-US" w:eastAsia="zh-CN"/>
        </w:rPr>
      </w:pPr>
      <w:r>
        <w:rPr>
          <w:rFonts w:hint="eastAsia"/>
          <w:color w:val="auto"/>
          <w:lang w:val="en-US" w:eastAsia="zh-CN"/>
        </w:rPr>
        <w:t>3.1.2.3应急预案手续</w:t>
      </w:r>
    </w:p>
    <w:p w14:paraId="426EC0F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color w:val="auto"/>
        </w:rPr>
        <w:t>建设单位已编制《</w:t>
      </w:r>
      <w:r>
        <w:rPr>
          <w:rFonts w:hint="eastAsia"/>
          <w:color w:val="auto"/>
          <w:lang w:val="en-US" w:eastAsia="zh-CN"/>
        </w:rPr>
        <w:t>新疆油田公司百口泉采油厂</w:t>
      </w:r>
      <w:r>
        <w:rPr>
          <w:color w:val="auto"/>
        </w:rPr>
        <w:t>突发环境事件</w:t>
      </w:r>
      <w:r>
        <w:rPr>
          <w:rFonts w:hint="eastAsia"/>
          <w:color w:val="auto"/>
          <w:lang w:val="en-US" w:eastAsia="zh-CN"/>
        </w:rPr>
        <w:t>专项</w:t>
      </w:r>
      <w:r>
        <w:rPr>
          <w:color w:val="auto"/>
        </w:rPr>
        <w:t>应急预案》，并在</w:t>
      </w:r>
      <w:r>
        <w:rPr>
          <w:rFonts w:hint="eastAsia"/>
          <w:color w:val="auto"/>
          <w:lang w:val="en-US" w:eastAsia="zh-CN"/>
        </w:rPr>
        <w:t>克拉玛依</w:t>
      </w:r>
      <w:r>
        <w:rPr>
          <w:color w:val="auto"/>
        </w:rPr>
        <w:t>市生态环境局</w:t>
      </w:r>
      <w:r>
        <w:rPr>
          <w:rFonts w:hint="eastAsia"/>
          <w:color w:val="auto"/>
          <w:lang w:val="en-US" w:eastAsia="zh-CN"/>
        </w:rPr>
        <w:t>乌尔禾区</w:t>
      </w:r>
      <w:r>
        <w:rPr>
          <w:color w:val="auto"/>
        </w:rPr>
        <w:t>分局备案（备案号：</w:t>
      </w:r>
      <w:r>
        <w:rPr>
          <w:rFonts w:hint="eastAsia"/>
          <w:color w:val="auto"/>
          <w:lang w:val="en-US" w:eastAsia="zh-CN"/>
        </w:rPr>
        <w:t>650205-2024-009-L</w:t>
      </w:r>
      <w:r>
        <w:rPr>
          <w:color w:val="auto"/>
        </w:rPr>
        <w:t>）和</w:t>
      </w:r>
      <w:r>
        <w:rPr>
          <w:rFonts w:hint="eastAsia"/>
          <w:color w:val="auto"/>
          <w:lang w:val="en-US" w:eastAsia="zh-CN"/>
        </w:rPr>
        <w:t>塔城地区生态环境局和布克赛尔蒙古自治县分局</w:t>
      </w:r>
      <w:r>
        <w:rPr>
          <w:color w:val="auto"/>
        </w:rPr>
        <w:t>备案（备案号：</w:t>
      </w:r>
      <w:r>
        <w:rPr>
          <w:rFonts w:hint="eastAsia"/>
          <w:color w:val="auto"/>
          <w:lang w:val="en-US" w:eastAsia="zh-CN"/>
        </w:rPr>
        <w:t>654226-2024-005</w:t>
      </w:r>
      <w:r>
        <w:rPr>
          <w:color w:val="auto"/>
        </w:rPr>
        <w:t>-L）。</w:t>
      </w:r>
    </w:p>
    <w:p w14:paraId="595C7DDB">
      <w:pPr>
        <w:pStyle w:val="6"/>
        <w:bidi w:val="0"/>
        <w:rPr>
          <w:rFonts w:hint="default"/>
          <w:color w:val="auto"/>
          <w:lang w:val="en-US" w:eastAsia="zh-CN"/>
        </w:rPr>
      </w:pPr>
      <w:r>
        <w:rPr>
          <w:rFonts w:hint="eastAsia"/>
          <w:color w:val="auto"/>
          <w:lang w:val="en-US" w:eastAsia="zh-CN"/>
        </w:rPr>
        <w:t>3.1.2.4自行监测</w:t>
      </w:r>
    </w:p>
    <w:p w14:paraId="3922E31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ascii="Times New Roman" w:hAnsi="Times New Roman" w:eastAsia="宋体"/>
          <w:color w:val="auto"/>
          <w:sz w:val="24"/>
          <w:szCs w:val="24"/>
          <w:lang w:val="en-US" w:eastAsia="zh-CN"/>
        </w:rPr>
        <w:t>根据收集到的资料，</w:t>
      </w:r>
      <w:r>
        <w:rPr>
          <w:rFonts w:hint="eastAsia"/>
          <w:color w:val="auto"/>
          <w:sz w:val="24"/>
          <w:szCs w:val="24"/>
          <w:lang w:val="en-US" w:eastAsia="zh-CN"/>
        </w:rPr>
        <w:t>中国石油新疆油田分公司百口泉采油厂</w:t>
      </w:r>
      <w:r>
        <w:rPr>
          <w:rFonts w:ascii="Times New Roman" w:hAnsi="Times New Roman" w:eastAsia="宋体"/>
          <w:color w:val="auto"/>
          <w:sz w:val="24"/>
          <w:szCs w:val="24"/>
          <w:lang w:val="en-US" w:eastAsia="zh-CN"/>
        </w:rPr>
        <w:t>已在</w:t>
      </w:r>
      <w:r>
        <w:rPr>
          <w:rFonts w:hint="eastAsia"/>
          <w:color w:val="auto"/>
          <w:sz w:val="24"/>
          <w:szCs w:val="24"/>
          <w:lang w:val="en-US" w:eastAsia="zh-CN"/>
        </w:rPr>
        <w:t>百口泉油田、玛2井区和其他井区</w:t>
      </w:r>
      <w:r>
        <w:rPr>
          <w:rFonts w:ascii="Times New Roman" w:hAnsi="Times New Roman" w:eastAsia="宋体"/>
          <w:color w:val="auto"/>
          <w:sz w:val="24"/>
          <w:szCs w:val="24"/>
          <w:lang w:val="en-US" w:eastAsia="zh-CN"/>
        </w:rPr>
        <w:t>开展了废气、噪声、土壤、地下水等自行监测</w:t>
      </w:r>
      <w:r>
        <w:rPr>
          <w:rFonts w:hint="eastAsia" w:ascii="Times New Roman" w:hAnsi="Times New Roman" w:eastAsia="宋体"/>
          <w:color w:val="auto"/>
          <w:sz w:val="24"/>
          <w:szCs w:val="24"/>
          <w:lang w:val="en-US" w:eastAsia="zh-CN"/>
        </w:rPr>
        <w:t>。</w:t>
      </w:r>
      <w:r>
        <w:rPr>
          <w:rFonts w:hint="eastAsia"/>
          <w:color w:val="auto"/>
          <w:sz w:val="24"/>
          <w:szCs w:val="24"/>
          <w:lang w:val="en-US" w:eastAsia="zh-CN"/>
        </w:rPr>
        <w:t>百口泉采油厂监测方案见表3.1-6。</w:t>
      </w:r>
    </w:p>
    <w:p w14:paraId="4BEAFEA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lang w:val="en-US" w:eastAsia="zh-CN"/>
        </w:rPr>
      </w:pPr>
      <w:r>
        <w:rPr>
          <w:rFonts w:ascii="Times New Roman" w:hAnsi="Times New Roman" w:eastAsia="宋体"/>
          <w:color w:val="auto"/>
          <w:sz w:val="24"/>
          <w:szCs w:val="24"/>
          <w:lang w:val="en-US" w:eastAsia="zh-CN"/>
        </w:rPr>
        <w:t>除此以外，建设单位还制定了一系列环境保护规章制度，并认真监督实施。</w:t>
      </w:r>
    </w:p>
    <w:p w14:paraId="6824E646">
      <w:pPr>
        <w:jc w:val="center"/>
        <w:rPr>
          <w:rFonts w:hint="default"/>
          <w:b/>
          <w:bCs/>
          <w:color w:val="auto"/>
          <w:lang w:val="en-US" w:eastAsia="zh-CN"/>
        </w:rPr>
      </w:pPr>
      <w:r>
        <w:rPr>
          <w:rFonts w:hint="eastAsia"/>
          <w:b/>
          <w:bCs/>
          <w:color w:val="auto"/>
          <w:lang w:val="en-US" w:eastAsia="zh-CN"/>
        </w:rPr>
        <w:t>表3.1-6  百口泉采油厂现有监测方案一览表</w:t>
      </w:r>
    </w:p>
    <w:tbl>
      <w:tblPr>
        <w:tblStyle w:val="2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76"/>
        <w:gridCol w:w="1703"/>
        <w:gridCol w:w="1404"/>
        <w:gridCol w:w="1373"/>
        <w:gridCol w:w="1025"/>
        <w:gridCol w:w="2041"/>
      </w:tblGrid>
      <w:tr w14:paraId="14A5E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atLeast"/>
          <w:tblHeader/>
        </w:trPr>
        <w:tc>
          <w:tcPr>
            <w:tcW w:w="572" w:type="pct"/>
            <w:shd w:val="clear" w:color="auto" w:fill="auto"/>
            <w:noWrap/>
            <w:vAlign w:val="center"/>
          </w:tcPr>
          <w:p w14:paraId="18D0B28F">
            <w:pPr>
              <w:pStyle w:val="34"/>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21"/>
                <w:szCs w:val="21"/>
              </w:rPr>
            </w:pPr>
            <w:r>
              <w:rPr>
                <w:rFonts w:hint="eastAsia"/>
                <w:b/>
                <w:bCs/>
                <w:color w:val="auto"/>
                <w:sz w:val="21"/>
                <w:szCs w:val="21"/>
                <w:lang w:val="en-US" w:eastAsia="zh-CN"/>
              </w:rPr>
              <w:t>污染源类型</w:t>
            </w:r>
          </w:p>
        </w:tc>
        <w:tc>
          <w:tcPr>
            <w:tcW w:w="999" w:type="pct"/>
            <w:shd w:val="clear" w:color="auto" w:fill="auto"/>
            <w:noWrap/>
            <w:vAlign w:val="center"/>
          </w:tcPr>
          <w:p w14:paraId="153C8219">
            <w:pPr>
              <w:pStyle w:val="34"/>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21"/>
                <w:szCs w:val="21"/>
              </w:rPr>
            </w:pPr>
            <w:r>
              <w:rPr>
                <w:rFonts w:hint="eastAsia"/>
                <w:b/>
                <w:bCs/>
                <w:color w:val="auto"/>
                <w:sz w:val="21"/>
                <w:szCs w:val="21"/>
                <w:lang w:val="en-US" w:eastAsia="zh-CN"/>
              </w:rPr>
              <w:t>监测名称</w:t>
            </w:r>
          </w:p>
        </w:tc>
        <w:tc>
          <w:tcPr>
            <w:tcW w:w="823" w:type="pct"/>
            <w:shd w:val="clear" w:color="auto" w:fill="auto"/>
            <w:noWrap/>
            <w:vAlign w:val="center"/>
          </w:tcPr>
          <w:p w14:paraId="1DC90BAD">
            <w:pPr>
              <w:pStyle w:val="34"/>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21"/>
                <w:szCs w:val="21"/>
              </w:rPr>
            </w:pPr>
            <w:r>
              <w:rPr>
                <w:rFonts w:hint="eastAsia"/>
                <w:b/>
                <w:bCs/>
                <w:color w:val="auto"/>
                <w:sz w:val="21"/>
                <w:szCs w:val="21"/>
                <w:lang w:val="en-US" w:eastAsia="zh-CN"/>
              </w:rPr>
              <w:t>监测指标</w:t>
            </w:r>
          </w:p>
        </w:tc>
        <w:tc>
          <w:tcPr>
            <w:tcW w:w="805" w:type="pct"/>
            <w:shd w:val="clear" w:color="auto" w:fill="auto"/>
            <w:noWrap/>
            <w:vAlign w:val="center"/>
          </w:tcPr>
          <w:p w14:paraId="26D13343">
            <w:pPr>
              <w:pStyle w:val="34"/>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21"/>
                <w:szCs w:val="21"/>
              </w:rPr>
            </w:pPr>
            <w:r>
              <w:rPr>
                <w:rFonts w:hint="eastAsia"/>
                <w:b/>
                <w:bCs/>
                <w:color w:val="auto"/>
                <w:sz w:val="21"/>
                <w:szCs w:val="21"/>
                <w:lang w:val="en-US" w:eastAsia="zh-CN"/>
              </w:rPr>
              <w:t>监测频次</w:t>
            </w:r>
          </w:p>
        </w:tc>
        <w:tc>
          <w:tcPr>
            <w:tcW w:w="601" w:type="pct"/>
            <w:shd w:val="clear" w:color="auto" w:fill="auto"/>
            <w:noWrap/>
            <w:vAlign w:val="center"/>
          </w:tcPr>
          <w:p w14:paraId="74EAB6AE">
            <w:pPr>
              <w:pStyle w:val="34"/>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21"/>
                <w:szCs w:val="21"/>
              </w:rPr>
            </w:pPr>
            <w:r>
              <w:rPr>
                <w:rFonts w:hint="eastAsia"/>
                <w:b/>
                <w:bCs/>
                <w:color w:val="auto"/>
                <w:sz w:val="21"/>
                <w:szCs w:val="21"/>
                <w:lang w:val="en-US" w:eastAsia="zh-CN"/>
              </w:rPr>
              <w:t>监测点位</w:t>
            </w:r>
          </w:p>
        </w:tc>
        <w:tc>
          <w:tcPr>
            <w:tcW w:w="1197" w:type="pct"/>
            <w:shd w:val="clear" w:color="auto" w:fill="auto"/>
            <w:noWrap/>
            <w:vAlign w:val="center"/>
          </w:tcPr>
          <w:p w14:paraId="1BD412F1">
            <w:pPr>
              <w:pStyle w:val="34"/>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21"/>
                <w:szCs w:val="21"/>
              </w:rPr>
            </w:pPr>
            <w:r>
              <w:rPr>
                <w:rFonts w:hint="eastAsia"/>
                <w:b/>
                <w:bCs/>
                <w:color w:val="auto"/>
                <w:sz w:val="21"/>
                <w:szCs w:val="21"/>
                <w:lang w:val="en-US" w:eastAsia="zh-CN"/>
              </w:rPr>
              <w:t>备注</w:t>
            </w:r>
          </w:p>
        </w:tc>
      </w:tr>
      <w:tr w14:paraId="4B614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6"/>
            <w:shd w:val="clear" w:color="auto" w:fill="auto"/>
            <w:noWrap/>
            <w:vAlign w:val="center"/>
          </w:tcPr>
          <w:p w14:paraId="0C2BC4D8">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污染源监测</w:t>
            </w:r>
          </w:p>
        </w:tc>
      </w:tr>
      <w:tr w14:paraId="554BB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restart"/>
            <w:shd w:val="clear" w:color="auto" w:fill="auto"/>
            <w:noWrap/>
            <w:vAlign w:val="center"/>
          </w:tcPr>
          <w:p w14:paraId="6421C13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固定源废气</w:t>
            </w:r>
          </w:p>
        </w:tc>
        <w:tc>
          <w:tcPr>
            <w:tcW w:w="999" w:type="pct"/>
            <w:vMerge w:val="restart"/>
            <w:shd w:val="clear" w:color="auto" w:fill="auto"/>
            <w:noWrap/>
            <w:vAlign w:val="center"/>
          </w:tcPr>
          <w:p w14:paraId="6671DCBC">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燃气锅炉</w:t>
            </w:r>
          </w:p>
        </w:tc>
        <w:tc>
          <w:tcPr>
            <w:tcW w:w="823" w:type="pct"/>
            <w:shd w:val="clear" w:color="auto" w:fill="auto"/>
            <w:noWrap/>
            <w:vAlign w:val="center"/>
          </w:tcPr>
          <w:p w14:paraId="3F2216E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氮氧化物</w:t>
            </w:r>
          </w:p>
        </w:tc>
        <w:tc>
          <w:tcPr>
            <w:tcW w:w="805" w:type="pct"/>
            <w:shd w:val="clear" w:color="auto" w:fill="auto"/>
            <w:noWrap/>
            <w:vAlign w:val="center"/>
          </w:tcPr>
          <w:p w14:paraId="0BFBCE13">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每月1次</w:t>
            </w:r>
          </w:p>
        </w:tc>
        <w:tc>
          <w:tcPr>
            <w:tcW w:w="601" w:type="pct"/>
            <w:shd w:val="clear" w:color="auto" w:fill="auto"/>
            <w:noWrap/>
            <w:vAlign w:val="center"/>
          </w:tcPr>
          <w:p w14:paraId="7305201E">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排气筒</w:t>
            </w:r>
          </w:p>
        </w:tc>
        <w:tc>
          <w:tcPr>
            <w:tcW w:w="1197" w:type="pct"/>
            <w:vMerge w:val="restart"/>
            <w:shd w:val="clear" w:color="auto" w:fill="auto"/>
            <w:vAlign w:val="center"/>
          </w:tcPr>
          <w:p w14:paraId="6FBC651F">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rPr>
            </w:pPr>
            <w:r>
              <w:rPr>
                <w:rFonts w:hint="eastAsia"/>
                <w:color w:val="auto"/>
                <w:sz w:val="21"/>
                <w:szCs w:val="21"/>
                <w:lang w:val="en-US" w:eastAsia="zh-CN"/>
              </w:rPr>
              <w:t>百口泉注输联合站</w:t>
            </w:r>
          </w:p>
        </w:tc>
      </w:tr>
      <w:tr w14:paraId="58D6B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572" w:type="pct"/>
            <w:vMerge w:val="continue"/>
            <w:shd w:val="clear" w:color="auto" w:fill="auto"/>
            <w:noWrap/>
            <w:vAlign w:val="center"/>
          </w:tcPr>
          <w:p w14:paraId="50186BB6">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vMerge w:val="continue"/>
            <w:shd w:val="clear" w:color="auto" w:fill="auto"/>
            <w:noWrap/>
            <w:vAlign w:val="center"/>
          </w:tcPr>
          <w:p w14:paraId="14CF5B95">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823" w:type="pct"/>
            <w:shd w:val="clear" w:color="auto" w:fill="auto"/>
            <w:vAlign w:val="center"/>
          </w:tcPr>
          <w:p w14:paraId="0C1EAB5E">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颗粒物、二氧化硫、林格曼黑度</w:t>
            </w:r>
          </w:p>
        </w:tc>
        <w:tc>
          <w:tcPr>
            <w:tcW w:w="805" w:type="pct"/>
            <w:shd w:val="clear" w:color="auto" w:fill="auto"/>
            <w:noWrap/>
            <w:vAlign w:val="center"/>
          </w:tcPr>
          <w:p w14:paraId="252685D5">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每年1次</w:t>
            </w:r>
          </w:p>
        </w:tc>
        <w:tc>
          <w:tcPr>
            <w:tcW w:w="601" w:type="pct"/>
            <w:shd w:val="clear" w:color="auto" w:fill="auto"/>
            <w:noWrap/>
            <w:vAlign w:val="center"/>
          </w:tcPr>
          <w:p w14:paraId="3B40CADC">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排气筒</w:t>
            </w:r>
          </w:p>
        </w:tc>
        <w:tc>
          <w:tcPr>
            <w:tcW w:w="1197" w:type="pct"/>
            <w:vMerge w:val="continue"/>
            <w:shd w:val="clear" w:color="auto" w:fill="auto"/>
            <w:vAlign w:val="center"/>
          </w:tcPr>
          <w:p w14:paraId="6D7424A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r>
      <w:tr w14:paraId="7CBE1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trPr>
        <w:tc>
          <w:tcPr>
            <w:tcW w:w="572" w:type="pct"/>
            <w:vMerge w:val="continue"/>
            <w:shd w:val="clear" w:color="auto" w:fill="auto"/>
            <w:noWrap/>
            <w:vAlign w:val="center"/>
          </w:tcPr>
          <w:p w14:paraId="6B9F73E4">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27A8716A">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rPr>
            </w:pPr>
            <w:r>
              <w:rPr>
                <w:rFonts w:hint="eastAsia"/>
                <w:color w:val="auto"/>
                <w:sz w:val="21"/>
                <w:szCs w:val="21"/>
                <w:lang w:val="en-US" w:eastAsia="zh-CN"/>
              </w:rPr>
              <w:t>加热炉、常压热水锅炉（&lt;14MW）</w:t>
            </w:r>
          </w:p>
        </w:tc>
        <w:tc>
          <w:tcPr>
            <w:tcW w:w="823" w:type="pct"/>
            <w:shd w:val="clear" w:color="auto" w:fill="auto"/>
            <w:vAlign w:val="center"/>
          </w:tcPr>
          <w:p w14:paraId="4BA69243">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氮氧化物、颗粒物、二氧化硫、林格曼黑度</w:t>
            </w:r>
          </w:p>
        </w:tc>
        <w:tc>
          <w:tcPr>
            <w:tcW w:w="805" w:type="pct"/>
            <w:shd w:val="clear" w:color="auto" w:fill="auto"/>
            <w:noWrap/>
            <w:vAlign w:val="center"/>
          </w:tcPr>
          <w:p w14:paraId="6E4C2EA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每年1次</w:t>
            </w:r>
          </w:p>
        </w:tc>
        <w:tc>
          <w:tcPr>
            <w:tcW w:w="601" w:type="pct"/>
            <w:shd w:val="clear" w:color="auto" w:fill="auto"/>
            <w:noWrap/>
            <w:vAlign w:val="center"/>
          </w:tcPr>
          <w:p w14:paraId="3B3F7A36">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排气筒</w:t>
            </w:r>
          </w:p>
        </w:tc>
        <w:tc>
          <w:tcPr>
            <w:tcW w:w="1197" w:type="pct"/>
            <w:shd w:val="clear" w:color="auto" w:fill="auto"/>
            <w:vAlign w:val="center"/>
          </w:tcPr>
          <w:p w14:paraId="25D50F1E">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rPr>
            </w:pPr>
            <w:r>
              <w:rPr>
                <w:rFonts w:hint="eastAsia"/>
                <w:color w:val="auto"/>
                <w:sz w:val="21"/>
                <w:szCs w:val="21"/>
                <w:lang w:val="en-US" w:eastAsia="zh-CN"/>
              </w:rPr>
              <w:t>百口泉注输联合站、玛18转油站、玛2转油站、艾湖2转油站、玛131转油站</w:t>
            </w:r>
          </w:p>
        </w:tc>
      </w:tr>
      <w:tr w14:paraId="689FD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0" w:hRule="atLeast"/>
        </w:trPr>
        <w:tc>
          <w:tcPr>
            <w:tcW w:w="572" w:type="pct"/>
            <w:vMerge w:val="restart"/>
            <w:shd w:val="clear" w:color="auto" w:fill="auto"/>
            <w:noWrap/>
            <w:vAlign w:val="center"/>
          </w:tcPr>
          <w:p w14:paraId="0CF55D87">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无组织废气</w:t>
            </w:r>
          </w:p>
        </w:tc>
        <w:tc>
          <w:tcPr>
            <w:tcW w:w="999" w:type="pct"/>
            <w:shd w:val="clear" w:color="auto" w:fill="auto"/>
            <w:vAlign w:val="center"/>
          </w:tcPr>
          <w:p w14:paraId="5345617B">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百口泉注输联合站</w:t>
            </w:r>
          </w:p>
        </w:tc>
        <w:tc>
          <w:tcPr>
            <w:tcW w:w="823" w:type="pct"/>
            <w:shd w:val="clear" w:color="auto" w:fill="auto"/>
            <w:noWrap/>
            <w:vAlign w:val="center"/>
          </w:tcPr>
          <w:p w14:paraId="5F370DFE">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1BCF255C">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restart"/>
            <w:shd w:val="clear" w:color="auto" w:fill="auto"/>
            <w:vAlign w:val="center"/>
          </w:tcPr>
          <w:p w14:paraId="0CB7B7D0">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厂界上风向1个点位、下风向3个点位</w:t>
            </w:r>
          </w:p>
        </w:tc>
        <w:tc>
          <w:tcPr>
            <w:tcW w:w="1197" w:type="pct"/>
            <w:shd w:val="clear" w:color="auto" w:fill="auto"/>
            <w:noWrap/>
            <w:vAlign w:val="center"/>
          </w:tcPr>
          <w:p w14:paraId="32BD7637">
            <w:pPr>
              <w:pStyle w:val="34"/>
              <w:keepNext w:val="0"/>
              <w:keepLines w:val="0"/>
              <w:pageBreakBefore w:val="0"/>
              <w:widowControl w:val="0"/>
              <w:kinsoku/>
              <w:wordWrap/>
              <w:overflowPunct/>
              <w:topLinePunct w:val="0"/>
              <w:autoSpaceDE/>
              <w:autoSpaceDN/>
              <w:bidi w:val="0"/>
              <w:adjustRightInd/>
              <w:snapToGrid/>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460BC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572" w:type="pct"/>
            <w:vMerge w:val="continue"/>
            <w:shd w:val="clear" w:color="auto" w:fill="auto"/>
            <w:noWrap/>
            <w:vAlign w:val="center"/>
          </w:tcPr>
          <w:p w14:paraId="69BBD463">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vAlign w:val="center"/>
          </w:tcPr>
          <w:p w14:paraId="567FDA06">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含油污泥贮存池</w:t>
            </w:r>
          </w:p>
        </w:tc>
        <w:tc>
          <w:tcPr>
            <w:tcW w:w="823" w:type="pct"/>
            <w:shd w:val="clear" w:color="auto" w:fill="auto"/>
            <w:noWrap/>
            <w:vAlign w:val="center"/>
          </w:tcPr>
          <w:p w14:paraId="42C7EA9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7FEA6DE4">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vAlign w:val="center"/>
          </w:tcPr>
          <w:p w14:paraId="549A569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63456EAA">
            <w:pPr>
              <w:pStyle w:val="34"/>
              <w:keepNext w:val="0"/>
              <w:keepLines w:val="0"/>
              <w:pageBreakBefore w:val="0"/>
              <w:widowControl w:val="0"/>
              <w:kinsoku/>
              <w:wordWrap/>
              <w:overflowPunct/>
              <w:topLinePunct w:val="0"/>
              <w:autoSpaceDE/>
              <w:autoSpaceDN/>
              <w:bidi w:val="0"/>
              <w:adjustRightInd/>
              <w:snapToGrid/>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0812B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623EEDB7">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0E859A1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危废暂存场</w:t>
            </w:r>
          </w:p>
        </w:tc>
        <w:tc>
          <w:tcPr>
            <w:tcW w:w="823" w:type="pct"/>
            <w:shd w:val="clear" w:color="auto" w:fill="auto"/>
            <w:noWrap/>
            <w:vAlign w:val="center"/>
          </w:tcPr>
          <w:p w14:paraId="3A14E1BC">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15FCAAE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vAlign w:val="center"/>
          </w:tcPr>
          <w:p w14:paraId="22C4AA1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4F51CB61">
            <w:pPr>
              <w:pStyle w:val="34"/>
              <w:keepNext w:val="0"/>
              <w:keepLines w:val="0"/>
              <w:pageBreakBefore w:val="0"/>
              <w:widowControl w:val="0"/>
              <w:kinsoku/>
              <w:wordWrap/>
              <w:overflowPunct/>
              <w:topLinePunct w:val="0"/>
              <w:autoSpaceDE/>
              <w:autoSpaceDN/>
              <w:bidi w:val="0"/>
              <w:adjustRightInd/>
              <w:snapToGrid/>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2E594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6904BC67">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5BBD584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玛2转油站</w:t>
            </w:r>
          </w:p>
        </w:tc>
        <w:tc>
          <w:tcPr>
            <w:tcW w:w="823" w:type="pct"/>
            <w:shd w:val="clear" w:color="auto" w:fill="auto"/>
            <w:noWrap/>
            <w:vAlign w:val="center"/>
          </w:tcPr>
          <w:p w14:paraId="32C6D8F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2CB121B8">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vAlign w:val="center"/>
          </w:tcPr>
          <w:p w14:paraId="6D01B99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3D60382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333EA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62D3E88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6625C238">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玛131转油站</w:t>
            </w:r>
          </w:p>
        </w:tc>
        <w:tc>
          <w:tcPr>
            <w:tcW w:w="823" w:type="pct"/>
            <w:shd w:val="clear" w:color="auto" w:fill="auto"/>
            <w:noWrap/>
            <w:vAlign w:val="center"/>
          </w:tcPr>
          <w:p w14:paraId="51F98A96">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765F0F7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vAlign w:val="center"/>
          </w:tcPr>
          <w:p w14:paraId="6524939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153C0C8C">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51AC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661E8C1B">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5E8F0136">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检188转油站</w:t>
            </w:r>
          </w:p>
        </w:tc>
        <w:tc>
          <w:tcPr>
            <w:tcW w:w="823" w:type="pct"/>
            <w:shd w:val="clear" w:color="auto" w:fill="auto"/>
            <w:noWrap/>
            <w:vAlign w:val="center"/>
          </w:tcPr>
          <w:p w14:paraId="0714702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4914A39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vAlign w:val="center"/>
          </w:tcPr>
          <w:p w14:paraId="4650ACBE">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1FCA487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3D9ED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7F2C96B4">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773C9FF7">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艾2转油站</w:t>
            </w:r>
          </w:p>
        </w:tc>
        <w:tc>
          <w:tcPr>
            <w:tcW w:w="823" w:type="pct"/>
            <w:shd w:val="clear" w:color="auto" w:fill="auto"/>
            <w:noWrap/>
            <w:vAlign w:val="center"/>
          </w:tcPr>
          <w:p w14:paraId="7996A99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68CFC76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vAlign w:val="center"/>
          </w:tcPr>
          <w:p w14:paraId="77958FF7">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612B8B4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7D086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0DE08ED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14CA582B">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MaHW6103井</w:t>
            </w:r>
          </w:p>
        </w:tc>
        <w:tc>
          <w:tcPr>
            <w:tcW w:w="823" w:type="pct"/>
            <w:shd w:val="clear" w:color="auto" w:fill="auto"/>
            <w:noWrap/>
            <w:vAlign w:val="center"/>
          </w:tcPr>
          <w:p w14:paraId="28D05D0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46FE7B70">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vAlign w:val="center"/>
          </w:tcPr>
          <w:p w14:paraId="1FE06BF2">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468D4B77">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井场随机抽检</w:t>
            </w:r>
          </w:p>
        </w:tc>
      </w:tr>
      <w:tr w14:paraId="47CD3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14E8B768">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7F21BFE0">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MaHW6291井</w:t>
            </w:r>
          </w:p>
        </w:tc>
        <w:tc>
          <w:tcPr>
            <w:tcW w:w="823" w:type="pct"/>
            <w:shd w:val="clear" w:color="auto" w:fill="auto"/>
            <w:noWrap/>
            <w:vAlign w:val="center"/>
          </w:tcPr>
          <w:p w14:paraId="3E17127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3E66B884">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vAlign w:val="center"/>
          </w:tcPr>
          <w:p w14:paraId="2D5AE216">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7D42FFD4">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井场随机抽检</w:t>
            </w:r>
          </w:p>
        </w:tc>
      </w:tr>
      <w:tr w14:paraId="7886B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572" w:type="pct"/>
            <w:vMerge w:val="continue"/>
            <w:shd w:val="clear" w:color="auto" w:fill="auto"/>
            <w:noWrap/>
            <w:vAlign w:val="center"/>
          </w:tcPr>
          <w:p w14:paraId="77AB538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vAlign w:val="center"/>
          </w:tcPr>
          <w:p w14:paraId="6A802D3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五万方压裂返排液暂存池</w:t>
            </w:r>
          </w:p>
        </w:tc>
        <w:tc>
          <w:tcPr>
            <w:tcW w:w="823" w:type="pct"/>
            <w:shd w:val="clear" w:color="auto" w:fill="auto"/>
            <w:noWrap/>
            <w:vAlign w:val="center"/>
          </w:tcPr>
          <w:p w14:paraId="36888F9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非甲烷总烃</w:t>
            </w:r>
          </w:p>
        </w:tc>
        <w:tc>
          <w:tcPr>
            <w:tcW w:w="805" w:type="pct"/>
            <w:shd w:val="clear" w:color="auto" w:fill="auto"/>
            <w:noWrap/>
            <w:vAlign w:val="center"/>
          </w:tcPr>
          <w:p w14:paraId="78CF782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vAlign w:val="center"/>
          </w:tcPr>
          <w:p w14:paraId="09944BB3">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6E7B3184">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6627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restart"/>
            <w:shd w:val="clear" w:color="auto" w:fill="auto"/>
            <w:noWrap/>
            <w:vAlign w:val="center"/>
          </w:tcPr>
          <w:p w14:paraId="4D631B00">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厂界噪声</w:t>
            </w:r>
          </w:p>
        </w:tc>
        <w:tc>
          <w:tcPr>
            <w:tcW w:w="999" w:type="pct"/>
            <w:shd w:val="clear" w:color="auto" w:fill="auto"/>
            <w:noWrap/>
            <w:vAlign w:val="center"/>
          </w:tcPr>
          <w:p w14:paraId="16DE94C0">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玛2转油站</w:t>
            </w:r>
          </w:p>
        </w:tc>
        <w:tc>
          <w:tcPr>
            <w:tcW w:w="823" w:type="pct"/>
            <w:shd w:val="clear" w:color="auto" w:fill="auto"/>
            <w:noWrap/>
            <w:vAlign w:val="center"/>
          </w:tcPr>
          <w:p w14:paraId="3429A41C">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昼夜噪声</w:t>
            </w:r>
          </w:p>
        </w:tc>
        <w:tc>
          <w:tcPr>
            <w:tcW w:w="805" w:type="pct"/>
            <w:shd w:val="clear" w:color="auto" w:fill="auto"/>
            <w:noWrap/>
            <w:vAlign w:val="center"/>
          </w:tcPr>
          <w:p w14:paraId="37732A3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restart"/>
            <w:shd w:val="clear" w:color="auto" w:fill="auto"/>
            <w:noWrap/>
            <w:vAlign w:val="center"/>
          </w:tcPr>
          <w:p w14:paraId="2561A205">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厂界四周</w:t>
            </w:r>
          </w:p>
        </w:tc>
        <w:tc>
          <w:tcPr>
            <w:tcW w:w="1197" w:type="pct"/>
            <w:shd w:val="clear" w:color="auto" w:fill="auto"/>
            <w:noWrap/>
            <w:vAlign w:val="center"/>
          </w:tcPr>
          <w:p w14:paraId="25F92E9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4D890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5661B34C">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15DAACF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玛131转油站</w:t>
            </w:r>
          </w:p>
        </w:tc>
        <w:tc>
          <w:tcPr>
            <w:tcW w:w="823" w:type="pct"/>
            <w:shd w:val="clear" w:color="auto" w:fill="auto"/>
            <w:noWrap/>
            <w:vAlign w:val="center"/>
          </w:tcPr>
          <w:p w14:paraId="2BB8C434">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昼夜噪声</w:t>
            </w:r>
          </w:p>
        </w:tc>
        <w:tc>
          <w:tcPr>
            <w:tcW w:w="805" w:type="pct"/>
            <w:shd w:val="clear" w:color="auto" w:fill="auto"/>
            <w:noWrap/>
            <w:vAlign w:val="center"/>
          </w:tcPr>
          <w:p w14:paraId="009D6D3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noWrap/>
            <w:vAlign w:val="center"/>
          </w:tcPr>
          <w:p w14:paraId="31B27383">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5E2F6B3E">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30600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059F81DB">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2503ED9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艾2转油站</w:t>
            </w:r>
          </w:p>
        </w:tc>
        <w:tc>
          <w:tcPr>
            <w:tcW w:w="823" w:type="pct"/>
            <w:shd w:val="clear" w:color="auto" w:fill="auto"/>
            <w:noWrap/>
            <w:vAlign w:val="center"/>
          </w:tcPr>
          <w:p w14:paraId="299B3BA7">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昼夜噪声</w:t>
            </w:r>
          </w:p>
        </w:tc>
        <w:tc>
          <w:tcPr>
            <w:tcW w:w="805" w:type="pct"/>
            <w:shd w:val="clear" w:color="auto" w:fill="auto"/>
            <w:noWrap/>
            <w:vAlign w:val="center"/>
          </w:tcPr>
          <w:p w14:paraId="349D9C2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noWrap/>
            <w:vAlign w:val="center"/>
          </w:tcPr>
          <w:p w14:paraId="75A14EB4">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6974378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748AF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708B22D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22D218E5">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玛18转油站</w:t>
            </w:r>
          </w:p>
        </w:tc>
        <w:tc>
          <w:tcPr>
            <w:tcW w:w="823" w:type="pct"/>
            <w:shd w:val="clear" w:color="auto" w:fill="auto"/>
            <w:noWrap/>
            <w:vAlign w:val="center"/>
          </w:tcPr>
          <w:p w14:paraId="56E049F3">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昼夜噪声</w:t>
            </w:r>
          </w:p>
        </w:tc>
        <w:tc>
          <w:tcPr>
            <w:tcW w:w="805" w:type="pct"/>
            <w:shd w:val="clear" w:color="auto" w:fill="auto"/>
            <w:noWrap/>
            <w:vAlign w:val="center"/>
          </w:tcPr>
          <w:p w14:paraId="63396F45">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noWrap/>
            <w:vAlign w:val="center"/>
          </w:tcPr>
          <w:p w14:paraId="22C81932">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66D17256">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07486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6BAE12E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046DF96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检188转油站</w:t>
            </w:r>
          </w:p>
        </w:tc>
        <w:tc>
          <w:tcPr>
            <w:tcW w:w="823" w:type="pct"/>
            <w:shd w:val="clear" w:color="auto" w:fill="auto"/>
            <w:noWrap/>
            <w:vAlign w:val="center"/>
          </w:tcPr>
          <w:p w14:paraId="214F1DF2">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昼夜噪声</w:t>
            </w:r>
          </w:p>
        </w:tc>
        <w:tc>
          <w:tcPr>
            <w:tcW w:w="805" w:type="pct"/>
            <w:shd w:val="clear" w:color="auto" w:fill="auto"/>
            <w:noWrap/>
            <w:vAlign w:val="center"/>
          </w:tcPr>
          <w:p w14:paraId="5F8C4AB5">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noWrap/>
            <w:vAlign w:val="center"/>
          </w:tcPr>
          <w:p w14:paraId="44E42A8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7BE7DE82">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173CA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572" w:type="pct"/>
            <w:vMerge w:val="continue"/>
            <w:shd w:val="clear" w:color="auto" w:fill="auto"/>
            <w:noWrap/>
            <w:vAlign w:val="center"/>
          </w:tcPr>
          <w:p w14:paraId="19E9D0C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vAlign w:val="center"/>
          </w:tcPr>
          <w:p w14:paraId="3B82A830">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百口泉注输联合站</w:t>
            </w:r>
          </w:p>
        </w:tc>
        <w:tc>
          <w:tcPr>
            <w:tcW w:w="823" w:type="pct"/>
            <w:shd w:val="clear" w:color="auto" w:fill="auto"/>
            <w:noWrap/>
            <w:vAlign w:val="center"/>
          </w:tcPr>
          <w:p w14:paraId="4B24D7C2">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昼夜噪声</w:t>
            </w:r>
          </w:p>
        </w:tc>
        <w:tc>
          <w:tcPr>
            <w:tcW w:w="805" w:type="pct"/>
            <w:shd w:val="clear" w:color="auto" w:fill="auto"/>
            <w:noWrap/>
            <w:vAlign w:val="center"/>
          </w:tcPr>
          <w:p w14:paraId="6F4D0BF5">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每季度1次</w:t>
            </w:r>
          </w:p>
        </w:tc>
        <w:tc>
          <w:tcPr>
            <w:tcW w:w="601" w:type="pct"/>
            <w:vMerge w:val="continue"/>
            <w:shd w:val="clear" w:color="auto" w:fill="auto"/>
            <w:noWrap/>
            <w:vAlign w:val="center"/>
          </w:tcPr>
          <w:p w14:paraId="1B2CC5E0">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1197" w:type="pct"/>
            <w:shd w:val="clear" w:color="auto" w:fill="auto"/>
            <w:noWrap/>
            <w:vAlign w:val="center"/>
          </w:tcPr>
          <w:p w14:paraId="708520F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02704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6"/>
            <w:shd w:val="clear" w:color="auto" w:fill="auto"/>
            <w:noWrap/>
            <w:vAlign w:val="center"/>
          </w:tcPr>
          <w:p w14:paraId="16C1A3D3">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环境质量监测</w:t>
            </w:r>
          </w:p>
        </w:tc>
      </w:tr>
      <w:tr w14:paraId="0BB3B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572" w:type="pct"/>
            <w:vMerge w:val="restart"/>
            <w:shd w:val="clear" w:color="auto" w:fill="auto"/>
            <w:noWrap/>
            <w:vAlign w:val="center"/>
          </w:tcPr>
          <w:p w14:paraId="79110E4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地下水</w:t>
            </w:r>
          </w:p>
        </w:tc>
        <w:tc>
          <w:tcPr>
            <w:tcW w:w="999" w:type="pct"/>
            <w:shd w:val="clear" w:color="auto" w:fill="auto"/>
            <w:noWrap/>
            <w:vAlign w:val="center"/>
          </w:tcPr>
          <w:p w14:paraId="1FC1EE3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艾2转油站</w:t>
            </w:r>
          </w:p>
        </w:tc>
        <w:tc>
          <w:tcPr>
            <w:tcW w:w="823" w:type="pct"/>
            <w:vMerge w:val="restart"/>
            <w:shd w:val="clear" w:color="auto" w:fill="auto"/>
            <w:vAlign w:val="center"/>
          </w:tcPr>
          <w:p w14:paraId="55A2693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pH、总硬度、溶解性总固体、硫酸盐、氯化物、耗氧量、氨氮、六价铬、石油类、石油烃（C</w:t>
            </w:r>
            <w:r>
              <w:rPr>
                <w:rFonts w:hint="eastAsia"/>
                <w:color w:val="auto"/>
                <w:sz w:val="21"/>
                <w:szCs w:val="21"/>
                <w:vertAlign w:val="subscript"/>
                <w:lang w:val="en-US" w:eastAsia="zh-CN"/>
              </w:rPr>
              <w:t>6</w:t>
            </w:r>
            <w:r>
              <w:rPr>
                <w:rFonts w:hint="eastAsia"/>
                <w:color w:val="auto"/>
                <w:sz w:val="21"/>
                <w:szCs w:val="21"/>
                <w:lang w:val="en-US" w:eastAsia="zh-CN"/>
              </w:rPr>
              <w:t>-C</w:t>
            </w:r>
            <w:r>
              <w:rPr>
                <w:rFonts w:hint="eastAsia"/>
                <w:color w:val="auto"/>
                <w:sz w:val="21"/>
                <w:szCs w:val="21"/>
                <w:vertAlign w:val="subscript"/>
                <w:lang w:val="en-US" w:eastAsia="zh-CN"/>
              </w:rPr>
              <w:t>9</w:t>
            </w:r>
            <w:r>
              <w:rPr>
                <w:rFonts w:hint="eastAsia"/>
                <w:color w:val="auto"/>
                <w:sz w:val="21"/>
                <w:szCs w:val="21"/>
                <w:lang w:val="en-US" w:eastAsia="zh-CN"/>
              </w:rPr>
              <w:t>）、石油烃（C</w:t>
            </w:r>
            <w:r>
              <w:rPr>
                <w:rFonts w:hint="eastAsia"/>
                <w:color w:val="auto"/>
                <w:sz w:val="21"/>
                <w:szCs w:val="21"/>
                <w:vertAlign w:val="subscript"/>
                <w:lang w:val="en-US" w:eastAsia="zh-CN"/>
              </w:rPr>
              <w:t>10</w:t>
            </w:r>
            <w:r>
              <w:rPr>
                <w:rFonts w:hint="eastAsia"/>
                <w:color w:val="auto"/>
                <w:sz w:val="21"/>
                <w:szCs w:val="21"/>
                <w:lang w:val="en-US" w:eastAsia="zh-CN"/>
              </w:rPr>
              <w:t>-C</w:t>
            </w:r>
            <w:r>
              <w:rPr>
                <w:rFonts w:hint="eastAsia"/>
                <w:color w:val="auto"/>
                <w:sz w:val="21"/>
                <w:szCs w:val="21"/>
                <w:vertAlign w:val="subscript"/>
                <w:lang w:val="en-US" w:eastAsia="zh-CN"/>
              </w:rPr>
              <w:t>40</w:t>
            </w:r>
            <w:r>
              <w:rPr>
                <w:rFonts w:hint="eastAsia"/>
                <w:color w:val="auto"/>
                <w:sz w:val="21"/>
                <w:szCs w:val="21"/>
                <w:lang w:val="en-US" w:eastAsia="zh-CN"/>
              </w:rPr>
              <w:t>）等</w:t>
            </w:r>
          </w:p>
        </w:tc>
        <w:tc>
          <w:tcPr>
            <w:tcW w:w="805" w:type="pct"/>
            <w:shd w:val="clear" w:color="auto" w:fill="auto"/>
            <w:noWrap/>
            <w:vAlign w:val="center"/>
          </w:tcPr>
          <w:p w14:paraId="3C094978">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每半年1次</w:t>
            </w:r>
          </w:p>
        </w:tc>
        <w:tc>
          <w:tcPr>
            <w:tcW w:w="601" w:type="pct"/>
            <w:shd w:val="clear" w:color="auto" w:fill="auto"/>
            <w:noWrap/>
            <w:vAlign w:val="center"/>
          </w:tcPr>
          <w:p w14:paraId="6CD2642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厂界四周</w:t>
            </w:r>
          </w:p>
        </w:tc>
        <w:tc>
          <w:tcPr>
            <w:tcW w:w="1197" w:type="pct"/>
            <w:shd w:val="clear" w:color="auto" w:fill="auto"/>
            <w:noWrap/>
            <w:vAlign w:val="center"/>
          </w:tcPr>
          <w:p w14:paraId="63E8249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73212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8" w:hRule="atLeast"/>
        </w:trPr>
        <w:tc>
          <w:tcPr>
            <w:tcW w:w="572" w:type="pct"/>
            <w:vMerge w:val="continue"/>
            <w:shd w:val="clear" w:color="auto" w:fill="auto"/>
            <w:noWrap/>
            <w:vAlign w:val="center"/>
          </w:tcPr>
          <w:p w14:paraId="381B2E3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lang w:val="en-US" w:eastAsia="zh-CN"/>
              </w:rPr>
            </w:pPr>
          </w:p>
        </w:tc>
        <w:tc>
          <w:tcPr>
            <w:tcW w:w="999" w:type="pct"/>
            <w:shd w:val="clear" w:color="auto" w:fill="auto"/>
            <w:noWrap/>
            <w:vAlign w:val="center"/>
          </w:tcPr>
          <w:p w14:paraId="7F4E089C">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color w:val="auto"/>
                <w:sz w:val="21"/>
                <w:szCs w:val="21"/>
                <w:lang w:val="en-US" w:eastAsia="zh-CN"/>
              </w:rPr>
              <w:t>百21作业区</w:t>
            </w:r>
          </w:p>
        </w:tc>
        <w:tc>
          <w:tcPr>
            <w:tcW w:w="823" w:type="pct"/>
            <w:vMerge w:val="continue"/>
            <w:shd w:val="clear" w:color="auto" w:fill="auto"/>
            <w:vAlign w:val="center"/>
          </w:tcPr>
          <w:p w14:paraId="159FF3DC">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lang w:val="en-US" w:eastAsia="zh-CN"/>
              </w:rPr>
            </w:pPr>
          </w:p>
        </w:tc>
        <w:tc>
          <w:tcPr>
            <w:tcW w:w="805" w:type="pct"/>
            <w:shd w:val="clear" w:color="auto" w:fill="auto"/>
            <w:noWrap/>
            <w:vAlign w:val="center"/>
          </w:tcPr>
          <w:p w14:paraId="4BF16282">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lang w:val="en-US" w:eastAsia="zh-CN"/>
              </w:rPr>
            </w:pPr>
            <w:r>
              <w:rPr>
                <w:rFonts w:hint="eastAsia"/>
                <w:color w:val="auto"/>
                <w:sz w:val="21"/>
                <w:szCs w:val="21"/>
                <w:lang w:val="en-US" w:eastAsia="zh-CN"/>
              </w:rPr>
              <w:t>每半年1次</w:t>
            </w:r>
          </w:p>
        </w:tc>
        <w:tc>
          <w:tcPr>
            <w:tcW w:w="601" w:type="pct"/>
            <w:shd w:val="clear" w:color="auto" w:fill="auto"/>
            <w:noWrap/>
            <w:vAlign w:val="center"/>
          </w:tcPr>
          <w:p w14:paraId="7BED19D3">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color w:val="auto"/>
                <w:sz w:val="21"/>
                <w:szCs w:val="21"/>
                <w:lang w:val="en-US" w:eastAsia="zh-CN"/>
              </w:rPr>
              <w:t>作业区内</w:t>
            </w:r>
          </w:p>
        </w:tc>
        <w:tc>
          <w:tcPr>
            <w:tcW w:w="1197" w:type="pct"/>
            <w:shd w:val="clear" w:color="auto" w:fill="auto"/>
            <w:noWrap/>
            <w:vAlign w:val="center"/>
          </w:tcPr>
          <w:p w14:paraId="482EBD09">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color w:val="auto"/>
                <w:sz w:val="21"/>
                <w:szCs w:val="21"/>
                <w:lang w:val="en-US" w:eastAsia="zh-CN"/>
              </w:rPr>
              <w:t>/</w:t>
            </w:r>
          </w:p>
        </w:tc>
      </w:tr>
      <w:tr w14:paraId="781E5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3" w:hRule="atLeast"/>
        </w:trPr>
        <w:tc>
          <w:tcPr>
            <w:tcW w:w="572" w:type="pct"/>
            <w:vMerge w:val="continue"/>
            <w:shd w:val="clear" w:color="auto" w:fill="auto"/>
            <w:noWrap/>
            <w:vAlign w:val="center"/>
          </w:tcPr>
          <w:p w14:paraId="5D7BB80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vAlign w:val="center"/>
          </w:tcPr>
          <w:p w14:paraId="1A9BAE5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百口泉注输联合站</w:t>
            </w:r>
          </w:p>
        </w:tc>
        <w:tc>
          <w:tcPr>
            <w:tcW w:w="823" w:type="pct"/>
            <w:vMerge w:val="continue"/>
            <w:shd w:val="clear" w:color="auto" w:fill="auto"/>
            <w:vAlign w:val="center"/>
          </w:tcPr>
          <w:p w14:paraId="5A940EE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805" w:type="pct"/>
            <w:shd w:val="clear" w:color="auto" w:fill="auto"/>
            <w:noWrap/>
            <w:vAlign w:val="center"/>
          </w:tcPr>
          <w:p w14:paraId="6160B18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每半年1次</w:t>
            </w:r>
          </w:p>
        </w:tc>
        <w:tc>
          <w:tcPr>
            <w:tcW w:w="601" w:type="pct"/>
            <w:shd w:val="clear" w:color="auto" w:fill="auto"/>
            <w:noWrap/>
            <w:vAlign w:val="center"/>
          </w:tcPr>
          <w:p w14:paraId="3222B702">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rPr>
            </w:pPr>
            <w:r>
              <w:rPr>
                <w:rFonts w:hint="eastAsia"/>
                <w:color w:val="auto"/>
                <w:sz w:val="21"/>
                <w:szCs w:val="21"/>
                <w:lang w:val="en-US" w:eastAsia="zh-CN"/>
              </w:rPr>
              <w:t>厂界四周</w:t>
            </w:r>
          </w:p>
        </w:tc>
        <w:tc>
          <w:tcPr>
            <w:tcW w:w="1197" w:type="pct"/>
            <w:shd w:val="clear" w:color="auto" w:fill="auto"/>
            <w:noWrap/>
            <w:vAlign w:val="center"/>
          </w:tcPr>
          <w:p w14:paraId="01C8247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2EBC6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trPr>
        <w:tc>
          <w:tcPr>
            <w:tcW w:w="572" w:type="pct"/>
            <w:vMerge w:val="continue"/>
            <w:shd w:val="clear" w:color="auto" w:fill="auto"/>
            <w:noWrap/>
            <w:vAlign w:val="center"/>
          </w:tcPr>
          <w:p w14:paraId="1BD83F6D">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vAlign w:val="center"/>
          </w:tcPr>
          <w:p w14:paraId="498D89F6">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color w:val="auto"/>
                <w:sz w:val="21"/>
                <w:szCs w:val="21"/>
                <w:lang w:val="en-US" w:eastAsia="zh-CN"/>
              </w:rPr>
              <w:t>危险废物储存场</w:t>
            </w:r>
          </w:p>
        </w:tc>
        <w:tc>
          <w:tcPr>
            <w:tcW w:w="823" w:type="pct"/>
            <w:vMerge w:val="continue"/>
            <w:shd w:val="clear" w:color="auto" w:fill="auto"/>
            <w:vAlign w:val="center"/>
          </w:tcPr>
          <w:p w14:paraId="0C578C08">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805" w:type="pct"/>
            <w:shd w:val="clear" w:color="auto" w:fill="auto"/>
            <w:noWrap/>
            <w:vAlign w:val="center"/>
          </w:tcPr>
          <w:p w14:paraId="152CE0B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lang w:val="en-US" w:eastAsia="zh-CN"/>
              </w:rPr>
            </w:pPr>
            <w:r>
              <w:rPr>
                <w:rFonts w:hint="eastAsia"/>
                <w:color w:val="auto"/>
                <w:sz w:val="21"/>
                <w:szCs w:val="21"/>
                <w:lang w:val="en-US" w:eastAsia="zh-CN"/>
              </w:rPr>
              <w:t>每半年1次</w:t>
            </w:r>
          </w:p>
        </w:tc>
        <w:tc>
          <w:tcPr>
            <w:tcW w:w="601" w:type="pct"/>
            <w:shd w:val="clear" w:color="auto" w:fill="auto"/>
            <w:noWrap/>
            <w:vAlign w:val="center"/>
          </w:tcPr>
          <w:p w14:paraId="67DE1E5C">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color w:val="auto"/>
                <w:sz w:val="21"/>
                <w:szCs w:val="21"/>
                <w:lang w:val="en-US" w:eastAsia="zh-CN"/>
              </w:rPr>
              <w:t>上游和项目区附近</w:t>
            </w:r>
          </w:p>
        </w:tc>
        <w:tc>
          <w:tcPr>
            <w:tcW w:w="1197" w:type="pct"/>
            <w:shd w:val="clear" w:color="auto" w:fill="auto"/>
            <w:noWrap/>
            <w:vAlign w:val="center"/>
          </w:tcPr>
          <w:p w14:paraId="4236FC90">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lang w:val="en-US" w:eastAsia="zh-CN"/>
              </w:rPr>
            </w:pPr>
          </w:p>
        </w:tc>
      </w:tr>
      <w:tr w14:paraId="6E6DC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0" w:hRule="atLeast"/>
        </w:trPr>
        <w:tc>
          <w:tcPr>
            <w:tcW w:w="572" w:type="pct"/>
            <w:vMerge w:val="restart"/>
            <w:shd w:val="clear" w:color="auto" w:fill="auto"/>
            <w:noWrap/>
            <w:vAlign w:val="center"/>
          </w:tcPr>
          <w:p w14:paraId="17E3373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土壤</w:t>
            </w:r>
          </w:p>
        </w:tc>
        <w:tc>
          <w:tcPr>
            <w:tcW w:w="999" w:type="pct"/>
            <w:shd w:val="clear" w:color="auto" w:fill="auto"/>
            <w:noWrap/>
            <w:vAlign w:val="center"/>
          </w:tcPr>
          <w:p w14:paraId="246B133A">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危废暂存场</w:t>
            </w:r>
          </w:p>
        </w:tc>
        <w:tc>
          <w:tcPr>
            <w:tcW w:w="823" w:type="pct"/>
            <w:vMerge w:val="restart"/>
            <w:shd w:val="clear" w:color="auto" w:fill="auto"/>
            <w:vAlign w:val="center"/>
          </w:tcPr>
          <w:p w14:paraId="319E61D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pH、石油烃（C</w:t>
            </w:r>
            <w:r>
              <w:rPr>
                <w:rFonts w:hint="eastAsia"/>
                <w:color w:val="auto"/>
                <w:sz w:val="21"/>
                <w:szCs w:val="21"/>
                <w:vertAlign w:val="subscript"/>
                <w:lang w:val="en-US" w:eastAsia="zh-CN"/>
              </w:rPr>
              <w:t>10</w:t>
            </w:r>
            <w:r>
              <w:rPr>
                <w:rFonts w:hint="eastAsia"/>
                <w:color w:val="auto"/>
                <w:sz w:val="21"/>
                <w:szCs w:val="21"/>
                <w:lang w:val="en-US" w:eastAsia="zh-CN"/>
              </w:rPr>
              <w:t>-C</w:t>
            </w:r>
            <w:r>
              <w:rPr>
                <w:rFonts w:hint="eastAsia"/>
                <w:color w:val="auto"/>
                <w:sz w:val="21"/>
                <w:szCs w:val="21"/>
                <w:vertAlign w:val="subscript"/>
                <w:lang w:val="en-US" w:eastAsia="zh-CN"/>
              </w:rPr>
              <w:t>40</w:t>
            </w:r>
            <w:r>
              <w:rPr>
                <w:rFonts w:hint="eastAsia"/>
                <w:color w:val="auto"/>
                <w:sz w:val="21"/>
                <w:szCs w:val="21"/>
                <w:lang w:val="en-US" w:eastAsia="zh-CN"/>
              </w:rPr>
              <w:t>）、镉、铬、铜、汞、镍、铅、砷、六价铬等</w:t>
            </w:r>
          </w:p>
        </w:tc>
        <w:tc>
          <w:tcPr>
            <w:tcW w:w="805" w:type="pct"/>
            <w:shd w:val="clear" w:color="auto" w:fill="auto"/>
            <w:noWrap/>
            <w:vAlign w:val="center"/>
          </w:tcPr>
          <w:p w14:paraId="007FBE23">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每年1次</w:t>
            </w:r>
          </w:p>
        </w:tc>
        <w:tc>
          <w:tcPr>
            <w:tcW w:w="601" w:type="pct"/>
            <w:shd w:val="clear" w:color="auto" w:fill="auto"/>
            <w:noWrap/>
            <w:vAlign w:val="center"/>
          </w:tcPr>
          <w:p w14:paraId="123A7E32">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0-20cm</w:t>
            </w:r>
          </w:p>
        </w:tc>
        <w:tc>
          <w:tcPr>
            <w:tcW w:w="1197" w:type="pct"/>
            <w:shd w:val="clear" w:color="auto" w:fill="auto"/>
            <w:noWrap/>
            <w:vAlign w:val="center"/>
          </w:tcPr>
          <w:p w14:paraId="175EA90E">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r w14:paraId="167CC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72" w:type="pct"/>
            <w:vMerge w:val="continue"/>
            <w:shd w:val="clear" w:color="auto" w:fill="auto"/>
            <w:noWrap/>
            <w:vAlign w:val="center"/>
          </w:tcPr>
          <w:p w14:paraId="27DFC1A7">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999" w:type="pct"/>
            <w:shd w:val="clear" w:color="auto" w:fill="auto"/>
            <w:noWrap/>
            <w:vAlign w:val="center"/>
          </w:tcPr>
          <w:p w14:paraId="4977AF6C">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含油污泥池</w:t>
            </w:r>
          </w:p>
        </w:tc>
        <w:tc>
          <w:tcPr>
            <w:tcW w:w="823" w:type="pct"/>
            <w:vMerge w:val="continue"/>
            <w:shd w:val="clear" w:color="auto" w:fill="auto"/>
            <w:vAlign w:val="center"/>
          </w:tcPr>
          <w:p w14:paraId="3462C9C8">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p>
        </w:tc>
        <w:tc>
          <w:tcPr>
            <w:tcW w:w="805" w:type="pct"/>
            <w:shd w:val="clear" w:color="auto" w:fill="auto"/>
            <w:noWrap/>
            <w:vAlign w:val="center"/>
          </w:tcPr>
          <w:p w14:paraId="6263FF91">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每年1次</w:t>
            </w:r>
          </w:p>
        </w:tc>
        <w:tc>
          <w:tcPr>
            <w:tcW w:w="601" w:type="pct"/>
            <w:shd w:val="clear" w:color="auto" w:fill="auto"/>
            <w:noWrap/>
            <w:vAlign w:val="center"/>
          </w:tcPr>
          <w:p w14:paraId="517A694F">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0-20cm</w:t>
            </w:r>
          </w:p>
        </w:tc>
        <w:tc>
          <w:tcPr>
            <w:tcW w:w="1197" w:type="pct"/>
            <w:shd w:val="clear" w:color="auto" w:fill="auto"/>
            <w:noWrap/>
            <w:vAlign w:val="center"/>
          </w:tcPr>
          <w:p w14:paraId="2B8CDA19">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lang w:val="en-US" w:eastAsia="zh-CN"/>
              </w:rPr>
              <w:t>/</w:t>
            </w:r>
          </w:p>
        </w:tc>
      </w:tr>
    </w:tbl>
    <w:p w14:paraId="7EEBDAE3">
      <w:pPr>
        <w:pStyle w:val="5"/>
        <w:bidi w:val="0"/>
        <w:rPr>
          <w:rFonts w:hint="default"/>
          <w:color w:val="auto"/>
          <w:lang w:val="en-US" w:eastAsia="zh-CN"/>
        </w:rPr>
      </w:pPr>
      <w:r>
        <w:rPr>
          <w:rFonts w:hint="eastAsia"/>
          <w:color w:val="auto"/>
          <w:lang w:val="en-US" w:eastAsia="zh-CN"/>
        </w:rPr>
        <w:t>3.1.3现有工程建设规模及建设内容</w:t>
      </w:r>
    </w:p>
    <w:p w14:paraId="6FDFFF9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本次滚动开发包括</w:t>
      </w:r>
      <w:r>
        <w:rPr>
          <w:rFonts w:hint="eastAsia"/>
          <w:color w:val="auto"/>
          <w:sz w:val="24"/>
          <w:szCs w:val="24"/>
          <w:lang w:val="en-US" w:eastAsia="zh-CN"/>
        </w:rPr>
        <w:t>百口泉</w:t>
      </w:r>
      <w:r>
        <w:rPr>
          <w:rFonts w:ascii="Times New Roman" w:hAnsi="Times New Roman" w:eastAsia="宋体"/>
          <w:color w:val="auto"/>
          <w:sz w:val="24"/>
          <w:szCs w:val="24"/>
        </w:rPr>
        <w:t>采油厂</w:t>
      </w:r>
      <w:r>
        <w:rPr>
          <w:rFonts w:hint="eastAsia"/>
          <w:color w:val="auto"/>
          <w:sz w:val="24"/>
          <w:szCs w:val="24"/>
          <w:lang w:val="en-US" w:eastAsia="zh-CN"/>
        </w:rPr>
        <w:t>和布克赛尔蒙古自治县境内</w:t>
      </w:r>
      <w:r>
        <w:rPr>
          <w:rFonts w:ascii="Times New Roman" w:hAnsi="Times New Roman" w:eastAsia="宋体"/>
          <w:color w:val="auto"/>
          <w:sz w:val="24"/>
          <w:szCs w:val="24"/>
        </w:rPr>
        <w:t>现有作业区，即</w:t>
      </w:r>
      <w:r>
        <w:rPr>
          <w:rFonts w:hint="eastAsia"/>
          <w:color w:val="auto"/>
          <w:sz w:val="24"/>
          <w:szCs w:val="24"/>
          <w:lang w:val="en-US" w:eastAsia="zh-CN"/>
        </w:rPr>
        <w:t>玛湖第一采油作业区</w:t>
      </w:r>
      <w:r>
        <w:rPr>
          <w:rFonts w:ascii="Times New Roman" w:hAnsi="Times New Roman" w:eastAsia="宋体"/>
          <w:color w:val="auto"/>
          <w:sz w:val="24"/>
          <w:szCs w:val="24"/>
        </w:rPr>
        <w:t>、</w:t>
      </w:r>
      <w:r>
        <w:rPr>
          <w:rFonts w:hint="eastAsia"/>
          <w:color w:val="auto"/>
          <w:sz w:val="24"/>
          <w:szCs w:val="24"/>
          <w:lang w:val="en-US" w:eastAsia="zh-CN"/>
        </w:rPr>
        <w:t>玛湖第二采油</w:t>
      </w:r>
      <w:r>
        <w:rPr>
          <w:rFonts w:ascii="Times New Roman" w:hAnsi="Times New Roman" w:eastAsia="宋体"/>
          <w:color w:val="auto"/>
          <w:sz w:val="24"/>
          <w:szCs w:val="24"/>
        </w:rPr>
        <w:t>作业区、</w:t>
      </w:r>
      <w:r>
        <w:rPr>
          <w:rFonts w:hint="eastAsia"/>
          <w:color w:val="auto"/>
          <w:sz w:val="24"/>
          <w:szCs w:val="24"/>
          <w:lang w:val="en-US" w:eastAsia="zh-CN"/>
        </w:rPr>
        <w:t>玛湖第三采油作业区三</w:t>
      </w:r>
      <w:r>
        <w:rPr>
          <w:rFonts w:ascii="Times New Roman" w:hAnsi="Times New Roman" w:eastAsia="宋体"/>
          <w:color w:val="auto"/>
          <w:sz w:val="24"/>
          <w:szCs w:val="24"/>
        </w:rPr>
        <w:t>个作业区。现有工程</w:t>
      </w:r>
      <w:r>
        <w:rPr>
          <w:rFonts w:hint="eastAsia" w:ascii="Times New Roman" w:hAnsi="Times New Roman" w:eastAsia="宋体"/>
          <w:color w:val="auto"/>
          <w:sz w:val="24"/>
          <w:szCs w:val="24"/>
          <w:lang w:val="en-US" w:eastAsia="zh-CN"/>
        </w:rPr>
        <w:t>建设内容</w:t>
      </w:r>
      <w:r>
        <w:rPr>
          <w:rFonts w:ascii="Times New Roman" w:hAnsi="Times New Roman" w:eastAsia="宋体"/>
          <w:color w:val="auto"/>
          <w:sz w:val="24"/>
          <w:szCs w:val="24"/>
        </w:rPr>
        <w:t>见</w:t>
      </w:r>
      <w:r>
        <w:rPr>
          <w:rFonts w:hint="default" w:ascii="Times New Roman" w:hAnsi="Times New Roman" w:eastAsia="宋体"/>
          <w:color w:val="auto"/>
          <w:sz w:val="24"/>
          <w:szCs w:val="24"/>
          <w:lang w:val="en-US"/>
        </w:rPr>
        <w:fldChar w:fldCharType="begin"/>
      </w:r>
      <w:r>
        <w:rPr>
          <w:rFonts w:hint="default" w:ascii="Times New Roman" w:hAnsi="Times New Roman" w:eastAsia="宋体"/>
          <w:color w:val="auto"/>
          <w:sz w:val="24"/>
          <w:szCs w:val="24"/>
          <w:lang w:val="en-US"/>
        </w:rPr>
        <w:instrText xml:space="preserve"> REF _Ref9500 \h </w:instrText>
      </w:r>
      <w:r>
        <w:rPr>
          <w:rFonts w:hint="default" w:ascii="Times New Roman" w:hAnsi="Times New Roman" w:eastAsia="宋体"/>
          <w:color w:val="auto"/>
          <w:sz w:val="24"/>
          <w:szCs w:val="24"/>
          <w:lang w:val="en-US"/>
        </w:rPr>
        <w:fldChar w:fldCharType="separate"/>
      </w:r>
      <w:r>
        <w:rPr>
          <w:rFonts w:ascii="Times New Roman" w:hAnsi="Times New Roman" w:eastAsia="宋体"/>
          <w:color w:val="auto"/>
          <w:sz w:val="24"/>
          <w:szCs w:val="24"/>
        </w:rPr>
        <w:t>表</w:t>
      </w:r>
      <w:r>
        <w:rPr>
          <w:rFonts w:hint="eastAsia"/>
          <w:color w:val="auto"/>
          <w:sz w:val="24"/>
          <w:szCs w:val="24"/>
          <w:lang w:val="en-US" w:eastAsia="zh-CN"/>
        </w:rPr>
        <w:t>3.1</w:t>
      </w:r>
      <w:r>
        <w:rPr>
          <w:rFonts w:hint="eastAsia" w:ascii="Times New Roman" w:hAnsi="Times New Roman" w:eastAsia="宋体"/>
          <w:color w:val="auto"/>
          <w:sz w:val="24"/>
          <w:szCs w:val="24"/>
          <w:lang w:eastAsia="zh-CN"/>
        </w:rPr>
        <w:t>-</w:t>
      </w:r>
      <w:r>
        <w:rPr>
          <w:rFonts w:hint="eastAsia"/>
          <w:color w:val="auto"/>
          <w:sz w:val="24"/>
          <w:szCs w:val="24"/>
          <w:lang w:val="en-US" w:eastAsia="zh-CN"/>
        </w:rPr>
        <w:t>7</w:t>
      </w:r>
      <w:r>
        <w:rPr>
          <w:rFonts w:hint="default" w:ascii="Times New Roman" w:hAnsi="Times New Roman" w:eastAsia="宋体"/>
          <w:color w:val="auto"/>
          <w:sz w:val="24"/>
          <w:szCs w:val="24"/>
          <w:lang w:val="en-US"/>
        </w:rPr>
        <w:fldChar w:fldCharType="end"/>
      </w:r>
      <w:r>
        <w:rPr>
          <w:rFonts w:ascii="Times New Roman" w:hAnsi="Times New Roman" w:eastAsia="宋体"/>
          <w:color w:val="auto"/>
          <w:sz w:val="24"/>
          <w:szCs w:val="24"/>
        </w:rPr>
        <w:t>。</w:t>
      </w:r>
    </w:p>
    <w:p w14:paraId="5AAB0D18">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b/>
          <w:bCs/>
          <w:color w:val="auto"/>
          <w:kern w:val="2"/>
          <w:sz w:val="21"/>
          <w:szCs w:val="21"/>
          <w:lang w:val="en-US" w:eastAsia="zh-CN" w:bidi="ar-SA"/>
        </w:rPr>
      </w:pPr>
      <w:r>
        <w:rPr>
          <w:rFonts w:hint="eastAsia" w:cstheme="minorBidi"/>
          <w:b/>
          <w:bCs/>
          <w:color w:val="auto"/>
          <w:kern w:val="2"/>
          <w:sz w:val="21"/>
          <w:szCs w:val="21"/>
          <w:lang w:val="en-US" w:eastAsia="zh-CN" w:bidi="ar-SA"/>
        </w:rPr>
        <w:t>表3.1-7  现有工程建设内容一览表</w:t>
      </w:r>
    </w:p>
    <w:tbl>
      <w:tblPr>
        <w:tblStyle w:val="2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6"/>
        <w:gridCol w:w="1095"/>
        <w:gridCol w:w="992"/>
        <w:gridCol w:w="1496"/>
        <w:gridCol w:w="3840"/>
      </w:tblGrid>
      <w:tr w14:paraId="04956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643" w:type="pct"/>
            <w:tcBorders>
              <w:top w:val="single" w:color="000000" w:sz="8" w:space="0"/>
              <w:left w:val="single" w:color="000000" w:sz="8" w:space="0"/>
              <w:bottom w:val="nil"/>
              <w:right w:val="nil"/>
            </w:tcBorders>
            <w:shd w:val="clear" w:color="auto" w:fill="auto"/>
            <w:vAlign w:val="center"/>
          </w:tcPr>
          <w:p w14:paraId="37B0873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Style w:val="79"/>
                <w:color w:val="auto"/>
                <w:lang w:val="en-US" w:eastAsia="zh-CN" w:bidi="ar"/>
              </w:rPr>
              <w:t>工程类别</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36D2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Style w:val="79"/>
                <w:color w:val="auto"/>
                <w:lang w:val="en-US" w:eastAsia="zh-CN" w:bidi="ar"/>
              </w:rPr>
              <w:t>项目组成</w:t>
            </w:r>
          </w:p>
        </w:tc>
        <w:tc>
          <w:tcPr>
            <w:tcW w:w="37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5EDC9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Style w:val="79"/>
                <w:color w:val="auto"/>
                <w:lang w:val="en-US" w:eastAsia="zh-CN" w:bidi="ar"/>
              </w:rPr>
              <w:t>建设内容</w:t>
            </w:r>
          </w:p>
        </w:tc>
      </w:tr>
      <w:tr w14:paraId="14D0B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43" w:type="pct"/>
            <w:vMerge w:val="restart"/>
            <w:tcBorders>
              <w:top w:val="single" w:color="000000" w:sz="4" w:space="0"/>
              <w:left w:val="single" w:color="000000" w:sz="4" w:space="0"/>
              <w:bottom w:val="single" w:color="000000" w:sz="4" w:space="0"/>
              <w:right w:val="nil"/>
            </w:tcBorders>
            <w:shd w:val="clear" w:color="auto" w:fill="auto"/>
            <w:vAlign w:val="center"/>
          </w:tcPr>
          <w:p w14:paraId="689268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主体工程</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4D1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区块布局</w:t>
            </w:r>
          </w:p>
        </w:tc>
        <w:tc>
          <w:tcPr>
            <w:tcW w:w="371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06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开发区块为玛</w:t>
            </w:r>
            <w:r>
              <w:rPr>
                <w:rStyle w:val="81"/>
                <w:rFonts w:eastAsia="宋体"/>
                <w:color w:val="auto"/>
                <w:lang w:val="en-US" w:eastAsia="zh-CN" w:bidi="ar"/>
              </w:rPr>
              <w:t>131</w:t>
            </w:r>
            <w:r>
              <w:rPr>
                <w:rStyle w:val="80"/>
                <w:color w:val="auto"/>
                <w:lang w:val="en-US" w:eastAsia="zh-CN" w:bidi="ar"/>
              </w:rPr>
              <w:t>井区、玛</w:t>
            </w:r>
            <w:r>
              <w:rPr>
                <w:rStyle w:val="81"/>
                <w:rFonts w:eastAsia="宋体"/>
                <w:color w:val="auto"/>
                <w:lang w:val="en-US" w:eastAsia="zh-CN" w:bidi="ar"/>
              </w:rPr>
              <w:t>2</w:t>
            </w:r>
            <w:r>
              <w:rPr>
                <w:rStyle w:val="80"/>
                <w:color w:val="auto"/>
                <w:lang w:val="en-US" w:eastAsia="zh-CN" w:bidi="ar"/>
              </w:rPr>
              <w:t>井区、夏</w:t>
            </w:r>
            <w:r>
              <w:rPr>
                <w:rStyle w:val="81"/>
                <w:rFonts w:eastAsia="宋体"/>
                <w:color w:val="auto"/>
                <w:lang w:val="en-US" w:eastAsia="zh-CN" w:bidi="ar"/>
              </w:rPr>
              <w:t>72</w:t>
            </w:r>
            <w:r>
              <w:rPr>
                <w:rStyle w:val="80"/>
                <w:color w:val="auto"/>
                <w:lang w:val="en-US" w:eastAsia="zh-CN" w:bidi="ar"/>
              </w:rPr>
              <w:t>井区、玛</w:t>
            </w:r>
            <w:r>
              <w:rPr>
                <w:rStyle w:val="81"/>
                <w:rFonts w:eastAsia="宋体"/>
                <w:color w:val="auto"/>
                <w:lang w:val="en-US" w:eastAsia="zh-CN" w:bidi="ar"/>
              </w:rPr>
              <w:t>18</w:t>
            </w:r>
            <w:r>
              <w:rPr>
                <w:rStyle w:val="80"/>
                <w:color w:val="auto"/>
                <w:lang w:val="en-US" w:eastAsia="zh-CN" w:bidi="ar"/>
              </w:rPr>
              <w:t>井区</w:t>
            </w:r>
            <w:r>
              <w:rPr>
                <w:rStyle w:val="81"/>
                <w:rFonts w:eastAsia="宋体"/>
                <w:color w:val="auto"/>
                <w:lang w:val="en-US" w:eastAsia="zh-CN" w:bidi="ar"/>
              </w:rPr>
              <w:t>4</w:t>
            </w:r>
            <w:r>
              <w:rPr>
                <w:rStyle w:val="80"/>
                <w:color w:val="auto"/>
                <w:lang w:val="en-US" w:eastAsia="zh-CN" w:bidi="ar"/>
              </w:rPr>
              <w:t>个井区</w:t>
            </w:r>
          </w:p>
        </w:tc>
      </w:tr>
      <w:tr w14:paraId="2CC59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09A9D2F0">
            <w:pPr>
              <w:jc w:val="center"/>
              <w:rPr>
                <w:rFonts w:hint="default" w:ascii="Times New Roman" w:hAnsi="Times New Roman" w:eastAsia="宋体" w:cs="Times New Roman"/>
                <w:i w:val="0"/>
                <w:iCs w:val="0"/>
                <w:color w:val="auto"/>
                <w:sz w:val="21"/>
                <w:szCs w:val="21"/>
                <w:u w:val="none"/>
              </w:rPr>
            </w:pP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CA8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井场工程</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AAF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31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6F2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现有井场</w:t>
            </w:r>
            <w:r>
              <w:rPr>
                <w:rStyle w:val="81"/>
                <w:rFonts w:eastAsia="宋体"/>
                <w:color w:val="auto"/>
                <w:lang w:val="en-US" w:eastAsia="zh-CN" w:bidi="ar"/>
              </w:rPr>
              <w:t>748</w:t>
            </w:r>
            <w:r>
              <w:rPr>
                <w:rStyle w:val="80"/>
                <w:color w:val="auto"/>
                <w:lang w:val="en-US" w:eastAsia="zh-CN" w:bidi="ar"/>
              </w:rPr>
              <w:t>座，采油井</w:t>
            </w:r>
            <w:r>
              <w:rPr>
                <w:rStyle w:val="81"/>
                <w:rFonts w:eastAsia="宋体"/>
                <w:color w:val="auto"/>
                <w:lang w:val="en-US" w:eastAsia="zh-CN" w:bidi="ar"/>
              </w:rPr>
              <w:t>748</w:t>
            </w:r>
            <w:r>
              <w:rPr>
                <w:rStyle w:val="80"/>
                <w:color w:val="auto"/>
                <w:lang w:val="en-US" w:eastAsia="zh-CN" w:bidi="ar"/>
              </w:rPr>
              <w:t>口</w:t>
            </w:r>
          </w:p>
        </w:tc>
      </w:tr>
      <w:tr w14:paraId="55F1D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18363DE4">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12EF9">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D5301">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050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131</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BE5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井场</w:t>
            </w:r>
            <w:r>
              <w:rPr>
                <w:rStyle w:val="82"/>
                <w:rFonts w:eastAsia="宋体"/>
                <w:color w:val="auto"/>
                <w:lang w:val="en-US" w:eastAsia="zh-CN" w:bidi="ar"/>
              </w:rPr>
              <w:t>174</w:t>
            </w:r>
            <w:r>
              <w:rPr>
                <w:rStyle w:val="83"/>
                <w:color w:val="auto"/>
                <w:lang w:val="en-US" w:eastAsia="zh-CN" w:bidi="ar"/>
              </w:rPr>
              <w:t>座，采油井</w:t>
            </w:r>
            <w:r>
              <w:rPr>
                <w:rStyle w:val="82"/>
                <w:rFonts w:eastAsia="宋体"/>
                <w:color w:val="auto"/>
                <w:lang w:val="en-US" w:eastAsia="zh-CN" w:bidi="ar"/>
              </w:rPr>
              <w:t>174</w:t>
            </w:r>
            <w:r>
              <w:rPr>
                <w:rStyle w:val="83"/>
                <w:color w:val="auto"/>
                <w:lang w:val="en-US" w:eastAsia="zh-CN" w:bidi="ar"/>
              </w:rPr>
              <w:t>口</w:t>
            </w:r>
          </w:p>
        </w:tc>
      </w:tr>
      <w:tr w14:paraId="17017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3C799224">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9AF5E">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54AA1">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924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472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井场</w:t>
            </w:r>
            <w:r>
              <w:rPr>
                <w:rStyle w:val="81"/>
                <w:rFonts w:eastAsia="宋体"/>
                <w:color w:val="auto"/>
                <w:lang w:val="en-US" w:eastAsia="zh-CN" w:bidi="ar"/>
              </w:rPr>
              <w:t>143</w:t>
            </w:r>
            <w:r>
              <w:rPr>
                <w:rStyle w:val="80"/>
                <w:color w:val="auto"/>
                <w:lang w:val="en-US" w:eastAsia="zh-CN" w:bidi="ar"/>
              </w:rPr>
              <w:t>座，采油井</w:t>
            </w:r>
            <w:r>
              <w:rPr>
                <w:rStyle w:val="81"/>
                <w:rFonts w:eastAsia="宋体"/>
                <w:color w:val="auto"/>
                <w:lang w:val="en-US" w:eastAsia="zh-CN" w:bidi="ar"/>
              </w:rPr>
              <w:t>143</w:t>
            </w:r>
            <w:r>
              <w:rPr>
                <w:rStyle w:val="80"/>
                <w:color w:val="auto"/>
                <w:lang w:val="en-US" w:eastAsia="zh-CN" w:bidi="ar"/>
              </w:rPr>
              <w:t>口</w:t>
            </w:r>
          </w:p>
        </w:tc>
      </w:tr>
      <w:tr w14:paraId="70C58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3AC191B1">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05FFC">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5423B">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528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夏</w:t>
            </w:r>
            <w:r>
              <w:rPr>
                <w:rStyle w:val="82"/>
                <w:rFonts w:eastAsia="宋体"/>
                <w:color w:val="auto"/>
                <w:lang w:val="en-US" w:eastAsia="zh-CN" w:bidi="ar"/>
              </w:rPr>
              <w:t>72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7BB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井场</w:t>
            </w:r>
            <w:r>
              <w:rPr>
                <w:rStyle w:val="81"/>
                <w:rFonts w:eastAsia="宋体"/>
                <w:color w:val="auto"/>
                <w:lang w:val="en-US" w:eastAsia="zh-CN" w:bidi="ar"/>
              </w:rPr>
              <w:t>36</w:t>
            </w:r>
            <w:r>
              <w:rPr>
                <w:rStyle w:val="80"/>
                <w:color w:val="auto"/>
                <w:lang w:val="en-US" w:eastAsia="zh-CN" w:bidi="ar"/>
              </w:rPr>
              <w:t>座，采油井</w:t>
            </w:r>
            <w:r>
              <w:rPr>
                <w:rStyle w:val="81"/>
                <w:rFonts w:eastAsia="宋体"/>
                <w:color w:val="auto"/>
                <w:lang w:val="en-US" w:eastAsia="zh-CN" w:bidi="ar"/>
              </w:rPr>
              <w:t>36</w:t>
            </w:r>
            <w:r>
              <w:rPr>
                <w:rStyle w:val="80"/>
                <w:color w:val="auto"/>
                <w:lang w:val="en-US" w:eastAsia="zh-CN" w:bidi="ar"/>
              </w:rPr>
              <w:t>口</w:t>
            </w:r>
          </w:p>
        </w:tc>
      </w:tr>
      <w:tr w14:paraId="3BA92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7FF6A322">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33946">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5098F">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FD79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84"/>
                <w:color w:val="auto"/>
                <w:lang w:val="en-US" w:eastAsia="zh-CN" w:bidi="ar"/>
              </w:rPr>
              <w:t>玛</w:t>
            </w:r>
            <w:r>
              <w:rPr>
                <w:rStyle w:val="85"/>
                <w:rFonts w:eastAsia="宋体"/>
                <w:color w:val="auto"/>
                <w:lang w:val="en-US" w:eastAsia="zh-CN" w:bidi="ar"/>
              </w:rPr>
              <w:t>18</w:t>
            </w:r>
            <w:r>
              <w:rPr>
                <w:rStyle w:val="84"/>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D04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井场</w:t>
            </w:r>
            <w:r>
              <w:rPr>
                <w:rStyle w:val="81"/>
                <w:rFonts w:eastAsia="宋体"/>
                <w:color w:val="auto"/>
                <w:lang w:val="en-US" w:eastAsia="zh-CN" w:bidi="ar"/>
              </w:rPr>
              <w:t>395</w:t>
            </w:r>
            <w:r>
              <w:rPr>
                <w:rStyle w:val="80"/>
                <w:color w:val="auto"/>
                <w:lang w:val="en-US" w:eastAsia="zh-CN" w:bidi="ar"/>
              </w:rPr>
              <w:t>座，采油井</w:t>
            </w:r>
            <w:r>
              <w:rPr>
                <w:rStyle w:val="81"/>
                <w:rFonts w:eastAsia="宋体"/>
                <w:color w:val="auto"/>
                <w:lang w:val="en-US" w:eastAsia="zh-CN" w:bidi="ar"/>
              </w:rPr>
              <w:t>395</w:t>
            </w:r>
            <w:r>
              <w:rPr>
                <w:rStyle w:val="80"/>
                <w:color w:val="auto"/>
                <w:lang w:val="en-US" w:eastAsia="zh-CN" w:bidi="ar"/>
              </w:rPr>
              <w:t>口</w:t>
            </w:r>
          </w:p>
        </w:tc>
      </w:tr>
      <w:tr w14:paraId="36C78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286B4194">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323BA">
            <w:pPr>
              <w:jc w:val="center"/>
              <w:rPr>
                <w:rFonts w:hint="default" w:ascii="Times New Roman" w:hAnsi="Times New Roman" w:eastAsia="宋体" w:cs="Times New Roman"/>
                <w:i w:val="0"/>
                <w:iCs w:val="0"/>
                <w:color w:val="auto"/>
                <w:sz w:val="21"/>
                <w:szCs w:val="21"/>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286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在建工程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8C8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夏</w:t>
            </w:r>
            <w:r>
              <w:rPr>
                <w:rStyle w:val="81"/>
                <w:rFonts w:eastAsia="宋体"/>
                <w:color w:val="auto"/>
                <w:lang w:val="en-US" w:eastAsia="zh-CN" w:bidi="ar"/>
              </w:rPr>
              <w:t>72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B00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新建井场</w:t>
            </w:r>
            <w:r>
              <w:rPr>
                <w:rStyle w:val="82"/>
                <w:rFonts w:eastAsia="宋体"/>
                <w:color w:val="auto"/>
                <w:lang w:val="en-US" w:eastAsia="zh-CN" w:bidi="ar"/>
              </w:rPr>
              <w:t>58</w:t>
            </w:r>
            <w:r>
              <w:rPr>
                <w:rStyle w:val="83"/>
                <w:color w:val="auto"/>
                <w:lang w:val="en-US" w:eastAsia="zh-CN" w:bidi="ar"/>
              </w:rPr>
              <w:t>座，采油井</w:t>
            </w:r>
            <w:r>
              <w:rPr>
                <w:rStyle w:val="82"/>
                <w:rFonts w:eastAsia="宋体"/>
                <w:color w:val="auto"/>
                <w:lang w:val="en-US" w:eastAsia="zh-CN" w:bidi="ar"/>
              </w:rPr>
              <w:t>58</w:t>
            </w:r>
            <w:r>
              <w:rPr>
                <w:rStyle w:val="83"/>
                <w:color w:val="auto"/>
                <w:lang w:val="en-US" w:eastAsia="zh-CN" w:bidi="ar"/>
              </w:rPr>
              <w:t>口</w:t>
            </w:r>
          </w:p>
        </w:tc>
      </w:tr>
      <w:tr w14:paraId="7A8A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59BD99A8">
            <w:pPr>
              <w:jc w:val="center"/>
              <w:rPr>
                <w:rFonts w:hint="default" w:ascii="Times New Roman" w:hAnsi="Times New Roman" w:eastAsia="宋体" w:cs="Times New Roman"/>
                <w:i w:val="0"/>
                <w:iCs w:val="0"/>
                <w:color w:val="auto"/>
                <w:sz w:val="21"/>
                <w:szCs w:val="21"/>
                <w:u w:val="none"/>
              </w:rPr>
            </w:pP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258B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站场工程</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32A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A3D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131</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16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转油站</w:t>
            </w:r>
            <w:r>
              <w:rPr>
                <w:rStyle w:val="82"/>
                <w:rFonts w:eastAsia="宋体"/>
                <w:color w:val="auto"/>
                <w:lang w:val="en-US" w:eastAsia="zh-CN" w:bidi="ar"/>
              </w:rPr>
              <w:t>1</w:t>
            </w:r>
            <w:r>
              <w:rPr>
                <w:rStyle w:val="83"/>
                <w:color w:val="auto"/>
                <w:lang w:val="en-US" w:eastAsia="zh-CN" w:bidi="ar"/>
              </w:rPr>
              <w:t>座，计量站</w:t>
            </w:r>
            <w:r>
              <w:rPr>
                <w:rStyle w:val="82"/>
                <w:rFonts w:eastAsia="宋体"/>
                <w:color w:val="auto"/>
                <w:lang w:val="en-US" w:eastAsia="zh-CN" w:bidi="ar"/>
              </w:rPr>
              <w:t>18</w:t>
            </w:r>
            <w:r>
              <w:rPr>
                <w:rStyle w:val="83"/>
                <w:color w:val="auto"/>
                <w:lang w:val="en-US" w:eastAsia="zh-CN" w:bidi="ar"/>
              </w:rPr>
              <w:t>座</w:t>
            </w:r>
          </w:p>
        </w:tc>
      </w:tr>
      <w:tr w14:paraId="45A11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77A60BF4">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781D8">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9A83C">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96C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EA9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转油站</w:t>
            </w:r>
            <w:r>
              <w:rPr>
                <w:rStyle w:val="82"/>
                <w:rFonts w:eastAsia="宋体"/>
                <w:color w:val="auto"/>
                <w:lang w:val="en-US" w:eastAsia="zh-CN" w:bidi="ar"/>
              </w:rPr>
              <w:t>1</w:t>
            </w:r>
            <w:r>
              <w:rPr>
                <w:rStyle w:val="83"/>
                <w:color w:val="auto"/>
                <w:lang w:val="en-US" w:eastAsia="zh-CN" w:bidi="ar"/>
              </w:rPr>
              <w:t>座，计量站</w:t>
            </w:r>
            <w:r>
              <w:rPr>
                <w:rStyle w:val="82"/>
                <w:rFonts w:eastAsia="宋体"/>
                <w:color w:val="auto"/>
                <w:lang w:val="en-US" w:eastAsia="zh-CN" w:bidi="ar"/>
              </w:rPr>
              <w:t>6</w:t>
            </w:r>
            <w:r>
              <w:rPr>
                <w:rStyle w:val="83"/>
                <w:color w:val="auto"/>
                <w:lang w:val="en-US" w:eastAsia="zh-CN" w:bidi="ar"/>
              </w:rPr>
              <w:t>座</w:t>
            </w:r>
          </w:p>
        </w:tc>
      </w:tr>
      <w:tr w14:paraId="780BB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7A304366">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5365D">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3F493">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90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夏</w:t>
            </w:r>
            <w:r>
              <w:rPr>
                <w:rStyle w:val="82"/>
                <w:rFonts w:eastAsia="宋体"/>
                <w:color w:val="auto"/>
                <w:lang w:val="en-US" w:eastAsia="zh-CN" w:bidi="ar"/>
              </w:rPr>
              <w:t>72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ACE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依托玛</w:t>
            </w:r>
            <w:r>
              <w:rPr>
                <w:rStyle w:val="82"/>
                <w:rFonts w:eastAsia="宋体"/>
                <w:color w:val="auto"/>
                <w:lang w:val="en-US" w:eastAsia="zh-CN" w:bidi="ar"/>
              </w:rPr>
              <w:t>131</w:t>
            </w:r>
            <w:r>
              <w:rPr>
                <w:rStyle w:val="83"/>
                <w:color w:val="auto"/>
                <w:lang w:val="en-US" w:eastAsia="zh-CN" w:bidi="ar"/>
              </w:rPr>
              <w:t>井区计量站</w:t>
            </w:r>
          </w:p>
        </w:tc>
      </w:tr>
      <w:tr w14:paraId="5FCAB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643FB301">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87139">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BD26B">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2F6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84"/>
                <w:color w:val="auto"/>
                <w:lang w:val="en-US" w:eastAsia="zh-CN" w:bidi="ar"/>
              </w:rPr>
              <w:t>玛</w:t>
            </w:r>
            <w:r>
              <w:rPr>
                <w:rStyle w:val="85"/>
                <w:rFonts w:eastAsia="宋体"/>
                <w:color w:val="auto"/>
                <w:lang w:val="en-US" w:eastAsia="zh-CN" w:bidi="ar"/>
              </w:rPr>
              <w:t>18</w:t>
            </w:r>
            <w:r>
              <w:rPr>
                <w:rStyle w:val="84"/>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BF2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转油站</w:t>
            </w:r>
            <w:r>
              <w:rPr>
                <w:rStyle w:val="82"/>
                <w:rFonts w:eastAsia="宋体"/>
                <w:color w:val="auto"/>
                <w:lang w:val="en-US" w:eastAsia="zh-CN" w:bidi="ar"/>
              </w:rPr>
              <w:t>1</w:t>
            </w:r>
            <w:r>
              <w:rPr>
                <w:rStyle w:val="83"/>
                <w:color w:val="auto"/>
                <w:lang w:val="en-US" w:eastAsia="zh-CN" w:bidi="ar"/>
              </w:rPr>
              <w:t>座，计量站</w:t>
            </w:r>
            <w:r>
              <w:rPr>
                <w:rStyle w:val="82"/>
                <w:rFonts w:eastAsia="宋体"/>
                <w:color w:val="auto"/>
                <w:lang w:val="en-US" w:eastAsia="zh-CN" w:bidi="ar"/>
              </w:rPr>
              <w:t>46</w:t>
            </w:r>
            <w:r>
              <w:rPr>
                <w:rStyle w:val="83"/>
                <w:color w:val="auto"/>
                <w:lang w:val="en-US" w:eastAsia="zh-CN" w:bidi="ar"/>
              </w:rPr>
              <w:t>座</w:t>
            </w:r>
          </w:p>
        </w:tc>
      </w:tr>
      <w:tr w14:paraId="54BA9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15744147">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DE40D">
            <w:pPr>
              <w:jc w:val="center"/>
              <w:rPr>
                <w:rFonts w:hint="default" w:ascii="Times New Roman" w:hAnsi="Times New Roman" w:eastAsia="宋体" w:cs="Times New Roman"/>
                <w:i w:val="0"/>
                <w:iCs w:val="0"/>
                <w:color w:val="auto"/>
                <w:sz w:val="21"/>
                <w:szCs w:val="21"/>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D1A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在建工程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0FD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夏</w:t>
            </w:r>
            <w:r>
              <w:rPr>
                <w:rStyle w:val="81"/>
                <w:rFonts w:eastAsia="宋体"/>
                <w:color w:val="auto"/>
                <w:lang w:val="en-US" w:eastAsia="zh-CN" w:bidi="ar"/>
              </w:rPr>
              <w:t>72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115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新建计量站</w:t>
            </w:r>
            <w:r>
              <w:rPr>
                <w:rStyle w:val="81"/>
                <w:rFonts w:eastAsia="宋体"/>
                <w:color w:val="auto"/>
                <w:lang w:val="en-US" w:eastAsia="zh-CN" w:bidi="ar"/>
              </w:rPr>
              <w:t>5</w:t>
            </w:r>
            <w:r>
              <w:rPr>
                <w:rStyle w:val="80"/>
                <w:color w:val="auto"/>
                <w:lang w:val="en-US" w:eastAsia="zh-CN" w:bidi="ar"/>
              </w:rPr>
              <w:t>座</w:t>
            </w:r>
          </w:p>
        </w:tc>
      </w:tr>
      <w:tr w14:paraId="54A5B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39D2B65E">
            <w:pPr>
              <w:jc w:val="center"/>
              <w:rPr>
                <w:rFonts w:hint="default" w:ascii="Times New Roman" w:hAnsi="Times New Roman" w:eastAsia="宋体" w:cs="Times New Roman"/>
                <w:i w:val="0"/>
                <w:iCs w:val="0"/>
                <w:color w:val="auto"/>
                <w:sz w:val="21"/>
                <w:szCs w:val="21"/>
                <w:u w:val="none"/>
              </w:rPr>
            </w:pP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124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集输工程</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930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7EB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131</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207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单井管线</w:t>
            </w:r>
            <w:r>
              <w:rPr>
                <w:rStyle w:val="81"/>
                <w:rFonts w:eastAsia="宋体"/>
                <w:color w:val="auto"/>
                <w:lang w:val="en-US" w:eastAsia="zh-CN" w:bidi="ar"/>
              </w:rPr>
              <w:t>73.334km</w:t>
            </w:r>
            <w:r>
              <w:rPr>
                <w:rStyle w:val="80"/>
                <w:color w:val="auto"/>
                <w:lang w:val="en-US" w:eastAsia="zh-CN" w:bidi="ar"/>
              </w:rPr>
              <w:t>，集输干支线</w:t>
            </w:r>
            <w:r>
              <w:rPr>
                <w:rStyle w:val="81"/>
                <w:rFonts w:eastAsia="宋体"/>
                <w:color w:val="auto"/>
                <w:lang w:val="en-US" w:eastAsia="zh-CN" w:bidi="ar"/>
              </w:rPr>
              <w:t>32.119km</w:t>
            </w:r>
            <w:r>
              <w:rPr>
                <w:rStyle w:val="80"/>
                <w:color w:val="auto"/>
                <w:lang w:val="en-US" w:eastAsia="zh-CN" w:bidi="ar"/>
              </w:rPr>
              <w:t>，转输线</w:t>
            </w:r>
            <w:r>
              <w:rPr>
                <w:rStyle w:val="81"/>
                <w:rFonts w:eastAsia="宋体"/>
                <w:color w:val="auto"/>
                <w:lang w:val="en-US" w:eastAsia="zh-CN" w:bidi="ar"/>
              </w:rPr>
              <w:t>38km</w:t>
            </w:r>
          </w:p>
        </w:tc>
      </w:tr>
      <w:tr w14:paraId="6265E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0EAC16D0">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C3753">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26C4F">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A24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07A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单井管线</w:t>
            </w:r>
            <w:r>
              <w:rPr>
                <w:rStyle w:val="81"/>
                <w:rFonts w:eastAsia="宋体"/>
                <w:color w:val="auto"/>
                <w:lang w:val="en-US" w:eastAsia="zh-CN" w:bidi="ar"/>
              </w:rPr>
              <w:t>68.213km</w:t>
            </w:r>
            <w:r>
              <w:rPr>
                <w:rStyle w:val="80"/>
                <w:color w:val="auto"/>
                <w:lang w:val="en-US" w:eastAsia="zh-CN" w:bidi="ar"/>
              </w:rPr>
              <w:t>，集油干支线</w:t>
            </w:r>
            <w:r>
              <w:rPr>
                <w:rStyle w:val="81"/>
                <w:rFonts w:eastAsia="宋体"/>
                <w:color w:val="auto"/>
                <w:lang w:val="en-US" w:eastAsia="zh-CN" w:bidi="ar"/>
              </w:rPr>
              <w:t>30.99km</w:t>
            </w:r>
            <w:r>
              <w:rPr>
                <w:rStyle w:val="80"/>
                <w:color w:val="auto"/>
                <w:lang w:val="en-US" w:eastAsia="zh-CN" w:bidi="ar"/>
              </w:rPr>
              <w:t>，输气管线</w:t>
            </w:r>
            <w:r>
              <w:rPr>
                <w:rStyle w:val="81"/>
                <w:rFonts w:eastAsia="宋体"/>
                <w:color w:val="auto"/>
                <w:lang w:val="en-US" w:eastAsia="zh-CN" w:bidi="ar"/>
              </w:rPr>
              <w:t>25km</w:t>
            </w:r>
          </w:p>
        </w:tc>
      </w:tr>
      <w:tr w14:paraId="4ECA4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7BC656E2">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8B38A">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1AB5F">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48A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夏</w:t>
            </w:r>
            <w:r>
              <w:rPr>
                <w:rStyle w:val="82"/>
                <w:rFonts w:eastAsia="宋体"/>
                <w:color w:val="auto"/>
                <w:lang w:val="en-US" w:eastAsia="zh-CN" w:bidi="ar"/>
              </w:rPr>
              <w:t>72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648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6"/>
                <w:color w:val="auto"/>
                <w:lang w:val="en-US" w:eastAsia="zh-CN" w:bidi="ar"/>
              </w:rPr>
              <w:t>单井管线</w:t>
            </w:r>
            <w:r>
              <w:rPr>
                <w:rStyle w:val="87"/>
                <w:rFonts w:eastAsia="宋体"/>
                <w:color w:val="auto"/>
                <w:lang w:val="en-US" w:eastAsia="zh-CN" w:bidi="ar"/>
              </w:rPr>
              <w:t>7.2km</w:t>
            </w:r>
          </w:p>
        </w:tc>
      </w:tr>
      <w:tr w14:paraId="683B7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003B2105">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888AC">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61B4A">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CD7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88"/>
                <w:color w:val="auto"/>
                <w:lang w:val="en-US" w:eastAsia="zh-CN" w:bidi="ar"/>
              </w:rPr>
              <w:t>玛</w:t>
            </w:r>
            <w:r>
              <w:rPr>
                <w:rStyle w:val="85"/>
                <w:rFonts w:eastAsia="宋体"/>
                <w:color w:val="auto"/>
                <w:lang w:val="en-US" w:eastAsia="zh-CN" w:bidi="ar"/>
              </w:rPr>
              <w:t>18</w:t>
            </w:r>
            <w:r>
              <w:rPr>
                <w:rStyle w:val="88"/>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8FF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6"/>
                <w:color w:val="auto"/>
                <w:lang w:val="en-US" w:eastAsia="zh-CN" w:bidi="ar"/>
              </w:rPr>
              <w:t>单井管线</w:t>
            </w:r>
            <w:r>
              <w:rPr>
                <w:rStyle w:val="87"/>
                <w:rFonts w:eastAsia="宋体"/>
                <w:color w:val="auto"/>
                <w:lang w:val="en-US" w:eastAsia="zh-CN" w:bidi="ar"/>
              </w:rPr>
              <w:t>84.762km</w:t>
            </w:r>
            <w:r>
              <w:rPr>
                <w:rStyle w:val="86"/>
                <w:color w:val="auto"/>
                <w:lang w:val="en-US" w:eastAsia="zh-CN" w:bidi="ar"/>
              </w:rPr>
              <w:t>，集输干支线</w:t>
            </w:r>
            <w:r>
              <w:rPr>
                <w:rStyle w:val="87"/>
                <w:rFonts w:eastAsia="宋体"/>
                <w:color w:val="auto"/>
                <w:lang w:val="en-US" w:eastAsia="zh-CN" w:bidi="ar"/>
              </w:rPr>
              <w:t>17.598km</w:t>
            </w:r>
            <w:r>
              <w:rPr>
                <w:rStyle w:val="86"/>
                <w:color w:val="auto"/>
                <w:lang w:val="en-US" w:eastAsia="zh-CN" w:bidi="ar"/>
              </w:rPr>
              <w:t>，转液线</w:t>
            </w:r>
            <w:r>
              <w:rPr>
                <w:rStyle w:val="87"/>
                <w:rFonts w:eastAsia="宋体"/>
                <w:color w:val="auto"/>
                <w:lang w:val="en-US" w:eastAsia="zh-CN" w:bidi="ar"/>
              </w:rPr>
              <w:t>27km</w:t>
            </w:r>
          </w:p>
        </w:tc>
      </w:tr>
      <w:tr w14:paraId="238F4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63F9C387">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10164">
            <w:pPr>
              <w:jc w:val="center"/>
              <w:rPr>
                <w:rFonts w:hint="default" w:ascii="Times New Roman" w:hAnsi="Times New Roman" w:eastAsia="宋体" w:cs="Times New Roman"/>
                <w:i w:val="0"/>
                <w:iCs w:val="0"/>
                <w:color w:val="auto"/>
                <w:sz w:val="21"/>
                <w:szCs w:val="21"/>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AC0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在建工程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78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夏</w:t>
            </w:r>
            <w:r>
              <w:rPr>
                <w:rStyle w:val="82"/>
                <w:rFonts w:eastAsia="宋体"/>
                <w:color w:val="auto"/>
                <w:lang w:val="en-US" w:eastAsia="zh-CN" w:bidi="ar"/>
              </w:rPr>
              <w:t>72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ED3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新建单井出油管线</w:t>
            </w:r>
            <w:r>
              <w:rPr>
                <w:rStyle w:val="81"/>
                <w:rFonts w:eastAsia="宋体"/>
                <w:color w:val="auto"/>
                <w:lang w:val="en-US" w:eastAsia="zh-CN" w:bidi="ar"/>
              </w:rPr>
              <w:t>20.6km</w:t>
            </w:r>
            <w:r>
              <w:rPr>
                <w:rStyle w:val="80"/>
                <w:color w:val="auto"/>
                <w:lang w:val="en-US" w:eastAsia="zh-CN" w:bidi="ar"/>
              </w:rPr>
              <w:t>；新建集油管线</w:t>
            </w:r>
            <w:r>
              <w:rPr>
                <w:rStyle w:val="81"/>
                <w:rFonts w:eastAsia="宋体"/>
                <w:color w:val="auto"/>
                <w:lang w:val="en-US" w:eastAsia="zh-CN" w:bidi="ar"/>
              </w:rPr>
              <w:t>9.6km</w:t>
            </w:r>
          </w:p>
        </w:tc>
      </w:tr>
      <w:tr w14:paraId="03FE3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2E0D5E80">
            <w:pPr>
              <w:jc w:val="center"/>
              <w:rPr>
                <w:rFonts w:hint="default" w:ascii="Times New Roman" w:hAnsi="Times New Roman" w:eastAsia="宋体" w:cs="Times New Roman"/>
                <w:i w:val="0"/>
                <w:iCs w:val="0"/>
                <w:color w:val="auto"/>
                <w:sz w:val="21"/>
                <w:szCs w:val="21"/>
                <w:u w:val="none"/>
              </w:rPr>
            </w:pP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D567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原油处理工程</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D2D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EBE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131</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E7A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131</w:t>
            </w:r>
            <w:r>
              <w:rPr>
                <w:rStyle w:val="80"/>
                <w:color w:val="auto"/>
                <w:lang w:val="en-US" w:eastAsia="zh-CN" w:bidi="ar"/>
              </w:rPr>
              <w:t>转油站，设计规模</w:t>
            </w:r>
            <w:r>
              <w:rPr>
                <w:rStyle w:val="82"/>
                <w:rFonts w:eastAsia="宋体"/>
                <w:color w:val="auto"/>
                <w:lang w:val="en-US" w:eastAsia="zh-CN" w:bidi="ar"/>
              </w:rPr>
              <w:t>150×10</w:t>
            </w:r>
            <w:r>
              <w:rPr>
                <w:rStyle w:val="89"/>
                <w:rFonts w:eastAsia="宋体"/>
                <w:color w:val="auto"/>
                <w:lang w:val="en-US" w:eastAsia="zh-CN" w:bidi="ar"/>
              </w:rPr>
              <w:t>4</w:t>
            </w:r>
            <w:r>
              <w:rPr>
                <w:rStyle w:val="82"/>
                <w:rFonts w:eastAsia="宋体"/>
                <w:color w:val="auto"/>
                <w:lang w:val="en-US" w:eastAsia="zh-CN" w:bidi="ar"/>
              </w:rPr>
              <w:t>t/a</w:t>
            </w:r>
          </w:p>
        </w:tc>
      </w:tr>
      <w:tr w14:paraId="00590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2987DD86">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84FC0">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77325">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D1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9BA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2</w:t>
            </w:r>
            <w:r>
              <w:rPr>
                <w:rStyle w:val="80"/>
                <w:color w:val="auto"/>
                <w:lang w:val="en-US" w:eastAsia="zh-CN" w:bidi="ar"/>
              </w:rPr>
              <w:t>转油站，设计规模</w:t>
            </w:r>
            <w:r>
              <w:rPr>
                <w:rStyle w:val="82"/>
                <w:rFonts w:eastAsia="宋体"/>
                <w:color w:val="auto"/>
                <w:lang w:val="en-US" w:eastAsia="zh-CN" w:bidi="ar"/>
              </w:rPr>
              <w:t>300×10</w:t>
            </w:r>
            <w:r>
              <w:rPr>
                <w:rStyle w:val="89"/>
                <w:rFonts w:eastAsia="宋体"/>
                <w:color w:val="auto"/>
                <w:lang w:val="en-US" w:eastAsia="zh-CN" w:bidi="ar"/>
              </w:rPr>
              <w:t>4</w:t>
            </w:r>
            <w:r>
              <w:rPr>
                <w:rStyle w:val="82"/>
                <w:rFonts w:eastAsia="宋体"/>
                <w:color w:val="auto"/>
                <w:lang w:val="en-US" w:eastAsia="zh-CN" w:bidi="ar"/>
              </w:rPr>
              <w:t>t/a</w:t>
            </w:r>
          </w:p>
        </w:tc>
      </w:tr>
      <w:tr w14:paraId="31243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3671BE8B">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EC02F">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B279C">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A34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夏</w:t>
            </w:r>
            <w:r>
              <w:rPr>
                <w:rStyle w:val="82"/>
                <w:rFonts w:eastAsia="宋体"/>
                <w:color w:val="auto"/>
                <w:lang w:val="en-US" w:eastAsia="zh-CN" w:bidi="ar"/>
              </w:rPr>
              <w:t>72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EB9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依托玛</w:t>
            </w:r>
            <w:r>
              <w:rPr>
                <w:rStyle w:val="82"/>
                <w:rFonts w:eastAsia="宋体"/>
                <w:color w:val="auto"/>
                <w:lang w:val="en-US" w:eastAsia="zh-CN" w:bidi="ar"/>
              </w:rPr>
              <w:t>131</w:t>
            </w:r>
            <w:r>
              <w:rPr>
                <w:rStyle w:val="80"/>
                <w:color w:val="auto"/>
                <w:lang w:val="en-US" w:eastAsia="zh-CN" w:bidi="ar"/>
              </w:rPr>
              <w:t>转油站和百口泉注输联合站</w:t>
            </w:r>
          </w:p>
        </w:tc>
      </w:tr>
      <w:tr w14:paraId="5CFB4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365AB132">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2A43F">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0F082">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7668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88"/>
                <w:color w:val="auto"/>
                <w:lang w:val="en-US" w:eastAsia="zh-CN" w:bidi="ar"/>
              </w:rPr>
              <w:t>玛</w:t>
            </w:r>
            <w:r>
              <w:rPr>
                <w:rStyle w:val="85"/>
                <w:rFonts w:eastAsia="宋体"/>
                <w:color w:val="auto"/>
                <w:lang w:val="en-US" w:eastAsia="zh-CN" w:bidi="ar"/>
              </w:rPr>
              <w:t>18</w:t>
            </w:r>
            <w:r>
              <w:rPr>
                <w:rStyle w:val="88"/>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675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18</w:t>
            </w:r>
            <w:r>
              <w:rPr>
                <w:rStyle w:val="80"/>
                <w:color w:val="auto"/>
                <w:lang w:val="en-US" w:eastAsia="zh-CN" w:bidi="ar"/>
              </w:rPr>
              <w:t>转油站，设计规模</w:t>
            </w:r>
            <w:r>
              <w:rPr>
                <w:rStyle w:val="82"/>
                <w:rFonts w:eastAsia="宋体"/>
                <w:color w:val="auto"/>
                <w:lang w:val="en-US" w:eastAsia="zh-CN" w:bidi="ar"/>
              </w:rPr>
              <w:t>250×10</w:t>
            </w:r>
            <w:r>
              <w:rPr>
                <w:rStyle w:val="89"/>
                <w:rFonts w:eastAsia="宋体"/>
                <w:color w:val="auto"/>
                <w:lang w:val="en-US" w:eastAsia="zh-CN" w:bidi="ar"/>
              </w:rPr>
              <w:t>4</w:t>
            </w:r>
            <w:r>
              <w:rPr>
                <w:rStyle w:val="82"/>
                <w:rFonts w:eastAsia="宋体"/>
                <w:color w:val="auto"/>
                <w:lang w:val="en-US" w:eastAsia="zh-CN" w:bidi="ar"/>
              </w:rPr>
              <w:t>t/a</w:t>
            </w:r>
          </w:p>
        </w:tc>
      </w:tr>
      <w:tr w14:paraId="625A7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3EE4631F">
            <w:pPr>
              <w:jc w:val="center"/>
              <w:rPr>
                <w:rFonts w:hint="default" w:ascii="Times New Roman" w:hAnsi="Times New Roman" w:eastAsia="宋体" w:cs="Times New Roman"/>
                <w:i w:val="0"/>
                <w:iCs w:val="0"/>
                <w:color w:val="auto"/>
                <w:sz w:val="21"/>
                <w:szCs w:val="21"/>
                <w:u w:val="none"/>
              </w:rPr>
            </w:pP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677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伴生气处理工程</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C793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C22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1"/>
                <w:rFonts w:eastAsia="宋体"/>
                <w:color w:val="auto"/>
                <w:lang w:val="en-US" w:eastAsia="zh-CN" w:bidi="ar"/>
              </w:rPr>
              <w:t>131</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D6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依托克拉玛依市富城天然气有限责任公司玛</w:t>
            </w:r>
            <w:r>
              <w:rPr>
                <w:rStyle w:val="81"/>
                <w:rFonts w:eastAsia="宋体"/>
                <w:color w:val="auto"/>
                <w:lang w:val="en-US" w:eastAsia="zh-CN" w:bidi="ar"/>
              </w:rPr>
              <w:t>131</w:t>
            </w:r>
            <w:r>
              <w:rPr>
                <w:rStyle w:val="80"/>
                <w:color w:val="auto"/>
                <w:lang w:val="en-US" w:eastAsia="zh-CN" w:bidi="ar"/>
              </w:rPr>
              <w:t>天然气处理站，设计规模</w:t>
            </w:r>
            <w:r>
              <w:rPr>
                <w:rStyle w:val="81"/>
                <w:rFonts w:eastAsia="宋体"/>
                <w:color w:val="auto"/>
                <w:lang w:val="en-US" w:eastAsia="zh-CN" w:bidi="ar"/>
              </w:rPr>
              <w:t>136×10</w:t>
            </w:r>
            <w:r>
              <w:rPr>
                <w:rStyle w:val="90"/>
                <w:rFonts w:eastAsia="宋体"/>
                <w:color w:val="auto"/>
                <w:lang w:val="en-US" w:eastAsia="zh-CN" w:bidi="ar"/>
              </w:rPr>
              <w:t>4</w:t>
            </w:r>
            <w:r>
              <w:rPr>
                <w:rStyle w:val="81"/>
                <w:rFonts w:eastAsia="宋体"/>
                <w:color w:val="auto"/>
                <w:lang w:val="en-US" w:eastAsia="zh-CN" w:bidi="ar"/>
              </w:rPr>
              <w:t>Nm</w:t>
            </w:r>
            <w:r>
              <w:rPr>
                <w:rStyle w:val="90"/>
                <w:rFonts w:eastAsia="宋体"/>
                <w:color w:val="auto"/>
                <w:lang w:val="en-US" w:eastAsia="zh-CN" w:bidi="ar"/>
              </w:rPr>
              <w:t>3</w:t>
            </w:r>
            <w:r>
              <w:rPr>
                <w:rStyle w:val="81"/>
                <w:rFonts w:eastAsia="宋体"/>
                <w:color w:val="auto"/>
                <w:lang w:val="en-US" w:eastAsia="zh-CN" w:bidi="ar"/>
              </w:rPr>
              <w:t>/d</w:t>
            </w:r>
          </w:p>
        </w:tc>
      </w:tr>
      <w:tr w14:paraId="2E043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38D50B78">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3A941">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9C5E7">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FB0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1"/>
                <w:rFonts w:eastAsia="宋体"/>
                <w:color w:val="auto"/>
                <w:lang w:val="en-US" w:eastAsia="zh-CN" w:bidi="ar"/>
              </w:rPr>
              <w:t>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355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依托克拉玛依市富城天然气有限责任公司玛</w:t>
            </w:r>
            <w:r>
              <w:rPr>
                <w:rStyle w:val="81"/>
                <w:rFonts w:eastAsia="宋体"/>
                <w:color w:val="auto"/>
                <w:lang w:val="en-US" w:eastAsia="zh-CN" w:bidi="ar"/>
              </w:rPr>
              <w:t>2</w:t>
            </w:r>
            <w:r>
              <w:rPr>
                <w:rStyle w:val="80"/>
                <w:color w:val="auto"/>
                <w:lang w:val="en-US" w:eastAsia="zh-CN" w:bidi="ar"/>
              </w:rPr>
              <w:t>天然气处理站，设计规模</w:t>
            </w:r>
            <w:r>
              <w:rPr>
                <w:rStyle w:val="81"/>
                <w:rFonts w:eastAsia="宋体"/>
                <w:color w:val="auto"/>
                <w:lang w:val="en-US" w:eastAsia="zh-CN" w:bidi="ar"/>
              </w:rPr>
              <w:t>3×10</w:t>
            </w:r>
            <w:r>
              <w:rPr>
                <w:rStyle w:val="91"/>
                <w:rFonts w:eastAsia="宋体"/>
                <w:color w:val="auto"/>
                <w:lang w:val="en-US" w:eastAsia="zh-CN" w:bidi="ar"/>
              </w:rPr>
              <w:t>4</w:t>
            </w:r>
            <w:r>
              <w:rPr>
                <w:rStyle w:val="81"/>
                <w:rFonts w:eastAsia="宋体"/>
                <w:color w:val="auto"/>
                <w:lang w:val="en-US" w:eastAsia="zh-CN" w:bidi="ar"/>
              </w:rPr>
              <w:t>Nm</w:t>
            </w:r>
            <w:r>
              <w:rPr>
                <w:rStyle w:val="91"/>
                <w:rFonts w:eastAsia="宋体"/>
                <w:color w:val="auto"/>
                <w:lang w:val="en-US" w:eastAsia="zh-CN" w:bidi="ar"/>
              </w:rPr>
              <w:t>3</w:t>
            </w:r>
            <w:r>
              <w:rPr>
                <w:rStyle w:val="81"/>
                <w:rFonts w:eastAsia="宋体"/>
                <w:color w:val="auto"/>
                <w:lang w:val="en-US" w:eastAsia="zh-CN" w:bidi="ar"/>
              </w:rPr>
              <w:t>/d</w:t>
            </w:r>
          </w:p>
        </w:tc>
      </w:tr>
      <w:tr w14:paraId="4DA16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7DA4B7C2">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3C88D">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DFE15">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2B2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1"/>
                <w:rFonts w:eastAsia="宋体"/>
                <w:color w:val="auto"/>
                <w:lang w:val="en-US" w:eastAsia="zh-CN" w:bidi="ar"/>
              </w:rPr>
              <w:t>18</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565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依托克拉玛依市富城天然气有限责任公司玛</w:t>
            </w:r>
            <w:r>
              <w:rPr>
                <w:rStyle w:val="81"/>
                <w:rFonts w:eastAsia="宋体"/>
                <w:color w:val="auto"/>
                <w:lang w:val="en-US" w:eastAsia="zh-CN" w:bidi="ar"/>
              </w:rPr>
              <w:t>18</w:t>
            </w:r>
            <w:r>
              <w:rPr>
                <w:rStyle w:val="80"/>
                <w:color w:val="auto"/>
                <w:lang w:val="en-US" w:eastAsia="zh-CN" w:bidi="ar"/>
              </w:rPr>
              <w:t>天然气处理站，设计规模</w:t>
            </w:r>
            <w:r>
              <w:rPr>
                <w:rStyle w:val="81"/>
                <w:rFonts w:eastAsia="宋体"/>
                <w:color w:val="auto"/>
                <w:lang w:val="en-US" w:eastAsia="zh-CN" w:bidi="ar"/>
              </w:rPr>
              <w:t>88×10</w:t>
            </w:r>
            <w:r>
              <w:rPr>
                <w:rStyle w:val="91"/>
                <w:rFonts w:eastAsia="宋体"/>
                <w:color w:val="auto"/>
                <w:lang w:val="en-US" w:eastAsia="zh-CN" w:bidi="ar"/>
              </w:rPr>
              <w:t>4</w:t>
            </w:r>
            <w:r>
              <w:rPr>
                <w:rStyle w:val="81"/>
                <w:rFonts w:eastAsia="宋体"/>
                <w:color w:val="auto"/>
                <w:lang w:val="en-US" w:eastAsia="zh-CN" w:bidi="ar"/>
              </w:rPr>
              <w:t>Nm</w:t>
            </w:r>
            <w:r>
              <w:rPr>
                <w:rStyle w:val="91"/>
                <w:rFonts w:eastAsia="宋体"/>
                <w:color w:val="auto"/>
                <w:lang w:val="en-US" w:eastAsia="zh-CN" w:bidi="ar"/>
              </w:rPr>
              <w:t>3</w:t>
            </w:r>
            <w:r>
              <w:rPr>
                <w:rStyle w:val="81"/>
                <w:rFonts w:eastAsia="宋体"/>
                <w:color w:val="auto"/>
                <w:lang w:val="en-US" w:eastAsia="zh-CN" w:bidi="ar"/>
              </w:rPr>
              <w:t>/d</w:t>
            </w:r>
          </w:p>
        </w:tc>
      </w:tr>
      <w:tr w14:paraId="0F1E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restart"/>
            <w:tcBorders>
              <w:top w:val="single" w:color="000000" w:sz="4" w:space="0"/>
              <w:left w:val="single" w:color="000000" w:sz="4" w:space="0"/>
              <w:bottom w:val="single" w:color="000000" w:sz="4" w:space="0"/>
              <w:right w:val="nil"/>
            </w:tcBorders>
            <w:shd w:val="clear" w:color="auto" w:fill="auto"/>
            <w:vAlign w:val="center"/>
          </w:tcPr>
          <w:p w14:paraId="7D7802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公用工程</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934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供水工程</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F56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495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131</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ECF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水源井</w:t>
            </w:r>
            <w:r>
              <w:rPr>
                <w:rStyle w:val="81"/>
                <w:rFonts w:eastAsia="宋体"/>
                <w:color w:val="auto"/>
                <w:lang w:val="en-US" w:eastAsia="zh-CN" w:bidi="ar"/>
              </w:rPr>
              <w:t>2</w:t>
            </w:r>
            <w:r>
              <w:rPr>
                <w:rStyle w:val="80"/>
                <w:color w:val="auto"/>
                <w:lang w:val="en-US" w:eastAsia="zh-CN" w:bidi="ar"/>
              </w:rPr>
              <w:t>口</w:t>
            </w:r>
          </w:p>
        </w:tc>
      </w:tr>
      <w:tr w14:paraId="1D08A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785FC988">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72AF6">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1A594">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9812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88"/>
                <w:color w:val="auto"/>
                <w:lang w:val="en-US" w:eastAsia="zh-CN" w:bidi="ar"/>
              </w:rPr>
              <w:t>玛</w:t>
            </w:r>
            <w:r>
              <w:rPr>
                <w:rStyle w:val="85"/>
                <w:rFonts w:eastAsia="宋体"/>
                <w:color w:val="auto"/>
                <w:lang w:val="en-US" w:eastAsia="zh-CN" w:bidi="ar"/>
              </w:rPr>
              <w:t>18</w:t>
            </w:r>
            <w:r>
              <w:rPr>
                <w:rStyle w:val="88"/>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BA4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水源井</w:t>
            </w:r>
            <w:r>
              <w:rPr>
                <w:rStyle w:val="81"/>
                <w:rFonts w:eastAsia="宋体"/>
                <w:color w:val="auto"/>
                <w:lang w:val="en-US" w:eastAsia="zh-CN" w:bidi="ar"/>
              </w:rPr>
              <w:t>5</w:t>
            </w:r>
            <w:r>
              <w:rPr>
                <w:rStyle w:val="80"/>
                <w:color w:val="auto"/>
                <w:lang w:val="en-US" w:eastAsia="zh-CN" w:bidi="ar"/>
              </w:rPr>
              <w:t>口</w:t>
            </w:r>
          </w:p>
        </w:tc>
      </w:tr>
      <w:tr w14:paraId="268F2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7539BAED">
            <w:pPr>
              <w:jc w:val="center"/>
              <w:rPr>
                <w:rFonts w:hint="default" w:ascii="Times New Roman" w:hAnsi="Times New Roman" w:eastAsia="宋体" w:cs="Times New Roman"/>
                <w:i w:val="0"/>
                <w:iCs w:val="0"/>
                <w:color w:val="auto"/>
                <w:sz w:val="21"/>
                <w:szCs w:val="21"/>
                <w:u w:val="none"/>
              </w:rPr>
            </w:pP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0C74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供电工程</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F684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C78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131</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C45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35kV</w:t>
            </w:r>
            <w:r>
              <w:rPr>
                <w:rStyle w:val="83"/>
                <w:color w:val="auto"/>
                <w:lang w:val="en-US" w:eastAsia="zh-CN" w:bidi="ar"/>
              </w:rPr>
              <w:t>变共</w:t>
            </w:r>
            <w:r>
              <w:rPr>
                <w:rStyle w:val="82"/>
                <w:rFonts w:eastAsia="宋体"/>
                <w:color w:val="auto"/>
                <w:lang w:val="en-US" w:eastAsia="zh-CN" w:bidi="ar"/>
              </w:rPr>
              <w:t>1</w:t>
            </w:r>
            <w:r>
              <w:rPr>
                <w:rStyle w:val="83"/>
                <w:color w:val="auto"/>
                <w:lang w:val="en-US" w:eastAsia="zh-CN" w:bidi="ar"/>
              </w:rPr>
              <w:t>座</w:t>
            </w:r>
          </w:p>
        </w:tc>
      </w:tr>
      <w:tr w14:paraId="327CA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66ECB72B">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C4C10">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E609A">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BE9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879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依托玛北一线</w:t>
            </w:r>
          </w:p>
        </w:tc>
      </w:tr>
      <w:tr w14:paraId="03B23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69BC8D95">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3BE90">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7577F">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5E96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88"/>
                <w:color w:val="auto"/>
                <w:lang w:val="en-US" w:eastAsia="zh-CN" w:bidi="ar"/>
              </w:rPr>
              <w:t>玛</w:t>
            </w:r>
            <w:r>
              <w:rPr>
                <w:rStyle w:val="85"/>
                <w:rFonts w:eastAsia="宋体"/>
                <w:color w:val="auto"/>
                <w:lang w:val="en-US" w:eastAsia="zh-CN" w:bidi="ar"/>
              </w:rPr>
              <w:t>18</w:t>
            </w:r>
            <w:r>
              <w:rPr>
                <w:rStyle w:val="88"/>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55E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依托达湖</w:t>
            </w:r>
            <w:r>
              <w:rPr>
                <w:rStyle w:val="82"/>
                <w:rFonts w:eastAsia="宋体"/>
                <w:color w:val="auto"/>
                <w:lang w:val="en-US" w:eastAsia="zh-CN" w:bidi="ar"/>
              </w:rPr>
              <w:t>35kV</w:t>
            </w:r>
            <w:r>
              <w:rPr>
                <w:rStyle w:val="83"/>
                <w:color w:val="auto"/>
                <w:lang w:val="en-US" w:eastAsia="zh-CN" w:bidi="ar"/>
              </w:rPr>
              <w:t>变电站和塔城金丝（玛北）</w:t>
            </w:r>
            <w:r>
              <w:rPr>
                <w:rStyle w:val="82"/>
                <w:rFonts w:eastAsia="宋体"/>
                <w:color w:val="auto"/>
                <w:lang w:val="en-US" w:eastAsia="zh-CN" w:bidi="ar"/>
              </w:rPr>
              <w:t>110kV</w:t>
            </w:r>
            <w:r>
              <w:rPr>
                <w:rStyle w:val="83"/>
                <w:color w:val="auto"/>
                <w:lang w:val="en-US" w:eastAsia="zh-CN" w:bidi="ar"/>
              </w:rPr>
              <w:t>变电站</w:t>
            </w:r>
          </w:p>
        </w:tc>
      </w:tr>
      <w:tr w14:paraId="074EC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5C14BCE9">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FD614">
            <w:pPr>
              <w:jc w:val="center"/>
              <w:rPr>
                <w:rFonts w:hint="default" w:ascii="Times New Roman" w:hAnsi="Times New Roman" w:eastAsia="宋体" w:cs="Times New Roman"/>
                <w:i w:val="0"/>
                <w:iCs w:val="0"/>
                <w:color w:val="auto"/>
                <w:sz w:val="21"/>
                <w:szCs w:val="21"/>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2F0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在建工程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64A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夏</w:t>
            </w:r>
            <w:r>
              <w:rPr>
                <w:rStyle w:val="81"/>
                <w:rFonts w:eastAsia="宋体"/>
                <w:color w:val="auto"/>
                <w:lang w:val="en-US" w:eastAsia="zh-CN" w:bidi="ar"/>
              </w:rPr>
              <w:t>72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1A52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由夏子街变电站新建</w:t>
            </w:r>
            <w:r>
              <w:rPr>
                <w:rStyle w:val="81"/>
                <w:rFonts w:eastAsia="宋体"/>
                <w:color w:val="auto"/>
                <w:lang w:val="en-US" w:eastAsia="zh-CN" w:bidi="ar"/>
              </w:rPr>
              <w:t>1</w:t>
            </w:r>
            <w:r>
              <w:rPr>
                <w:rStyle w:val="80"/>
                <w:color w:val="auto"/>
                <w:lang w:val="en-US" w:eastAsia="zh-CN" w:bidi="ar"/>
              </w:rPr>
              <w:t>回</w:t>
            </w:r>
            <w:r>
              <w:rPr>
                <w:rStyle w:val="81"/>
                <w:rFonts w:eastAsia="宋体"/>
                <w:color w:val="auto"/>
                <w:lang w:val="en-US" w:eastAsia="zh-CN" w:bidi="ar"/>
              </w:rPr>
              <w:t>10kV</w:t>
            </w:r>
            <w:r>
              <w:rPr>
                <w:rStyle w:val="80"/>
                <w:color w:val="auto"/>
                <w:lang w:val="en-US" w:eastAsia="zh-CN" w:bidi="ar"/>
              </w:rPr>
              <w:t>架空线路，线路供电能力</w:t>
            </w:r>
            <w:r>
              <w:rPr>
                <w:rStyle w:val="81"/>
                <w:rFonts w:eastAsia="宋体"/>
                <w:color w:val="auto"/>
                <w:lang w:val="en-US" w:eastAsia="zh-CN" w:bidi="ar"/>
              </w:rPr>
              <w:t>4.86MW</w:t>
            </w:r>
            <w:r>
              <w:rPr>
                <w:rStyle w:val="80"/>
                <w:color w:val="auto"/>
                <w:lang w:val="en-US" w:eastAsia="zh-CN" w:bidi="ar"/>
              </w:rPr>
              <w:t>，新建线路长度</w:t>
            </w:r>
            <w:r>
              <w:rPr>
                <w:rStyle w:val="81"/>
                <w:rFonts w:eastAsia="宋体"/>
                <w:color w:val="auto"/>
                <w:lang w:val="en-US" w:eastAsia="zh-CN" w:bidi="ar"/>
              </w:rPr>
              <w:t>20km</w:t>
            </w:r>
          </w:p>
        </w:tc>
      </w:tr>
      <w:tr w14:paraId="1D933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2B12D5C9">
            <w:pPr>
              <w:jc w:val="center"/>
              <w:rPr>
                <w:rFonts w:hint="default" w:ascii="Times New Roman" w:hAnsi="Times New Roman" w:eastAsia="宋体" w:cs="Times New Roman"/>
                <w:i w:val="0"/>
                <w:iCs w:val="0"/>
                <w:color w:val="auto"/>
                <w:sz w:val="21"/>
                <w:szCs w:val="21"/>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781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道路工程</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BD0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CF3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1"/>
                <w:rFonts w:eastAsia="宋体"/>
                <w:color w:val="auto"/>
                <w:lang w:val="en-US" w:eastAsia="zh-CN" w:bidi="ar"/>
              </w:rPr>
              <w:t>131</w:t>
            </w:r>
            <w:r>
              <w:rPr>
                <w:rStyle w:val="80"/>
                <w:color w:val="auto"/>
                <w:lang w:val="en-US" w:eastAsia="zh-CN" w:bidi="ar"/>
              </w:rPr>
              <w:t>井区、玛</w:t>
            </w:r>
            <w:r>
              <w:rPr>
                <w:rStyle w:val="81"/>
                <w:rFonts w:eastAsia="宋体"/>
                <w:color w:val="auto"/>
                <w:lang w:val="en-US" w:eastAsia="zh-CN" w:bidi="ar"/>
              </w:rPr>
              <w:t>2</w:t>
            </w:r>
            <w:r>
              <w:rPr>
                <w:rStyle w:val="80"/>
                <w:color w:val="auto"/>
                <w:lang w:val="en-US" w:eastAsia="zh-CN" w:bidi="ar"/>
              </w:rPr>
              <w:t>井区、夏</w:t>
            </w:r>
            <w:r>
              <w:rPr>
                <w:rStyle w:val="81"/>
                <w:rFonts w:eastAsia="宋体"/>
                <w:color w:val="auto"/>
                <w:lang w:val="en-US" w:eastAsia="zh-CN" w:bidi="ar"/>
              </w:rPr>
              <w:t>72</w:t>
            </w:r>
            <w:r>
              <w:rPr>
                <w:rStyle w:val="80"/>
                <w:color w:val="auto"/>
                <w:lang w:val="en-US" w:eastAsia="zh-CN" w:bidi="ar"/>
              </w:rPr>
              <w:t>井区、玛</w:t>
            </w:r>
            <w:r>
              <w:rPr>
                <w:rStyle w:val="81"/>
                <w:rFonts w:eastAsia="宋体"/>
                <w:color w:val="auto"/>
                <w:lang w:val="en-US" w:eastAsia="zh-CN" w:bidi="ar"/>
              </w:rPr>
              <w:t>18</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97F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依托沥青道路，井场道路采用简易道路</w:t>
            </w:r>
          </w:p>
        </w:tc>
      </w:tr>
      <w:tr w14:paraId="4784E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7913DE10">
            <w:pPr>
              <w:jc w:val="center"/>
              <w:rPr>
                <w:rFonts w:hint="default" w:ascii="Times New Roman" w:hAnsi="Times New Roman" w:eastAsia="宋体" w:cs="Times New Roman"/>
                <w:i w:val="0"/>
                <w:iCs w:val="0"/>
                <w:color w:val="auto"/>
                <w:sz w:val="21"/>
                <w:szCs w:val="21"/>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D38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通信工程</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27A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5A1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1"/>
                <w:rFonts w:eastAsia="宋体"/>
                <w:color w:val="auto"/>
                <w:lang w:val="en-US" w:eastAsia="zh-CN" w:bidi="ar"/>
              </w:rPr>
              <w:t>131</w:t>
            </w:r>
            <w:r>
              <w:rPr>
                <w:rStyle w:val="80"/>
                <w:color w:val="auto"/>
                <w:lang w:val="en-US" w:eastAsia="zh-CN" w:bidi="ar"/>
              </w:rPr>
              <w:t>井区、玛</w:t>
            </w:r>
            <w:r>
              <w:rPr>
                <w:rStyle w:val="81"/>
                <w:rFonts w:eastAsia="宋体"/>
                <w:color w:val="auto"/>
                <w:lang w:val="en-US" w:eastAsia="zh-CN" w:bidi="ar"/>
              </w:rPr>
              <w:t>2</w:t>
            </w:r>
            <w:r>
              <w:rPr>
                <w:rStyle w:val="80"/>
                <w:color w:val="auto"/>
                <w:lang w:val="en-US" w:eastAsia="zh-CN" w:bidi="ar"/>
              </w:rPr>
              <w:t>井区、夏</w:t>
            </w:r>
            <w:r>
              <w:rPr>
                <w:rStyle w:val="81"/>
                <w:rFonts w:eastAsia="宋体"/>
                <w:color w:val="auto"/>
                <w:lang w:val="en-US" w:eastAsia="zh-CN" w:bidi="ar"/>
              </w:rPr>
              <w:t>72</w:t>
            </w:r>
            <w:r>
              <w:rPr>
                <w:rStyle w:val="80"/>
                <w:color w:val="auto"/>
                <w:lang w:val="en-US" w:eastAsia="zh-CN" w:bidi="ar"/>
              </w:rPr>
              <w:t>井区、玛</w:t>
            </w:r>
            <w:r>
              <w:rPr>
                <w:rStyle w:val="81"/>
                <w:rFonts w:eastAsia="宋体"/>
                <w:color w:val="auto"/>
                <w:lang w:val="en-US" w:eastAsia="zh-CN" w:bidi="ar"/>
              </w:rPr>
              <w:t>18</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DE8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井场设置</w:t>
            </w:r>
            <w:r>
              <w:rPr>
                <w:rStyle w:val="81"/>
                <w:rFonts w:eastAsia="宋体"/>
                <w:color w:val="auto"/>
                <w:lang w:val="en-US" w:eastAsia="zh-CN" w:bidi="ar"/>
              </w:rPr>
              <w:t>RTU</w:t>
            </w:r>
            <w:r>
              <w:rPr>
                <w:rStyle w:val="80"/>
                <w:color w:val="auto"/>
                <w:lang w:val="en-US" w:eastAsia="zh-CN" w:bidi="ar"/>
              </w:rPr>
              <w:t>及监控摄像机和有源音柱，实时采集井场生产和视频数据</w:t>
            </w:r>
          </w:p>
        </w:tc>
      </w:tr>
      <w:tr w14:paraId="58693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restart"/>
            <w:tcBorders>
              <w:top w:val="single" w:color="000000" w:sz="4" w:space="0"/>
              <w:left w:val="single" w:color="000000" w:sz="4" w:space="0"/>
              <w:bottom w:val="single" w:color="000000" w:sz="4" w:space="0"/>
              <w:right w:val="nil"/>
            </w:tcBorders>
            <w:shd w:val="clear" w:color="auto" w:fill="auto"/>
            <w:vAlign w:val="center"/>
          </w:tcPr>
          <w:p w14:paraId="1F86C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辅助工程</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5C6A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办公生活设施</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679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9D5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131</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F44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生活基地</w:t>
            </w:r>
            <w:r>
              <w:rPr>
                <w:rStyle w:val="81"/>
                <w:rFonts w:eastAsia="宋体"/>
                <w:color w:val="auto"/>
                <w:lang w:val="en-US" w:eastAsia="zh-CN" w:bidi="ar"/>
              </w:rPr>
              <w:t>1</w:t>
            </w:r>
            <w:r>
              <w:rPr>
                <w:rStyle w:val="80"/>
                <w:color w:val="auto"/>
                <w:lang w:val="en-US" w:eastAsia="zh-CN" w:bidi="ar"/>
              </w:rPr>
              <w:t>座</w:t>
            </w:r>
          </w:p>
        </w:tc>
      </w:tr>
      <w:tr w14:paraId="3091E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77A473A1">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E98A5">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575BB">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79B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2"/>
                <w:rFonts w:eastAsia="宋体"/>
                <w:color w:val="auto"/>
                <w:lang w:val="en-US" w:eastAsia="zh-CN" w:bidi="ar"/>
              </w:rPr>
              <w:t>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489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生活基地</w:t>
            </w:r>
            <w:r>
              <w:rPr>
                <w:rStyle w:val="81"/>
                <w:rFonts w:eastAsia="宋体"/>
                <w:color w:val="auto"/>
                <w:lang w:val="en-US" w:eastAsia="zh-CN" w:bidi="ar"/>
              </w:rPr>
              <w:t>1</w:t>
            </w:r>
            <w:r>
              <w:rPr>
                <w:rStyle w:val="80"/>
                <w:color w:val="auto"/>
                <w:lang w:val="en-US" w:eastAsia="zh-CN" w:bidi="ar"/>
              </w:rPr>
              <w:t>座</w:t>
            </w:r>
          </w:p>
        </w:tc>
      </w:tr>
      <w:tr w14:paraId="42239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2E38CBE4">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4A73B">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4F38C">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B53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夏</w:t>
            </w:r>
            <w:r>
              <w:rPr>
                <w:rStyle w:val="82"/>
                <w:rFonts w:eastAsia="宋体"/>
                <w:color w:val="auto"/>
                <w:lang w:val="en-US" w:eastAsia="zh-CN" w:bidi="ar"/>
              </w:rPr>
              <w:t>72</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30D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依托玛</w:t>
            </w:r>
            <w:r>
              <w:rPr>
                <w:rStyle w:val="81"/>
                <w:rFonts w:eastAsia="宋体"/>
                <w:color w:val="auto"/>
                <w:lang w:val="en-US" w:eastAsia="zh-CN" w:bidi="ar"/>
              </w:rPr>
              <w:t>131</w:t>
            </w:r>
            <w:r>
              <w:rPr>
                <w:rStyle w:val="80"/>
                <w:color w:val="auto"/>
                <w:lang w:val="en-US" w:eastAsia="zh-CN" w:bidi="ar"/>
              </w:rPr>
              <w:t>井区生活基地</w:t>
            </w:r>
          </w:p>
        </w:tc>
      </w:tr>
      <w:tr w14:paraId="0707A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63BA9755">
            <w:pPr>
              <w:jc w:val="center"/>
              <w:rPr>
                <w:rFonts w:hint="default" w:ascii="Times New Roman" w:hAnsi="Times New Roman" w:eastAsia="宋体" w:cs="Times New Roman"/>
                <w:i w:val="0"/>
                <w:iCs w:val="0"/>
                <w:color w:val="auto"/>
                <w:sz w:val="21"/>
                <w:szCs w:val="21"/>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B2F8C">
            <w:pPr>
              <w:jc w:val="center"/>
              <w:rPr>
                <w:rFonts w:hint="default" w:ascii="Times New Roman" w:hAnsi="Times New Roman" w:eastAsia="宋体" w:cs="Times New Roman"/>
                <w:i w:val="0"/>
                <w:iCs w:val="0"/>
                <w:color w:val="auto"/>
                <w:sz w:val="21"/>
                <w:szCs w:val="21"/>
                <w:u w:val="none"/>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27FD9">
            <w:pPr>
              <w:jc w:val="center"/>
              <w:rPr>
                <w:rFonts w:hint="default" w:ascii="Times New Roman" w:hAnsi="Times New Roman" w:eastAsia="宋体" w:cs="Times New Roman"/>
                <w:i w:val="0"/>
                <w:iCs w:val="0"/>
                <w:color w:val="auto"/>
                <w:sz w:val="21"/>
                <w:szCs w:val="21"/>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487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88"/>
                <w:color w:val="auto"/>
                <w:lang w:val="en-US" w:eastAsia="zh-CN" w:bidi="ar"/>
              </w:rPr>
              <w:t>玛</w:t>
            </w:r>
            <w:r>
              <w:rPr>
                <w:rStyle w:val="85"/>
                <w:rFonts w:eastAsia="宋体"/>
                <w:color w:val="auto"/>
                <w:lang w:val="en-US" w:eastAsia="zh-CN" w:bidi="ar"/>
              </w:rPr>
              <w:t>18</w:t>
            </w:r>
            <w:r>
              <w:rPr>
                <w:rStyle w:val="88"/>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BBA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生活基地</w:t>
            </w:r>
            <w:r>
              <w:rPr>
                <w:rStyle w:val="81"/>
                <w:rFonts w:eastAsia="宋体"/>
                <w:color w:val="auto"/>
                <w:lang w:val="en-US" w:eastAsia="zh-CN" w:bidi="ar"/>
              </w:rPr>
              <w:t>1</w:t>
            </w:r>
            <w:r>
              <w:rPr>
                <w:rStyle w:val="80"/>
                <w:color w:val="auto"/>
                <w:lang w:val="en-US" w:eastAsia="zh-CN" w:bidi="ar"/>
              </w:rPr>
              <w:t>座</w:t>
            </w:r>
          </w:p>
        </w:tc>
      </w:tr>
      <w:tr w14:paraId="77D6D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643" w:type="pct"/>
            <w:vMerge w:val="restart"/>
            <w:tcBorders>
              <w:top w:val="single" w:color="000000" w:sz="4" w:space="0"/>
              <w:left w:val="single" w:color="000000" w:sz="4" w:space="0"/>
              <w:bottom w:val="single" w:color="000000" w:sz="4" w:space="0"/>
              <w:right w:val="nil"/>
            </w:tcBorders>
            <w:shd w:val="clear" w:color="auto" w:fill="auto"/>
            <w:vAlign w:val="center"/>
          </w:tcPr>
          <w:p w14:paraId="233A61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环保工程</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806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采出水处理</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718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CCA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1"/>
                <w:rFonts w:eastAsia="宋体"/>
                <w:color w:val="auto"/>
                <w:lang w:val="en-US" w:eastAsia="zh-CN" w:bidi="ar"/>
              </w:rPr>
              <w:t>131</w:t>
            </w:r>
            <w:r>
              <w:rPr>
                <w:rStyle w:val="80"/>
                <w:color w:val="auto"/>
                <w:lang w:val="en-US" w:eastAsia="zh-CN" w:bidi="ar"/>
              </w:rPr>
              <w:t>井区、玛</w:t>
            </w:r>
            <w:r>
              <w:rPr>
                <w:rStyle w:val="81"/>
                <w:rFonts w:eastAsia="宋体"/>
                <w:color w:val="auto"/>
                <w:lang w:val="en-US" w:eastAsia="zh-CN" w:bidi="ar"/>
              </w:rPr>
              <w:t>2</w:t>
            </w:r>
            <w:r>
              <w:rPr>
                <w:rStyle w:val="80"/>
                <w:color w:val="auto"/>
                <w:lang w:val="en-US" w:eastAsia="zh-CN" w:bidi="ar"/>
              </w:rPr>
              <w:t>井区、夏</w:t>
            </w:r>
            <w:r>
              <w:rPr>
                <w:rStyle w:val="81"/>
                <w:rFonts w:eastAsia="宋体"/>
                <w:color w:val="auto"/>
                <w:lang w:val="en-US" w:eastAsia="zh-CN" w:bidi="ar"/>
              </w:rPr>
              <w:t>72</w:t>
            </w:r>
            <w:r>
              <w:rPr>
                <w:rStyle w:val="80"/>
                <w:color w:val="auto"/>
                <w:lang w:val="en-US" w:eastAsia="zh-CN" w:bidi="ar"/>
              </w:rPr>
              <w:t>井区、玛</w:t>
            </w:r>
            <w:r>
              <w:rPr>
                <w:rStyle w:val="81"/>
                <w:rFonts w:eastAsia="宋体"/>
                <w:color w:val="auto"/>
                <w:lang w:val="en-US" w:eastAsia="zh-CN" w:bidi="ar"/>
              </w:rPr>
              <w:t>18</w:t>
            </w:r>
            <w:r>
              <w:rPr>
                <w:rStyle w:val="80"/>
                <w:color w:val="auto"/>
                <w:lang w:val="en-US" w:eastAsia="zh-CN" w:bidi="ar"/>
              </w:rPr>
              <w:t>井区</w:t>
            </w:r>
          </w:p>
        </w:tc>
        <w:tc>
          <w:tcPr>
            <w:tcW w:w="2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07C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依托百联站采出水处理系统，规模</w:t>
            </w:r>
            <w:r>
              <w:rPr>
                <w:rStyle w:val="81"/>
                <w:rFonts w:eastAsia="宋体"/>
                <w:color w:val="auto"/>
                <w:lang w:val="en-US" w:eastAsia="zh-CN" w:bidi="ar"/>
              </w:rPr>
              <w:t>11000m</w:t>
            </w:r>
            <w:r>
              <w:rPr>
                <w:rStyle w:val="90"/>
                <w:rFonts w:eastAsia="宋体"/>
                <w:color w:val="auto"/>
                <w:lang w:val="en-US" w:eastAsia="zh-CN" w:bidi="ar"/>
              </w:rPr>
              <w:t>3</w:t>
            </w:r>
            <w:r>
              <w:rPr>
                <w:rStyle w:val="81"/>
                <w:rFonts w:eastAsia="宋体"/>
                <w:color w:val="auto"/>
                <w:lang w:val="en-US" w:eastAsia="zh-CN" w:bidi="ar"/>
              </w:rPr>
              <w:t>/d</w:t>
            </w:r>
          </w:p>
        </w:tc>
      </w:tr>
      <w:tr w14:paraId="2C834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4F52BE39">
            <w:pPr>
              <w:jc w:val="center"/>
              <w:rPr>
                <w:rFonts w:hint="default" w:ascii="Times New Roman" w:hAnsi="Times New Roman" w:eastAsia="宋体" w:cs="Times New Roman"/>
                <w:i w:val="0"/>
                <w:iCs w:val="0"/>
                <w:color w:val="auto"/>
                <w:sz w:val="21"/>
                <w:szCs w:val="21"/>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E56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井下作业废水</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BDA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C6C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1"/>
                <w:rFonts w:eastAsia="宋体"/>
                <w:color w:val="auto"/>
                <w:lang w:val="en-US" w:eastAsia="zh-CN" w:bidi="ar"/>
              </w:rPr>
              <w:t>131</w:t>
            </w:r>
            <w:r>
              <w:rPr>
                <w:rStyle w:val="80"/>
                <w:color w:val="auto"/>
                <w:lang w:val="en-US" w:eastAsia="zh-CN" w:bidi="ar"/>
              </w:rPr>
              <w:t>井区、玛</w:t>
            </w:r>
            <w:r>
              <w:rPr>
                <w:rStyle w:val="81"/>
                <w:rFonts w:eastAsia="宋体"/>
                <w:color w:val="auto"/>
                <w:lang w:val="en-US" w:eastAsia="zh-CN" w:bidi="ar"/>
              </w:rPr>
              <w:t>2</w:t>
            </w:r>
            <w:r>
              <w:rPr>
                <w:rStyle w:val="80"/>
                <w:color w:val="auto"/>
                <w:lang w:val="en-US" w:eastAsia="zh-CN" w:bidi="ar"/>
              </w:rPr>
              <w:t>井区、夏</w:t>
            </w:r>
            <w:r>
              <w:rPr>
                <w:rStyle w:val="81"/>
                <w:rFonts w:eastAsia="宋体"/>
                <w:color w:val="auto"/>
                <w:lang w:val="en-US" w:eastAsia="zh-CN" w:bidi="ar"/>
              </w:rPr>
              <w:t>72</w:t>
            </w:r>
            <w:r>
              <w:rPr>
                <w:rStyle w:val="80"/>
                <w:color w:val="auto"/>
                <w:lang w:val="en-US" w:eastAsia="zh-CN" w:bidi="ar"/>
              </w:rPr>
              <w:t>井区、玛</w:t>
            </w:r>
            <w:r>
              <w:rPr>
                <w:rStyle w:val="81"/>
                <w:rFonts w:eastAsia="宋体"/>
                <w:color w:val="auto"/>
                <w:lang w:val="en-US" w:eastAsia="zh-CN" w:bidi="ar"/>
              </w:rPr>
              <w:t>18</w:t>
            </w:r>
            <w:r>
              <w:rPr>
                <w:rStyle w:val="80"/>
                <w:color w:val="auto"/>
                <w:lang w:val="en-US" w:eastAsia="zh-CN" w:bidi="ar"/>
              </w:rPr>
              <w:t>井区</w:t>
            </w:r>
          </w:p>
        </w:tc>
        <w:tc>
          <w:tcPr>
            <w:tcW w:w="2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F9B26">
            <w:pPr>
              <w:jc w:val="center"/>
              <w:rPr>
                <w:rFonts w:hint="default" w:ascii="Times New Roman" w:hAnsi="Times New Roman" w:eastAsia="宋体" w:cs="Times New Roman"/>
                <w:i w:val="0"/>
                <w:iCs w:val="0"/>
                <w:color w:val="auto"/>
                <w:sz w:val="21"/>
                <w:szCs w:val="21"/>
                <w:u w:val="none"/>
              </w:rPr>
            </w:pPr>
          </w:p>
        </w:tc>
      </w:tr>
      <w:tr w14:paraId="6BB33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5E64094E">
            <w:pPr>
              <w:jc w:val="center"/>
              <w:rPr>
                <w:rFonts w:hint="default" w:ascii="Times New Roman" w:hAnsi="Times New Roman" w:eastAsia="宋体" w:cs="Times New Roman"/>
                <w:i w:val="0"/>
                <w:iCs w:val="0"/>
                <w:color w:val="auto"/>
                <w:sz w:val="21"/>
                <w:szCs w:val="21"/>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2AC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生活污水处理</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20C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31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8B0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经化粪池收集后，定期拉运至乌尔禾区生活污水处理厂处理</w:t>
            </w:r>
          </w:p>
        </w:tc>
      </w:tr>
      <w:tr w14:paraId="681AF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3C7279C6">
            <w:pPr>
              <w:jc w:val="center"/>
              <w:rPr>
                <w:rFonts w:hint="default" w:ascii="Times New Roman" w:hAnsi="Times New Roman" w:eastAsia="宋体" w:cs="Times New Roman"/>
                <w:i w:val="0"/>
                <w:iCs w:val="0"/>
                <w:color w:val="auto"/>
                <w:sz w:val="21"/>
                <w:szCs w:val="21"/>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4A4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危险废物贮存点</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F9E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A7B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1"/>
                <w:rFonts w:eastAsia="宋体"/>
                <w:color w:val="auto"/>
                <w:lang w:val="en-US" w:eastAsia="zh-CN" w:bidi="ar"/>
              </w:rPr>
              <w:t>131</w:t>
            </w:r>
            <w:r>
              <w:rPr>
                <w:rStyle w:val="80"/>
                <w:color w:val="auto"/>
                <w:lang w:val="en-US" w:eastAsia="zh-CN" w:bidi="ar"/>
              </w:rPr>
              <w:t>井区、玛</w:t>
            </w:r>
            <w:r>
              <w:rPr>
                <w:rStyle w:val="81"/>
                <w:rFonts w:eastAsia="宋体"/>
                <w:color w:val="auto"/>
                <w:lang w:val="en-US" w:eastAsia="zh-CN" w:bidi="ar"/>
              </w:rPr>
              <w:t>2</w:t>
            </w:r>
            <w:r>
              <w:rPr>
                <w:rStyle w:val="80"/>
                <w:color w:val="auto"/>
                <w:lang w:val="en-US" w:eastAsia="zh-CN" w:bidi="ar"/>
              </w:rPr>
              <w:t>井区、夏</w:t>
            </w:r>
            <w:r>
              <w:rPr>
                <w:rStyle w:val="81"/>
                <w:rFonts w:eastAsia="宋体"/>
                <w:color w:val="auto"/>
                <w:lang w:val="en-US" w:eastAsia="zh-CN" w:bidi="ar"/>
              </w:rPr>
              <w:t>72</w:t>
            </w:r>
            <w:r>
              <w:rPr>
                <w:rStyle w:val="80"/>
                <w:color w:val="auto"/>
                <w:lang w:val="en-US" w:eastAsia="zh-CN" w:bidi="ar"/>
              </w:rPr>
              <w:t>井区、玛</w:t>
            </w:r>
            <w:r>
              <w:rPr>
                <w:rStyle w:val="81"/>
                <w:rFonts w:eastAsia="宋体"/>
                <w:color w:val="auto"/>
                <w:lang w:val="en-US" w:eastAsia="zh-CN" w:bidi="ar"/>
              </w:rPr>
              <w:t>18</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A00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依托百口泉采油厂危险废物储存场</w:t>
            </w:r>
          </w:p>
        </w:tc>
      </w:tr>
      <w:tr w14:paraId="46CA8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43" w:type="pct"/>
            <w:vMerge w:val="continue"/>
            <w:tcBorders>
              <w:top w:val="single" w:color="000000" w:sz="4" w:space="0"/>
              <w:left w:val="single" w:color="000000" w:sz="4" w:space="0"/>
              <w:bottom w:val="single" w:color="000000" w:sz="4" w:space="0"/>
              <w:right w:val="nil"/>
            </w:tcBorders>
            <w:shd w:val="clear" w:color="auto" w:fill="auto"/>
            <w:vAlign w:val="center"/>
          </w:tcPr>
          <w:p w14:paraId="3AAD84D3">
            <w:pPr>
              <w:jc w:val="center"/>
              <w:rPr>
                <w:rFonts w:hint="default" w:ascii="Times New Roman" w:hAnsi="Times New Roman" w:eastAsia="宋体" w:cs="Times New Roman"/>
                <w:i w:val="0"/>
                <w:iCs w:val="0"/>
                <w:color w:val="auto"/>
                <w:sz w:val="21"/>
                <w:szCs w:val="21"/>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C19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风险防范措施</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E0C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已建工程</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FC4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0"/>
                <w:color w:val="auto"/>
                <w:lang w:val="en-US" w:eastAsia="zh-CN" w:bidi="ar"/>
              </w:rPr>
              <w:t>玛</w:t>
            </w:r>
            <w:r>
              <w:rPr>
                <w:rStyle w:val="81"/>
                <w:rFonts w:eastAsia="宋体"/>
                <w:color w:val="auto"/>
                <w:lang w:val="en-US" w:eastAsia="zh-CN" w:bidi="ar"/>
              </w:rPr>
              <w:t>131</w:t>
            </w:r>
            <w:r>
              <w:rPr>
                <w:rStyle w:val="80"/>
                <w:color w:val="auto"/>
                <w:lang w:val="en-US" w:eastAsia="zh-CN" w:bidi="ar"/>
              </w:rPr>
              <w:t>井区、玛</w:t>
            </w:r>
            <w:r>
              <w:rPr>
                <w:rStyle w:val="81"/>
                <w:rFonts w:eastAsia="宋体"/>
                <w:color w:val="auto"/>
                <w:lang w:val="en-US" w:eastAsia="zh-CN" w:bidi="ar"/>
              </w:rPr>
              <w:t>2</w:t>
            </w:r>
            <w:r>
              <w:rPr>
                <w:rStyle w:val="80"/>
                <w:color w:val="auto"/>
                <w:lang w:val="en-US" w:eastAsia="zh-CN" w:bidi="ar"/>
              </w:rPr>
              <w:t>井区、玛</w:t>
            </w:r>
            <w:r>
              <w:rPr>
                <w:rStyle w:val="81"/>
                <w:rFonts w:eastAsia="宋体"/>
                <w:color w:val="auto"/>
                <w:lang w:val="en-US" w:eastAsia="zh-CN" w:bidi="ar"/>
              </w:rPr>
              <w:t>18</w:t>
            </w:r>
            <w:r>
              <w:rPr>
                <w:rStyle w:val="80"/>
                <w:color w:val="auto"/>
                <w:lang w:val="en-US" w:eastAsia="zh-CN" w:bidi="ar"/>
              </w:rPr>
              <w:t>井区</w:t>
            </w:r>
          </w:p>
        </w:tc>
        <w:tc>
          <w:tcPr>
            <w:tcW w:w="2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D32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3"/>
                <w:color w:val="auto"/>
                <w:lang w:val="en-US" w:eastAsia="zh-CN" w:bidi="ar"/>
              </w:rPr>
              <w:t>转油站内设防火堤，配备一定数量的移动式灭火器材</w:t>
            </w:r>
          </w:p>
        </w:tc>
      </w:tr>
    </w:tbl>
    <w:p w14:paraId="002F41A4">
      <w:pPr>
        <w:pStyle w:val="5"/>
        <w:bidi w:val="0"/>
        <w:rPr>
          <w:rFonts w:hint="eastAsia"/>
          <w:color w:val="auto"/>
          <w:lang w:val="en-US" w:eastAsia="zh-CN"/>
        </w:rPr>
      </w:pPr>
      <w:r>
        <w:rPr>
          <w:rFonts w:hint="eastAsia"/>
          <w:color w:val="auto"/>
          <w:lang w:val="en-US" w:eastAsia="zh-CN"/>
        </w:rPr>
        <w:t>3.1.4现有工程环境影响回顾性评价</w:t>
      </w:r>
    </w:p>
    <w:p w14:paraId="24F0DFC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heme="minorBidi"/>
          <w:color w:val="auto"/>
          <w:kern w:val="2"/>
          <w:sz w:val="24"/>
          <w:szCs w:val="24"/>
          <w:lang w:val="en-US" w:eastAsia="zh-CN" w:bidi="ar-SA"/>
        </w:rPr>
      </w:pPr>
      <w:r>
        <w:rPr>
          <w:rFonts w:hint="eastAsia" w:cstheme="minorBidi"/>
          <w:color w:val="auto"/>
          <w:kern w:val="2"/>
          <w:sz w:val="24"/>
          <w:szCs w:val="24"/>
          <w:lang w:val="en-US" w:eastAsia="zh-CN" w:bidi="ar-SA"/>
        </w:rPr>
        <w:t>本次环境影响回顾主要针对：（1）玛131井区、玛2井区、玛18井区、夏72井区现有工程环境影响进行回顾；（2）评价井/预探井勘探期环境影响回顾。</w:t>
      </w:r>
    </w:p>
    <w:p w14:paraId="76F2D037">
      <w:pPr>
        <w:pStyle w:val="6"/>
        <w:bidi w:val="0"/>
        <w:rPr>
          <w:rFonts w:hint="default"/>
          <w:color w:val="auto"/>
          <w:lang w:val="en-US" w:eastAsia="zh-CN"/>
        </w:rPr>
      </w:pPr>
      <w:r>
        <w:rPr>
          <w:rFonts w:hint="eastAsia"/>
          <w:color w:val="auto"/>
          <w:lang w:val="en-US" w:eastAsia="zh-CN"/>
        </w:rPr>
        <w:t>3.1.4.1现有工程环境影响回顾</w:t>
      </w:r>
    </w:p>
    <w:p w14:paraId="3B779438">
      <w:pPr>
        <w:pStyle w:val="33"/>
        <w:bidi w:val="0"/>
        <w:rPr>
          <w:rFonts w:hint="default"/>
          <w:color w:val="auto"/>
          <w:lang w:val="en-US" w:eastAsia="zh-CN"/>
        </w:rPr>
      </w:pPr>
      <w:r>
        <w:rPr>
          <w:rFonts w:hint="eastAsia"/>
          <w:color w:val="auto"/>
          <w:lang w:val="en-US" w:eastAsia="zh-CN"/>
        </w:rPr>
        <w:t>1、废气</w:t>
      </w:r>
    </w:p>
    <w:p w14:paraId="716E60F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lang w:val="en-US" w:eastAsia="zh-CN"/>
        </w:rPr>
        <w:t>站场加热炉烟气</w:t>
      </w:r>
    </w:p>
    <w:p w14:paraId="0B4E9B1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color w:val="auto"/>
        </w:rPr>
        <w:t>加热炉燃用伴生气，排放烟气中主要污染物为烟尘、SO</w:t>
      </w:r>
      <w:r>
        <w:rPr>
          <w:color w:val="auto"/>
          <w:vertAlign w:val="subscript"/>
        </w:rPr>
        <w:t>2</w:t>
      </w:r>
      <w:r>
        <w:rPr>
          <w:color w:val="auto"/>
        </w:rPr>
        <w:t>与NO</w:t>
      </w:r>
      <w:r>
        <w:rPr>
          <w:color w:val="auto"/>
          <w:vertAlign w:val="subscript"/>
        </w:rPr>
        <w:t>x</w:t>
      </w:r>
      <w:r>
        <w:rPr>
          <w:color w:val="auto"/>
        </w:rPr>
        <w:t>，经不低于8m排气筒排放。</w:t>
      </w:r>
    </w:p>
    <w:p w14:paraId="307307D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color w:val="auto"/>
        </w:rPr>
        <w:t>现有工程场站加热炉</w:t>
      </w:r>
      <w:r>
        <w:rPr>
          <w:rFonts w:hint="eastAsia"/>
          <w:color w:val="auto"/>
          <w:lang w:val="en-US" w:eastAsia="zh-CN"/>
        </w:rPr>
        <w:t>为自行</w:t>
      </w:r>
      <w:r>
        <w:rPr>
          <w:color w:val="auto"/>
        </w:rPr>
        <w:t>监测数据</w:t>
      </w:r>
      <w:r>
        <w:rPr>
          <w:rFonts w:hint="eastAsia"/>
          <w:color w:val="auto"/>
          <w:lang w:eastAsia="zh-CN"/>
        </w:rPr>
        <w:t>，</w:t>
      </w:r>
      <w:r>
        <w:rPr>
          <w:color w:val="auto"/>
        </w:rPr>
        <w:t>现有工程加热炉烟气及主要污染物排放浓度情况见</w:t>
      </w:r>
      <w:r>
        <w:rPr>
          <w:rFonts w:hint="default"/>
          <w:color w:val="auto"/>
          <w:lang w:val="en-US"/>
        </w:rPr>
        <w:fldChar w:fldCharType="begin"/>
      </w:r>
      <w:r>
        <w:rPr>
          <w:rFonts w:hint="default"/>
          <w:color w:val="auto"/>
          <w:lang w:val="en-US"/>
        </w:rPr>
        <w:instrText xml:space="preserve"> REF _Ref21741 \h </w:instrText>
      </w:r>
      <w:r>
        <w:rPr>
          <w:rFonts w:hint="default"/>
          <w:color w:val="auto"/>
          <w:lang w:val="en-US"/>
        </w:rPr>
        <w:fldChar w:fldCharType="separate"/>
      </w:r>
      <w:r>
        <w:rPr>
          <w:color w:val="auto"/>
        </w:rPr>
        <w:t>表</w:t>
      </w:r>
      <w:r>
        <w:rPr>
          <w:color w:val="auto"/>
        </w:rPr>
        <w:fldChar w:fldCharType="begin"/>
      </w:r>
      <w:r>
        <w:rPr>
          <w:color w:val="auto"/>
        </w:rPr>
        <w:instrText xml:space="preserve"> STYLEREF 2 \s </w:instrText>
      </w:r>
      <w:r>
        <w:rPr>
          <w:color w:val="auto"/>
        </w:rPr>
        <w:fldChar w:fldCharType="separate"/>
      </w:r>
      <w:r>
        <w:rPr>
          <w:color w:val="auto"/>
        </w:rPr>
        <w:t>3.</w:t>
      </w:r>
      <w:r>
        <w:rPr>
          <w:rFonts w:hint="eastAsia"/>
          <w:color w:val="auto"/>
          <w:lang w:val="en-US" w:eastAsia="zh-CN"/>
        </w:rPr>
        <w:t>1</w:t>
      </w:r>
      <w:r>
        <w:rPr>
          <w:color w:val="auto"/>
        </w:rPr>
        <w:fldChar w:fldCharType="end"/>
      </w:r>
      <w:r>
        <w:rPr>
          <w:rFonts w:hint="eastAsia"/>
          <w:color w:val="auto"/>
          <w:lang w:eastAsia="zh-CN"/>
        </w:rPr>
        <w:t>-</w:t>
      </w:r>
      <w:r>
        <w:rPr>
          <w:rFonts w:hint="eastAsia"/>
          <w:color w:val="auto"/>
          <w:lang w:val="en-US" w:eastAsia="zh-CN"/>
        </w:rPr>
        <w:t>8</w:t>
      </w:r>
      <w:r>
        <w:rPr>
          <w:rFonts w:hint="default"/>
          <w:color w:val="auto"/>
          <w:lang w:val="en-US"/>
        </w:rPr>
        <w:fldChar w:fldCharType="end"/>
      </w:r>
      <w:r>
        <w:rPr>
          <w:color w:val="auto"/>
        </w:rPr>
        <w:t>。</w:t>
      </w:r>
    </w:p>
    <w:p w14:paraId="6FDBA976">
      <w:pPr>
        <w:pStyle w:val="43"/>
        <w:bidi w:val="0"/>
        <w:rPr>
          <w:rFonts w:cs="Times New Roman"/>
          <w:color w:val="auto"/>
        </w:rPr>
      </w:pPr>
      <w:bookmarkStart w:id="148" w:name="_Ref21741"/>
      <w:r>
        <w:rPr>
          <w:color w:val="auto"/>
        </w:rPr>
        <w:t>表</w:t>
      </w:r>
      <w:r>
        <w:rPr>
          <w:color w:val="auto"/>
        </w:rPr>
        <w:fldChar w:fldCharType="begin"/>
      </w:r>
      <w:r>
        <w:rPr>
          <w:color w:val="auto"/>
        </w:rPr>
        <w:instrText xml:space="preserve"> STYLEREF 2 \s </w:instrText>
      </w:r>
      <w:r>
        <w:rPr>
          <w:color w:val="auto"/>
        </w:rPr>
        <w:fldChar w:fldCharType="separate"/>
      </w:r>
      <w:r>
        <w:rPr>
          <w:color w:val="auto"/>
        </w:rPr>
        <w:t>3.</w:t>
      </w:r>
      <w:r>
        <w:rPr>
          <w:rFonts w:hint="eastAsia"/>
          <w:color w:val="auto"/>
          <w:lang w:val="en-US" w:eastAsia="zh-CN"/>
        </w:rPr>
        <w:t>1</w:t>
      </w:r>
      <w:r>
        <w:rPr>
          <w:color w:val="auto"/>
        </w:rPr>
        <w:fldChar w:fldCharType="end"/>
      </w:r>
      <w:r>
        <w:rPr>
          <w:rFonts w:hint="eastAsia"/>
          <w:color w:val="auto"/>
          <w:lang w:eastAsia="zh-CN"/>
        </w:rPr>
        <w:t>-</w:t>
      </w:r>
      <w:bookmarkEnd w:id="148"/>
      <w:r>
        <w:rPr>
          <w:rFonts w:hint="eastAsia"/>
          <w:color w:val="auto"/>
          <w:lang w:val="en-US" w:eastAsia="zh-CN"/>
        </w:rPr>
        <w:t>8</w:t>
      </w:r>
      <w:r>
        <w:rPr>
          <w:rFonts w:cs="Times New Roman"/>
          <w:color w:val="auto"/>
        </w:rPr>
        <w:t xml:space="preserve">  现有工程主要站场加热炉燃气加热污染物排放浓度情况表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992"/>
        <w:gridCol w:w="953"/>
        <w:gridCol w:w="1206"/>
        <w:gridCol w:w="1359"/>
        <w:gridCol w:w="1359"/>
        <w:gridCol w:w="1364"/>
        <w:gridCol w:w="1184"/>
      </w:tblGrid>
      <w:tr w14:paraId="69AC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tblHeader/>
          <w:jc w:val="center"/>
        </w:trPr>
        <w:tc>
          <w:tcPr>
            <w:tcW w:w="58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9824F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站场</w:t>
            </w:r>
          </w:p>
        </w:tc>
        <w:tc>
          <w:tcPr>
            <w:tcW w:w="566" w:type="pct"/>
            <w:vMerge w:val="restart"/>
            <w:tcBorders>
              <w:top w:val="single" w:color="auto" w:sz="4" w:space="0"/>
              <w:left w:val="nil"/>
              <w:bottom w:val="single" w:color="auto" w:sz="4" w:space="0"/>
              <w:right w:val="single" w:color="auto" w:sz="4" w:space="0"/>
            </w:tcBorders>
            <w:shd w:val="clear" w:color="auto" w:fill="auto"/>
            <w:vAlign w:val="center"/>
          </w:tcPr>
          <w:p w14:paraId="168B30E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加热炉功率</w:t>
            </w:r>
          </w:p>
        </w:tc>
        <w:tc>
          <w:tcPr>
            <w:tcW w:w="716" w:type="pct"/>
            <w:vMerge w:val="restart"/>
            <w:tcBorders>
              <w:top w:val="single" w:color="auto" w:sz="4" w:space="0"/>
              <w:left w:val="nil"/>
              <w:bottom w:val="single" w:color="auto" w:sz="4" w:space="0"/>
              <w:right w:val="single" w:color="auto" w:sz="4" w:space="0"/>
            </w:tcBorders>
            <w:shd w:val="clear" w:color="auto" w:fill="auto"/>
            <w:vAlign w:val="center"/>
          </w:tcPr>
          <w:p w14:paraId="03663D8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时间</w:t>
            </w:r>
          </w:p>
        </w:tc>
        <w:tc>
          <w:tcPr>
            <w:tcW w:w="2424" w:type="pct"/>
            <w:gridSpan w:val="3"/>
            <w:tcBorders>
              <w:top w:val="single" w:color="auto" w:sz="4" w:space="0"/>
              <w:left w:val="nil"/>
              <w:bottom w:val="single" w:color="auto" w:sz="4" w:space="0"/>
              <w:right w:val="single" w:color="auto" w:sz="4" w:space="0"/>
            </w:tcBorders>
            <w:shd w:val="clear" w:color="auto" w:fill="auto"/>
            <w:vAlign w:val="center"/>
          </w:tcPr>
          <w:p w14:paraId="06B14CE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03" w:type="pct"/>
            <w:vMerge w:val="restart"/>
            <w:tcBorders>
              <w:top w:val="single" w:color="auto" w:sz="4" w:space="0"/>
              <w:left w:val="nil"/>
              <w:right w:val="single" w:color="auto" w:sz="4" w:space="0"/>
            </w:tcBorders>
            <w:shd w:val="clear" w:color="auto" w:fill="auto"/>
            <w:vAlign w:val="center"/>
          </w:tcPr>
          <w:p w14:paraId="7815854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林格曼黑度</w:t>
            </w:r>
          </w:p>
        </w:tc>
      </w:tr>
      <w:tr w14:paraId="7694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58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04DF9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566" w:type="pct"/>
            <w:vMerge w:val="continue"/>
            <w:tcBorders>
              <w:top w:val="single" w:color="auto" w:sz="4" w:space="0"/>
              <w:left w:val="nil"/>
              <w:bottom w:val="single" w:color="auto" w:sz="4" w:space="0"/>
              <w:right w:val="single" w:color="auto" w:sz="4" w:space="0"/>
            </w:tcBorders>
            <w:shd w:val="clear" w:color="auto" w:fill="auto"/>
            <w:vAlign w:val="center"/>
          </w:tcPr>
          <w:p w14:paraId="58F6D0B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716" w:type="pct"/>
            <w:vMerge w:val="continue"/>
            <w:tcBorders>
              <w:top w:val="single" w:color="auto" w:sz="4" w:space="0"/>
              <w:left w:val="nil"/>
              <w:bottom w:val="single" w:color="auto" w:sz="4" w:space="0"/>
              <w:right w:val="single" w:color="auto" w:sz="4" w:space="0"/>
            </w:tcBorders>
            <w:shd w:val="clear" w:color="auto" w:fill="auto"/>
            <w:vAlign w:val="center"/>
          </w:tcPr>
          <w:p w14:paraId="48B3921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807" w:type="pct"/>
            <w:tcBorders>
              <w:top w:val="single" w:color="auto" w:sz="4" w:space="0"/>
              <w:left w:val="nil"/>
              <w:bottom w:val="single" w:color="auto" w:sz="4" w:space="0"/>
              <w:right w:val="single" w:color="auto" w:sz="4" w:space="0"/>
            </w:tcBorders>
            <w:shd w:val="clear" w:color="auto" w:fill="auto"/>
            <w:vAlign w:val="center"/>
          </w:tcPr>
          <w:p w14:paraId="4AC520D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颗粒物</w:t>
            </w:r>
          </w:p>
        </w:tc>
        <w:tc>
          <w:tcPr>
            <w:tcW w:w="807" w:type="pct"/>
            <w:tcBorders>
              <w:top w:val="single" w:color="auto" w:sz="4" w:space="0"/>
              <w:left w:val="nil"/>
              <w:bottom w:val="single" w:color="auto" w:sz="4" w:space="0"/>
              <w:right w:val="single" w:color="auto" w:sz="4" w:space="0"/>
            </w:tcBorders>
            <w:shd w:val="clear" w:color="auto" w:fill="auto"/>
            <w:vAlign w:val="center"/>
          </w:tcPr>
          <w:p w14:paraId="196EC0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SO</w:t>
            </w:r>
            <w:r>
              <w:rPr>
                <w:rFonts w:hint="default" w:ascii="Times New Roman" w:hAnsi="Times New Roman" w:eastAsia="宋体" w:cs="Times New Roman"/>
                <w:b/>
                <w:bCs/>
                <w:color w:val="auto"/>
                <w:sz w:val="21"/>
                <w:szCs w:val="21"/>
                <w:vertAlign w:val="subscript"/>
              </w:rPr>
              <w:t>2</w:t>
            </w:r>
          </w:p>
        </w:tc>
        <w:tc>
          <w:tcPr>
            <w:tcW w:w="810" w:type="pct"/>
            <w:tcBorders>
              <w:top w:val="single" w:color="auto" w:sz="4" w:space="0"/>
              <w:left w:val="nil"/>
              <w:bottom w:val="single" w:color="auto" w:sz="4" w:space="0"/>
              <w:right w:val="single" w:color="auto" w:sz="4" w:space="0"/>
            </w:tcBorders>
            <w:shd w:val="clear" w:color="auto" w:fill="auto"/>
            <w:vAlign w:val="center"/>
          </w:tcPr>
          <w:p w14:paraId="15736FD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NO</w:t>
            </w:r>
            <w:r>
              <w:rPr>
                <w:rFonts w:hint="default" w:ascii="Times New Roman" w:hAnsi="Times New Roman" w:eastAsia="宋体" w:cs="Times New Roman"/>
                <w:b/>
                <w:bCs/>
                <w:color w:val="auto"/>
                <w:sz w:val="21"/>
                <w:szCs w:val="21"/>
                <w:vertAlign w:val="subscript"/>
              </w:rPr>
              <w:t>x</w:t>
            </w:r>
          </w:p>
        </w:tc>
        <w:tc>
          <w:tcPr>
            <w:tcW w:w="703" w:type="pct"/>
            <w:vMerge w:val="continue"/>
            <w:tcBorders>
              <w:left w:val="nil"/>
              <w:bottom w:val="single" w:color="auto" w:sz="4" w:space="0"/>
              <w:right w:val="single" w:color="auto" w:sz="4" w:space="0"/>
            </w:tcBorders>
            <w:shd w:val="clear" w:color="auto" w:fill="auto"/>
            <w:vAlign w:val="center"/>
          </w:tcPr>
          <w:p w14:paraId="615FF4C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lang w:val="en-US" w:eastAsia="zh-CN"/>
              </w:rPr>
            </w:pPr>
          </w:p>
        </w:tc>
      </w:tr>
      <w:tr w14:paraId="39A5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restart"/>
            <w:tcBorders>
              <w:top w:val="nil"/>
              <w:left w:val="single" w:color="auto" w:sz="4" w:space="0"/>
              <w:right w:val="single" w:color="auto" w:sz="4" w:space="0"/>
            </w:tcBorders>
            <w:shd w:val="clear" w:color="auto" w:fill="auto"/>
            <w:tcMar>
              <w:top w:w="0" w:type="dxa"/>
              <w:left w:w="108" w:type="dxa"/>
              <w:bottom w:w="0" w:type="dxa"/>
              <w:right w:w="108" w:type="dxa"/>
            </w:tcMar>
            <w:vAlign w:val="center"/>
          </w:tcPr>
          <w:p w14:paraId="67A3DC4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玛18原油加热炉</w:t>
            </w:r>
          </w:p>
        </w:tc>
        <w:tc>
          <w:tcPr>
            <w:tcW w:w="566" w:type="pct"/>
            <w:vMerge w:val="restart"/>
            <w:tcBorders>
              <w:top w:val="nil"/>
              <w:left w:val="nil"/>
              <w:right w:val="single" w:color="auto" w:sz="4" w:space="0"/>
            </w:tcBorders>
            <w:shd w:val="clear" w:color="auto" w:fill="auto"/>
            <w:tcMar>
              <w:top w:w="0" w:type="dxa"/>
              <w:left w:w="108" w:type="dxa"/>
              <w:bottom w:w="0" w:type="dxa"/>
              <w:right w:w="108" w:type="dxa"/>
            </w:tcMar>
            <w:vAlign w:val="center"/>
          </w:tcPr>
          <w:p w14:paraId="416C719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3000</w:t>
            </w:r>
            <w:r>
              <w:rPr>
                <w:rFonts w:hint="default" w:ascii="Times New Roman" w:hAnsi="Times New Roman" w:eastAsia="宋体" w:cs="Times New Roman"/>
                <w:bCs/>
                <w:color w:val="auto"/>
                <w:sz w:val="21"/>
                <w:szCs w:val="21"/>
              </w:rPr>
              <w:t>kW（1#）</w:t>
            </w:r>
          </w:p>
        </w:tc>
        <w:tc>
          <w:tcPr>
            <w:tcW w:w="716" w:type="pct"/>
            <w:vMerge w:val="restart"/>
            <w:tcBorders>
              <w:top w:val="single" w:color="auto" w:sz="4" w:space="0"/>
              <w:left w:val="nil"/>
              <w:right w:val="single" w:color="auto" w:sz="4" w:space="0"/>
            </w:tcBorders>
            <w:shd w:val="clear" w:color="auto" w:fill="auto"/>
            <w:vAlign w:val="center"/>
          </w:tcPr>
          <w:p w14:paraId="78B365A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2025.2.23</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E91858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2.6</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D137C5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CCE343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41</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EA9342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19B7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tcMar>
              <w:top w:w="0" w:type="dxa"/>
              <w:left w:w="108" w:type="dxa"/>
              <w:bottom w:w="0" w:type="dxa"/>
              <w:right w:w="108" w:type="dxa"/>
            </w:tcMar>
            <w:vAlign w:val="center"/>
          </w:tcPr>
          <w:p w14:paraId="0B6C0CB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color w:val="auto"/>
                <w:sz w:val="21"/>
                <w:szCs w:val="21"/>
                <w:lang w:val="en-US" w:eastAsia="zh-CN"/>
              </w:rPr>
            </w:pPr>
          </w:p>
        </w:tc>
        <w:tc>
          <w:tcPr>
            <w:tcW w:w="566" w:type="pct"/>
            <w:vMerge w:val="continue"/>
            <w:tcBorders>
              <w:left w:val="nil"/>
              <w:right w:val="single" w:color="auto" w:sz="4" w:space="0"/>
            </w:tcBorders>
            <w:shd w:val="clear" w:color="auto" w:fill="auto"/>
            <w:tcMar>
              <w:top w:w="0" w:type="dxa"/>
              <w:left w:w="108" w:type="dxa"/>
              <w:bottom w:w="0" w:type="dxa"/>
              <w:right w:w="108" w:type="dxa"/>
            </w:tcMar>
            <w:vAlign w:val="center"/>
          </w:tcPr>
          <w:p w14:paraId="47E5441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716" w:type="pct"/>
            <w:vMerge w:val="continue"/>
            <w:tcBorders>
              <w:left w:val="nil"/>
              <w:right w:val="single" w:color="auto" w:sz="4" w:space="0"/>
            </w:tcBorders>
            <w:shd w:val="clear" w:color="auto" w:fill="auto"/>
            <w:vAlign w:val="center"/>
          </w:tcPr>
          <w:p w14:paraId="7E6A412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A6FFB0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2.9</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B06D80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D3A275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44</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C5974B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1EA7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tcMar>
              <w:top w:w="0" w:type="dxa"/>
              <w:left w:w="108" w:type="dxa"/>
              <w:bottom w:w="0" w:type="dxa"/>
              <w:right w:w="108" w:type="dxa"/>
            </w:tcMar>
            <w:vAlign w:val="center"/>
          </w:tcPr>
          <w:p w14:paraId="12130CC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color w:val="auto"/>
                <w:sz w:val="21"/>
                <w:szCs w:val="21"/>
                <w:lang w:val="en-US" w:eastAsia="zh-CN"/>
              </w:rPr>
            </w:pPr>
          </w:p>
        </w:tc>
        <w:tc>
          <w:tcPr>
            <w:tcW w:w="566" w:type="pct"/>
            <w:vMerge w:val="continue"/>
            <w:tcBorders>
              <w:left w:val="nil"/>
              <w:right w:val="single" w:color="auto" w:sz="4" w:space="0"/>
            </w:tcBorders>
            <w:shd w:val="clear" w:color="auto" w:fill="auto"/>
            <w:tcMar>
              <w:top w:w="0" w:type="dxa"/>
              <w:left w:w="108" w:type="dxa"/>
              <w:bottom w:w="0" w:type="dxa"/>
              <w:right w:w="108" w:type="dxa"/>
            </w:tcMar>
            <w:vAlign w:val="center"/>
          </w:tcPr>
          <w:p w14:paraId="184A975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716" w:type="pct"/>
            <w:vMerge w:val="continue"/>
            <w:tcBorders>
              <w:left w:val="nil"/>
              <w:right w:val="single" w:color="auto" w:sz="4" w:space="0"/>
            </w:tcBorders>
            <w:shd w:val="clear" w:color="auto" w:fill="auto"/>
            <w:vAlign w:val="center"/>
          </w:tcPr>
          <w:p w14:paraId="6ABC75E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FB307B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2.8</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978BD3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C2C166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17</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42170A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092E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tcMar>
              <w:top w:w="0" w:type="dxa"/>
              <w:left w:w="108" w:type="dxa"/>
              <w:bottom w:w="0" w:type="dxa"/>
              <w:right w:w="108" w:type="dxa"/>
            </w:tcMar>
            <w:vAlign w:val="center"/>
          </w:tcPr>
          <w:p w14:paraId="042C01F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p>
        </w:tc>
        <w:tc>
          <w:tcPr>
            <w:tcW w:w="566" w:type="pct"/>
            <w:vMerge w:val="continue"/>
            <w:tcBorders>
              <w:left w:val="nil"/>
              <w:right w:val="single" w:color="auto" w:sz="4" w:space="0"/>
            </w:tcBorders>
            <w:shd w:val="clear" w:color="auto" w:fill="auto"/>
            <w:tcMar>
              <w:top w:w="0" w:type="dxa"/>
              <w:left w:w="108" w:type="dxa"/>
              <w:bottom w:w="0" w:type="dxa"/>
              <w:right w:w="108" w:type="dxa"/>
            </w:tcMar>
            <w:vAlign w:val="center"/>
          </w:tcPr>
          <w:p w14:paraId="32F1E4C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Cs/>
                <w:color w:val="auto"/>
                <w:sz w:val="21"/>
                <w:szCs w:val="21"/>
              </w:rPr>
            </w:pPr>
          </w:p>
        </w:tc>
        <w:tc>
          <w:tcPr>
            <w:tcW w:w="716" w:type="pct"/>
            <w:vMerge w:val="restart"/>
            <w:tcBorders>
              <w:top w:val="single" w:color="auto" w:sz="4" w:space="0"/>
              <w:left w:val="nil"/>
              <w:right w:val="single" w:color="auto" w:sz="4" w:space="0"/>
            </w:tcBorders>
            <w:shd w:val="clear" w:color="auto" w:fill="auto"/>
            <w:vAlign w:val="center"/>
          </w:tcPr>
          <w:p w14:paraId="32B5B46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2025.6.21</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7B75709">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1.4</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CEDE00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3D9CF7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B93550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&lt;1</w:t>
            </w:r>
          </w:p>
        </w:tc>
      </w:tr>
      <w:tr w14:paraId="6120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tcMar>
              <w:top w:w="0" w:type="dxa"/>
              <w:left w:w="108" w:type="dxa"/>
              <w:bottom w:w="0" w:type="dxa"/>
              <w:right w:w="108" w:type="dxa"/>
            </w:tcMar>
            <w:vAlign w:val="center"/>
          </w:tcPr>
          <w:p w14:paraId="586161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color w:val="auto"/>
                <w:sz w:val="21"/>
                <w:szCs w:val="21"/>
                <w:lang w:val="en-US" w:eastAsia="zh-CN"/>
              </w:rPr>
            </w:pPr>
          </w:p>
        </w:tc>
        <w:tc>
          <w:tcPr>
            <w:tcW w:w="566" w:type="pct"/>
            <w:vMerge w:val="continue"/>
            <w:tcBorders>
              <w:left w:val="nil"/>
              <w:right w:val="single" w:color="auto" w:sz="4" w:space="0"/>
            </w:tcBorders>
            <w:shd w:val="clear" w:color="auto" w:fill="auto"/>
            <w:tcMar>
              <w:top w:w="0" w:type="dxa"/>
              <w:left w:w="108" w:type="dxa"/>
              <w:bottom w:w="0" w:type="dxa"/>
              <w:right w:w="108" w:type="dxa"/>
            </w:tcMar>
            <w:vAlign w:val="center"/>
          </w:tcPr>
          <w:p w14:paraId="6951DD6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716" w:type="pct"/>
            <w:vMerge w:val="continue"/>
            <w:tcBorders>
              <w:left w:val="nil"/>
              <w:right w:val="single" w:color="auto" w:sz="4" w:space="0"/>
            </w:tcBorders>
            <w:shd w:val="clear" w:color="auto" w:fill="auto"/>
            <w:vAlign w:val="center"/>
          </w:tcPr>
          <w:p w14:paraId="7E5AB2C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F20E3C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2.1</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6FD05E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BBA8C9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7893365">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&lt;1</w:t>
            </w:r>
          </w:p>
        </w:tc>
      </w:tr>
      <w:tr w14:paraId="1421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vAlign w:val="center"/>
          </w:tcPr>
          <w:p w14:paraId="7AFD06A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66" w:type="pct"/>
            <w:vMerge w:val="continue"/>
            <w:tcBorders>
              <w:left w:val="nil"/>
              <w:right w:val="single" w:color="auto" w:sz="4" w:space="0"/>
            </w:tcBorders>
            <w:shd w:val="clear" w:color="auto" w:fill="auto"/>
            <w:vAlign w:val="center"/>
          </w:tcPr>
          <w:p w14:paraId="7BC6ECA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Cs/>
                <w:color w:val="auto"/>
                <w:sz w:val="21"/>
                <w:szCs w:val="21"/>
              </w:rPr>
            </w:pPr>
          </w:p>
        </w:tc>
        <w:tc>
          <w:tcPr>
            <w:tcW w:w="716" w:type="pct"/>
            <w:vMerge w:val="continue"/>
            <w:tcBorders>
              <w:left w:val="nil"/>
              <w:right w:val="single" w:color="auto" w:sz="4" w:space="0"/>
            </w:tcBorders>
            <w:shd w:val="clear" w:color="auto" w:fill="auto"/>
            <w:vAlign w:val="center"/>
          </w:tcPr>
          <w:p w14:paraId="6AEA67F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Cs/>
                <w:color w:val="auto"/>
                <w:sz w:val="21"/>
                <w:szCs w:val="21"/>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75924C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1.9</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E81BE1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5BC053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2C3BDE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&lt;1</w:t>
            </w:r>
          </w:p>
        </w:tc>
      </w:tr>
      <w:tr w14:paraId="6A57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vAlign w:val="center"/>
          </w:tcPr>
          <w:p w14:paraId="7090853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66" w:type="pct"/>
            <w:vMerge w:val="restart"/>
            <w:tcBorders>
              <w:left w:val="nil"/>
              <w:right w:val="single" w:color="auto" w:sz="4" w:space="0"/>
            </w:tcBorders>
            <w:shd w:val="clear" w:color="auto" w:fill="auto"/>
            <w:vAlign w:val="center"/>
          </w:tcPr>
          <w:p w14:paraId="1745610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3000kW</w:t>
            </w:r>
            <w:r>
              <w:rPr>
                <w:rFonts w:hint="eastAsia" w:cs="Times New Roman"/>
                <w:bCs/>
                <w:color w:val="auto"/>
                <w:sz w:val="21"/>
                <w:szCs w:val="21"/>
                <w:lang w:eastAsia="zh-CN"/>
              </w:rPr>
              <w:t>（</w:t>
            </w:r>
            <w:r>
              <w:rPr>
                <w:rFonts w:hint="eastAsia" w:cs="Times New Roman"/>
                <w:bCs/>
                <w:color w:val="auto"/>
                <w:sz w:val="21"/>
                <w:szCs w:val="21"/>
                <w:lang w:val="en-US" w:eastAsia="zh-CN"/>
              </w:rPr>
              <w:t>2#</w:t>
            </w:r>
            <w:r>
              <w:rPr>
                <w:rFonts w:hint="eastAsia" w:cs="Times New Roman"/>
                <w:bCs/>
                <w:color w:val="auto"/>
                <w:sz w:val="21"/>
                <w:szCs w:val="21"/>
                <w:lang w:eastAsia="zh-CN"/>
              </w:rPr>
              <w:t>）</w:t>
            </w:r>
          </w:p>
        </w:tc>
        <w:tc>
          <w:tcPr>
            <w:tcW w:w="716" w:type="pct"/>
            <w:vMerge w:val="restart"/>
            <w:tcBorders>
              <w:left w:val="nil"/>
              <w:right w:val="single" w:color="auto" w:sz="4" w:space="0"/>
            </w:tcBorders>
            <w:shd w:val="clear" w:color="auto" w:fill="auto"/>
            <w:vAlign w:val="center"/>
          </w:tcPr>
          <w:p w14:paraId="7212F08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2025.2.24</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DFD715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2.6</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67BA82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D1C9FB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21</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6FE6E3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2349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vAlign w:val="center"/>
          </w:tcPr>
          <w:p w14:paraId="3301032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66" w:type="pct"/>
            <w:vMerge w:val="continue"/>
            <w:tcBorders>
              <w:left w:val="nil"/>
              <w:right w:val="single" w:color="auto" w:sz="4" w:space="0"/>
            </w:tcBorders>
            <w:shd w:val="clear" w:color="auto" w:fill="auto"/>
            <w:vAlign w:val="center"/>
          </w:tcPr>
          <w:p w14:paraId="0631EEF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716" w:type="pct"/>
            <w:vMerge w:val="continue"/>
            <w:tcBorders>
              <w:left w:val="nil"/>
              <w:right w:val="single" w:color="auto" w:sz="4" w:space="0"/>
            </w:tcBorders>
            <w:shd w:val="clear" w:color="auto" w:fill="auto"/>
            <w:vAlign w:val="center"/>
          </w:tcPr>
          <w:p w14:paraId="3ADB77C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Cs/>
                <w:color w:val="auto"/>
                <w:sz w:val="21"/>
                <w:szCs w:val="21"/>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EC82EB9">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2.9</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DB7FB9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768A5F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27</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87B4E95">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0E18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vAlign w:val="center"/>
          </w:tcPr>
          <w:p w14:paraId="3F55D45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66" w:type="pct"/>
            <w:vMerge w:val="continue"/>
            <w:tcBorders>
              <w:left w:val="nil"/>
              <w:right w:val="single" w:color="auto" w:sz="4" w:space="0"/>
            </w:tcBorders>
            <w:shd w:val="clear" w:color="auto" w:fill="auto"/>
            <w:vAlign w:val="center"/>
          </w:tcPr>
          <w:p w14:paraId="59EB933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716" w:type="pct"/>
            <w:vMerge w:val="continue"/>
            <w:tcBorders>
              <w:left w:val="nil"/>
              <w:right w:val="single" w:color="auto" w:sz="4" w:space="0"/>
            </w:tcBorders>
            <w:shd w:val="clear" w:color="auto" w:fill="auto"/>
            <w:vAlign w:val="center"/>
          </w:tcPr>
          <w:p w14:paraId="0C07B1F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Cs/>
                <w:color w:val="auto"/>
                <w:sz w:val="21"/>
                <w:szCs w:val="21"/>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8CB422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3.1</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0497CB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51EFBA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27</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6F8B48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56B1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restart"/>
            <w:tcBorders>
              <w:left w:val="single" w:color="auto" w:sz="4" w:space="0"/>
              <w:right w:val="single" w:color="auto" w:sz="4" w:space="0"/>
            </w:tcBorders>
            <w:shd w:val="clear" w:color="auto" w:fill="auto"/>
            <w:vAlign w:val="center"/>
          </w:tcPr>
          <w:p w14:paraId="26CD0B9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玛131原油加热炉</w:t>
            </w:r>
          </w:p>
        </w:tc>
        <w:tc>
          <w:tcPr>
            <w:tcW w:w="566" w:type="pct"/>
            <w:vMerge w:val="restart"/>
            <w:tcBorders>
              <w:left w:val="nil"/>
              <w:right w:val="single" w:color="auto" w:sz="4" w:space="0"/>
            </w:tcBorders>
            <w:shd w:val="clear" w:color="auto" w:fill="auto"/>
            <w:vAlign w:val="center"/>
          </w:tcPr>
          <w:p w14:paraId="6661CD5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2500kW</w:t>
            </w:r>
            <w:r>
              <w:rPr>
                <w:rFonts w:hint="eastAsia" w:cs="Times New Roman"/>
                <w:bCs/>
                <w:color w:val="auto"/>
                <w:sz w:val="21"/>
                <w:szCs w:val="21"/>
                <w:lang w:eastAsia="zh-CN"/>
              </w:rPr>
              <w:t>（</w:t>
            </w:r>
            <w:r>
              <w:rPr>
                <w:rFonts w:hint="eastAsia" w:cs="Times New Roman"/>
                <w:bCs/>
                <w:color w:val="auto"/>
                <w:sz w:val="21"/>
                <w:szCs w:val="21"/>
                <w:lang w:val="en-US" w:eastAsia="zh-CN"/>
              </w:rPr>
              <w:t>1#</w:t>
            </w:r>
            <w:r>
              <w:rPr>
                <w:rFonts w:hint="eastAsia" w:cs="Times New Roman"/>
                <w:bCs/>
                <w:color w:val="auto"/>
                <w:sz w:val="21"/>
                <w:szCs w:val="21"/>
                <w:lang w:eastAsia="zh-CN"/>
              </w:rPr>
              <w:t>）</w:t>
            </w:r>
          </w:p>
        </w:tc>
        <w:tc>
          <w:tcPr>
            <w:tcW w:w="716" w:type="pct"/>
            <w:vMerge w:val="restart"/>
            <w:tcBorders>
              <w:left w:val="nil"/>
              <w:right w:val="single" w:color="auto" w:sz="4" w:space="0"/>
            </w:tcBorders>
            <w:shd w:val="clear" w:color="auto" w:fill="auto"/>
            <w:vAlign w:val="center"/>
          </w:tcPr>
          <w:p w14:paraId="2D78B8B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2025.2.25</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A94B22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2.4</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4ECDD8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1AD005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64</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2BB84C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4F49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vAlign w:val="center"/>
          </w:tcPr>
          <w:p w14:paraId="622B1E1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color w:val="auto"/>
                <w:sz w:val="21"/>
                <w:szCs w:val="21"/>
                <w:lang w:val="en-US" w:eastAsia="zh-CN"/>
              </w:rPr>
            </w:pPr>
          </w:p>
        </w:tc>
        <w:tc>
          <w:tcPr>
            <w:tcW w:w="566" w:type="pct"/>
            <w:vMerge w:val="continue"/>
            <w:tcBorders>
              <w:left w:val="nil"/>
              <w:right w:val="single" w:color="auto" w:sz="4" w:space="0"/>
            </w:tcBorders>
            <w:shd w:val="clear" w:color="auto" w:fill="auto"/>
            <w:vAlign w:val="center"/>
          </w:tcPr>
          <w:p w14:paraId="01F7299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716" w:type="pct"/>
            <w:vMerge w:val="continue"/>
            <w:tcBorders>
              <w:left w:val="nil"/>
              <w:right w:val="single" w:color="auto" w:sz="4" w:space="0"/>
            </w:tcBorders>
            <w:shd w:val="clear" w:color="auto" w:fill="auto"/>
            <w:vAlign w:val="center"/>
          </w:tcPr>
          <w:p w14:paraId="24FE387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5504537">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3.5</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5F9122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90E445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99</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5645F77">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69ED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vAlign w:val="center"/>
          </w:tcPr>
          <w:p w14:paraId="126E1A0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color w:val="auto"/>
                <w:sz w:val="21"/>
                <w:szCs w:val="21"/>
                <w:lang w:val="en-US" w:eastAsia="zh-CN"/>
              </w:rPr>
            </w:pPr>
          </w:p>
        </w:tc>
        <w:tc>
          <w:tcPr>
            <w:tcW w:w="566" w:type="pct"/>
            <w:vMerge w:val="continue"/>
            <w:tcBorders>
              <w:left w:val="nil"/>
              <w:right w:val="single" w:color="auto" w:sz="4" w:space="0"/>
            </w:tcBorders>
            <w:shd w:val="clear" w:color="auto" w:fill="auto"/>
            <w:vAlign w:val="center"/>
          </w:tcPr>
          <w:p w14:paraId="39F7326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716" w:type="pct"/>
            <w:vMerge w:val="continue"/>
            <w:tcBorders>
              <w:left w:val="nil"/>
              <w:right w:val="single" w:color="auto" w:sz="4" w:space="0"/>
            </w:tcBorders>
            <w:shd w:val="clear" w:color="auto" w:fill="auto"/>
            <w:vAlign w:val="center"/>
          </w:tcPr>
          <w:p w14:paraId="5DD6965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CF3E78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2.7</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F9C805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6CB0AC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113</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EC9C2B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3877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vAlign w:val="center"/>
          </w:tcPr>
          <w:p w14:paraId="2F94DD0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color w:val="auto"/>
                <w:sz w:val="21"/>
                <w:szCs w:val="21"/>
                <w:lang w:val="en-US" w:eastAsia="zh-CN"/>
              </w:rPr>
            </w:pPr>
          </w:p>
        </w:tc>
        <w:tc>
          <w:tcPr>
            <w:tcW w:w="566" w:type="pct"/>
            <w:vMerge w:val="restart"/>
            <w:tcBorders>
              <w:left w:val="nil"/>
              <w:right w:val="single" w:color="auto" w:sz="4" w:space="0"/>
            </w:tcBorders>
            <w:shd w:val="clear" w:color="auto" w:fill="auto"/>
            <w:vAlign w:val="center"/>
          </w:tcPr>
          <w:p w14:paraId="76C1E3B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2500kW</w:t>
            </w:r>
            <w:r>
              <w:rPr>
                <w:rFonts w:hint="eastAsia" w:cs="Times New Roman"/>
                <w:bCs/>
                <w:color w:val="auto"/>
                <w:sz w:val="21"/>
                <w:szCs w:val="21"/>
                <w:lang w:eastAsia="zh-CN"/>
              </w:rPr>
              <w:t>（</w:t>
            </w:r>
            <w:r>
              <w:rPr>
                <w:rFonts w:hint="eastAsia" w:cs="Times New Roman"/>
                <w:bCs/>
                <w:color w:val="auto"/>
                <w:sz w:val="21"/>
                <w:szCs w:val="21"/>
                <w:lang w:val="en-US" w:eastAsia="zh-CN"/>
              </w:rPr>
              <w:t>2#</w:t>
            </w:r>
            <w:r>
              <w:rPr>
                <w:rFonts w:hint="eastAsia" w:cs="Times New Roman"/>
                <w:bCs/>
                <w:color w:val="auto"/>
                <w:sz w:val="21"/>
                <w:szCs w:val="21"/>
                <w:lang w:eastAsia="zh-CN"/>
              </w:rPr>
              <w:t>）</w:t>
            </w:r>
          </w:p>
        </w:tc>
        <w:tc>
          <w:tcPr>
            <w:tcW w:w="716" w:type="pct"/>
            <w:vMerge w:val="continue"/>
            <w:tcBorders>
              <w:left w:val="nil"/>
              <w:right w:val="single" w:color="auto" w:sz="4" w:space="0"/>
            </w:tcBorders>
            <w:shd w:val="clear" w:color="auto" w:fill="auto"/>
            <w:vAlign w:val="center"/>
          </w:tcPr>
          <w:p w14:paraId="335ADA7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501ACB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3.5</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40724B5">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B320757">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82</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C7B2D2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7CA8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vAlign w:val="center"/>
          </w:tcPr>
          <w:p w14:paraId="379E965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color w:val="auto"/>
                <w:sz w:val="21"/>
                <w:szCs w:val="21"/>
                <w:lang w:val="en-US" w:eastAsia="zh-CN"/>
              </w:rPr>
            </w:pPr>
          </w:p>
        </w:tc>
        <w:tc>
          <w:tcPr>
            <w:tcW w:w="566" w:type="pct"/>
            <w:vMerge w:val="continue"/>
            <w:tcBorders>
              <w:left w:val="nil"/>
              <w:right w:val="single" w:color="auto" w:sz="4" w:space="0"/>
            </w:tcBorders>
            <w:shd w:val="clear" w:color="auto" w:fill="auto"/>
            <w:vAlign w:val="center"/>
          </w:tcPr>
          <w:p w14:paraId="194F53A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716" w:type="pct"/>
            <w:vMerge w:val="continue"/>
            <w:tcBorders>
              <w:left w:val="nil"/>
              <w:right w:val="single" w:color="auto" w:sz="4" w:space="0"/>
            </w:tcBorders>
            <w:shd w:val="clear" w:color="auto" w:fill="auto"/>
            <w:vAlign w:val="center"/>
          </w:tcPr>
          <w:p w14:paraId="3A80558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0B0B12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2.8</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4BF3A0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4E3D079">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84</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65B02E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77C4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Merge w:val="continue"/>
            <w:tcBorders>
              <w:left w:val="single" w:color="auto" w:sz="4" w:space="0"/>
              <w:right w:val="single" w:color="auto" w:sz="4" w:space="0"/>
            </w:tcBorders>
            <w:shd w:val="clear" w:color="auto" w:fill="auto"/>
            <w:vAlign w:val="center"/>
          </w:tcPr>
          <w:p w14:paraId="6EF19F6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color w:val="auto"/>
                <w:sz w:val="21"/>
                <w:szCs w:val="21"/>
                <w:lang w:val="en-US" w:eastAsia="zh-CN"/>
              </w:rPr>
            </w:pPr>
          </w:p>
        </w:tc>
        <w:tc>
          <w:tcPr>
            <w:tcW w:w="566" w:type="pct"/>
            <w:vMerge w:val="continue"/>
            <w:tcBorders>
              <w:left w:val="nil"/>
              <w:right w:val="single" w:color="auto" w:sz="4" w:space="0"/>
            </w:tcBorders>
            <w:shd w:val="clear" w:color="auto" w:fill="auto"/>
            <w:vAlign w:val="center"/>
          </w:tcPr>
          <w:p w14:paraId="50188DE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716" w:type="pct"/>
            <w:vMerge w:val="continue"/>
            <w:tcBorders>
              <w:left w:val="nil"/>
              <w:right w:val="single" w:color="auto" w:sz="4" w:space="0"/>
            </w:tcBorders>
            <w:shd w:val="clear" w:color="auto" w:fill="auto"/>
            <w:vAlign w:val="center"/>
          </w:tcPr>
          <w:p w14:paraId="67638F9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Cs/>
                <w:color w:val="auto"/>
                <w:sz w:val="21"/>
                <w:szCs w:val="21"/>
                <w:lang w:val="en-US" w:eastAsia="zh-CN"/>
              </w:rPr>
            </w:pP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0B9D0B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2.7</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DE31DF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601423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82</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0B1DBE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&lt;1</w:t>
            </w:r>
          </w:p>
        </w:tc>
      </w:tr>
      <w:tr w14:paraId="015E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71" w:type="pct"/>
            <w:gridSpan w:val="3"/>
            <w:tcBorders>
              <w:left w:val="single" w:color="auto" w:sz="4" w:space="0"/>
              <w:bottom w:val="single" w:color="auto" w:sz="4" w:space="0"/>
              <w:right w:val="single" w:color="auto" w:sz="4" w:space="0"/>
            </w:tcBorders>
            <w:shd w:val="clear" w:color="auto" w:fill="auto"/>
            <w:vAlign w:val="center"/>
          </w:tcPr>
          <w:p w14:paraId="474B70D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均值</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569E20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2.7</w:t>
            </w:r>
          </w:p>
        </w:tc>
        <w:tc>
          <w:tcPr>
            <w:tcW w:w="807"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101CDD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cs="Times New Roman"/>
                <w:color w:val="auto"/>
                <w:sz w:val="21"/>
                <w:szCs w:val="21"/>
                <w:lang w:val="en-US" w:eastAsia="zh-CN"/>
              </w:rPr>
            </w:pPr>
            <w:r>
              <w:rPr>
                <w:rFonts w:hint="eastAsia" w:cs="Times New Roman"/>
                <w:color w:val="auto"/>
                <w:sz w:val="21"/>
                <w:szCs w:val="21"/>
                <w:lang w:val="en-US" w:eastAsia="zh-CN"/>
              </w:rPr>
              <w:t>&lt;2</w:t>
            </w:r>
          </w:p>
        </w:tc>
        <w:tc>
          <w:tcPr>
            <w:tcW w:w="810"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87F247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cs="Times New Roman"/>
                <w:color w:val="auto"/>
                <w:sz w:val="21"/>
                <w:szCs w:val="21"/>
                <w:lang w:val="en-US" w:eastAsia="zh-CN"/>
              </w:rPr>
            </w:pPr>
            <w:r>
              <w:rPr>
                <w:rFonts w:hint="eastAsia" w:cs="Times New Roman"/>
                <w:color w:val="auto"/>
                <w:sz w:val="21"/>
                <w:szCs w:val="21"/>
                <w:lang w:val="en-US" w:eastAsia="zh-CN"/>
              </w:rPr>
              <w:t>51.3</w:t>
            </w:r>
          </w:p>
        </w:tc>
        <w:tc>
          <w:tcPr>
            <w:tcW w:w="703" w:type="pct"/>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15C762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cs="Times New Roman"/>
                <w:color w:val="auto"/>
                <w:sz w:val="21"/>
                <w:szCs w:val="21"/>
                <w:lang w:val="en-US" w:eastAsia="zh-CN"/>
              </w:rPr>
            </w:pPr>
            <w:r>
              <w:rPr>
                <w:rFonts w:hint="eastAsia" w:cs="Times New Roman"/>
                <w:color w:val="auto"/>
                <w:sz w:val="21"/>
                <w:szCs w:val="21"/>
                <w:lang w:val="en-US" w:eastAsia="zh-CN"/>
              </w:rPr>
              <w:t>&lt;1</w:t>
            </w:r>
          </w:p>
        </w:tc>
      </w:tr>
    </w:tbl>
    <w:p w14:paraId="376FABD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由表可知，加热炉烟气中各污染物浓度满足《锅炉大气污染物排放标准》（GB13271-2014）表3锅炉大气污染物特别排放限值要求。</w:t>
      </w:r>
    </w:p>
    <w:p w14:paraId="70D790A1">
      <w:pPr>
        <w:pStyle w:val="33"/>
        <w:bidi w:val="0"/>
        <w:rPr>
          <w:rFonts w:hint="eastAsia"/>
          <w:color w:val="auto"/>
          <w:lang w:val="en-US" w:eastAsia="zh-CN"/>
        </w:rPr>
      </w:pPr>
      <w:r>
        <w:rPr>
          <w:rFonts w:hint="eastAsia"/>
          <w:color w:val="auto"/>
          <w:lang w:val="en-US" w:eastAsia="zh-CN"/>
        </w:rPr>
        <w:t>根据统计资料，百口泉采油厂和布克赛尔蒙古自治县区域共有加热炉7台（3台3000kW，4台2500kW），常压热水锅炉2台（350kW和150kW），主要分布在转油站等。经统计，若百口泉采油厂和布克赛尔蒙古自治县区域现有锅炉同步运行，废气量约21014m</w:t>
      </w:r>
      <w:r>
        <w:rPr>
          <w:rFonts w:hint="eastAsia"/>
          <w:color w:val="auto"/>
          <w:vertAlign w:val="superscript"/>
          <w:lang w:val="en-US" w:eastAsia="zh-CN"/>
        </w:rPr>
        <w:t>3</w:t>
      </w:r>
      <w:r>
        <w:rPr>
          <w:rFonts w:hint="eastAsia"/>
          <w:color w:val="auto"/>
          <w:lang w:val="en-US" w:eastAsia="zh-CN"/>
        </w:rPr>
        <w:t>/h，锅炉运行时间以7920h/a计，则年产生废气量16643.1×10</w:t>
      </w:r>
      <w:r>
        <w:rPr>
          <w:rFonts w:hint="eastAsia"/>
          <w:color w:val="auto"/>
          <w:vertAlign w:val="superscript"/>
          <w:lang w:val="en-US" w:eastAsia="zh-CN"/>
        </w:rPr>
        <w:t>4</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/a。以</w:t>
      </w:r>
      <w:r>
        <w:rPr>
          <w:rFonts w:hint="default"/>
          <w:color w:val="auto"/>
          <w:lang w:val="en-US" w:eastAsia="zh-CN"/>
        </w:rPr>
        <w:fldChar w:fldCharType="begin"/>
      </w:r>
      <w:r>
        <w:rPr>
          <w:rFonts w:hint="default"/>
          <w:color w:val="auto"/>
          <w:lang w:val="en-US" w:eastAsia="zh-CN"/>
        </w:rPr>
        <w:instrText xml:space="preserve"> REF _Ref21741 \h </w:instrText>
      </w:r>
      <w:r>
        <w:rPr>
          <w:rFonts w:hint="default"/>
          <w:color w:val="auto"/>
          <w:lang w:val="en-US" w:eastAsia="zh-CN"/>
        </w:rPr>
        <w:fldChar w:fldCharType="separate"/>
      </w:r>
      <w:r>
        <w:rPr>
          <w:rFonts w:hint="eastAsia"/>
          <w:color w:val="auto"/>
          <w:lang w:val="en-US" w:eastAsia="zh-CN"/>
        </w:rPr>
        <w:t>表3</w:t>
      </w:r>
      <w:r>
        <w:rPr>
          <w:rFonts w:hint="default"/>
          <w:color w:val="auto"/>
          <w:lang w:val="en-US" w:eastAsia="zh-CN"/>
        </w:rPr>
        <w:fldChar w:fldCharType="end"/>
      </w:r>
      <w:r>
        <w:rPr>
          <w:rFonts w:hint="eastAsia"/>
          <w:color w:val="auto"/>
          <w:lang w:val="en-US" w:eastAsia="zh-CN"/>
        </w:rPr>
        <w:t>.1-7均值进行核算，则现有油区内加热炉烟气及主要污染物排放量情况见表3.1-9。</w:t>
      </w:r>
    </w:p>
    <w:p w14:paraId="7F89BE0C">
      <w:pPr>
        <w:pStyle w:val="43"/>
        <w:bidi w:val="0"/>
        <w:rPr>
          <w:rFonts w:cs="Times New Roman"/>
          <w:color w:val="auto"/>
        </w:rPr>
      </w:pPr>
      <w:r>
        <w:rPr>
          <w:color w:val="auto"/>
        </w:rPr>
        <w:t>表</w:t>
      </w:r>
      <w:r>
        <w:rPr>
          <w:rFonts w:hint="eastAsia"/>
          <w:color w:val="auto"/>
          <w:lang w:val="en-US" w:eastAsia="zh-CN"/>
        </w:rPr>
        <w:t>3.1-9</w:t>
      </w:r>
      <w:r>
        <w:rPr>
          <w:rFonts w:cs="Times New Roman"/>
          <w:color w:val="auto"/>
        </w:rPr>
        <w:t xml:space="preserve">  现有工程主要站场加热炉燃气加热污染物排放量情况表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813"/>
        <w:gridCol w:w="792"/>
        <w:gridCol w:w="1115"/>
        <w:gridCol w:w="994"/>
        <w:gridCol w:w="960"/>
        <w:gridCol w:w="1555"/>
        <w:gridCol w:w="836"/>
        <w:gridCol w:w="814"/>
        <w:gridCol w:w="541"/>
      </w:tblGrid>
      <w:tr w14:paraId="2726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9" w:hRule="atLeast"/>
          <w:jc w:val="center"/>
        </w:trPr>
        <w:tc>
          <w:tcPr>
            <w:tcW w:w="48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5A509A">
            <w:pPr>
              <w:pStyle w:val="34"/>
              <w:bidi w:val="0"/>
              <w:rPr>
                <w:rFonts w:hint="default"/>
                <w:b/>
                <w:bCs/>
                <w:color w:val="auto"/>
              </w:rPr>
            </w:pPr>
            <w:r>
              <w:rPr>
                <w:rFonts w:hint="default"/>
                <w:b/>
                <w:bCs/>
                <w:color w:val="auto"/>
              </w:rPr>
              <w:t>污染源</w:t>
            </w:r>
          </w:p>
        </w:tc>
        <w:tc>
          <w:tcPr>
            <w:tcW w:w="4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5AE97B">
            <w:pPr>
              <w:pStyle w:val="34"/>
              <w:bidi w:val="0"/>
              <w:rPr>
                <w:rFonts w:hint="default"/>
                <w:b/>
                <w:bCs/>
                <w:color w:val="auto"/>
              </w:rPr>
            </w:pPr>
            <w:r>
              <w:rPr>
                <w:rFonts w:hint="default"/>
                <w:b/>
                <w:bCs/>
                <w:color w:val="auto"/>
              </w:rPr>
              <w:t>污染物</w:t>
            </w:r>
          </w:p>
        </w:tc>
        <w:tc>
          <w:tcPr>
            <w:tcW w:w="183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9EC5677">
            <w:pPr>
              <w:pStyle w:val="34"/>
              <w:bidi w:val="0"/>
              <w:rPr>
                <w:rFonts w:hint="default"/>
                <w:b/>
                <w:bCs/>
                <w:color w:val="auto"/>
              </w:rPr>
            </w:pPr>
            <w:r>
              <w:rPr>
                <w:rFonts w:hint="default"/>
                <w:b/>
                <w:bCs/>
                <w:color w:val="auto"/>
              </w:rPr>
              <w:t>产生情况</w:t>
            </w:r>
          </w:p>
        </w:tc>
        <w:tc>
          <w:tcPr>
            <w:tcW w:w="9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FE3E7F">
            <w:pPr>
              <w:pStyle w:val="34"/>
              <w:bidi w:val="0"/>
              <w:rPr>
                <w:rFonts w:hint="default"/>
                <w:b/>
                <w:bCs/>
                <w:color w:val="auto"/>
              </w:rPr>
            </w:pPr>
            <w:r>
              <w:rPr>
                <w:rFonts w:hint="default"/>
                <w:b/>
                <w:bCs/>
                <w:color w:val="auto"/>
              </w:rPr>
              <w:t>治理措施</w:t>
            </w:r>
          </w:p>
        </w:tc>
        <w:tc>
          <w:tcPr>
            <w:tcW w:w="128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80D404">
            <w:pPr>
              <w:pStyle w:val="34"/>
              <w:bidi w:val="0"/>
              <w:rPr>
                <w:rFonts w:hint="default"/>
                <w:b/>
                <w:bCs/>
                <w:color w:val="auto"/>
              </w:rPr>
            </w:pPr>
            <w:r>
              <w:rPr>
                <w:rFonts w:hint="default"/>
                <w:b/>
                <w:bCs/>
                <w:color w:val="auto"/>
              </w:rPr>
              <w:t>排放情况</w:t>
            </w:r>
          </w:p>
        </w:tc>
      </w:tr>
      <w:tr w14:paraId="1B2C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8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93C63A">
            <w:pPr>
              <w:pStyle w:val="34"/>
              <w:bidi w:val="0"/>
              <w:rPr>
                <w:rFonts w:hint="default"/>
                <w:b/>
                <w:bCs/>
                <w:color w:val="auto"/>
              </w:rPr>
            </w:pPr>
          </w:p>
        </w:tc>
        <w:tc>
          <w:tcPr>
            <w:tcW w:w="4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F477C6">
            <w:pPr>
              <w:pStyle w:val="34"/>
              <w:bidi w:val="0"/>
              <w:rPr>
                <w:rFonts w:hint="default"/>
                <w:b/>
                <w:bCs/>
                <w:color w:val="auto"/>
              </w:rPr>
            </w:pP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4272EF4E">
            <w:pPr>
              <w:pStyle w:val="34"/>
              <w:bidi w:val="0"/>
              <w:rPr>
                <w:rFonts w:hint="default"/>
                <w:b/>
                <w:bCs/>
                <w:color w:val="auto"/>
              </w:rPr>
            </w:pPr>
            <w:r>
              <w:rPr>
                <w:rFonts w:hint="default"/>
                <w:b/>
                <w:bCs/>
                <w:color w:val="auto"/>
              </w:rPr>
              <w:t>产生量</w:t>
            </w:r>
          </w:p>
          <w:p w14:paraId="732BB0C6">
            <w:pPr>
              <w:pStyle w:val="34"/>
              <w:bidi w:val="0"/>
              <w:rPr>
                <w:rFonts w:hint="default"/>
                <w:b/>
                <w:bCs/>
                <w:color w:val="auto"/>
              </w:rPr>
            </w:pPr>
            <w:r>
              <w:rPr>
                <w:rFonts w:hint="default"/>
                <w:b/>
                <w:bCs/>
                <w:color w:val="auto"/>
              </w:rPr>
              <w:t>(kg/h)</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14:paraId="24FDC560">
            <w:pPr>
              <w:pStyle w:val="34"/>
              <w:bidi w:val="0"/>
              <w:rPr>
                <w:rFonts w:hint="default"/>
                <w:b/>
                <w:bCs/>
                <w:color w:val="auto"/>
              </w:rPr>
            </w:pPr>
            <w:r>
              <w:rPr>
                <w:rFonts w:hint="default"/>
                <w:b/>
                <w:bCs/>
                <w:color w:val="auto"/>
              </w:rPr>
              <w:t>产生浓度</w:t>
            </w:r>
          </w:p>
          <w:p w14:paraId="009FDB54">
            <w:pPr>
              <w:pStyle w:val="34"/>
              <w:bidi w:val="0"/>
              <w:rPr>
                <w:rFonts w:hint="default"/>
                <w:b/>
                <w:bCs/>
                <w:color w:val="auto"/>
              </w:rPr>
            </w:pPr>
            <w:r>
              <w:rPr>
                <w:rFonts w:hint="default"/>
                <w:b/>
                <w:bCs/>
                <w:color w:val="auto"/>
              </w:rPr>
              <w:t>(mg/m</w:t>
            </w:r>
            <w:r>
              <w:rPr>
                <w:rFonts w:hint="default"/>
                <w:b/>
                <w:bCs/>
                <w:color w:val="auto"/>
                <w:vertAlign w:val="superscript"/>
              </w:rPr>
              <w:t>3</w:t>
            </w:r>
            <w:r>
              <w:rPr>
                <w:rFonts w:hint="default"/>
                <w:b/>
                <w:bCs/>
                <w:color w:val="auto"/>
              </w:rPr>
              <w:t>)</w:t>
            </w:r>
          </w:p>
        </w:tc>
        <w:tc>
          <w:tcPr>
            <w:tcW w:w="573" w:type="pct"/>
            <w:tcBorders>
              <w:top w:val="single" w:color="auto" w:sz="4" w:space="0"/>
              <w:left w:val="single" w:color="auto" w:sz="4" w:space="0"/>
              <w:bottom w:val="single" w:color="auto" w:sz="4" w:space="0"/>
              <w:right w:val="single" w:color="auto" w:sz="4" w:space="0"/>
            </w:tcBorders>
            <w:shd w:val="clear" w:color="auto" w:fill="auto"/>
            <w:vAlign w:val="center"/>
          </w:tcPr>
          <w:p w14:paraId="7657E215">
            <w:pPr>
              <w:pStyle w:val="34"/>
              <w:bidi w:val="0"/>
              <w:rPr>
                <w:rFonts w:hint="default"/>
                <w:b/>
                <w:bCs/>
                <w:color w:val="auto"/>
              </w:rPr>
            </w:pPr>
            <w:r>
              <w:rPr>
                <w:rFonts w:hint="default"/>
                <w:b/>
                <w:bCs/>
                <w:color w:val="auto"/>
              </w:rPr>
              <w:t>废气量</w:t>
            </w:r>
          </w:p>
          <w:p w14:paraId="4F7ECA57">
            <w:pPr>
              <w:pStyle w:val="34"/>
              <w:bidi w:val="0"/>
              <w:rPr>
                <w:rFonts w:hint="default"/>
                <w:b/>
                <w:bCs/>
                <w:color w:val="auto"/>
              </w:rPr>
            </w:pPr>
            <w:r>
              <w:rPr>
                <w:rFonts w:hint="default"/>
                <w:b/>
                <w:bCs/>
                <w:color w:val="auto"/>
              </w:rPr>
              <w:t>(10</w:t>
            </w:r>
            <w:r>
              <w:rPr>
                <w:rFonts w:hint="default"/>
                <w:b/>
                <w:bCs/>
                <w:color w:val="auto"/>
                <w:vertAlign w:val="superscript"/>
              </w:rPr>
              <w:t>4</w:t>
            </w:r>
            <w:r>
              <w:rPr>
                <w:rFonts w:hint="default"/>
                <w:b/>
                <w:bCs/>
                <w:color w:val="auto"/>
              </w:rPr>
              <w:t>m</w:t>
            </w:r>
            <w:r>
              <w:rPr>
                <w:rFonts w:hint="default"/>
                <w:b/>
                <w:bCs/>
                <w:color w:val="auto"/>
                <w:vertAlign w:val="superscript"/>
              </w:rPr>
              <w:t>3</w:t>
            </w:r>
            <w:r>
              <w:rPr>
                <w:rFonts w:hint="default"/>
                <w:b/>
                <w:bCs/>
                <w:color w:val="auto"/>
              </w:rPr>
              <w:t>/a)</w:t>
            </w:r>
          </w:p>
        </w:tc>
        <w:tc>
          <w:tcPr>
            <w:tcW w:w="92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38BF5E">
            <w:pPr>
              <w:pStyle w:val="34"/>
              <w:bidi w:val="0"/>
              <w:rPr>
                <w:rFonts w:hint="default"/>
                <w:b/>
                <w:bCs/>
                <w:color w:val="auto"/>
              </w:rPr>
            </w:pP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14:paraId="13FB0B81">
            <w:pPr>
              <w:pStyle w:val="34"/>
              <w:bidi w:val="0"/>
              <w:rPr>
                <w:rFonts w:hint="default"/>
                <w:b/>
                <w:bCs/>
                <w:color w:val="auto"/>
              </w:rPr>
            </w:pPr>
            <w:r>
              <w:rPr>
                <w:rFonts w:hint="default"/>
                <w:b/>
                <w:bCs/>
                <w:color w:val="auto"/>
              </w:rPr>
              <w:t>浓度</w:t>
            </w:r>
          </w:p>
          <w:p w14:paraId="07FE7DB0">
            <w:pPr>
              <w:pStyle w:val="34"/>
              <w:bidi w:val="0"/>
              <w:rPr>
                <w:rFonts w:hint="default"/>
                <w:b/>
                <w:bCs/>
                <w:color w:val="auto"/>
              </w:rPr>
            </w:pPr>
            <w:r>
              <w:rPr>
                <w:rFonts w:hint="default"/>
                <w:b/>
                <w:bCs/>
                <w:color w:val="auto"/>
              </w:rPr>
              <w:t>(mg/m</w:t>
            </w:r>
            <w:r>
              <w:rPr>
                <w:rFonts w:hint="default"/>
                <w:b/>
                <w:bCs/>
                <w:color w:val="auto"/>
                <w:vertAlign w:val="superscript"/>
              </w:rPr>
              <w:t>3</w:t>
            </w:r>
            <w:r>
              <w:rPr>
                <w:rFonts w:hint="default"/>
                <w:b/>
                <w:bCs/>
                <w:color w:val="auto"/>
              </w:rPr>
              <w:t>)</w:t>
            </w: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799950B7">
            <w:pPr>
              <w:pStyle w:val="34"/>
              <w:bidi w:val="0"/>
              <w:rPr>
                <w:rFonts w:hint="default"/>
                <w:b/>
                <w:bCs/>
                <w:color w:val="auto"/>
              </w:rPr>
            </w:pPr>
            <w:r>
              <w:rPr>
                <w:rFonts w:hint="default"/>
                <w:b/>
                <w:bCs/>
                <w:color w:val="auto"/>
              </w:rPr>
              <w:t>排放量</w:t>
            </w:r>
          </w:p>
          <w:p w14:paraId="710B241F">
            <w:pPr>
              <w:pStyle w:val="34"/>
              <w:bidi w:val="0"/>
              <w:rPr>
                <w:rFonts w:hint="default"/>
                <w:b/>
                <w:bCs/>
                <w:color w:val="auto"/>
              </w:rPr>
            </w:pPr>
            <w:r>
              <w:rPr>
                <w:rFonts w:hint="default"/>
                <w:b/>
                <w:bCs/>
                <w:color w:val="auto"/>
              </w:rPr>
              <w:t>(t/a)</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029B3F09">
            <w:pPr>
              <w:pStyle w:val="34"/>
              <w:bidi w:val="0"/>
              <w:rPr>
                <w:rFonts w:hint="default"/>
                <w:b/>
                <w:bCs/>
                <w:color w:val="auto"/>
              </w:rPr>
            </w:pPr>
            <w:r>
              <w:rPr>
                <w:rFonts w:hint="default"/>
                <w:b/>
                <w:bCs/>
                <w:color w:val="auto"/>
              </w:rPr>
              <w:t>达标</w:t>
            </w:r>
          </w:p>
          <w:p w14:paraId="617537F5">
            <w:pPr>
              <w:pStyle w:val="34"/>
              <w:bidi w:val="0"/>
              <w:rPr>
                <w:rFonts w:hint="default"/>
                <w:b/>
                <w:bCs/>
                <w:color w:val="auto"/>
              </w:rPr>
            </w:pPr>
            <w:r>
              <w:rPr>
                <w:rFonts w:hint="default"/>
                <w:b/>
                <w:bCs/>
                <w:color w:val="auto"/>
              </w:rPr>
              <w:t>情况</w:t>
            </w:r>
          </w:p>
        </w:tc>
      </w:tr>
      <w:tr w14:paraId="39D3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86" w:type="pct"/>
            <w:vMerge w:val="restart"/>
            <w:tcBorders>
              <w:top w:val="nil"/>
              <w:left w:val="single" w:color="auto" w:sz="4" w:space="0"/>
              <w:bottom w:val="single" w:color="auto" w:sz="4" w:space="0"/>
              <w:right w:val="single" w:color="auto" w:sz="4" w:space="0"/>
            </w:tcBorders>
            <w:shd w:val="clear" w:color="auto" w:fill="auto"/>
            <w:vAlign w:val="center"/>
          </w:tcPr>
          <w:p w14:paraId="24FFCD5A">
            <w:pPr>
              <w:pStyle w:val="34"/>
              <w:bidi w:val="0"/>
              <w:rPr>
                <w:rFonts w:hint="default"/>
                <w:color w:val="auto"/>
              </w:rPr>
            </w:pPr>
            <w:r>
              <w:rPr>
                <w:rFonts w:hint="default"/>
                <w:color w:val="auto"/>
              </w:rPr>
              <w:t>加热炉</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14:paraId="2B6244C3">
            <w:pPr>
              <w:pStyle w:val="34"/>
              <w:bidi w:val="0"/>
              <w:rPr>
                <w:rFonts w:hint="eastAsia" w:eastAsia="宋体"/>
                <w:color w:val="auto"/>
                <w:lang w:eastAsia="zh-CN"/>
              </w:rPr>
            </w:pPr>
            <w:r>
              <w:rPr>
                <w:rFonts w:hint="eastAsia"/>
                <w:color w:val="auto"/>
                <w:lang w:val="en-US" w:eastAsia="zh-CN"/>
              </w:rPr>
              <w:t>颗粒物</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2DFFB8C0">
            <w:pPr>
              <w:pStyle w:val="34"/>
              <w:bidi w:val="0"/>
              <w:rPr>
                <w:rFonts w:hint="default"/>
                <w:color w:val="auto"/>
                <w:lang w:val="en-US" w:eastAsia="zh-CN"/>
              </w:rPr>
            </w:pPr>
            <w:r>
              <w:rPr>
                <w:rFonts w:hint="eastAsia"/>
                <w:color w:val="auto"/>
                <w:lang w:val="en-US" w:eastAsia="zh-CN"/>
              </w:rPr>
              <w:t>0.057</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14:paraId="11552B05">
            <w:pPr>
              <w:pStyle w:val="34"/>
              <w:bidi w:val="0"/>
              <w:rPr>
                <w:rFonts w:hint="default" w:eastAsia="宋体"/>
                <w:color w:val="auto"/>
                <w:lang w:val="en-US" w:eastAsia="zh-CN"/>
              </w:rPr>
            </w:pPr>
            <w:r>
              <w:rPr>
                <w:rFonts w:hint="eastAsia"/>
                <w:color w:val="auto"/>
                <w:lang w:val="en-US" w:eastAsia="zh-CN"/>
              </w:rPr>
              <w:t>2.7</w:t>
            </w:r>
          </w:p>
        </w:tc>
        <w:tc>
          <w:tcPr>
            <w:tcW w:w="573" w:type="pct"/>
            <w:vMerge w:val="restart"/>
            <w:tcBorders>
              <w:top w:val="nil"/>
              <w:left w:val="single" w:color="auto" w:sz="4" w:space="0"/>
              <w:bottom w:val="single" w:color="auto" w:sz="4" w:space="0"/>
              <w:right w:val="single" w:color="auto" w:sz="4" w:space="0"/>
            </w:tcBorders>
            <w:shd w:val="clear" w:color="auto" w:fill="auto"/>
            <w:vAlign w:val="center"/>
          </w:tcPr>
          <w:p w14:paraId="3BC88D0A">
            <w:pPr>
              <w:pStyle w:val="34"/>
              <w:bidi w:val="0"/>
              <w:rPr>
                <w:rFonts w:hint="default" w:eastAsia="宋体"/>
                <w:color w:val="auto"/>
                <w:lang w:val="en-US" w:eastAsia="zh-CN"/>
              </w:rPr>
            </w:pPr>
            <w:r>
              <w:rPr>
                <w:rFonts w:hint="eastAsia"/>
                <w:color w:val="auto"/>
                <w:lang w:val="en-US" w:eastAsia="zh-CN"/>
              </w:rPr>
              <w:t>16643.1</w:t>
            </w:r>
          </w:p>
        </w:tc>
        <w:tc>
          <w:tcPr>
            <w:tcW w:w="926" w:type="pct"/>
            <w:vMerge w:val="restart"/>
            <w:tcBorders>
              <w:top w:val="nil"/>
              <w:left w:val="single" w:color="auto" w:sz="4" w:space="0"/>
              <w:bottom w:val="single" w:color="auto" w:sz="4" w:space="0"/>
              <w:right w:val="single" w:color="auto" w:sz="4" w:space="0"/>
            </w:tcBorders>
            <w:shd w:val="clear" w:color="auto" w:fill="auto"/>
            <w:vAlign w:val="center"/>
          </w:tcPr>
          <w:p w14:paraId="6744628D">
            <w:pPr>
              <w:pStyle w:val="34"/>
              <w:bidi w:val="0"/>
              <w:rPr>
                <w:rFonts w:hint="default"/>
                <w:color w:val="auto"/>
              </w:rPr>
            </w:pPr>
            <w:r>
              <w:rPr>
                <w:rFonts w:hint="default"/>
                <w:color w:val="auto"/>
              </w:rPr>
              <w:t>燃用伴生气</w:t>
            </w:r>
            <w:r>
              <w:rPr>
                <w:rFonts w:hint="eastAsia"/>
                <w:color w:val="auto"/>
                <w:lang w:eastAsia="zh-CN"/>
              </w:rPr>
              <w:t>，</w:t>
            </w:r>
            <w:r>
              <w:rPr>
                <w:rFonts w:hint="default"/>
                <w:color w:val="auto"/>
              </w:rPr>
              <w:t>排气筒高度≥8m</w:t>
            </w: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14:paraId="0AADC00E">
            <w:pPr>
              <w:pStyle w:val="34"/>
              <w:bidi w:val="0"/>
              <w:rPr>
                <w:rFonts w:hint="default"/>
                <w:color w:val="auto"/>
              </w:rPr>
            </w:pPr>
            <w:r>
              <w:rPr>
                <w:rFonts w:hint="eastAsia"/>
                <w:color w:val="auto"/>
                <w:lang w:val="en-US" w:eastAsia="zh-CN"/>
              </w:rPr>
              <w:t>2.7</w:t>
            </w: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7ECFC123">
            <w:pPr>
              <w:pStyle w:val="34"/>
              <w:bidi w:val="0"/>
              <w:rPr>
                <w:rFonts w:hint="default"/>
                <w:color w:val="auto"/>
                <w:lang w:val="en-US" w:eastAsia="zh-CN"/>
              </w:rPr>
            </w:pPr>
            <w:r>
              <w:rPr>
                <w:rFonts w:hint="eastAsia"/>
                <w:color w:val="auto"/>
                <w:lang w:val="en-US" w:eastAsia="zh-CN"/>
              </w:rPr>
              <w:t>0.45</w:t>
            </w:r>
          </w:p>
        </w:tc>
        <w:tc>
          <w:tcPr>
            <w:tcW w:w="323" w:type="pct"/>
            <w:vMerge w:val="restart"/>
            <w:tcBorders>
              <w:top w:val="nil"/>
              <w:left w:val="single" w:color="auto" w:sz="4" w:space="0"/>
              <w:bottom w:val="single" w:color="auto" w:sz="4" w:space="0"/>
              <w:right w:val="single" w:color="auto" w:sz="4" w:space="0"/>
            </w:tcBorders>
            <w:shd w:val="clear" w:color="auto" w:fill="auto"/>
            <w:vAlign w:val="center"/>
          </w:tcPr>
          <w:p w14:paraId="1BA1F504">
            <w:pPr>
              <w:pStyle w:val="34"/>
              <w:bidi w:val="0"/>
              <w:rPr>
                <w:rFonts w:hint="default"/>
                <w:color w:val="auto"/>
              </w:rPr>
            </w:pPr>
            <w:r>
              <w:rPr>
                <w:rFonts w:hint="default"/>
                <w:color w:val="auto"/>
              </w:rPr>
              <w:t>达标</w:t>
            </w:r>
          </w:p>
        </w:tc>
      </w:tr>
      <w:tr w14:paraId="2D64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86" w:type="pct"/>
            <w:vMerge w:val="continue"/>
            <w:tcBorders>
              <w:top w:val="nil"/>
              <w:left w:val="single" w:color="auto" w:sz="4" w:space="0"/>
              <w:bottom w:val="single" w:color="auto" w:sz="4" w:space="0"/>
              <w:right w:val="single" w:color="auto" w:sz="4" w:space="0"/>
            </w:tcBorders>
            <w:shd w:val="clear" w:color="auto" w:fill="auto"/>
            <w:vAlign w:val="center"/>
          </w:tcPr>
          <w:p w14:paraId="5D58D3FB">
            <w:pPr>
              <w:pStyle w:val="34"/>
              <w:bidi w:val="0"/>
              <w:rPr>
                <w:rFonts w:hint="default"/>
                <w:color w:val="auto"/>
              </w:rPr>
            </w:pP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14:paraId="4703D40C">
            <w:pPr>
              <w:pStyle w:val="34"/>
              <w:bidi w:val="0"/>
              <w:rPr>
                <w:rFonts w:hint="default"/>
                <w:color w:val="auto"/>
              </w:rPr>
            </w:pPr>
            <w:r>
              <w:rPr>
                <w:rFonts w:hint="default"/>
                <w:color w:val="auto"/>
              </w:rPr>
              <w:t>SO</w:t>
            </w:r>
            <w:r>
              <w:rPr>
                <w:rFonts w:hint="default"/>
                <w:color w:val="auto"/>
                <w:vertAlign w:val="subscript"/>
              </w:rPr>
              <w:t>2</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30C3EEF8">
            <w:pPr>
              <w:pStyle w:val="34"/>
              <w:bidi w:val="0"/>
              <w:rPr>
                <w:rFonts w:hint="default"/>
                <w:color w:val="auto"/>
                <w:lang w:val="en-US" w:eastAsia="zh-CN"/>
              </w:rPr>
            </w:pPr>
            <w:r>
              <w:rPr>
                <w:rFonts w:hint="eastAsia"/>
                <w:color w:val="auto"/>
                <w:lang w:val="en-US" w:eastAsia="zh-CN"/>
              </w:rPr>
              <w:t>0.042</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14:paraId="6F71E14B">
            <w:pPr>
              <w:pStyle w:val="34"/>
              <w:bidi w:val="0"/>
              <w:rPr>
                <w:rFonts w:hint="default" w:eastAsia="宋体"/>
                <w:color w:val="auto"/>
                <w:lang w:val="en-US" w:eastAsia="zh-CN"/>
              </w:rPr>
            </w:pPr>
            <w:r>
              <w:rPr>
                <w:rFonts w:hint="eastAsia"/>
                <w:color w:val="auto"/>
                <w:lang w:val="en-US" w:eastAsia="zh-CN"/>
              </w:rPr>
              <w:t>2.0</w:t>
            </w:r>
          </w:p>
        </w:tc>
        <w:tc>
          <w:tcPr>
            <w:tcW w:w="573" w:type="pct"/>
            <w:vMerge w:val="continue"/>
            <w:tcBorders>
              <w:top w:val="nil"/>
              <w:left w:val="single" w:color="auto" w:sz="4" w:space="0"/>
              <w:bottom w:val="single" w:color="auto" w:sz="4" w:space="0"/>
              <w:right w:val="single" w:color="auto" w:sz="4" w:space="0"/>
            </w:tcBorders>
            <w:shd w:val="clear" w:color="auto" w:fill="auto"/>
            <w:vAlign w:val="center"/>
          </w:tcPr>
          <w:p w14:paraId="2605CE2D">
            <w:pPr>
              <w:pStyle w:val="34"/>
              <w:bidi w:val="0"/>
              <w:rPr>
                <w:rFonts w:hint="default"/>
                <w:color w:val="auto"/>
              </w:rPr>
            </w:pPr>
          </w:p>
        </w:tc>
        <w:tc>
          <w:tcPr>
            <w:tcW w:w="926" w:type="pct"/>
            <w:vMerge w:val="continue"/>
            <w:tcBorders>
              <w:top w:val="nil"/>
              <w:left w:val="single" w:color="auto" w:sz="4" w:space="0"/>
              <w:bottom w:val="single" w:color="auto" w:sz="4" w:space="0"/>
              <w:right w:val="single" w:color="auto" w:sz="4" w:space="0"/>
            </w:tcBorders>
            <w:shd w:val="clear" w:color="auto" w:fill="auto"/>
            <w:vAlign w:val="center"/>
          </w:tcPr>
          <w:p w14:paraId="40EC8467">
            <w:pPr>
              <w:pStyle w:val="34"/>
              <w:bidi w:val="0"/>
              <w:rPr>
                <w:rFonts w:hint="default"/>
                <w:color w:val="auto"/>
              </w:rPr>
            </w:pP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14:paraId="6E2E6101">
            <w:pPr>
              <w:pStyle w:val="34"/>
              <w:bidi w:val="0"/>
              <w:rPr>
                <w:rFonts w:hint="default"/>
                <w:color w:val="auto"/>
              </w:rPr>
            </w:pPr>
            <w:r>
              <w:rPr>
                <w:rFonts w:hint="eastAsia"/>
                <w:color w:val="auto"/>
                <w:lang w:val="en-US" w:eastAsia="zh-CN"/>
              </w:rPr>
              <w:t>2.0</w:t>
            </w: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091D3B10">
            <w:pPr>
              <w:pStyle w:val="34"/>
              <w:bidi w:val="0"/>
              <w:rPr>
                <w:rFonts w:hint="default"/>
                <w:color w:val="auto"/>
                <w:lang w:val="en-US" w:eastAsia="zh-CN"/>
              </w:rPr>
            </w:pPr>
            <w:r>
              <w:rPr>
                <w:rFonts w:hint="eastAsia"/>
                <w:color w:val="auto"/>
                <w:lang w:val="en-US" w:eastAsia="zh-CN"/>
              </w:rPr>
              <w:t>0.33</w:t>
            </w:r>
          </w:p>
        </w:tc>
        <w:tc>
          <w:tcPr>
            <w:tcW w:w="323" w:type="pct"/>
            <w:vMerge w:val="continue"/>
            <w:tcBorders>
              <w:top w:val="nil"/>
              <w:left w:val="single" w:color="auto" w:sz="4" w:space="0"/>
              <w:bottom w:val="single" w:color="auto" w:sz="4" w:space="0"/>
              <w:right w:val="single" w:color="auto" w:sz="4" w:space="0"/>
            </w:tcBorders>
            <w:shd w:val="clear" w:color="auto" w:fill="auto"/>
            <w:vAlign w:val="center"/>
          </w:tcPr>
          <w:p w14:paraId="1D473D70">
            <w:pPr>
              <w:pStyle w:val="34"/>
              <w:bidi w:val="0"/>
              <w:rPr>
                <w:rFonts w:hint="default"/>
                <w:color w:val="auto"/>
              </w:rPr>
            </w:pPr>
          </w:p>
        </w:tc>
      </w:tr>
      <w:tr w14:paraId="5177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86" w:type="pct"/>
            <w:vMerge w:val="continue"/>
            <w:tcBorders>
              <w:top w:val="nil"/>
              <w:left w:val="single" w:color="auto" w:sz="4" w:space="0"/>
              <w:bottom w:val="single" w:color="auto" w:sz="4" w:space="0"/>
              <w:right w:val="single" w:color="auto" w:sz="4" w:space="0"/>
            </w:tcBorders>
            <w:shd w:val="clear" w:color="auto" w:fill="auto"/>
            <w:vAlign w:val="center"/>
          </w:tcPr>
          <w:p w14:paraId="4700F7C7">
            <w:pPr>
              <w:pStyle w:val="34"/>
              <w:bidi w:val="0"/>
              <w:rPr>
                <w:rFonts w:hint="default"/>
                <w:color w:val="auto"/>
              </w:rPr>
            </w:pP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14:paraId="48B51377">
            <w:pPr>
              <w:pStyle w:val="34"/>
              <w:bidi w:val="0"/>
              <w:rPr>
                <w:rFonts w:hint="default"/>
                <w:color w:val="auto"/>
              </w:rPr>
            </w:pPr>
            <w:r>
              <w:rPr>
                <w:rFonts w:hint="default"/>
                <w:color w:val="auto"/>
              </w:rPr>
              <w:t>NOx</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3C33409F">
            <w:pPr>
              <w:pStyle w:val="34"/>
              <w:bidi w:val="0"/>
              <w:rPr>
                <w:rFonts w:hint="default"/>
                <w:color w:val="auto"/>
                <w:lang w:val="en-US" w:eastAsia="zh-CN"/>
              </w:rPr>
            </w:pPr>
            <w:r>
              <w:rPr>
                <w:rFonts w:hint="eastAsia"/>
                <w:color w:val="auto"/>
                <w:lang w:val="en-US" w:eastAsia="zh-CN"/>
              </w:rPr>
              <w:t>1.078</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14:paraId="20C35977">
            <w:pPr>
              <w:pStyle w:val="34"/>
              <w:bidi w:val="0"/>
              <w:rPr>
                <w:rFonts w:hint="default" w:eastAsia="宋体"/>
                <w:color w:val="auto"/>
                <w:lang w:val="en-US" w:eastAsia="zh-CN"/>
              </w:rPr>
            </w:pPr>
            <w:r>
              <w:rPr>
                <w:rFonts w:hint="eastAsia"/>
                <w:color w:val="auto"/>
                <w:lang w:val="en-US" w:eastAsia="zh-CN"/>
              </w:rPr>
              <w:t>51.3</w:t>
            </w:r>
          </w:p>
        </w:tc>
        <w:tc>
          <w:tcPr>
            <w:tcW w:w="573" w:type="pct"/>
            <w:vMerge w:val="continue"/>
            <w:tcBorders>
              <w:top w:val="nil"/>
              <w:left w:val="single" w:color="auto" w:sz="4" w:space="0"/>
              <w:bottom w:val="single" w:color="auto" w:sz="4" w:space="0"/>
              <w:right w:val="single" w:color="auto" w:sz="4" w:space="0"/>
            </w:tcBorders>
            <w:shd w:val="clear" w:color="auto" w:fill="auto"/>
            <w:vAlign w:val="center"/>
          </w:tcPr>
          <w:p w14:paraId="4BDAE6A5">
            <w:pPr>
              <w:pStyle w:val="34"/>
              <w:bidi w:val="0"/>
              <w:rPr>
                <w:rFonts w:hint="default"/>
                <w:color w:val="auto"/>
              </w:rPr>
            </w:pPr>
          </w:p>
        </w:tc>
        <w:tc>
          <w:tcPr>
            <w:tcW w:w="926" w:type="pct"/>
            <w:vMerge w:val="continue"/>
            <w:tcBorders>
              <w:top w:val="nil"/>
              <w:left w:val="single" w:color="auto" w:sz="4" w:space="0"/>
              <w:bottom w:val="single" w:color="auto" w:sz="4" w:space="0"/>
              <w:right w:val="single" w:color="auto" w:sz="4" w:space="0"/>
            </w:tcBorders>
            <w:shd w:val="clear" w:color="auto" w:fill="auto"/>
            <w:vAlign w:val="center"/>
          </w:tcPr>
          <w:p w14:paraId="7761C9DF">
            <w:pPr>
              <w:pStyle w:val="34"/>
              <w:bidi w:val="0"/>
              <w:rPr>
                <w:rFonts w:hint="default"/>
                <w:color w:val="auto"/>
              </w:rPr>
            </w:pP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14:paraId="520D6323">
            <w:pPr>
              <w:pStyle w:val="34"/>
              <w:bidi w:val="0"/>
              <w:rPr>
                <w:rFonts w:hint="default"/>
                <w:color w:val="auto"/>
              </w:rPr>
            </w:pPr>
            <w:r>
              <w:rPr>
                <w:rFonts w:hint="eastAsia"/>
                <w:color w:val="auto"/>
                <w:lang w:val="en-US" w:eastAsia="zh-CN"/>
              </w:rPr>
              <w:t>51.3</w:t>
            </w: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327B3969">
            <w:pPr>
              <w:pStyle w:val="34"/>
              <w:bidi w:val="0"/>
              <w:rPr>
                <w:rFonts w:hint="default"/>
                <w:color w:val="auto"/>
                <w:lang w:val="en-US" w:eastAsia="zh-CN"/>
              </w:rPr>
            </w:pPr>
            <w:r>
              <w:rPr>
                <w:rFonts w:hint="eastAsia"/>
                <w:color w:val="auto"/>
                <w:lang w:val="en-US" w:eastAsia="zh-CN"/>
              </w:rPr>
              <w:t>8.54</w:t>
            </w:r>
          </w:p>
        </w:tc>
        <w:tc>
          <w:tcPr>
            <w:tcW w:w="323" w:type="pct"/>
            <w:vMerge w:val="continue"/>
            <w:tcBorders>
              <w:top w:val="nil"/>
              <w:left w:val="single" w:color="auto" w:sz="4" w:space="0"/>
              <w:bottom w:val="single" w:color="auto" w:sz="4" w:space="0"/>
              <w:right w:val="single" w:color="auto" w:sz="4" w:space="0"/>
            </w:tcBorders>
            <w:shd w:val="clear" w:color="auto" w:fill="auto"/>
            <w:vAlign w:val="center"/>
          </w:tcPr>
          <w:p w14:paraId="028BA881">
            <w:pPr>
              <w:pStyle w:val="34"/>
              <w:bidi w:val="0"/>
              <w:rPr>
                <w:rFonts w:hint="default"/>
                <w:color w:val="auto"/>
              </w:rPr>
            </w:pPr>
          </w:p>
        </w:tc>
      </w:tr>
    </w:tbl>
    <w:p w14:paraId="4623CAA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（2）油气集输过程放空、挥发、泄漏产生的烃类气体</w:t>
      </w:r>
    </w:p>
    <w:p w14:paraId="7BDB4CB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油田开发过程中烃类气体会随着原油一起被抽出油井，其主要成分为C</w:t>
      </w:r>
      <w:r>
        <w:rPr>
          <w:rFonts w:ascii="Times New Roman" w:hAnsi="Times New Roman" w:eastAsia="宋体"/>
          <w:color w:val="auto"/>
          <w:sz w:val="24"/>
          <w:szCs w:val="24"/>
          <w:vertAlign w:val="subscript"/>
        </w:rPr>
        <w:t>1</w:t>
      </w:r>
      <w:r>
        <w:rPr>
          <w:rFonts w:ascii="Times New Roman" w:hAnsi="Times New Roman" w:eastAsia="宋体"/>
          <w:color w:val="auto"/>
          <w:sz w:val="24"/>
          <w:szCs w:val="24"/>
        </w:rPr>
        <w:t>-C</w:t>
      </w:r>
      <w:r>
        <w:rPr>
          <w:rFonts w:ascii="Times New Roman" w:hAnsi="Times New Roman" w:eastAsia="宋体"/>
          <w:color w:val="auto"/>
          <w:sz w:val="24"/>
          <w:szCs w:val="24"/>
          <w:vertAlign w:val="subscript"/>
        </w:rPr>
        <w:t>5</w:t>
      </w:r>
      <w:r>
        <w:rPr>
          <w:rFonts w:ascii="Times New Roman" w:hAnsi="Times New Roman" w:eastAsia="宋体"/>
          <w:color w:val="auto"/>
          <w:sz w:val="24"/>
          <w:szCs w:val="24"/>
        </w:rPr>
        <w:t>的烃类物质，是油田开发的特征大气污染物。在设备维修期间或由于安全等原因（超压时），部分烃类气体会被放空，放空的部位主要有：油井、计量站、油气管线等。另外，在原油开采与集输的过程中也会挥发、泄漏烃类气体，属无组织排放；集输过程中石油烃类的挥发主要来自采油井口挥发、储油罐呼吸阀和控制阀门逸散。</w:t>
      </w:r>
    </w:p>
    <w:p w14:paraId="2521D1B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①主要污染物排放情况</w:t>
      </w:r>
    </w:p>
    <w:p w14:paraId="3E960CE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油田采用密闭集输工艺，正常条件下油气损耗较小，对原油损耗调查结果表明，开放式流程损耗为1.4%～2.0%，密闭流程小于0.2%。本次评价对开放式流程取值1.4%，密闭流程取值0.2%，结合现有工程产能规模及原油管输率</w:t>
      </w:r>
      <w:r>
        <w:rPr>
          <w:rFonts w:hint="eastAsia"/>
          <w:color w:val="auto"/>
          <w:sz w:val="24"/>
          <w:szCs w:val="24"/>
          <w:lang w:val="en-US" w:eastAsia="zh-CN"/>
        </w:rPr>
        <w:t>75</w:t>
      </w:r>
      <w:r>
        <w:rPr>
          <w:rFonts w:ascii="Times New Roman" w:hAnsi="Times New Roman" w:eastAsia="宋体"/>
          <w:color w:val="auto"/>
          <w:sz w:val="24"/>
          <w:szCs w:val="24"/>
        </w:rPr>
        <w:t>%，估算现有工程烃类气体非甲烷总烃排放量</w:t>
      </w:r>
      <w:r>
        <w:rPr>
          <w:rFonts w:hint="eastAsia"/>
          <w:color w:val="auto"/>
          <w:sz w:val="24"/>
          <w:szCs w:val="24"/>
          <w:lang w:val="en-US" w:eastAsia="zh-CN"/>
        </w:rPr>
        <w:t>16.44</w:t>
      </w:r>
      <w:r>
        <w:rPr>
          <w:rFonts w:ascii="Times New Roman" w:hAnsi="Times New Roman" w:eastAsia="宋体"/>
          <w:color w:val="auto"/>
          <w:sz w:val="24"/>
          <w:szCs w:val="24"/>
        </w:rPr>
        <w:t>t/a。</w:t>
      </w:r>
    </w:p>
    <w:p w14:paraId="1847A53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②现有工程站场</w:t>
      </w:r>
      <w:r>
        <w:rPr>
          <w:rFonts w:hint="eastAsia"/>
          <w:color w:val="auto"/>
          <w:sz w:val="24"/>
          <w:szCs w:val="24"/>
          <w:lang w:val="en-US" w:eastAsia="zh-CN"/>
        </w:rPr>
        <w:t>及井场</w:t>
      </w:r>
      <w:r>
        <w:rPr>
          <w:rFonts w:ascii="Times New Roman" w:hAnsi="Times New Roman" w:eastAsia="宋体"/>
          <w:color w:val="auto"/>
          <w:sz w:val="24"/>
          <w:szCs w:val="24"/>
        </w:rPr>
        <w:t>无组织排放达标情况</w:t>
      </w:r>
    </w:p>
    <w:p w14:paraId="629B652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color w:val="auto"/>
          <w:sz w:val="24"/>
          <w:szCs w:val="24"/>
          <w:lang w:val="en-US" w:eastAsia="zh-CN"/>
        </w:rPr>
        <w:t>现有工程站场及井场无组织废气</w:t>
      </w:r>
      <w:r>
        <w:rPr>
          <w:rFonts w:ascii="Times New Roman" w:hAnsi="Times New Roman" w:eastAsia="宋体"/>
          <w:color w:val="auto"/>
          <w:sz w:val="24"/>
          <w:szCs w:val="24"/>
        </w:rPr>
        <w:t>数据来源详见</w:t>
      </w:r>
      <w:r>
        <w:rPr>
          <w:rFonts w:hint="default" w:ascii="Times New Roman" w:hAnsi="Times New Roman" w:eastAsia="宋体"/>
          <w:color w:val="auto"/>
          <w:sz w:val="24"/>
          <w:szCs w:val="24"/>
          <w:lang w:val="en-US"/>
        </w:rPr>
        <w:fldChar w:fldCharType="begin"/>
      </w:r>
      <w:r>
        <w:rPr>
          <w:rFonts w:hint="default" w:ascii="Times New Roman" w:hAnsi="Times New Roman" w:eastAsia="宋体"/>
          <w:color w:val="auto"/>
          <w:sz w:val="24"/>
          <w:szCs w:val="24"/>
          <w:lang w:val="en-US"/>
        </w:rPr>
        <w:instrText xml:space="preserve"> REF _Ref24641 \h </w:instrText>
      </w:r>
      <w:r>
        <w:rPr>
          <w:rFonts w:hint="default" w:ascii="Times New Roman" w:hAnsi="Times New Roman" w:eastAsia="宋体"/>
          <w:color w:val="auto"/>
          <w:sz w:val="24"/>
          <w:szCs w:val="24"/>
          <w:lang w:val="en-US"/>
        </w:rPr>
        <w:fldChar w:fldCharType="separate"/>
      </w:r>
      <w:r>
        <w:rPr>
          <w:rFonts w:ascii="Times New Roman" w:hAnsi="Times New Roman" w:eastAsia="宋体"/>
          <w:color w:val="auto"/>
          <w:sz w:val="24"/>
          <w:szCs w:val="24"/>
        </w:rPr>
        <w:t>表</w:t>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STYLEREF 2 \s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3.</w:t>
      </w:r>
      <w:r>
        <w:rPr>
          <w:rFonts w:hint="eastAsia"/>
          <w:color w:val="auto"/>
          <w:sz w:val="24"/>
          <w:szCs w:val="24"/>
          <w:lang w:val="en-US" w:eastAsia="zh-CN"/>
        </w:rPr>
        <w:t>1</w:t>
      </w:r>
      <w:r>
        <w:rPr>
          <w:rFonts w:ascii="Times New Roman" w:hAnsi="Times New Roman" w:eastAsia="宋体"/>
          <w:color w:val="auto"/>
          <w:sz w:val="24"/>
          <w:szCs w:val="24"/>
        </w:rPr>
        <w:fldChar w:fldCharType="end"/>
      </w:r>
      <w:r>
        <w:rPr>
          <w:rFonts w:hint="eastAsia" w:ascii="Times New Roman" w:hAnsi="Times New Roman" w:eastAsia="宋体"/>
          <w:color w:val="auto"/>
          <w:sz w:val="24"/>
          <w:szCs w:val="24"/>
          <w:lang w:eastAsia="zh-CN"/>
        </w:rPr>
        <w:t>-</w:t>
      </w:r>
      <w:r>
        <w:rPr>
          <w:rFonts w:hint="eastAsia"/>
          <w:color w:val="auto"/>
          <w:sz w:val="24"/>
          <w:szCs w:val="24"/>
          <w:lang w:val="en-US" w:eastAsia="zh-CN"/>
        </w:rPr>
        <w:t>1</w:t>
      </w:r>
      <w:r>
        <w:rPr>
          <w:rFonts w:hint="default" w:ascii="Times New Roman" w:hAnsi="Times New Roman" w:eastAsia="宋体"/>
          <w:color w:val="auto"/>
          <w:sz w:val="24"/>
          <w:szCs w:val="24"/>
          <w:lang w:val="en-US"/>
        </w:rPr>
        <w:fldChar w:fldCharType="end"/>
      </w:r>
      <w:r>
        <w:rPr>
          <w:rFonts w:hint="eastAsia"/>
          <w:color w:val="auto"/>
          <w:sz w:val="24"/>
          <w:szCs w:val="24"/>
          <w:lang w:val="en-US" w:eastAsia="zh-CN"/>
        </w:rPr>
        <w:t>0</w:t>
      </w:r>
      <w:r>
        <w:rPr>
          <w:rFonts w:ascii="Times New Roman" w:hAnsi="Times New Roman" w:eastAsia="宋体"/>
          <w:color w:val="auto"/>
          <w:sz w:val="24"/>
          <w:szCs w:val="24"/>
        </w:rPr>
        <w:t>。</w:t>
      </w:r>
    </w:p>
    <w:p w14:paraId="372A85D9">
      <w:pPr>
        <w:pStyle w:val="43"/>
        <w:bidi w:val="0"/>
        <w:rPr>
          <w:rFonts w:cs="Times New Roman"/>
          <w:color w:val="auto"/>
        </w:rPr>
      </w:pPr>
      <w:bookmarkStart w:id="149" w:name="_Ref24641"/>
      <w:r>
        <w:rPr>
          <w:color w:val="auto"/>
        </w:rPr>
        <w:t>表</w:t>
      </w:r>
      <w:r>
        <w:rPr>
          <w:color w:val="auto"/>
        </w:rPr>
        <w:fldChar w:fldCharType="begin"/>
      </w:r>
      <w:r>
        <w:rPr>
          <w:color w:val="auto"/>
        </w:rPr>
        <w:instrText xml:space="preserve"> STYLEREF 2 \s </w:instrText>
      </w:r>
      <w:r>
        <w:rPr>
          <w:color w:val="auto"/>
        </w:rPr>
        <w:fldChar w:fldCharType="separate"/>
      </w:r>
      <w:r>
        <w:rPr>
          <w:color w:val="auto"/>
        </w:rPr>
        <w:t>3.</w:t>
      </w:r>
      <w:r>
        <w:rPr>
          <w:rFonts w:hint="eastAsia"/>
          <w:color w:val="auto"/>
          <w:lang w:val="en-US" w:eastAsia="zh-CN"/>
        </w:rPr>
        <w:t>1</w:t>
      </w:r>
      <w:r>
        <w:rPr>
          <w:color w:val="auto"/>
        </w:rPr>
        <w:fldChar w:fldCharType="end"/>
      </w:r>
      <w:r>
        <w:rPr>
          <w:rFonts w:hint="eastAsia"/>
          <w:color w:val="auto"/>
          <w:lang w:eastAsia="zh-CN"/>
        </w:rPr>
        <w:t>-</w:t>
      </w:r>
      <w:bookmarkEnd w:id="149"/>
      <w:r>
        <w:rPr>
          <w:rFonts w:hint="eastAsia"/>
          <w:color w:val="auto"/>
          <w:lang w:val="en-US" w:eastAsia="zh-CN"/>
        </w:rPr>
        <w:t>10</w:t>
      </w:r>
      <w:r>
        <w:rPr>
          <w:rFonts w:cs="Times New Roman"/>
          <w:color w:val="auto"/>
        </w:rPr>
        <w:t xml:space="preserve">  </w:t>
      </w:r>
      <w:r>
        <w:rPr>
          <w:rFonts w:hint="eastAsia" w:cs="Times New Roman"/>
          <w:color w:val="auto"/>
          <w:lang w:val="en-US" w:eastAsia="zh-CN"/>
        </w:rPr>
        <w:t>站场无组织废气</w:t>
      </w:r>
      <w:r>
        <w:rPr>
          <w:rFonts w:cs="Times New Roman"/>
          <w:color w:val="auto"/>
        </w:rPr>
        <w:t>数据来源</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725"/>
        <w:gridCol w:w="4976"/>
        <w:gridCol w:w="2707"/>
      </w:tblGrid>
      <w:tr w14:paraId="33B2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64FB86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959" w:type="pct"/>
            <w:tcBorders>
              <w:top w:val="single" w:color="auto" w:sz="4" w:space="0"/>
              <w:left w:val="single" w:color="auto" w:sz="4" w:space="0"/>
              <w:bottom w:val="single" w:color="auto" w:sz="4" w:space="0"/>
              <w:right w:val="single" w:color="auto" w:sz="4" w:space="0"/>
            </w:tcBorders>
            <w:shd w:val="clear" w:color="auto" w:fill="auto"/>
            <w:vAlign w:val="center"/>
          </w:tcPr>
          <w:p w14:paraId="183FB20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数据来源</w:t>
            </w:r>
          </w:p>
        </w:tc>
        <w:tc>
          <w:tcPr>
            <w:tcW w:w="1610" w:type="pct"/>
            <w:tcBorders>
              <w:top w:val="single" w:color="auto" w:sz="4" w:space="0"/>
              <w:left w:val="single" w:color="auto" w:sz="4" w:space="0"/>
              <w:bottom w:val="single" w:color="auto" w:sz="4" w:space="0"/>
              <w:right w:val="single" w:color="auto" w:sz="4" w:space="0"/>
            </w:tcBorders>
            <w:shd w:val="clear" w:color="auto" w:fill="auto"/>
            <w:vAlign w:val="center"/>
          </w:tcPr>
          <w:p w14:paraId="10DC0D7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监测日期</w:t>
            </w:r>
          </w:p>
        </w:tc>
      </w:tr>
      <w:tr w14:paraId="0740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6566EF9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959" w:type="pct"/>
            <w:tcBorders>
              <w:top w:val="single" w:color="auto" w:sz="4" w:space="0"/>
              <w:left w:val="single" w:color="auto" w:sz="4" w:space="0"/>
              <w:bottom w:val="single" w:color="auto" w:sz="4" w:space="0"/>
              <w:right w:val="single" w:color="auto" w:sz="4" w:space="0"/>
            </w:tcBorders>
            <w:shd w:val="clear" w:color="auto" w:fill="auto"/>
            <w:vAlign w:val="center"/>
          </w:tcPr>
          <w:p w14:paraId="0A3C5F6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新疆油田公司百口泉采油厂环境监测（第二季度）</w:t>
            </w:r>
          </w:p>
        </w:tc>
        <w:tc>
          <w:tcPr>
            <w:tcW w:w="1610" w:type="pct"/>
            <w:tcBorders>
              <w:top w:val="single" w:color="auto" w:sz="4" w:space="0"/>
              <w:left w:val="single" w:color="auto" w:sz="4" w:space="0"/>
              <w:bottom w:val="single" w:color="auto" w:sz="4" w:space="0"/>
              <w:right w:val="single" w:color="auto" w:sz="4" w:space="0"/>
            </w:tcBorders>
            <w:shd w:val="clear" w:color="auto" w:fill="auto"/>
            <w:vAlign w:val="center"/>
          </w:tcPr>
          <w:p w14:paraId="2D6B5B1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年5月</w:t>
            </w: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rPr>
              <w:t>日~</w:t>
            </w:r>
            <w:r>
              <w:rPr>
                <w:rFonts w:hint="eastAsia" w:cs="Times New Roman"/>
                <w:color w:val="auto"/>
                <w:sz w:val="21"/>
                <w:szCs w:val="21"/>
                <w:lang w:val="en-US" w:eastAsia="zh-CN"/>
              </w:rPr>
              <w:t>26</w:t>
            </w:r>
            <w:r>
              <w:rPr>
                <w:rFonts w:hint="default" w:ascii="Times New Roman" w:hAnsi="Times New Roman" w:eastAsia="宋体" w:cs="Times New Roman"/>
                <w:color w:val="auto"/>
                <w:sz w:val="21"/>
                <w:szCs w:val="21"/>
              </w:rPr>
              <w:t>日</w:t>
            </w:r>
            <w:r>
              <w:rPr>
                <w:rFonts w:hint="eastAsia" w:cs="Times New Roman"/>
                <w:color w:val="auto"/>
                <w:sz w:val="21"/>
                <w:szCs w:val="21"/>
                <w:lang w:eastAsia="zh-CN"/>
              </w:rPr>
              <w:t>、</w:t>
            </w:r>
            <w:r>
              <w:rPr>
                <w:rFonts w:hint="eastAsia" w:cs="Times New Roman"/>
                <w:color w:val="auto"/>
                <w:sz w:val="21"/>
                <w:szCs w:val="21"/>
                <w:lang w:val="en-US" w:eastAsia="zh-CN"/>
              </w:rPr>
              <w:t>5月29日-30日</w:t>
            </w:r>
          </w:p>
        </w:tc>
      </w:tr>
      <w:tr w14:paraId="2456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7A893A2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2959" w:type="pct"/>
            <w:tcBorders>
              <w:top w:val="single" w:color="auto" w:sz="4" w:space="0"/>
              <w:left w:val="single" w:color="auto" w:sz="4" w:space="0"/>
              <w:bottom w:val="single" w:color="auto" w:sz="4" w:space="0"/>
              <w:right w:val="single" w:color="auto" w:sz="4" w:space="0"/>
            </w:tcBorders>
            <w:shd w:val="clear" w:color="auto" w:fill="auto"/>
            <w:vAlign w:val="center"/>
          </w:tcPr>
          <w:p w14:paraId="48D1CDB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color w:val="auto"/>
                <w:sz w:val="21"/>
                <w:szCs w:val="21"/>
                <w:lang w:val="en-US" w:eastAsia="zh-CN"/>
              </w:rPr>
            </w:pPr>
            <w:r>
              <w:rPr>
                <w:rFonts w:hint="eastAsia" w:cs="Times New Roman"/>
                <w:color w:val="auto"/>
                <w:sz w:val="21"/>
                <w:szCs w:val="21"/>
                <w:lang w:val="en-US" w:eastAsia="zh-CN"/>
              </w:rPr>
              <w:t>玛北斜坡玛131井区百口泉组油藏开发建设工程（第二批）竣工环境保护验收调查报告</w:t>
            </w:r>
          </w:p>
        </w:tc>
        <w:tc>
          <w:tcPr>
            <w:tcW w:w="1610" w:type="pct"/>
            <w:tcBorders>
              <w:top w:val="single" w:color="auto" w:sz="4" w:space="0"/>
              <w:left w:val="single" w:color="auto" w:sz="4" w:space="0"/>
              <w:bottom w:val="single" w:color="auto" w:sz="4" w:space="0"/>
              <w:right w:val="single" w:color="auto" w:sz="4" w:space="0"/>
            </w:tcBorders>
            <w:shd w:val="clear" w:color="auto" w:fill="auto"/>
            <w:vAlign w:val="center"/>
          </w:tcPr>
          <w:p w14:paraId="63BE96D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2020年12月14日-15日</w:t>
            </w:r>
          </w:p>
        </w:tc>
      </w:tr>
      <w:tr w14:paraId="46F6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659A80F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2959" w:type="pct"/>
            <w:tcBorders>
              <w:top w:val="single" w:color="auto" w:sz="4" w:space="0"/>
              <w:left w:val="single" w:color="auto" w:sz="4" w:space="0"/>
              <w:bottom w:val="single" w:color="auto" w:sz="4" w:space="0"/>
              <w:right w:val="single" w:color="auto" w:sz="4" w:space="0"/>
            </w:tcBorders>
            <w:shd w:val="clear" w:color="auto" w:fill="auto"/>
            <w:vAlign w:val="center"/>
          </w:tcPr>
          <w:p w14:paraId="1CB7771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color w:val="auto"/>
                <w:sz w:val="21"/>
                <w:szCs w:val="21"/>
                <w:lang w:val="en-US" w:eastAsia="zh-CN"/>
              </w:rPr>
            </w:pPr>
            <w:r>
              <w:rPr>
                <w:rFonts w:hint="eastAsia" w:cs="Times New Roman"/>
                <w:color w:val="auto"/>
                <w:sz w:val="21"/>
                <w:szCs w:val="21"/>
                <w:lang w:val="en-US" w:eastAsia="zh-CN"/>
              </w:rPr>
              <w:t>玛2井区百口泉组油藏南部扩边开发地面工程（变更）（第一批）竣工环境保护验收调查报告</w:t>
            </w:r>
          </w:p>
        </w:tc>
        <w:tc>
          <w:tcPr>
            <w:tcW w:w="1610" w:type="pct"/>
            <w:tcBorders>
              <w:top w:val="single" w:color="auto" w:sz="4" w:space="0"/>
              <w:left w:val="single" w:color="auto" w:sz="4" w:space="0"/>
              <w:bottom w:val="single" w:color="auto" w:sz="4" w:space="0"/>
              <w:right w:val="single" w:color="auto" w:sz="4" w:space="0"/>
            </w:tcBorders>
            <w:shd w:val="clear" w:color="auto" w:fill="auto"/>
            <w:vAlign w:val="center"/>
          </w:tcPr>
          <w:p w14:paraId="62C9371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2024年11月2日-3日</w:t>
            </w:r>
          </w:p>
        </w:tc>
      </w:tr>
      <w:tr w14:paraId="70D0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3C72333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2959" w:type="pct"/>
            <w:tcBorders>
              <w:top w:val="single" w:color="auto" w:sz="4" w:space="0"/>
              <w:left w:val="single" w:color="auto" w:sz="4" w:space="0"/>
              <w:bottom w:val="single" w:color="auto" w:sz="4" w:space="0"/>
              <w:right w:val="single" w:color="auto" w:sz="4" w:space="0"/>
            </w:tcBorders>
            <w:shd w:val="clear" w:color="auto" w:fill="auto"/>
            <w:vAlign w:val="center"/>
          </w:tcPr>
          <w:p w14:paraId="1D8B074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color w:val="auto"/>
                <w:sz w:val="21"/>
                <w:szCs w:val="21"/>
                <w:lang w:val="en-US" w:eastAsia="zh-CN"/>
              </w:rPr>
            </w:pPr>
            <w:r>
              <w:rPr>
                <w:rFonts w:hint="eastAsia" w:cs="Times New Roman"/>
                <w:color w:val="auto"/>
                <w:sz w:val="21"/>
                <w:szCs w:val="21"/>
                <w:lang w:val="en-US" w:eastAsia="zh-CN"/>
              </w:rPr>
              <w:t>夏72井区二叠系风城组油藏2018年建设工程（第一批）竣工环境保护验收调查表</w:t>
            </w:r>
          </w:p>
        </w:tc>
        <w:tc>
          <w:tcPr>
            <w:tcW w:w="1610" w:type="pct"/>
            <w:tcBorders>
              <w:top w:val="single" w:color="auto" w:sz="4" w:space="0"/>
              <w:left w:val="single" w:color="auto" w:sz="4" w:space="0"/>
              <w:bottom w:val="single" w:color="auto" w:sz="4" w:space="0"/>
              <w:right w:val="single" w:color="auto" w:sz="4" w:space="0"/>
            </w:tcBorders>
            <w:shd w:val="clear" w:color="auto" w:fill="auto"/>
            <w:vAlign w:val="center"/>
          </w:tcPr>
          <w:p w14:paraId="0A0DD7C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color w:val="auto"/>
                <w:sz w:val="21"/>
                <w:szCs w:val="21"/>
                <w:lang w:val="en-US" w:eastAsia="zh-CN"/>
              </w:rPr>
            </w:pPr>
            <w:r>
              <w:rPr>
                <w:rFonts w:hint="eastAsia" w:cs="Times New Roman"/>
                <w:color w:val="auto"/>
                <w:sz w:val="21"/>
                <w:szCs w:val="21"/>
                <w:lang w:val="en-US" w:eastAsia="zh-CN"/>
              </w:rPr>
              <w:t>2019年9月24日-25日</w:t>
            </w:r>
          </w:p>
        </w:tc>
      </w:tr>
    </w:tbl>
    <w:p w14:paraId="453B537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color w:val="auto"/>
        </w:rPr>
        <w:t>监测结果汇总见</w:t>
      </w:r>
      <w:r>
        <w:rPr>
          <w:rFonts w:hint="default"/>
          <w:color w:val="auto"/>
          <w:lang w:val="en-US"/>
        </w:rPr>
        <w:fldChar w:fldCharType="begin"/>
      </w:r>
      <w:r>
        <w:rPr>
          <w:rFonts w:hint="default"/>
          <w:color w:val="auto"/>
          <w:lang w:val="en-US"/>
        </w:rPr>
        <w:instrText xml:space="preserve"> REF _Ref24870 \h </w:instrText>
      </w:r>
      <w:r>
        <w:rPr>
          <w:rFonts w:hint="default"/>
          <w:color w:val="auto"/>
          <w:lang w:val="en-US"/>
        </w:rPr>
        <w:fldChar w:fldCharType="separate"/>
      </w:r>
      <w:r>
        <w:rPr>
          <w:color w:val="auto"/>
        </w:rPr>
        <w:t>表</w:t>
      </w:r>
      <w:r>
        <w:rPr>
          <w:color w:val="auto"/>
        </w:rPr>
        <w:fldChar w:fldCharType="begin"/>
      </w:r>
      <w:r>
        <w:rPr>
          <w:color w:val="auto"/>
        </w:rPr>
        <w:instrText xml:space="preserve"> STYLEREF 2 \s </w:instrText>
      </w:r>
      <w:r>
        <w:rPr>
          <w:color w:val="auto"/>
        </w:rPr>
        <w:fldChar w:fldCharType="separate"/>
      </w:r>
      <w:r>
        <w:rPr>
          <w:color w:val="auto"/>
        </w:rPr>
        <w:t>3.</w:t>
      </w:r>
      <w:r>
        <w:rPr>
          <w:rFonts w:hint="eastAsia"/>
          <w:color w:val="auto"/>
          <w:lang w:val="en-US" w:eastAsia="zh-CN"/>
        </w:rPr>
        <w:t>1</w:t>
      </w:r>
      <w:r>
        <w:rPr>
          <w:color w:val="auto"/>
        </w:rPr>
        <w:fldChar w:fldCharType="end"/>
      </w:r>
      <w:r>
        <w:rPr>
          <w:rFonts w:hint="eastAsia"/>
          <w:color w:val="auto"/>
          <w:lang w:eastAsia="zh-CN"/>
        </w:rPr>
        <w:t>-</w:t>
      </w:r>
      <w:r>
        <w:rPr>
          <w:rFonts w:hint="eastAsia"/>
          <w:color w:val="auto"/>
          <w:lang w:val="en-US" w:eastAsia="zh-CN"/>
        </w:rPr>
        <w:t>1</w:t>
      </w:r>
      <w:r>
        <w:rPr>
          <w:rFonts w:hint="default"/>
          <w:color w:val="auto"/>
          <w:lang w:val="en-US"/>
        </w:rPr>
        <w:fldChar w:fldCharType="end"/>
      </w:r>
      <w:r>
        <w:rPr>
          <w:rFonts w:hint="eastAsia"/>
          <w:color w:val="auto"/>
          <w:lang w:val="en-US" w:eastAsia="zh-CN"/>
        </w:rPr>
        <w:t>1</w:t>
      </w:r>
      <w:r>
        <w:rPr>
          <w:color w:val="auto"/>
        </w:rPr>
        <w:t>，监测结果表明，各站场边界监测点位非甲烷总烃均符合《陆上石油天然气开采工业大气污染物排放标准》（GB39728-2020），即边界非甲烷总烃浓度≤4.0mg/m</w:t>
      </w:r>
      <w:r>
        <w:rPr>
          <w:color w:val="auto"/>
          <w:vertAlign w:val="superscript"/>
        </w:rPr>
        <w:t>3</w:t>
      </w:r>
      <w:r>
        <w:rPr>
          <w:color w:val="auto"/>
        </w:rPr>
        <w:t>的要求。</w:t>
      </w:r>
    </w:p>
    <w:p w14:paraId="2947D4C3">
      <w:pPr>
        <w:pStyle w:val="43"/>
        <w:bidi w:val="0"/>
        <w:rPr>
          <w:rFonts w:cs="Times New Roman"/>
          <w:color w:val="auto"/>
        </w:rPr>
      </w:pPr>
      <w:bookmarkStart w:id="150" w:name="_Ref24870"/>
      <w:r>
        <w:rPr>
          <w:color w:val="auto"/>
        </w:rPr>
        <w:t>表</w:t>
      </w:r>
      <w:r>
        <w:rPr>
          <w:color w:val="auto"/>
        </w:rPr>
        <w:fldChar w:fldCharType="begin"/>
      </w:r>
      <w:r>
        <w:rPr>
          <w:color w:val="auto"/>
        </w:rPr>
        <w:instrText xml:space="preserve"> STYLEREF 2 \s </w:instrText>
      </w:r>
      <w:r>
        <w:rPr>
          <w:color w:val="auto"/>
        </w:rPr>
        <w:fldChar w:fldCharType="separate"/>
      </w:r>
      <w:r>
        <w:rPr>
          <w:color w:val="auto"/>
        </w:rPr>
        <w:t>3.</w:t>
      </w:r>
      <w:r>
        <w:rPr>
          <w:rFonts w:hint="eastAsia"/>
          <w:color w:val="auto"/>
          <w:lang w:val="en-US" w:eastAsia="zh-CN"/>
        </w:rPr>
        <w:t>1</w:t>
      </w:r>
      <w:r>
        <w:rPr>
          <w:color w:val="auto"/>
        </w:rPr>
        <w:fldChar w:fldCharType="end"/>
      </w:r>
      <w:r>
        <w:rPr>
          <w:rFonts w:hint="eastAsia"/>
          <w:color w:val="auto"/>
          <w:lang w:eastAsia="zh-CN"/>
        </w:rPr>
        <w:t>-</w:t>
      </w:r>
      <w:bookmarkEnd w:id="150"/>
      <w:r>
        <w:rPr>
          <w:rFonts w:hint="eastAsia"/>
          <w:color w:val="auto"/>
          <w:lang w:val="en-US" w:eastAsia="zh-CN"/>
        </w:rPr>
        <w:t>11</w:t>
      </w:r>
      <w:r>
        <w:rPr>
          <w:rFonts w:cs="Times New Roman"/>
          <w:color w:val="auto"/>
        </w:rPr>
        <w:t xml:space="preserve">  </w:t>
      </w:r>
      <w:r>
        <w:rPr>
          <w:rFonts w:hint="eastAsia" w:cs="Times New Roman"/>
          <w:color w:val="auto"/>
          <w:lang w:val="en-US" w:eastAsia="zh-CN"/>
        </w:rPr>
        <w:t>油区</w:t>
      </w:r>
      <w:r>
        <w:rPr>
          <w:rFonts w:cs="Times New Roman"/>
          <w:color w:val="auto"/>
        </w:rPr>
        <w:t>站场</w:t>
      </w:r>
      <w:r>
        <w:rPr>
          <w:rFonts w:hint="eastAsia" w:cs="Times New Roman"/>
          <w:color w:val="auto"/>
          <w:lang w:val="en-US" w:eastAsia="zh-CN"/>
        </w:rPr>
        <w:t>及井场</w:t>
      </w:r>
      <w:r>
        <w:rPr>
          <w:rFonts w:cs="Times New Roman"/>
          <w:color w:val="auto"/>
        </w:rPr>
        <w:t>非甲烷总烃厂界无组织监测结果统计表  单位：mg/m</w:t>
      </w:r>
      <w:r>
        <w:rPr>
          <w:rFonts w:cs="Times New Roman"/>
          <w:color w:val="auto"/>
          <w:vertAlign w:val="superscript"/>
        </w:rPr>
        <w:t>3</w:t>
      </w:r>
    </w:p>
    <w:tbl>
      <w:tblPr>
        <w:tblStyle w:val="28"/>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1" w:type="dxa"/>
          <w:bottom w:w="0" w:type="dxa"/>
          <w:right w:w="51" w:type="dxa"/>
        </w:tblCellMar>
      </w:tblPr>
      <w:tblGrid>
        <w:gridCol w:w="1301"/>
        <w:gridCol w:w="1099"/>
        <w:gridCol w:w="1197"/>
        <w:gridCol w:w="1197"/>
        <w:gridCol w:w="1197"/>
        <w:gridCol w:w="1200"/>
        <w:gridCol w:w="1212"/>
      </w:tblGrid>
      <w:tr w14:paraId="67707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1428" w:type="pct"/>
            <w:gridSpan w:val="2"/>
            <w:vMerge w:val="restart"/>
            <w:tcBorders>
              <w:tl2br w:val="nil"/>
              <w:tr2bl w:val="nil"/>
            </w:tcBorders>
            <w:shd w:val="clear" w:color="auto" w:fill="auto"/>
            <w:vAlign w:val="center"/>
          </w:tcPr>
          <w:p w14:paraId="45DAF4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712" w:type="pct"/>
            <w:vMerge w:val="restart"/>
            <w:tcBorders>
              <w:tl2br w:val="nil"/>
              <w:tr2bl w:val="nil"/>
            </w:tcBorders>
            <w:shd w:val="clear" w:color="auto" w:fill="auto"/>
            <w:vAlign w:val="center"/>
          </w:tcPr>
          <w:p w14:paraId="6AEEC3E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监测日期</w:t>
            </w:r>
          </w:p>
        </w:tc>
        <w:tc>
          <w:tcPr>
            <w:tcW w:w="2859" w:type="pct"/>
            <w:gridSpan w:val="4"/>
            <w:tcBorders>
              <w:tl2br w:val="nil"/>
              <w:tr2bl w:val="nil"/>
            </w:tcBorders>
            <w:shd w:val="clear" w:color="auto" w:fill="auto"/>
            <w:vAlign w:val="center"/>
          </w:tcPr>
          <w:p w14:paraId="0439B54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p>
        </w:tc>
      </w:tr>
      <w:tr w14:paraId="13D79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1428" w:type="pct"/>
            <w:gridSpan w:val="2"/>
            <w:vMerge w:val="continue"/>
            <w:tcBorders>
              <w:tl2br w:val="nil"/>
              <w:tr2bl w:val="nil"/>
            </w:tcBorders>
            <w:shd w:val="clear" w:color="auto" w:fill="auto"/>
            <w:vAlign w:val="center"/>
          </w:tcPr>
          <w:p w14:paraId="10D385A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712" w:type="pct"/>
            <w:vMerge w:val="continue"/>
            <w:tcBorders>
              <w:tl2br w:val="nil"/>
              <w:tr2bl w:val="nil"/>
            </w:tcBorders>
            <w:shd w:val="clear" w:color="auto" w:fill="auto"/>
            <w:vAlign w:val="center"/>
          </w:tcPr>
          <w:p w14:paraId="5C58E4E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712" w:type="pct"/>
            <w:tcBorders>
              <w:tl2br w:val="nil"/>
              <w:tr2bl w:val="nil"/>
            </w:tcBorders>
            <w:shd w:val="clear" w:color="auto" w:fill="auto"/>
            <w:vAlign w:val="center"/>
          </w:tcPr>
          <w:p w14:paraId="74D0B4C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第一次</w:t>
            </w:r>
          </w:p>
        </w:tc>
        <w:tc>
          <w:tcPr>
            <w:tcW w:w="712" w:type="pct"/>
            <w:tcBorders>
              <w:tl2br w:val="nil"/>
              <w:tr2bl w:val="nil"/>
            </w:tcBorders>
            <w:shd w:val="clear" w:color="auto" w:fill="auto"/>
            <w:vAlign w:val="center"/>
          </w:tcPr>
          <w:p w14:paraId="69AC122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第二次</w:t>
            </w:r>
          </w:p>
        </w:tc>
        <w:tc>
          <w:tcPr>
            <w:tcW w:w="714" w:type="pct"/>
            <w:tcBorders>
              <w:tl2br w:val="nil"/>
              <w:tr2bl w:val="nil"/>
            </w:tcBorders>
            <w:shd w:val="clear" w:color="auto" w:fill="auto"/>
            <w:vAlign w:val="center"/>
          </w:tcPr>
          <w:p w14:paraId="31AD343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第三次</w:t>
            </w:r>
          </w:p>
        </w:tc>
        <w:tc>
          <w:tcPr>
            <w:tcW w:w="721" w:type="pct"/>
            <w:tcBorders>
              <w:tl2br w:val="nil"/>
              <w:tr2bl w:val="nil"/>
            </w:tcBorders>
            <w:shd w:val="clear" w:color="auto" w:fill="auto"/>
            <w:vAlign w:val="center"/>
          </w:tcPr>
          <w:p w14:paraId="2856461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第四次</w:t>
            </w:r>
          </w:p>
        </w:tc>
      </w:tr>
      <w:tr w14:paraId="02B32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restart"/>
            <w:tcBorders>
              <w:tl2br w:val="nil"/>
              <w:tr2bl w:val="nil"/>
            </w:tcBorders>
            <w:shd w:val="clear" w:color="auto" w:fill="auto"/>
            <w:vAlign w:val="center"/>
          </w:tcPr>
          <w:p w14:paraId="3257983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玛2转油站</w:t>
            </w:r>
          </w:p>
        </w:tc>
        <w:tc>
          <w:tcPr>
            <w:tcW w:w="653" w:type="pct"/>
            <w:tcBorders>
              <w:tl2br w:val="nil"/>
              <w:tr2bl w:val="nil"/>
            </w:tcBorders>
            <w:shd w:val="clear" w:color="auto" w:fill="auto"/>
            <w:vAlign w:val="center"/>
          </w:tcPr>
          <w:p w14:paraId="5E510AC5">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上风向13#</w:t>
            </w:r>
          </w:p>
        </w:tc>
        <w:tc>
          <w:tcPr>
            <w:tcW w:w="712" w:type="pct"/>
            <w:vMerge w:val="restart"/>
            <w:tcBorders>
              <w:tl2br w:val="nil"/>
              <w:tr2bl w:val="nil"/>
            </w:tcBorders>
            <w:shd w:val="clear" w:color="auto" w:fill="auto"/>
            <w:vAlign w:val="center"/>
          </w:tcPr>
          <w:p w14:paraId="170DEFA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2025.5.25</w:t>
            </w:r>
          </w:p>
        </w:tc>
        <w:tc>
          <w:tcPr>
            <w:tcW w:w="712" w:type="pct"/>
            <w:tcBorders>
              <w:tl2br w:val="nil"/>
              <w:tr2bl w:val="nil"/>
            </w:tcBorders>
            <w:shd w:val="clear" w:color="auto" w:fill="auto"/>
            <w:vAlign w:val="center"/>
          </w:tcPr>
          <w:p w14:paraId="6E24A08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1.64</w:t>
            </w:r>
          </w:p>
        </w:tc>
        <w:tc>
          <w:tcPr>
            <w:tcW w:w="712" w:type="pct"/>
            <w:tcBorders>
              <w:tl2br w:val="nil"/>
              <w:tr2bl w:val="nil"/>
            </w:tcBorders>
            <w:shd w:val="clear" w:color="auto" w:fill="auto"/>
            <w:vAlign w:val="center"/>
          </w:tcPr>
          <w:p w14:paraId="44910CE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1.67</w:t>
            </w:r>
          </w:p>
        </w:tc>
        <w:tc>
          <w:tcPr>
            <w:tcW w:w="714" w:type="pct"/>
            <w:tcBorders>
              <w:tl2br w:val="nil"/>
              <w:tr2bl w:val="nil"/>
            </w:tcBorders>
            <w:shd w:val="clear" w:color="auto" w:fill="auto"/>
            <w:vAlign w:val="center"/>
          </w:tcPr>
          <w:p w14:paraId="7DBCF4E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1.69</w:t>
            </w:r>
          </w:p>
        </w:tc>
        <w:tc>
          <w:tcPr>
            <w:tcW w:w="721" w:type="pct"/>
            <w:tcBorders>
              <w:tl2br w:val="nil"/>
              <w:tr2bl w:val="nil"/>
            </w:tcBorders>
            <w:shd w:val="clear" w:color="auto" w:fill="auto"/>
            <w:vAlign w:val="center"/>
          </w:tcPr>
          <w:p w14:paraId="69827E3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1.72</w:t>
            </w:r>
          </w:p>
        </w:tc>
      </w:tr>
      <w:tr w14:paraId="699E5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78962EA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653" w:type="pct"/>
            <w:tcBorders>
              <w:tl2br w:val="nil"/>
              <w:tr2bl w:val="nil"/>
            </w:tcBorders>
            <w:shd w:val="clear" w:color="auto" w:fill="auto"/>
            <w:vAlign w:val="center"/>
          </w:tcPr>
          <w:p w14:paraId="10258341">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下风向14#</w:t>
            </w:r>
          </w:p>
        </w:tc>
        <w:tc>
          <w:tcPr>
            <w:tcW w:w="712" w:type="pct"/>
            <w:vMerge w:val="continue"/>
            <w:tcBorders>
              <w:tl2br w:val="nil"/>
              <w:tr2bl w:val="nil"/>
            </w:tcBorders>
            <w:shd w:val="clear" w:color="auto" w:fill="auto"/>
            <w:vAlign w:val="center"/>
          </w:tcPr>
          <w:p w14:paraId="10B5BDD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7B8A815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1.79</w:t>
            </w:r>
          </w:p>
        </w:tc>
        <w:tc>
          <w:tcPr>
            <w:tcW w:w="712" w:type="pct"/>
            <w:tcBorders>
              <w:tl2br w:val="nil"/>
              <w:tr2bl w:val="nil"/>
            </w:tcBorders>
            <w:shd w:val="clear" w:color="auto" w:fill="auto"/>
            <w:vAlign w:val="center"/>
          </w:tcPr>
          <w:p w14:paraId="2C5617B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1.82</w:t>
            </w:r>
          </w:p>
        </w:tc>
        <w:tc>
          <w:tcPr>
            <w:tcW w:w="714" w:type="pct"/>
            <w:tcBorders>
              <w:tl2br w:val="nil"/>
              <w:tr2bl w:val="nil"/>
            </w:tcBorders>
            <w:shd w:val="clear" w:color="auto" w:fill="auto"/>
            <w:vAlign w:val="center"/>
          </w:tcPr>
          <w:p w14:paraId="52F7B3A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1.83</w:t>
            </w:r>
          </w:p>
        </w:tc>
        <w:tc>
          <w:tcPr>
            <w:tcW w:w="721" w:type="pct"/>
            <w:tcBorders>
              <w:tl2br w:val="nil"/>
              <w:tr2bl w:val="nil"/>
            </w:tcBorders>
            <w:shd w:val="clear" w:color="auto" w:fill="auto"/>
            <w:vAlign w:val="center"/>
          </w:tcPr>
          <w:p w14:paraId="5C7C4AD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1.84</w:t>
            </w:r>
          </w:p>
        </w:tc>
      </w:tr>
      <w:tr w14:paraId="0FC9D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7353235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653" w:type="pct"/>
            <w:tcBorders>
              <w:tl2br w:val="nil"/>
              <w:tr2bl w:val="nil"/>
            </w:tcBorders>
            <w:shd w:val="clear" w:color="auto" w:fill="auto"/>
            <w:vAlign w:val="center"/>
          </w:tcPr>
          <w:p w14:paraId="2B9AA471">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下风向15#</w:t>
            </w:r>
          </w:p>
        </w:tc>
        <w:tc>
          <w:tcPr>
            <w:tcW w:w="712" w:type="pct"/>
            <w:vMerge w:val="continue"/>
            <w:tcBorders>
              <w:tl2br w:val="nil"/>
              <w:tr2bl w:val="nil"/>
            </w:tcBorders>
            <w:shd w:val="clear" w:color="auto" w:fill="auto"/>
            <w:vAlign w:val="center"/>
          </w:tcPr>
          <w:p w14:paraId="3E269F6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1C4366A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1.85</w:t>
            </w:r>
          </w:p>
        </w:tc>
        <w:tc>
          <w:tcPr>
            <w:tcW w:w="712" w:type="pct"/>
            <w:tcBorders>
              <w:tl2br w:val="nil"/>
              <w:tr2bl w:val="nil"/>
            </w:tcBorders>
            <w:shd w:val="clear" w:color="auto" w:fill="auto"/>
            <w:vAlign w:val="center"/>
          </w:tcPr>
          <w:p w14:paraId="41CDA23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1.86</w:t>
            </w:r>
          </w:p>
        </w:tc>
        <w:tc>
          <w:tcPr>
            <w:tcW w:w="714" w:type="pct"/>
            <w:tcBorders>
              <w:tl2br w:val="nil"/>
              <w:tr2bl w:val="nil"/>
            </w:tcBorders>
            <w:shd w:val="clear" w:color="auto" w:fill="auto"/>
            <w:vAlign w:val="center"/>
          </w:tcPr>
          <w:p w14:paraId="2717A70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1.86</w:t>
            </w:r>
          </w:p>
        </w:tc>
        <w:tc>
          <w:tcPr>
            <w:tcW w:w="721" w:type="pct"/>
            <w:tcBorders>
              <w:tl2br w:val="nil"/>
              <w:tr2bl w:val="nil"/>
            </w:tcBorders>
            <w:shd w:val="clear" w:color="auto" w:fill="auto"/>
            <w:vAlign w:val="center"/>
          </w:tcPr>
          <w:p w14:paraId="593416D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1.88</w:t>
            </w:r>
          </w:p>
        </w:tc>
      </w:tr>
      <w:tr w14:paraId="0BFD8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69F6A69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653" w:type="pct"/>
            <w:tcBorders>
              <w:tl2br w:val="nil"/>
              <w:tr2bl w:val="nil"/>
            </w:tcBorders>
            <w:shd w:val="clear" w:color="auto" w:fill="auto"/>
            <w:vAlign w:val="center"/>
          </w:tcPr>
          <w:p w14:paraId="02D6346A">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下风向16#</w:t>
            </w:r>
          </w:p>
        </w:tc>
        <w:tc>
          <w:tcPr>
            <w:tcW w:w="712" w:type="pct"/>
            <w:vMerge w:val="continue"/>
            <w:tcBorders>
              <w:tl2br w:val="nil"/>
              <w:tr2bl w:val="nil"/>
            </w:tcBorders>
            <w:shd w:val="clear" w:color="auto" w:fill="auto"/>
            <w:vAlign w:val="center"/>
          </w:tcPr>
          <w:p w14:paraId="7FE1D5C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28FE269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1.91</w:t>
            </w:r>
          </w:p>
        </w:tc>
        <w:tc>
          <w:tcPr>
            <w:tcW w:w="712" w:type="pct"/>
            <w:tcBorders>
              <w:tl2br w:val="nil"/>
              <w:tr2bl w:val="nil"/>
            </w:tcBorders>
            <w:shd w:val="clear" w:color="auto" w:fill="auto"/>
            <w:vAlign w:val="center"/>
          </w:tcPr>
          <w:p w14:paraId="15DBA43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1.93</w:t>
            </w:r>
          </w:p>
        </w:tc>
        <w:tc>
          <w:tcPr>
            <w:tcW w:w="714" w:type="pct"/>
            <w:tcBorders>
              <w:tl2br w:val="nil"/>
              <w:tr2bl w:val="nil"/>
            </w:tcBorders>
            <w:shd w:val="clear" w:color="auto" w:fill="auto"/>
            <w:vAlign w:val="center"/>
          </w:tcPr>
          <w:p w14:paraId="19F2AD6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1.94</w:t>
            </w:r>
          </w:p>
        </w:tc>
        <w:tc>
          <w:tcPr>
            <w:tcW w:w="721" w:type="pct"/>
            <w:tcBorders>
              <w:tl2br w:val="nil"/>
              <w:tr2bl w:val="nil"/>
            </w:tcBorders>
            <w:shd w:val="clear" w:color="auto" w:fill="auto"/>
            <w:vAlign w:val="center"/>
          </w:tcPr>
          <w:p w14:paraId="32E9A59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1.96</w:t>
            </w:r>
          </w:p>
        </w:tc>
      </w:tr>
      <w:tr w14:paraId="3A5B1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restart"/>
            <w:tcBorders>
              <w:tl2br w:val="nil"/>
              <w:tr2bl w:val="nil"/>
            </w:tcBorders>
            <w:shd w:val="clear" w:color="auto" w:fill="auto"/>
            <w:vAlign w:val="center"/>
          </w:tcPr>
          <w:p w14:paraId="3775FD9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玛131转油站</w:t>
            </w:r>
          </w:p>
        </w:tc>
        <w:tc>
          <w:tcPr>
            <w:tcW w:w="653" w:type="pct"/>
            <w:tcBorders>
              <w:tl2br w:val="nil"/>
              <w:tr2bl w:val="nil"/>
            </w:tcBorders>
            <w:shd w:val="clear" w:color="auto" w:fill="auto"/>
            <w:vAlign w:val="center"/>
          </w:tcPr>
          <w:p w14:paraId="09FDE685">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上风向9#</w:t>
            </w:r>
          </w:p>
        </w:tc>
        <w:tc>
          <w:tcPr>
            <w:tcW w:w="712" w:type="pct"/>
            <w:vMerge w:val="restart"/>
            <w:tcBorders>
              <w:tl2br w:val="nil"/>
              <w:tr2bl w:val="nil"/>
            </w:tcBorders>
            <w:shd w:val="clear" w:color="auto" w:fill="auto"/>
            <w:vAlign w:val="center"/>
          </w:tcPr>
          <w:p w14:paraId="7148FE5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2025.5.25</w:t>
            </w:r>
          </w:p>
        </w:tc>
        <w:tc>
          <w:tcPr>
            <w:tcW w:w="712" w:type="pct"/>
            <w:tcBorders>
              <w:tl2br w:val="nil"/>
              <w:tr2bl w:val="nil"/>
            </w:tcBorders>
            <w:shd w:val="clear" w:color="auto" w:fill="auto"/>
            <w:vAlign w:val="center"/>
          </w:tcPr>
          <w:p w14:paraId="353F931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1.23</w:t>
            </w:r>
          </w:p>
        </w:tc>
        <w:tc>
          <w:tcPr>
            <w:tcW w:w="712" w:type="pct"/>
            <w:tcBorders>
              <w:tl2br w:val="nil"/>
              <w:tr2bl w:val="nil"/>
            </w:tcBorders>
            <w:shd w:val="clear" w:color="auto" w:fill="auto"/>
            <w:vAlign w:val="center"/>
          </w:tcPr>
          <w:p w14:paraId="10025D1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1.25</w:t>
            </w:r>
          </w:p>
        </w:tc>
        <w:tc>
          <w:tcPr>
            <w:tcW w:w="714" w:type="pct"/>
            <w:tcBorders>
              <w:tl2br w:val="nil"/>
              <w:tr2bl w:val="nil"/>
            </w:tcBorders>
            <w:shd w:val="clear" w:color="auto" w:fill="auto"/>
            <w:vAlign w:val="center"/>
          </w:tcPr>
          <w:p w14:paraId="7E79F37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1.27</w:t>
            </w:r>
          </w:p>
        </w:tc>
        <w:tc>
          <w:tcPr>
            <w:tcW w:w="721" w:type="pct"/>
            <w:tcBorders>
              <w:tl2br w:val="nil"/>
              <w:tr2bl w:val="nil"/>
            </w:tcBorders>
            <w:shd w:val="clear" w:color="auto" w:fill="auto"/>
            <w:vAlign w:val="center"/>
          </w:tcPr>
          <w:p w14:paraId="0357B87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1.28</w:t>
            </w:r>
          </w:p>
        </w:tc>
      </w:tr>
      <w:tr w14:paraId="6EEDF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374F156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653" w:type="pct"/>
            <w:tcBorders>
              <w:tl2br w:val="nil"/>
              <w:tr2bl w:val="nil"/>
            </w:tcBorders>
            <w:shd w:val="clear" w:color="auto" w:fill="auto"/>
            <w:vAlign w:val="center"/>
          </w:tcPr>
          <w:p w14:paraId="670B2175">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下风向10#</w:t>
            </w:r>
          </w:p>
        </w:tc>
        <w:tc>
          <w:tcPr>
            <w:tcW w:w="712" w:type="pct"/>
            <w:vMerge w:val="continue"/>
            <w:tcBorders>
              <w:tl2br w:val="nil"/>
              <w:tr2bl w:val="nil"/>
            </w:tcBorders>
            <w:shd w:val="clear" w:color="auto" w:fill="auto"/>
            <w:vAlign w:val="center"/>
          </w:tcPr>
          <w:p w14:paraId="37F986A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5967BD5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1.33</w:t>
            </w:r>
          </w:p>
        </w:tc>
        <w:tc>
          <w:tcPr>
            <w:tcW w:w="712" w:type="pct"/>
            <w:tcBorders>
              <w:tl2br w:val="nil"/>
              <w:tr2bl w:val="nil"/>
            </w:tcBorders>
            <w:shd w:val="clear" w:color="auto" w:fill="auto"/>
            <w:vAlign w:val="center"/>
          </w:tcPr>
          <w:p w14:paraId="5436A52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1.35</w:t>
            </w:r>
          </w:p>
        </w:tc>
        <w:tc>
          <w:tcPr>
            <w:tcW w:w="714" w:type="pct"/>
            <w:tcBorders>
              <w:tl2br w:val="nil"/>
              <w:tr2bl w:val="nil"/>
            </w:tcBorders>
            <w:shd w:val="clear" w:color="auto" w:fill="auto"/>
            <w:vAlign w:val="center"/>
          </w:tcPr>
          <w:p w14:paraId="2D5E494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1.35</w:t>
            </w:r>
          </w:p>
        </w:tc>
        <w:tc>
          <w:tcPr>
            <w:tcW w:w="721" w:type="pct"/>
            <w:tcBorders>
              <w:tl2br w:val="nil"/>
              <w:tr2bl w:val="nil"/>
            </w:tcBorders>
            <w:shd w:val="clear" w:color="auto" w:fill="auto"/>
            <w:vAlign w:val="center"/>
          </w:tcPr>
          <w:p w14:paraId="04ABABA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1.38</w:t>
            </w:r>
          </w:p>
        </w:tc>
      </w:tr>
      <w:tr w14:paraId="3EDFC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741CC9E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653" w:type="pct"/>
            <w:tcBorders>
              <w:tl2br w:val="nil"/>
              <w:tr2bl w:val="nil"/>
            </w:tcBorders>
            <w:shd w:val="clear" w:color="auto" w:fill="auto"/>
            <w:vAlign w:val="center"/>
          </w:tcPr>
          <w:p w14:paraId="71A70EEC">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下风向11#</w:t>
            </w:r>
          </w:p>
        </w:tc>
        <w:tc>
          <w:tcPr>
            <w:tcW w:w="712" w:type="pct"/>
            <w:vMerge w:val="continue"/>
            <w:tcBorders>
              <w:tl2br w:val="nil"/>
              <w:tr2bl w:val="nil"/>
            </w:tcBorders>
            <w:shd w:val="clear" w:color="auto" w:fill="auto"/>
            <w:vAlign w:val="center"/>
          </w:tcPr>
          <w:p w14:paraId="08F61EA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528E457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1.44</w:t>
            </w:r>
          </w:p>
        </w:tc>
        <w:tc>
          <w:tcPr>
            <w:tcW w:w="712" w:type="pct"/>
            <w:tcBorders>
              <w:tl2br w:val="nil"/>
              <w:tr2bl w:val="nil"/>
            </w:tcBorders>
            <w:shd w:val="clear" w:color="auto" w:fill="auto"/>
            <w:vAlign w:val="center"/>
          </w:tcPr>
          <w:p w14:paraId="442F8DA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1.45</w:t>
            </w:r>
          </w:p>
        </w:tc>
        <w:tc>
          <w:tcPr>
            <w:tcW w:w="714" w:type="pct"/>
            <w:tcBorders>
              <w:tl2br w:val="nil"/>
              <w:tr2bl w:val="nil"/>
            </w:tcBorders>
            <w:shd w:val="clear" w:color="auto" w:fill="auto"/>
            <w:vAlign w:val="center"/>
          </w:tcPr>
          <w:p w14:paraId="1C297EF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721" w:type="pct"/>
            <w:tcBorders>
              <w:tl2br w:val="nil"/>
              <w:tr2bl w:val="nil"/>
            </w:tcBorders>
            <w:shd w:val="clear" w:color="auto" w:fill="auto"/>
            <w:vAlign w:val="center"/>
          </w:tcPr>
          <w:p w14:paraId="6C3CFD1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1.48</w:t>
            </w:r>
          </w:p>
        </w:tc>
      </w:tr>
      <w:tr w14:paraId="15192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1DCFDC8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653" w:type="pct"/>
            <w:tcBorders>
              <w:tl2br w:val="nil"/>
              <w:tr2bl w:val="nil"/>
            </w:tcBorders>
            <w:shd w:val="clear" w:color="auto" w:fill="auto"/>
            <w:vAlign w:val="center"/>
          </w:tcPr>
          <w:p w14:paraId="24BBA2C0">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下风向12#</w:t>
            </w:r>
          </w:p>
        </w:tc>
        <w:tc>
          <w:tcPr>
            <w:tcW w:w="712" w:type="pct"/>
            <w:vMerge w:val="continue"/>
            <w:tcBorders>
              <w:tl2br w:val="nil"/>
              <w:tr2bl w:val="nil"/>
            </w:tcBorders>
            <w:shd w:val="clear" w:color="auto" w:fill="auto"/>
            <w:vAlign w:val="center"/>
          </w:tcPr>
          <w:p w14:paraId="1C08F5A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7957210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1.52</w:t>
            </w:r>
          </w:p>
        </w:tc>
        <w:tc>
          <w:tcPr>
            <w:tcW w:w="712" w:type="pct"/>
            <w:tcBorders>
              <w:tl2br w:val="nil"/>
              <w:tr2bl w:val="nil"/>
            </w:tcBorders>
            <w:shd w:val="clear" w:color="auto" w:fill="auto"/>
            <w:vAlign w:val="center"/>
          </w:tcPr>
          <w:p w14:paraId="552BC60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1.53</w:t>
            </w:r>
          </w:p>
        </w:tc>
        <w:tc>
          <w:tcPr>
            <w:tcW w:w="714" w:type="pct"/>
            <w:tcBorders>
              <w:tl2br w:val="nil"/>
              <w:tr2bl w:val="nil"/>
            </w:tcBorders>
            <w:shd w:val="clear" w:color="auto" w:fill="auto"/>
            <w:vAlign w:val="center"/>
          </w:tcPr>
          <w:p w14:paraId="7A28D43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1.56</w:t>
            </w:r>
          </w:p>
        </w:tc>
        <w:tc>
          <w:tcPr>
            <w:tcW w:w="721" w:type="pct"/>
            <w:tcBorders>
              <w:tl2br w:val="nil"/>
              <w:tr2bl w:val="nil"/>
            </w:tcBorders>
            <w:shd w:val="clear" w:color="auto" w:fill="auto"/>
            <w:vAlign w:val="center"/>
          </w:tcPr>
          <w:p w14:paraId="1C6FAA6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1.57</w:t>
            </w:r>
          </w:p>
        </w:tc>
      </w:tr>
      <w:tr w14:paraId="76A60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restart"/>
            <w:tcBorders>
              <w:tl2br w:val="nil"/>
              <w:tr2bl w:val="nil"/>
            </w:tcBorders>
            <w:shd w:val="clear" w:color="auto" w:fill="auto"/>
            <w:vAlign w:val="center"/>
          </w:tcPr>
          <w:p w14:paraId="0CBF93D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玛18转油站</w:t>
            </w:r>
          </w:p>
        </w:tc>
        <w:tc>
          <w:tcPr>
            <w:tcW w:w="653" w:type="pct"/>
            <w:tcBorders>
              <w:tl2br w:val="nil"/>
              <w:tr2bl w:val="nil"/>
            </w:tcBorders>
            <w:shd w:val="clear" w:color="auto" w:fill="auto"/>
            <w:vAlign w:val="center"/>
          </w:tcPr>
          <w:p w14:paraId="745E77EF">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上风向17#</w:t>
            </w:r>
          </w:p>
        </w:tc>
        <w:tc>
          <w:tcPr>
            <w:tcW w:w="712" w:type="pct"/>
            <w:vMerge w:val="restart"/>
            <w:tcBorders>
              <w:tl2br w:val="nil"/>
              <w:tr2bl w:val="nil"/>
            </w:tcBorders>
            <w:shd w:val="clear" w:color="auto" w:fill="auto"/>
            <w:vAlign w:val="center"/>
          </w:tcPr>
          <w:p w14:paraId="5E8438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2025.5.26</w:t>
            </w:r>
          </w:p>
        </w:tc>
        <w:tc>
          <w:tcPr>
            <w:tcW w:w="712" w:type="pct"/>
            <w:tcBorders>
              <w:tl2br w:val="nil"/>
              <w:tr2bl w:val="nil"/>
            </w:tcBorders>
            <w:shd w:val="clear" w:color="auto" w:fill="auto"/>
            <w:vAlign w:val="center"/>
          </w:tcPr>
          <w:p w14:paraId="766FEB6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1.12</w:t>
            </w:r>
          </w:p>
        </w:tc>
        <w:tc>
          <w:tcPr>
            <w:tcW w:w="712" w:type="pct"/>
            <w:tcBorders>
              <w:tl2br w:val="nil"/>
              <w:tr2bl w:val="nil"/>
            </w:tcBorders>
            <w:shd w:val="clear" w:color="auto" w:fill="auto"/>
            <w:vAlign w:val="center"/>
          </w:tcPr>
          <w:p w14:paraId="21BCD44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1.13</w:t>
            </w:r>
          </w:p>
        </w:tc>
        <w:tc>
          <w:tcPr>
            <w:tcW w:w="714" w:type="pct"/>
            <w:tcBorders>
              <w:tl2br w:val="nil"/>
              <w:tr2bl w:val="nil"/>
            </w:tcBorders>
            <w:shd w:val="clear" w:color="auto" w:fill="auto"/>
            <w:vAlign w:val="center"/>
          </w:tcPr>
          <w:p w14:paraId="4E13715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1.14</w:t>
            </w:r>
          </w:p>
        </w:tc>
        <w:tc>
          <w:tcPr>
            <w:tcW w:w="721" w:type="pct"/>
            <w:tcBorders>
              <w:tl2br w:val="nil"/>
              <w:tr2bl w:val="nil"/>
            </w:tcBorders>
            <w:shd w:val="clear" w:color="auto" w:fill="auto"/>
            <w:vAlign w:val="center"/>
          </w:tcPr>
          <w:p w14:paraId="169FDE0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1.17</w:t>
            </w:r>
          </w:p>
        </w:tc>
      </w:tr>
      <w:tr w14:paraId="21457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612981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653" w:type="pct"/>
            <w:tcBorders>
              <w:tl2br w:val="nil"/>
              <w:tr2bl w:val="nil"/>
            </w:tcBorders>
            <w:shd w:val="clear" w:color="auto" w:fill="auto"/>
            <w:vAlign w:val="center"/>
          </w:tcPr>
          <w:p w14:paraId="20321617">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下风向18#</w:t>
            </w:r>
          </w:p>
        </w:tc>
        <w:tc>
          <w:tcPr>
            <w:tcW w:w="712" w:type="pct"/>
            <w:vMerge w:val="continue"/>
            <w:tcBorders>
              <w:tl2br w:val="nil"/>
              <w:tr2bl w:val="nil"/>
            </w:tcBorders>
            <w:shd w:val="clear" w:color="auto" w:fill="auto"/>
            <w:vAlign w:val="center"/>
          </w:tcPr>
          <w:p w14:paraId="0CCB936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22696DC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1.24</w:t>
            </w:r>
          </w:p>
        </w:tc>
        <w:tc>
          <w:tcPr>
            <w:tcW w:w="712" w:type="pct"/>
            <w:tcBorders>
              <w:tl2br w:val="nil"/>
              <w:tr2bl w:val="nil"/>
            </w:tcBorders>
            <w:shd w:val="clear" w:color="auto" w:fill="auto"/>
            <w:vAlign w:val="center"/>
          </w:tcPr>
          <w:p w14:paraId="59BC5B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1.25</w:t>
            </w:r>
          </w:p>
        </w:tc>
        <w:tc>
          <w:tcPr>
            <w:tcW w:w="714" w:type="pct"/>
            <w:tcBorders>
              <w:tl2br w:val="nil"/>
              <w:tr2bl w:val="nil"/>
            </w:tcBorders>
            <w:shd w:val="clear" w:color="auto" w:fill="auto"/>
            <w:vAlign w:val="center"/>
          </w:tcPr>
          <w:p w14:paraId="7A4706B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1.27</w:t>
            </w:r>
          </w:p>
        </w:tc>
        <w:tc>
          <w:tcPr>
            <w:tcW w:w="721" w:type="pct"/>
            <w:tcBorders>
              <w:tl2br w:val="nil"/>
              <w:tr2bl w:val="nil"/>
            </w:tcBorders>
            <w:shd w:val="clear" w:color="auto" w:fill="auto"/>
            <w:vAlign w:val="center"/>
          </w:tcPr>
          <w:p w14:paraId="35C45DC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1.28</w:t>
            </w:r>
          </w:p>
        </w:tc>
      </w:tr>
      <w:tr w14:paraId="0E05B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7441C42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653" w:type="pct"/>
            <w:tcBorders>
              <w:tl2br w:val="nil"/>
              <w:tr2bl w:val="nil"/>
            </w:tcBorders>
            <w:shd w:val="clear" w:color="auto" w:fill="auto"/>
            <w:vAlign w:val="center"/>
          </w:tcPr>
          <w:p w14:paraId="5BB170D0">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下风向19#</w:t>
            </w:r>
          </w:p>
        </w:tc>
        <w:tc>
          <w:tcPr>
            <w:tcW w:w="712" w:type="pct"/>
            <w:vMerge w:val="continue"/>
            <w:tcBorders>
              <w:tl2br w:val="nil"/>
              <w:tr2bl w:val="nil"/>
            </w:tcBorders>
            <w:shd w:val="clear" w:color="auto" w:fill="auto"/>
            <w:vAlign w:val="center"/>
          </w:tcPr>
          <w:p w14:paraId="0F15874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595C7F3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1.31</w:t>
            </w:r>
          </w:p>
        </w:tc>
        <w:tc>
          <w:tcPr>
            <w:tcW w:w="712" w:type="pct"/>
            <w:tcBorders>
              <w:tl2br w:val="nil"/>
              <w:tr2bl w:val="nil"/>
            </w:tcBorders>
            <w:shd w:val="clear" w:color="auto" w:fill="auto"/>
            <w:vAlign w:val="center"/>
          </w:tcPr>
          <w:p w14:paraId="03617B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1.35</w:t>
            </w:r>
          </w:p>
        </w:tc>
        <w:tc>
          <w:tcPr>
            <w:tcW w:w="714" w:type="pct"/>
            <w:tcBorders>
              <w:tl2br w:val="nil"/>
              <w:tr2bl w:val="nil"/>
            </w:tcBorders>
            <w:shd w:val="clear" w:color="auto" w:fill="auto"/>
            <w:vAlign w:val="center"/>
          </w:tcPr>
          <w:p w14:paraId="5785B74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1.36</w:t>
            </w:r>
          </w:p>
        </w:tc>
        <w:tc>
          <w:tcPr>
            <w:tcW w:w="721" w:type="pct"/>
            <w:tcBorders>
              <w:tl2br w:val="nil"/>
              <w:tr2bl w:val="nil"/>
            </w:tcBorders>
            <w:shd w:val="clear" w:color="auto" w:fill="auto"/>
            <w:vAlign w:val="center"/>
          </w:tcPr>
          <w:p w14:paraId="6AD1A10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1.38</w:t>
            </w:r>
          </w:p>
        </w:tc>
      </w:tr>
      <w:tr w14:paraId="000FF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6970B77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653" w:type="pct"/>
            <w:tcBorders>
              <w:tl2br w:val="nil"/>
              <w:tr2bl w:val="nil"/>
            </w:tcBorders>
            <w:shd w:val="clear" w:color="auto" w:fill="auto"/>
            <w:vAlign w:val="center"/>
          </w:tcPr>
          <w:p w14:paraId="73D0D360">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下风向20#</w:t>
            </w:r>
          </w:p>
        </w:tc>
        <w:tc>
          <w:tcPr>
            <w:tcW w:w="712" w:type="pct"/>
            <w:vMerge w:val="continue"/>
            <w:tcBorders>
              <w:tl2br w:val="nil"/>
              <w:tr2bl w:val="nil"/>
            </w:tcBorders>
            <w:shd w:val="clear" w:color="auto" w:fill="auto"/>
            <w:vAlign w:val="center"/>
          </w:tcPr>
          <w:p w14:paraId="2E5C79C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3229B69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1.40</w:t>
            </w:r>
          </w:p>
        </w:tc>
        <w:tc>
          <w:tcPr>
            <w:tcW w:w="712" w:type="pct"/>
            <w:tcBorders>
              <w:tl2br w:val="nil"/>
              <w:tr2bl w:val="nil"/>
            </w:tcBorders>
            <w:shd w:val="clear" w:color="auto" w:fill="auto"/>
            <w:vAlign w:val="center"/>
          </w:tcPr>
          <w:p w14:paraId="3B2204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1.43</w:t>
            </w:r>
          </w:p>
        </w:tc>
        <w:tc>
          <w:tcPr>
            <w:tcW w:w="714" w:type="pct"/>
            <w:tcBorders>
              <w:tl2br w:val="nil"/>
              <w:tr2bl w:val="nil"/>
            </w:tcBorders>
            <w:shd w:val="clear" w:color="auto" w:fill="auto"/>
            <w:vAlign w:val="center"/>
          </w:tcPr>
          <w:p w14:paraId="3EC6C72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1.15</w:t>
            </w:r>
          </w:p>
        </w:tc>
        <w:tc>
          <w:tcPr>
            <w:tcW w:w="721" w:type="pct"/>
            <w:tcBorders>
              <w:tl2br w:val="nil"/>
              <w:tr2bl w:val="nil"/>
            </w:tcBorders>
            <w:shd w:val="clear" w:color="auto" w:fill="auto"/>
            <w:vAlign w:val="center"/>
          </w:tcPr>
          <w:p w14:paraId="69E25B1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1.47</w:t>
            </w:r>
          </w:p>
        </w:tc>
      </w:tr>
      <w:tr w14:paraId="612B7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restart"/>
            <w:tcBorders>
              <w:tl2br w:val="nil"/>
              <w:tr2bl w:val="nil"/>
            </w:tcBorders>
            <w:shd w:val="clear" w:color="auto" w:fill="auto"/>
            <w:vAlign w:val="center"/>
          </w:tcPr>
          <w:p w14:paraId="2E86BFC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艾湖2转油站</w:t>
            </w:r>
          </w:p>
        </w:tc>
        <w:tc>
          <w:tcPr>
            <w:tcW w:w="653" w:type="pct"/>
            <w:tcBorders>
              <w:tl2br w:val="nil"/>
              <w:tr2bl w:val="nil"/>
            </w:tcBorders>
            <w:shd w:val="clear" w:color="auto" w:fill="auto"/>
            <w:vAlign w:val="center"/>
          </w:tcPr>
          <w:p w14:paraId="7D69EB2F">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上风向21#</w:t>
            </w:r>
          </w:p>
        </w:tc>
        <w:tc>
          <w:tcPr>
            <w:tcW w:w="712" w:type="pct"/>
            <w:vMerge w:val="restart"/>
            <w:tcBorders>
              <w:tl2br w:val="nil"/>
              <w:tr2bl w:val="nil"/>
            </w:tcBorders>
            <w:shd w:val="clear" w:color="auto" w:fill="auto"/>
            <w:vAlign w:val="center"/>
          </w:tcPr>
          <w:p w14:paraId="1E090E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2025.5.26</w:t>
            </w:r>
          </w:p>
        </w:tc>
        <w:tc>
          <w:tcPr>
            <w:tcW w:w="712" w:type="pct"/>
            <w:tcBorders>
              <w:tl2br w:val="nil"/>
              <w:tr2bl w:val="nil"/>
            </w:tcBorders>
            <w:shd w:val="clear" w:color="auto" w:fill="auto"/>
            <w:vAlign w:val="center"/>
          </w:tcPr>
          <w:p w14:paraId="68DD4C3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1.50</w:t>
            </w:r>
          </w:p>
        </w:tc>
        <w:tc>
          <w:tcPr>
            <w:tcW w:w="712" w:type="pct"/>
            <w:tcBorders>
              <w:tl2br w:val="nil"/>
              <w:tr2bl w:val="nil"/>
            </w:tcBorders>
            <w:shd w:val="clear" w:color="auto" w:fill="auto"/>
            <w:vAlign w:val="center"/>
          </w:tcPr>
          <w:p w14:paraId="5FFFF72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1.51</w:t>
            </w:r>
          </w:p>
        </w:tc>
        <w:tc>
          <w:tcPr>
            <w:tcW w:w="714" w:type="pct"/>
            <w:tcBorders>
              <w:tl2br w:val="nil"/>
              <w:tr2bl w:val="nil"/>
            </w:tcBorders>
            <w:shd w:val="clear" w:color="auto" w:fill="auto"/>
            <w:vAlign w:val="center"/>
          </w:tcPr>
          <w:p w14:paraId="32171B6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1.52</w:t>
            </w:r>
          </w:p>
        </w:tc>
        <w:tc>
          <w:tcPr>
            <w:tcW w:w="721" w:type="pct"/>
            <w:tcBorders>
              <w:tl2br w:val="nil"/>
              <w:tr2bl w:val="nil"/>
            </w:tcBorders>
            <w:shd w:val="clear" w:color="auto" w:fill="auto"/>
            <w:vAlign w:val="center"/>
          </w:tcPr>
          <w:p w14:paraId="2AC8DA8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1.58</w:t>
            </w:r>
          </w:p>
        </w:tc>
      </w:tr>
      <w:tr w14:paraId="15892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6D63099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6FDCFEF1">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下风向22#</w:t>
            </w:r>
          </w:p>
        </w:tc>
        <w:tc>
          <w:tcPr>
            <w:tcW w:w="712" w:type="pct"/>
            <w:vMerge w:val="continue"/>
            <w:tcBorders>
              <w:tl2br w:val="nil"/>
              <w:tr2bl w:val="nil"/>
            </w:tcBorders>
            <w:shd w:val="clear" w:color="auto" w:fill="auto"/>
            <w:vAlign w:val="center"/>
          </w:tcPr>
          <w:p w14:paraId="0817C36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56F91D6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1.61</w:t>
            </w:r>
          </w:p>
        </w:tc>
        <w:tc>
          <w:tcPr>
            <w:tcW w:w="712" w:type="pct"/>
            <w:tcBorders>
              <w:tl2br w:val="nil"/>
              <w:tr2bl w:val="nil"/>
            </w:tcBorders>
            <w:shd w:val="clear" w:color="auto" w:fill="auto"/>
            <w:vAlign w:val="center"/>
          </w:tcPr>
          <w:p w14:paraId="4E6FA41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1.63</w:t>
            </w:r>
          </w:p>
        </w:tc>
        <w:tc>
          <w:tcPr>
            <w:tcW w:w="714" w:type="pct"/>
            <w:tcBorders>
              <w:tl2br w:val="nil"/>
              <w:tr2bl w:val="nil"/>
            </w:tcBorders>
            <w:shd w:val="clear" w:color="auto" w:fill="auto"/>
            <w:vAlign w:val="center"/>
          </w:tcPr>
          <w:p w14:paraId="5133DCE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1.66</w:t>
            </w:r>
          </w:p>
        </w:tc>
        <w:tc>
          <w:tcPr>
            <w:tcW w:w="721" w:type="pct"/>
            <w:tcBorders>
              <w:tl2br w:val="nil"/>
              <w:tr2bl w:val="nil"/>
            </w:tcBorders>
            <w:shd w:val="clear" w:color="auto" w:fill="auto"/>
            <w:vAlign w:val="center"/>
          </w:tcPr>
          <w:p w14:paraId="039A58B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1.67</w:t>
            </w:r>
          </w:p>
        </w:tc>
      </w:tr>
      <w:tr w14:paraId="4482C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13A9696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653" w:type="pct"/>
            <w:tcBorders>
              <w:tl2br w:val="nil"/>
              <w:tr2bl w:val="nil"/>
            </w:tcBorders>
            <w:shd w:val="clear" w:color="auto" w:fill="auto"/>
            <w:vAlign w:val="center"/>
          </w:tcPr>
          <w:p w14:paraId="310ADE08">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下风向23#</w:t>
            </w:r>
          </w:p>
        </w:tc>
        <w:tc>
          <w:tcPr>
            <w:tcW w:w="712" w:type="pct"/>
            <w:vMerge w:val="continue"/>
            <w:tcBorders>
              <w:tl2br w:val="nil"/>
              <w:tr2bl w:val="nil"/>
            </w:tcBorders>
            <w:shd w:val="clear" w:color="auto" w:fill="auto"/>
            <w:vAlign w:val="center"/>
          </w:tcPr>
          <w:p w14:paraId="34F2BC7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02318C6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1.70</w:t>
            </w:r>
          </w:p>
        </w:tc>
        <w:tc>
          <w:tcPr>
            <w:tcW w:w="712" w:type="pct"/>
            <w:tcBorders>
              <w:tl2br w:val="nil"/>
              <w:tr2bl w:val="nil"/>
            </w:tcBorders>
            <w:shd w:val="clear" w:color="auto" w:fill="auto"/>
            <w:vAlign w:val="center"/>
          </w:tcPr>
          <w:p w14:paraId="33CCE64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1.73</w:t>
            </w:r>
          </w:p>
        </w:tc>
        <w:tc>
          <w:tcPr>
            <w:tcW w:w="714" w:type="pct"/>
            <w:tcBorders>
              <w:tl2br w:val="nil"/>
              <w:tr2bl w:val="nil"/>
            </w:tcBorders>
            <w:shd w:val="clear" w:color="auto" w:fill="auto"/>
            <w:vAlign w:val="center"/>
          </w:tcPr>
          <w:p w14:paraId="2B4D20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1.76</w:t>
            </w:r>
          </w:p>
        </w:tc>
        <w:tc>
          <w:tcPr>
            <w:tcW w:w="721" w:type="pct"/>
            <w:tcBorders>
              <w:tl2br w:val="nil"/>
              <w:tr2bl w:val="nil"/>
            </w:tcBorders>
            <w:shd w:val="clear" w:color="auto" w:fill="auto"/>
            <w:vAlign w:val="center"/>
          </w:tcPr>
          <w:p w14:paraId="092107B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1.78</w:t>
            </w:r>
          </w:p>
        </w:tc>
      </w:tr>
      <w:tr w14:paraId="7ADF2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36FE9E5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0EB34681">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下风向24#</w:t>
            </w:r>
          </w:p>
        </w:tc>
        <w:tc>
          <w:tcPr>
            <w:tcW w:w="712" w:type="pct"/>
            <w:vMerge w:val="continue"/>
            <w:tcBorders>
              <w:tl2br w:val="nil"/>
              <w:tr2bl w:val="nil"/>
            </w:tcBorders>
            <w:shd w:val="clear" w:color="auto" w:fill="auto"/>
            <w:vAlign w:val="center"/>
          </w:tcPr>
          <w:p w14:paraId="1DB2068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79E9351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1.80</w:t>
            </w:r>
          </w:p>
        </w:tc>
        <w:tc>
          <w:tcPr>
            <w:tcW w:w="712" w:type="pct"/>
            <w:tcBorders>
              <w:tl2br w:val="nil"/>
              <w:tr2bl w:val="nil"/>
            </w:tcBorders>
            <w:shd w:val="clear" w:color="auto" w:fill="auto"/>
            <w:vAlign w:val="center"/>
          </w:tcPr>
          <w:p w14:paraId="04F550D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1.83</w:t>
            </w:r>
          </w:p>
        </w:tc>
        <w:tc>
          <w:tcPr>
            <w:tcW w:w="714" w:type="pct"/>
            <w:tcBorders>
              <w:tl2br w:val="nil"/>
              <w:tr2bl w:val="nil"/>
            </w:tcBorders>
            <w:shd w:val="clear" w:color="auto" w:fill="auto"/>
            <w:vAlign w:val="center"/>
          </w:tcPr>
          <w:p w14:paraId="3AA7256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1.85</w:t>
            </w:r>
          </w:p>
        </w:tc>
        <w:tc>
          <w:tcPr>
            <w:tcW w:w="721" w:type="pct"/>
            <w:tcBorders>
              <w:tl2br w:val="nil"/>
              <w:tr2bl w:val="nil"/>
            </w:tcBorders>
            <w:shd w:val="clear" w:color="auto" w:fill="auto"/>
            <w:vAlign w:val="center"/>
          </w:tcPr>
          <w:p w14:paraId="3E16E0C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1.88</w:t>
            </w:r>
          </w:p>
        </w:tc>
      </w:tr>
      <w:tr w14:paraId="4D2C7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restart"/>
            <w:tcBorders>
              <w:tl2br w:val="nil"/>
              <w:tr2bl w:val="nil"/>
            </w:tcBorders>
            <w:shd w:val="clear" w:color="auto" w:fill="auto"/>
            <w:vAlign w:val="center"/>
          </w:tcPr>
          <w:p w14:paraId="6B912FA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MaHW6103井</w:t>
            </w:r>
          </w:p>
        </w:tc>
        <w:tc>
          <w:tcPr>
            <w:tcW w:w="653" w:type="pct"/>
            <w:tcBorders>
              <w:tl2br w:val="nil"/>
              <w:tr2bl w:val="nil"/>
            </w:tcBorders>
            <w:shd w:val="clear" w:color="auto" w:fill="auto"/>
            <w:vAlign w:val="center"/>
          </w:tcPr>
          <w:p w14:paraId="4BE4D9EC">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上风向33#</w:t>
            </w:r>
          </w:p>
        </w:tc>
        <w:tc>
          <w:tcPr>
            <w:tcW w:w="712" w:type="pct"/>
            <w:vMerge w:val="restart"/>
            <w:tcBorders>
              <w:tl2br w:val="nil"/>
              <w:tr2bl w:val="nil"/>
            </w:tcBorders>
            <w:shd w:val="clear" w:color="auto" w:fill="auto"/>
            <w:vAlign w:val="center"/>
          </w:tcPr>
          <w:p w14:paraId="230289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2025.5.29</w:t>
            </w:r>
          </w:p>
        </w:tc>
        <w:tc>
          <w:tcPr>
            <w:tcW w:w="712" w:type="pct"/>
            <w:tcBorders>
              <w:tl2br w:val="nil"/>
              <w:tr2bl w:val="nil"/>
            </w:tcBorders>
            <w:shd w:val="clear" w:color="auto" w:fill="auto"/>
            <w:vAlign w:val="center"/>
          </w:tcPr>
          <w:p w14:paraId="4238230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1.22</w:t>
            </w:r>
          </w:p>
        </w:tc>
        <w:tc>
          <w:tcPr>
            <w:tcW w:w="712" w:type="pct"/>
            <w:tcBorders>
              <w:tl2br w:val="nil"/>
              <w:tr2bl w:val="nil"/>
            </w:tcBorders>
            <w:shd w:val="clear" w:color="auto" w:fill="auto"/>
            <w:vAlign w:val="center"/>
          </w:tcPr>
          <w:p w14:paraId="27445A3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1.24</w:t>
            </w:r>
          </w:p>
        </w:tc>
        <w:tc>
          <w:tcPr>
            <w:tcW w:w="714" w:type="pct"/>
            <w:tcBorders>
              <w:tl2br w:val="nil"/>
              <w:tr2bl w:val="nil"/>
            </w:tcBorders>
            <w:shd w:val="clear" w:color="auto" w:fill="auto"/>
            <w:vAlign w:val="center"/>
          </w:tcPr>
          <w:p w14:paraId="485566C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1.25</w:t>
            </w:r>
          </w:p>
        </w:tc>
        <w:tc>
          <w:tcPr>
            <w:tcW w:w="721" w:type="pct"/>
            <w:tcBorders>
              <w:tl2br w:val="nil"/>
              <w:tr2bl w:val="nil"/>
            </w:tcBorders>
            <w:shd w:val="clear" w:color="auto" w:fill="auto"/>
            <w:vAlign w:val="center"/>
          </w:tcPr>
          <w:p w14:paraId="40B7032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1.28</w:t>
            </w:r>
          </w:p>
        </w:tc>
      </w:tr>
      <w:tr w14:paraId="2E5DD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7C2EDA3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1B522D55">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下风向34#</w:t>
            </w:r>
          </w:p>
        </w:tc>
        <w:tc>
          <w:tcPr>
            <w:tcW w:w="712" w:type="pct"/>
            <w:vMerge w:val="continue"/>
            <w:tcBorders>
              <w:tl2br w:val="nil"/>
              <w:tr2bl w:val="nil"/>
            </w:tcBorders>
            <w:shd w:val="clear" w:color="auto" w:fill="auto"/>
            <w:vAlign w:val="center"/>
          </w:tcPr>
          <w:p w14:paraId="27E33FC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2CBC7A1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1.31</w:t>
            </w:r>
          </w:p>
        </w:tc>
        <w:tc>
          <w:tcPr>
            <w:tcW w:w="712" w:type="pct"/>
            <w:tcBorders>
              <w:tl2br w:val="nil"/>
              <w:tr2bl w:val="nil"/>
            </w:tcBorders>
            <w:shd w:val="clear" w:color="auto" w:fill="auto"/>
            <w:vAlign w:val="center"/>
          </w:tcPr>
          <w:p w14:paraId="2AC9C34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1.32</w:t>
            </w:r>
          </w:p>
        </w:tc>
        <w:tc>
          <w:tcPr>
            <w:tcW w:w="714" w:type="pct"/>
            <w:tcBorders>
              <w:tl2br w:val="nil"/>
              <w:tr2bl w:val="nil"/>
            </w:tcBorders>
            <w:shd w:val="clear" w:color="auto" w:fill="auto"/>
            <w:vAlign w:val="center"/>
          </w:tcPr>
          <w:p w14:paraId="71FA04E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1.34</w:t>
            </w:r>
          </w:p>
        </w:tc>
        <w:tc>
          <w:tcPr>
            <w:tcW w:w="721" w:type="pct"/>
            <w:tcBorders>
              <w:tl2br w:val="nil"/>
              <w:tr2bl w:val="nil"/>
            </w:tcBorders>
            <w:shd w:val="clear" w:color="auto" w:fill="auto"/>
            <w:vAlign w:val="center"/>
          </w:tcPr>
          <w:p w14:paraId="6135114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1.37</w:t>
            </w:r>
          </w:p>
        </w:tc>
      </w:tr>
      <w:tr w14:paraId="67324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66A04CD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360CF330">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下风向35#</w:t>
            </w:r>
          </w:p>
        </w:tc>
        <w:tc>
          <w:tcPr>
            <w:tcW w:w="712" w:type="pct"/>
            <w:vMerge w:val="continue"/>
            <w:tcBorders>
              <w:tl2br w:val="nil"/>
              <w:tr2bl w:val="nil"/>
            </w:tcBorders>
            <w:shd w:val="clear" w:color="auto" w:fill="auto"/>
            <w:vAlign w:val="center"/>
          </w:tcPr>
          <w:p w14:paraId="63AD29E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6B7CC3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1.39</w:t>
            </w:r>
          </w:p>
        </w:tc>
        <w:tc>
          <w:tcPr>
            <w:tcW w:w="712" w:type="pct"/>
            <w:tcBorders>
              <w:tl2br w:val="nil"/>
              <w:tr2bl w:val="nil"/>
            </w:tcBorders>
            <w:shd w:val="clear" w:color="auto" w:fill="auto"/>
            <w:vAlign w:val="center"/>
          </w:tcPr>
          <w:p w14:paraId="14BA480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1.43</w:t>
            </w:r>
          </w:p>
        </w:tc>
        <w:tc>
          <w:tcPr>
            <w:tcW w:w="714" w:type="pct"/>
            <w:tcBorders>
              <w:tl2br w:val="nil"/>
              <w:tr2bl w:val="nil"/>
            </w:tcBorders>
            <w:shd w:val="clear" w:color="auto" w:fill="auto"/>
            <w:vAlign w:val="center"/>
          </w:tcPr>
          <w:p w14:paraId="5AD8D96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721" w:type="pct"/>
            <w:tcBorders>
              <w:tl2br w:val="nil"/>
              <w:tr2bl w:val="nil"/>
            </w:tcBorders>
            <w:shd w:val="clear" w:color="auto" w:fill="auto"/>
            <w:vAlign w:val="center"/>
          </w:tcPr>
          <w:p w14:paraId="41541A3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1.48</w:t>
            </w:r>
          </w:p>
        </w:tc>
      </w:tr>
      <w:tr w14:paraId="1CCE0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3758976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2B64F3CE">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下风向36#</w:t>
            </w:r>
          </w:p>
        </w:tc>
        <w:tc>
          <w:tcPr>
            <w:tcW w:w="712" w:type="pct"/>
            <w:vMerge w:val="continue"/>
            <w:tcBorders>
              <w:tl2br w:val="nil"/>
              <w:tr2bl w:val="nil"/>
            </w:tcBorders>
            <w:shd w:val="clear" w:color="auto" w:fill="auto"/>
            <w:vAlign w:val="center"/>
          </w:tcPr>
          <w:p w14:paraId="1A2E19D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77D48CD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1.52</w:t>
            </w:r>
          </w:p>
        </w:tc>
        <w:tc>
          <w:tcPr>
            <w:tcW w:w="712" w:type="pct"/>
            <w:tcBorders>
              <w:tl2br w:val="nil"/>
              <w:tr2bl w:val="nil"/>
            </w:tcBorders>
            <w:shd w:val="clear" w:color="auto" w:fill="auto"/>
            <w:vAlign w:val="center"/>
          </w:tcPr>
          <w:p w14:paraId="01302E1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1.55</w:t>
            </w:r>
          </w:p>
        </w:tc>
        <w:tc>
          <w:tcPr>
            <w:tcW w:w="714" w:type="pct"/>
            <w:tcBorders>
              <w:tl2br w:val="nil"/>
              <w:tr2bl w:val="nil"/>
            </w:tcBorders>
            <w:shd w:val="clear" w:color="auto" w:fill="auto"/>
            <w:vAlign w:val="center"/>
          </w:tcPr>
          <w:p w14:paraId="63F3941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1.58</w:t>
            </w:r>
          </w:p>
        </w:tc>
        <w:tc>
          <w:tcPr>
            <w:tcW w:w="721" w:type="pct"/>
            <w:tcBorders>
              <w:tl2br w:val="nil"/>
              <w:tr2bl w:val="nil"/>
            </w:tcBorders>
            <w:shd w:val="clear" w:color="auto" w:fill="auto"/>
            <w:vAlign w:val="center"/>
          </w:tcPr>
          <w:p w14:paraId="405867C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1.58</w:t>
            </w:r>
          </w:p>
        </w:tc>
      </w:tr>
      <w:tr w14:paraId="74374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restart"/>
            <w:tcBorders>
              <w:tl2br w:val="nil"/>
              <w:tr2bl w:val="nil"/>
            </w:tcBorders>
            <w:shd w:val="clear" w:color="auto" w:fill="auto"/>
            <w:vAlign w:val="center"/>
          </w:tcPr>
          <w:p w14:paraId="57B647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MaHW6291井</w:t>
            </w:r>
          </w:p>
        </w:tc>
        <w:tc>
          <w:tcPr>
            <w:tcW w:w="653" w:type="pct"/>
            <w:tcBorders>
              <w:tl2br w:val="nil"/>
              <w:tr2bl w:val="nil"/>
            </w:tcBorders>
            <w:shd w:val="clear" w:color="auto" w:fill="auto"/>
            <w:vAlign w:val="center"/>
          </w:tcPr>
          <w:p w14:paraId="52641D82">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上风向37#</w:t>
            </w:r>
          </w:p>
        </w:tc>
        <w:tc>
          <w:tcPr>
            <w:tcW w:w="712" w:type="pct"/>
            <w:vMerge w:val="restart"/>
            <w:tcBorders>
              <w:tl2br w:val="nil"/>
              <w:tr2bl w:val="nil"/>
            </w:tcBorders>
            <w:shd w:val="clear" w:color="auto" w:fill="auto"/>
            <w:vAlign w:val="center"/>
          </w:tcPr>
          <w:p w14:paraId="5DDB698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2025.5.30</w:t>
            </w:r>
          </w:p>
        </w:tc>
        <w:tc>
          <w:tcPr>
            <w:tcW w:w="712" w:type="pct"/>
            <w:tcBorders>
              <w:tl2br w:val="nil"/>
              <w:tr2bl w:val="nil"/>
            </w:tcBorders>
            <w:shd w:val="clear" w:color="auto" w:fill="auto"/>
            <w:vAlign w:val="center"/>
          </w:tcPr>
          <w:p w14:paraId="2ED9685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1.61</w:t>
            </w:r>
          </w:p>
        </w:tc>
        <w:tc>
          <w:tcPr>
            <w:tcW w:w="712" w:type="pct"/>
            <w:tcBorders>
              <w:tl2br w:val="nil"/>
              <w:tr2bl w:val="nil"/>
            </w:tcBorders>
            <w:shd w:val="clear" w:color="auto" w:fill="auto"/>
            <w:vAlign w:val="center"/>
          </w:tcPr>
          <w:p w14:paraId="484F1F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1.64</w:t>
            </w:r>
          </w:p>
        </w:tc>
        <w:tc>
          <w:tcPr>
            <w:tcW w:w="714" w:type="pct"/>
            <w:tcBorders>
              <w:tl2br w:val="nil"/>
              <w:tr2bl w:val="nil"/>
            </w:tcBorders>
            <w:shd w:val="clear" w:color="auto" w:fill="auto"/>
            <w:vAlign w:val="center"/>
          </w:tcPr>
          <w:p w14:paraId="1DF238D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1.66</w:t>
            </w:r>
          </w:p>
        </w:tc>
        <w:tc>
          <w:tcPr>
            <w:tcW w:w="721" w:type="pct"/>
            <w:tcBorders>
              <w:tl2br w:val="nil"/>
              <w:tr2bl w:val="nil"/>
            </w:tcBorders>
            <w:shd w:val="clear" w:color="auto" w:fill="auto"/>
            <w:vAlign w:val="center"/>
          </w:tcPr>
          <w:p w14:paraId="164D539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1.68</w:t>
            </w:r>
          </w:p>
        </w:tc>
      </w:tr>
      <w:tr w14:paraId="5B75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04CAE9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496328DA">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下风向38#</w:t>
            </w:r>
          </w:p>
        </w:tc>
        <w:tc>
          <w:tcPr>
            <w:tcW w:w="712" w:type="pct"/>
            <w:vMerge w:val="continue"/>
            <w:tcBorders>
              <w:tl2br w:val="nil"/>
              <w:tr2bl w:val="nil"/>
            </w:tcBorders>
            <w:shd w:val="clear" w:color="auto" w:fill="auto"/>
            <w:vAlign w:val="center"/>
          </w:tcPr>
          <w:p w14:paraId="3AD64A1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2188E5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1.71</w:t>
            </w:r>
          </w:p>
        </w:tc>
        <w:tc>
          <w:tcPr>
            <w:tcW w:w="712" w:type="pct"/>
            <w:tcBorders>
              <w:tl2br w:val="nil"/>
              <w:tr2bl w:val="nil"/>
            </w:tcBorders>
            <w:shd w:val="clear" w:color="auto" w:fill="auto"/>
            <w:vAlign w:val="center"/>
          </w:tcPr>
          <w:p w14:paraId="279E5E1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1.72</w:t>
            </w:r>
          </w:p>
        </w:tc>
        <w:tc>
          <w:tcPr>
            <w:tcW w:w="714" w:type="pct"/>
            <w:tcBorders>
              <w:tl2br w:val="nil"/>
              <w:tr2bl w:val="nil"/>
            </w:tcBorders>
            <w:shd w:val="clear" w:color="auto" w:fill="auto"/>
            <w:vAlign w:val="center"/>
          </w:tcPr>
          <w:p w14:paraId="03069C6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1.73</w:t>
            </w:r>
          </w:p>
        </w:tc>
        <w:tc>
          <w:tcPr>
            <w:tcW w:w="721" w:type="pct"/>
            <w:tcBorders>
              <w:tl2br w:val="nil"/>
              <w:tr2bl w:val="nil"/>
            </w:tcBorders>
            <w:shd w:val="clear" w:color="auto" w:fill="auto"/>
            <w:vAlign w:val="center"/>
          </w:tcPr>
          <w:p w14:paraId="5404224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1.75</w:t>
            </w:r>
          </w:p>
        </w:tc>
      </w:tr>
      <w:tr w14:paraId="22043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2B0C290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44CE16B7">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下风向39#</w:t>
            </w:r>
          </w:p>
        </w:tc>
        <w:tc>
          <w:tcPr>
            <w:tcW w:w="712" w:type="pct"/>
            <w:vMerge w:val="continue"/>
            <w:tcBorders>
              <w:tl2br w:val="nil"/>
              <w:tr2bl w:val="nil"/>
            </w:tcBorders>
            <w:shd w:val="clear" w:color="auto" w:fill="auto"/>
            <w:vAlign w:val="center"/>
          </w:tcPr>
          <w:p w14:paraId="15C9366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3210BC6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1.81</w:t>
            </w:r>
          </w:p>
        </w:tc>
        <w:tc>
          <w:tcPr>
            <w:tcW w:w="712" w:type="pct"/>
            <w:tcBorders>
              <w:tl2br w:val="nil"/>
              <w:tr2bl w:val="nil"/>
            </w:tcBorders>
            <w:shd w:val="clear" w:color="auto" w:fill="auto"/>
            <w:vAlign w:val="center"/>
          </w:tcPr>
          <w:p w14:paraId="2422042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1.82</w:t>
            </w:r>
          </w:p>
        </w:tc>
        <w:tc>
          <w:tcPr>
            <w:tcW w:w="714" w:type="pct"/>
            <w:tcBorders>
              <w:tl2br w:val="nil"/>
              <w:tr2bl w:val="nil"/>
            </w:tcBorders>
            <w:shd w:val="clear" w:color="auto" w:fill="auto"/>
            <w:vAlign w:val="center"/>
          </w:tcPr>
          <w:p w14:paraId="5B36610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1.84</w:t>
            </w:r>
          </w:p>
        </w:tc>
        <w:tc>
          <w:tcPr>
            <w:tcW w:w="721" w:type="pct"/>
            <w:tcBorders>
              <w:tl2br w:val="nil"/>
              <w:tr2bl w:val="nil"/>
            </w:tcBorders>
            <w:shd w:val="clear" w:color="auto" w:fill="auto"/>
            <w:vAlign w:val="center"/>
          </w:tcPr>
          <w:p w14:paraId="2B80766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1.88</w:t>
            </w:r>
          </w:p>
        </w:tc>
      </w:tr>
      <w:tr w14:paraId="4B761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682141E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0C821F40">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下风向40#</w:t>
            </w:r>
          </w:p>
        </w:tc>
        <w:tc>
          <w:tcPr>
            <w:tcW w:w="712" w:type="pct"/>
            <w:vMerge w:val="continue"/>
            <w:tcBorders>
              <w:tl2br w:val="nil"/>
              <w:tr2bl w:val="nil"/>
            </w:tcBorders>
            <w:shd w:val="clear" w:color="auto" w:fill="auto"/>
            <w:vAlign w:val="center"/>
          </w:tcPr>
          <w:p w14:paraId="1520EE6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5D93EEA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1.92</w:t>
            </w:r>
          </w:p>
        </w:tc>
        <w:tc>
          <w:tcPr>
            <w:tcW w:w="712" w:type="pct"/>
            <w:tcBorders>
              <w:tl2br w:val="nil"/>
              <w:tr2bl w:val="nil"/>
            </w:tcBorders>
            <w:shd w:val="clear" w:color="auto" w:fill="auto"/>
            <w:vAlign w:val="center"/>
          </w:tcPr>
          <w:p w14:paraId="730B1A0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1.93</w:t>
            </w:r>
          </w:p>
        </w:tc>
        <w:tc>
          <w:tcPr>
            <w:tcW w:w="714" w:type="pct"/>
            <w:tcBorders>
              <w:tl2br w:val="nil"/>
              <w:tr2bl w:val="nil"/>
            </w:tcBorders>
            <w:shd w:val="clear" w:color="auto" w:fill="auto"/>
            <w:vAlign w:val="center"/>
          </w:tcPr>
          <w:p w14:paraId="7C2A4DB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1.94</w:t>
            </w:r>
          </w:p>
        </w:tc>
        <w:tc>
          <w:tcPr>
            <w:tcW w:w="721" w:type="pct"/>
            <w:tcBorders>
              <w:tl2br w:val="nil"/>
              <w:tr2bl w:val="nil"/>
            </w:tcBorders>
            <w:shd w:val="clear" w:color="auto" w:fill="auto"/>
            <w:vAlign w:val="center"/>
          </w:tcPr>
          <w:p w14:paraId="43F577B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1.97</w:t>
            </w:r>
          </w:p>
        </w:tc>
      </w:tr>
      <w:tr w14:paraId="23FA5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restart"/>
            <w:tcBorders>
              <w:tl2br w:val="nil"/>
              <w:tr2bl w:val="nil"/>
            </w:tcBorders>
            <w:shd w:val="clear" w:color="auto" w:fill="auto"/>
            <w:vAlign w:val="center"/>
          </w:tcPr>
          <w:p w14:paraId="32118D6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XHW7202井</w:t>
            </w:r>
          </w:p>
        </w:tc>
        <w:tc>
          <w:tcPr>
            <w:tcW w:w="653" w:type="pct"/>
            <w:tcBorders>
              <w:tl2br w:val="nil"/>
              <w:tr2bl w:val="nil"/>
            </w:tcBorders>
            <w:shd w:val="clear" w:color="auto" w:fill="auto"/>
            <w:vAlign w:val="center"/>
          </w:tcPr>
          <w:p w14:paraId="78BA6989">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上风向1#</w:t>
            </w:r>
          </w:p>
        </w:tc>
        <w:tc>
          <w:tcPr>
            <w:tcW w:w="712" w:type="pct"/>
            <w:vMerge w:val="restart"/>
            <w:tcBorders>
              <w:tl2br w:val="nil"/>
              <w:tr2bl w:val="nil"/>
            </w:tcBorders>
            <w:shd w:val="clear" w:color="auto" w:fill="auto"/>
            <w:vAlign w:val="center"/>
          </w:tcPr>
          <w:p w14:paraId="2E4C2B5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2019.9.24</w:t>
            </w:r>
          </w:p>
        </w:tc>
        <w:tc>
          <w:tcPr>
            <w:tcW w:w="712" w:type="pct"/>
            <w:tcBorders>
              <w:tl2br w:val="nil"/>
              <w:tr2bl w:val="nil"/>
            </w:tcBorders>
            <w:shd w:val="clear" w:color="auto" w:fill="auto"/>
            <w:vAlign w:val="center"/>
          </w:tcPr>
          <w:p w14:paraId="4FB4B02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1.99</w:t>
            </w:r>
          </w:p>
        </w:tc>
        <w:tc>
          <w:tcPr>
            <w:tcW w:w="712" w:type="pct"/>
            <w:tcBorders>
              <w:tl2br w:val="nil"/>
              <w:tr2bl w:val="nil"/>
            </w:tcBorders>
            <w:shd w:val="clear" w:color="auto" w:fill="auto"/>
            <w:vAlign w:val="center"/>
          </w:tcPr>
          <w:p w14:paraId="62416FF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2.29</w:t>
            </w:r>
          </w:p>
        </w:tc>
        <w:tc>
          <w:tcPr>
            <w:tcW w:w="714" w:type="pct"/>
            <w:tcBorders>
              <w:tl2br w:val="nil"/>
              <w:tr2bl w:val="nil"/>
            </w:tcBorders>
            <w:shd w:val="clear" w:color="auto" w:fill="auto"/>
            <w:vAlign w:val="center"/>
          </w:tcPr>
          <w:p w14:paraId="5A2D1C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2.16</w:t>
            </w:r>
          </w:p>
        </w:tc>
        <w:tc>
          <w:tcPr>
            <w:tcW w:w="721" w:type="pct"/>
            <w:tcBorders>
              <w:tl2br w:val="nil"/>
              <w:tr2bl w:val="nil"/>
            </w:tcBorders>
            <w:shd w:val="clear" w:color="auto" w:fill="auto"/>
            <w:vAlign w:val="center"/>
          </w:tcPr>
          <w:p w14:paraId="6EED1DA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668E3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008BFCA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00FF47A4">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下风向2#</w:t>
            </w:r>
          </w:p>
        </w:tc>
        <w:tc>
          <w:tcPr>
            <w:tcW w:w="712" w:type="pct"/>
            <w:vMerge w:val="continue"/>
            <w:tcBorders>
              <w:tl2br w:val="nil"/>
              <w:tr2bl w:val="nil"/>
            </w:tcBorders>
            <w:shd w:val="clear" w:color="auto" w:fill="auto"/>
            <w:vAlign w:val="center"/>
          </w:tcPr>
          <w:p w14:paraId="60646AE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76C37C3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1.48</w:t>
            </w:r>
          </w:p>
        </w:tc>
        <w:tc>
          <w:tcPr>
            <w:tcW w:w="712" w:type="pct"/>
            <w:tcBorders>
              <w:tl2br w:val="nil"/>
              <w:tr2bl w:val="nil"/>
            </w:tcBorders>
            <w:shd w:val="clear" w:color="auto" w:fill="auto"/>
            <w:vAlign w:val="center"/>
          </w:tcPr>
          <w:p w14:paraId="31AC7C7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1.72</w:t>
            </w:r>
          </w:p>
        </w:tc>
        <w:tc>
          <w:tcPr>
            <w:tcW w:w="714" w:type="pct"/>
            <w:tcBorders>
              <w:tl2br w:val="nil"/>
              <w:tr2bl w:val="nil"/>
            </w:tcBorders>
            <w:shd w:val="clear" w:color="auto" w:fill="auto"/>
            <w:vAlign w:val="center"/>
          </w:tcPr>
          <w:p w14:paraId="6BD6F93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2.02</w:t>
            </w:r>
          </w:p>
        </w:tc>
        <w:tc>
          <w:tcPr>
            <w:tcW w:w="721" w:type="pct"/>
            <w:tcBorders>
              <w:tl2br w:val="nil"/>
              <w:tr2bl w:val="nil"/>
            </w:tcBorders>
            <w:shd w:val="clear" w:color="auto" w:fill="auto"/>
            <w:vAlign w:val="center"/>
          </w:tcPr>
          <w:p w14:paraId="650C667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1695F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135CBA8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27A0EC7E">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下风向3#</w:t>
            </w:r>
          </w:p>
        </w:tc>
        <w:tc>
          <w:tcPr>
            <w:tcW w:w="712" w:type="pct"/>
            <w:vMerge w:val="continue"/>
            <w:tcBorders>
              <w:tl2br w:val="nil"/>
              <w:tr2bl w:val="nil"/>
            </w:tcBorders>
            <w:shd w:val="clear" w:color="auto" w:fill="auto"/>
            <w:vAlign w:val="center"/>
          </w:tcPr>
          <w:p w14:paraId="065E94F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6D8C1D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2.00</w:t>
            </w:r>
          </w:p>
        </w:tc>
        <w:tc>
          <w:tcPr>
            <w:tcW w:w="712" w:type="pct"/>
            <w:tcBorders>
              <w:tl2br w:val="nil"/>
              <w:tr2bl w:val="nil"/>
            </w:tcBorders>
            <w:shd w:val="clear" w:color="auto" w:fill="auto"/>
            <w:vAlign w:val="center"/>
          </w:tcPr>
          <w:p w14:paraId="2B2B4A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2.23</w:t>
            </w:r>
          </w:p>
        </w:tc>
        <w:tc>
          <w:tcPr>
            <w:tcW w:w="714" w:type="pct"/>
            <w:tcBorders>
              <w:tl2br w:val="nil"/>
              <w:tr2bl w:val="nil"/>
            </w:tcBorders>
            <w:shd w:val="clear" w:color="auto" w:fill="auto"/>
            <w:vAlign w:val="center"/>
          </w:tcPr>
          <w:p w14:paraId="4162206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2.24</w:t>
            </w:r>
          </w:p>
        </w:tc>
        <w:tc>
          <w:tcPr>
            <w:tcW w:w="721" w:type="pct"/>
            <w:tcBorders>
              <w:tl2br w:val="nil"/>
              <w:tr2bl w:val="nil"/>
            </w:tcBorders>
            <w:shd w:val="clear" w:color="auto" w:fill="auto"/>
            <w:vAlign w:val="center"/>
          </w:tcPr>
          <w:p w14:paraId="5C396C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04477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5543AA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2D78F508">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下风向4#</w:t>
            </w:r>
          </w:p>
        </w:tc>
        <w:tc>
          <w:tcPr>
            <w:tcW w:w="712" w:type="pct"/>
            <w:vMerge w:val="continue"/>
            <w:tcBorders>
              <w:tl2br w:val="nil"/>
              <w:tr2bl w:val="nil"/>
            </w:tcBorders>
            <w:shd w:val="clear" w:color="auto" w:fill="auto"/>
            <w:vAlign w:val="center"/>
          </w:tcPr>
          <w:p w14:paraId="4365E29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0985DC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2.26</w:t>
            </w:r>
          </w:p>
        </w:tc>
        <w:tc>
          <w:tcPr>
            <w:tcW w:w="712" w:type="pct"/>
            <w:tcBorders>
              <w:tl2br w:val="nil"/>
              <w:tr2bl w:val="nil"/>
            </w:tcBorders>
            <w:shd w:val="clear" w:color="auto" w:fill="auto"/>
            <w:vAlign w:val="center"/>
          </w:tcPr>
          <w:p w14:paraId="48667D7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1.79</w:t>
            </w:r>
          </w:p>
        </w:tc>
        <w:tc>
          <w:tcPr>
            <w:tcW w:w="714" w:type="pct"/>
            <w:tcBorders>
              <w:tl2br w:val="nil"/>
              <w:tr2bl w:val="nil"/>
            </w:tcBorders>
            <w:shd w:val="clear" w:color="auto" w:fill="auto"/>
            <w:vAlign w:val="center"/>
          </w:tcPr>
          <w:p w14:paraId="7E81500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2.23</w:t>
            </w:r>
          </w:p>
        </w:tc>
        <w:tc>
          <w:tcPr>
            <w:tcW w:w="721" w:type="pct"/>
            <w:tcBorders>
              <w:tl2br w:val="nil"/>
              <w:tr2bl w:val="nil"/>
            </w:tcBorders>
            <w:shd w:val="clear" w:color="auto" w:fill="auto"/>
            <w:vAlign w:val="center"/>
          </w:tcPr>
          <w:p w14:paraId="61C8DA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0C0C1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5F496EF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243888D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上风向1#</w:t>
            </w:r>
          </w:p>
        </w:tc>
        <w:tc>
          <w:tcPr>
            <w:tcW w:w="712" w:type="pct"/>
            <w:vMerge w:val="restart"/>
            <w:tcBorders>
              <w:tl2br w:val="nil"/>
              <w:tr2bl w:val="nil"/>
            </w:tcBorders>
            <w:shd w:val="clear" w:color="auto" w:fill="auto"/>
            <w:vAlign w:val="center"/>
          </w:tcPr>
          <w:p w14:paraId="1D8F572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2019.9.25</w:t>
            </w:r>
          </w:p>
        </w:tc>
        <w:tc>
          <w:tcPr>
            <w:tcW w:w="712" w:type="pct"/>
            <w:tcBorders>
              <w:tl2br w:val="nil"/>
              <w:tr2bl w:val="nil"/>
            </w:tcBorders>
            <w:shd w:val="clear" w:color="auto" w:fill="auto"/>
            <w:vAlign w:val="center"/>
          </w:tcPr>
          <w:p w14:paraId="50F6AA5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2.21</w:t>
            </w:r>
          </w:p>
        </w:tc>
        <w:tc>
          <w:tcPr>
            <w:tcW w:w="712" w:type="pct"/>
            <w:tcBorders>
              <w:tl2br w:val="nil"/>
              <w:tr2bl w:val="nil"/>
            </w:tcBorders>
            <w:shd w:val="clear" w:color="auto" w:fill="auto"/>
            <w:vAlign w:val="center"/>
          </w:tcPr>
          <w:p w14:paraId="6A7925E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2.41</w:t>
            </w:r>
          </w:p>
        </w:tc>
        <w:tc>
          <w:tcPr>
            <w:tcW w:w="714" w:type="pct"/>
            <w:tcBorders>
              <w:tl2br w:val="nil"/>
              <w:tr2bl w:val="nil"/>
            </w:tcBorders>
            <w:shd w:val="clear" w:color="auto" w:fill="auto"/>
            <w:vAlign w:val="center"/>
          </w:tcPr>
          <w:p w14:paraId="0359B5D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2.18</w:t>
            </w:r>
          </w:p>
        </w:tc>
        <w:tc>
          <w:tcPr>
            <w:tcW w:w="721" w:type="pct"/>
            <w:tcBorders>
              <w:tl2br w:val="nil"/>
              <w:tr2bl w:val="nil"/>
            </w:tcBorders>
            <w:shd w:val="clear" w:color="auto" w:fill="auto"/>
            <w:vAlign w:val="center"/>
          </w:tcPr>
          <w:p w14:paraId="0AF5AAC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32533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65E1D6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42FC60B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下风向2#</w:t>
            </w:r>
          </w:p>
        </w:tc>
        <w:tc>
          <w:tcPr>
            <w:tcW w:w="712" w:type="pct"/>
            <w:vMerge w:val="continue"/>
            <w:tcBorders>
              <w:tl2br w:val="nil"/>
              <w:tr2bl w:val="nil"/>
            </w:tcBorders>
            <w:shd w:val="clear" w:color="auto" w:fill="auto"/>
            <w:vAlign w:val="center"/>
          </w:tcPr>
          <w:p w14:paraId="62D25A8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4F44C1D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1.69</w:t>
            </w:r>
          </w:p>
        </w:tc>
        <w:tc>
          <w:tcPr>
            <w:tcW w:w="712" w:type="pct"/>
            <w:tcBorders>
              <w:tl2br w:val="nil"/>
              <w:tr2bl w:val="nil"/>
            </w:tcBorders>
            <w:shd w:val="clear" w:color="auto" w:fill="auto"/>
            <w:vAlign w:val="center"/>
          </w:tcPr>
          <w:p w14:paraId="753595D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w:t>
            </w:r>
          </w:p>
        </w:tc>
        <w:tc>
          <w:tcPr>
            <w:tcW w:w="714" w:type="pct"/>
            <w:tcBorders>
              <w:tl2br w:val="nil"/>
              <w:tr2bl w:val="nil"/>
            </w:tcBorders>
            <w:shd w:val="clear" w:color="auto" w:fill="auto"/>
            <w:vAlign w:val="center"/>
          </w:tcPr>
          <w:p w14:paraId="105ACB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2.16</w:t>
            </w:r>
          </w:p>
        </w:tc>
        <w:tc>
          <w:tcPr>
            <w:tcW w:w="721" w:type="pct"/>
            <w:tcBorders>
              <w:tl2br w:val="nil"/>
              <w:tr2bl w:val="nil"/>
            </w:tcBorders>
            <w:shd w:val="clear" w:color="auto" w:fill="auto"/>
            <w:vAlign w:val="center"/>
          </w:tcPr>
          <w:p w14:paraId="374FE40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62EFC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4AED0F3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529BE40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下风向3#</w:t>
            </w:r>
          </w:p>
        </w:tc>
        <w:tc>
          <w:tcPr>
            <w:tcW w:w="712" w:type="pct"/>
            <w:vMerge w:val="continue"/>
            <w:tcBorders>
              <w:tl2br w:val="nil"/>
              <w:tr2bl w:val="nil"/>
            </w:tcBorders>
            <w:shd w:val="clear" w:color="auto" w:fill="auto"/>
            <w:vAlign w:val="center"/>
          </w:tcPr>
          <w:p w14:paraId="2C38006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3C30E9D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2.12</w:t>
            </w:r>
          </w:p>
        </w:tc>
        <w:tc>
          <w:tcPr>
            <w:tcW w:w="712" w:type="pct"/>
            <w:tcBorders>
              <w:tl2br w:val="nil"/>
              <w:tr2bl w:val="nil"/>
            </w:tcBorders>
            <w:shd w:val="clear" w:color="auto" w:fill="auto"/>
            <w:vAlign w:val="center"/>
          </w:tcPr>
          <w:p w14:paraId="682954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2.35</w:t>
            </w:r>
          </w:p>
        </w:tc>
        <w:tc>
          <w:tcPr>
            <w:tcW w:w="714" w:type="pct"/>
            <w:tcBorders>
              <w:tl2br w:val="nil"/>
              <w:tr2bl w:val="nil"/>
            </w:tcBorders>
            <w:shd w:val="clear" w:color="auto" w:fill="auto"/>
            <w:vAlign w:val="center"/>
          </w:tcPr>
          <w:p w14:paraId="4ABB9A5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2.22</w:t>
            </w:r>
          </w:p>
        </w:tc>
        <w:tc>
          <w:tcPr>
            <w:tcW w:w="721" w:type="pct"/>
            <w:tcBorders>
              <w:tl2br w:val="nil"/>
              <w:tr2bl w:val="nil"/>
            </w:tcBorders>
            <w:shd w:val="clear" w:color="auto" w:fill="auto"/>
            <w:vAlign w:val="center"/>
          </w:tcPr>
          <w:p w14:paraId="5D8A965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10552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7BD1EA1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660C697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下风向4#</w:t>
            </w:r>
          </w:p>
        </w:tc>
        <w:tc>
          <w:tcPr>
            <w:tcW w:w="712" w:type="pct"/>
            <w:vMerge w:val="continue"/>
            <w:tcBorders>
              <w:tl2br w:val="nil"/>
              <w:tr2bl w:val="nil"/>
            </w:tcBorders>
            <w:shd w:val="clear" w:color="auto" w:fill="auto"/>
            <w:vAlign w:val="center"/>
          </w:tcPr>
          <w:p w14:paraId="2441A1A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165AF2A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2.46</w:t>
            </w:r>
          </w:p>
        </w:tc>
        <w:tc>
          <w:tcPr>
            <w:tcW w:w="712" w:type="pct"/>
            <w:tcBorders>
              <w:tl2br w:val="nil"/>
              <w:tr2bl w:val="nil"/>
            </w:tcBorders>
            <w:shd w:val="clear" w:color="auto" w:fill="auto"/>
            <w:vAlign w:val="center"/>
          </w:tcPr>
          <w:p w14:paraId="0661E30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1.84</w:t>
            </w:r>
          </w:p>
        </w:tc>
        <w:tc>
          <w:tcPr>
            <w:tcW w:w="714" w:type="pct"/>
            <w:tcBorders>
              <w:tl2br w:val="nil"/>
              <w:tr2bl w:val="nil"/>
            </w:tcBorders>
            <w:shd w:val="clear" w:color="auto" w:fill="auto"/>
            <w:vAlign w:val="center"/>
          </w:tcPr>
          <w:p w14:paraId="25EBF7D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2.07</w:t>
            </w:r>
          </w:p>
        </w:tc>
        <w:tc>
          <w:tcPr>
            <w:tcW w:w="721" w:type="pct"/>
            <w:tcBorders>
              <w:tl2br w:val="nil"/>
              <w:tr2bl w:val="nil"/>
            </w:tcBorders>
            <w:shd w:val="clear" w:color="auto" w:fill="auto"/>
            <w:vAlign w:val="center"/>
          </w:tcPr>
          <w:p w14:paraId="5B48A1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0DE46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restart"/>
            <w:tcBorders>
              <w:tl2br w:val="nil"/>
              <w:tr2bl w:val="nil"/>
            </w:tcBorders>
            <w:shd w:val="clear" w:color="auto" w:fill="auto"/>
            <w:vAlign w:val="center"/>
          </w:tcPr>
          <w:p w14:paraId="727F0AA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MaHW2077井</w:t>
            </w:r>
          </w:p>
        </w:tc>
        <w:tc>
          <w:tcPr>
            <w:tcW w:w="653" w:type="pct"/>
            <w:tcBorders>
              <w:tl2br w:val="nil"/>
              <w:tr2bl w:val="nil"/>
            </w:tcBorders>
            <w:shd w:val="clear" w:color="auto" w:fill="auto"/>
            <w:vAlign w:val="center"/>
          </w:tcPr>
          <w:p w14:paraId="7A4CEFF0">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上风向12#</w:t>
            </w:r>
          </w:p>
        </w:tc>
        <w:tc>
          <w:tcPr>
            <w:tcW w:w="712" w:type="pct"/>
            <w:vMerge w:val="restart"/>
            <w:tcBorders>
              <w:tl2br w:val="nil"/>
              <w:tr2bl w:val="nil"/>
            </w:tcBorders>
            <w:shd w:val="clear" w:color="auto" w:fill="auto"/>
            <w:vAlign w:val="center"/>
          </w:tcPr>
          <w:p w14:paraId="1007D97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2024.11.4</w:t>
            </w:r>
          </w:p>
        </w:tc>
        <w:tc>
          <w:tcPr>
            <w:tcW w:w="712" w:type="pct"/>
            <w:tcBorders>
              <w:tl2br w:val="nil"/>
              <w:tr2bl w:val="nil"/>
            </w:tcBorders>
            <w:shd w:val="clear" w:color="auto" w:fill="auto"/>
            <w:vAlign w:val="center"/>
          </w:tcPr>
          <w:p w14:paraId="0A887C7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1.18</w:t>
            </w:r>
          </w:p>
        </w:tc>
        <w:tc>
          <w:tcPr>
            <w:tcW w:w="712" w:type="pct"/>
            <w:tcBorders>
              <w:tl2br w:val="nil"/>
              <w:tr2bl w:val="nil"/>
            </w:tcBorders>
            <w:shd w:val="clear" w:color="auto" w:fill="auto"/>
            <w:vAlign w:val="center"/>
          </w:tcPr>
          <w:p w14:paraId="53FF56E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1.18</w:t>
            </w:r>
          </w:p>
        </w:tc>
        <w:tc>
          <w:tcPr>
            <w:tcW w:w="714" w:type="pct"/>
            <w:tcBorders>
              <w:tl2br w:val="nil"/>
              <w:tr2bl w:val="nil"/>
            </w:tcBorders>
            <w:shd w:val="clear" w:color="auto" w:fill="auto"/>
            <w:vAlign w:val="center"/>
          </w:tcPr>
          <w:p w14:paraId="2D412C2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1.19</w:t>
            </w:r>
          </w:p>
        </w:tc>
        <w:tc>
          <w:tcPr>
            <w:tcW w:w="721" w:type="pct"/>
            <w:tcBorders>
              <w:tl2br w:val="nil"/>
              <w:tr2bl w:val="nil"/>
            </w:tcBorders>
            <w:shd w:val="clear" w:color="auto" w:fill="auto"/>
            <w:vAlign w:val="center"/>
          </w:tcPr>
          <w:p w14:paraId="7524AFF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1.18</w:t>
            </w:r>
          </w:p>
        </w:tc>
      </w:tr>
      <w:tr w14:paraId="6F247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56A2FD8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5E29AC1A">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下风向13#</w:t>
            </w:r>
          </w:p>
        </w:tc>
        <w:tc>
          <w:tcPr>
            <w:tcW w:w="712" w:type="pct"/>
            <w:vMerge w:val="continue"/>
            <w:tcBorders>
              <w:tl2br w:val="nil"/>
              <w:tr2bl w:val="nil"/>
            </w:tcBorders>
            <w:shd w:val="clear" w:color="auto" w:fill="auto"/>
            <w:vAlign w:val="center"/>
          </w:tcPr>
          <w:p w14:paraId="32507F5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670EBE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1.18</w:t>
            </w:r>
          </w:p>
        </w:tc>
        <w:tc>
          <w:tcPr>
            <w:tcW w:w="712" w:type="pct"/>
            <w:tcBorders>
              <w:tl2br w:val="nil"/>
              <w:tr2bl w:val="nil"/>
            </w:tcBorders>
            <w:shd w:val="clear" w:color="auto" w:fill="auto"/>
            <w:vAlign w:val="center"/>
          </w:tcPr>
          <w:p w14:paraId="1E9FE23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1.16</w:t>
            </w:r>
          </w:p>
        </w:tc>
        <w:tc>
          <w:tcPr>
            <w:tcW w:w="714" w:type="pct"/>
            <w:tcBorders>
              <w:tl2br w:val="nil"/>
              <w:tr2bl w:val="nil"/>
            </w:tcBorders>
            <w:shd w:val="clear" w:color="auto" w:fill="auto"/>
            <w:vAlign w:val="center"/>
          </w:tcPr>
          <w:p w14:paraId="6DE902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1.19</w:t>
            </w:r>
          </w:p>
        </w:tc>
        <w:tc>
          <w:tcPr>
            <w:tcW w:w="721" w:type="pct"/>
            <w:tcBorders>
              <w:tl2br w:val="nil"/>
              <w:tr2bl w:val="nil"/>
            </w:tcBorders>
            <w:shd w:val="clear" w:color="auto" w:fill="auto"/>
            <w:vAlign w:val="center"/>
          </w:tcPr>
          <w:p w14:paraId="5D0C196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1.20</w:t>
            </w:r>
          </w:p>
        </w:tc>
      </w:tr>
      <w:tr w14:paraId="6E0AE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0FD7E97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6E7D4271">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下风向14#</w:t>
            </w:r>
          </w:p>
        </w:tc>
        <w:tc>
          <w:tcPr>
            <w:tcW w:w="712" w:type="pct"/>
            <w:vMerge w:val="continue"/>
            <w:tcBorders>
              <w:tl2br w:val="nil"/>
              <w:tr2bl w:val="nil"/>
            </w:tcBorders>
            <w:shd w:val="clear" w:color="auto" w:fill="auto"/>
            <w:vAlign w:val="center"/>
          </w:tcPr>
          <w:p w14:paraId="035DE8B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075BCDA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1.18</w:t>
            </w:r>
          </w:p>
        </w:tc>
        <w:tc>
          <w:tcPr>
            <w:tcW w:w="712" w:type="pct"/>
            <w:tcBorders>
              <w:tl2br w:val="nil"/>
              <w:tr2bl w:val="nil"/>
            </w:tcBorders>
            <w:shd w:val="clear" w:color="auto" w:fill="auto"/>
            <w:vAlign w:val="center"/>
          </w:tcPr>
          <w:p w14:paraId="2AFCCA7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1.23</w:t>
            </w:r>
          </w:p>
        </w:tc>
        <w:tc>
          <w:tcPr>
            <w:tcW w:w="714" w:type="pct"/>
            <w:tcBorders>
              <w:tl2br w:val="nil"/>
              <w:tr2bl w:val="nil"/>
            </w:tcBorders>
            <w:shd w:val="clear" w:color="auto" w:fill="auto"/>
            <w:vAlign w:val="center"/>
          </w:tcPr>
          <w:p w14:paraId="3276D71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1.24</w:t>
            </w:r>
          </w:p>
        </w:tc>
        <w:tc>
          <w:tcPr>
            <w:tcW w:w="721" w:type="pct"/>
            <w:tcBorders>
              <w:tl2br w:val="nil"/>
              <w:tr2bl w:val="nil"/>
            </w:tcBorders>
            <w:shd w:val="clear" w:color="auto" w:fill="auto"/>
            <w:vAlign w:val="center"/>
          </w:tcPr>
          <w:p w14:paraId="5F15931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1.19</w:t>
            </w:r>
          </w:p>
        </w:tc>
      </w:tr>
      <w:tr w14:paraId="268B1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0EC1A00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17B199EA">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下风向15#</w:t>
            </w:r>
          </w:p>
        </w:tc>
        <w:tc>
          <w:tcPr>
            <w:tcW w:w="712" w:type="pct"/>
            <w:vMerge w:val="continue"/>
            <w:tcBorders>
              <w:tl2br w:val="nil"/>
              <w:tr2bl w:val="nil"/>
            </w:tcBorders>
            <w:shd w:val="clear" w:color="auto" w:fill="auto"/>
            <w:vAlign w:val="center"/>
          </w:tcPr>
          <w:p w14:paraId="6CD01B0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5857E15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1.47</w:t>
            </w:r>
          </w:p>
        </w:tc>
        <w:tc>
          <w:tcPr>
            <w:tcW w:w="712" w:type="pct"/>
            <w:tcBorders>
              <w:tl2br w:val="nil"/>
              <w:tr2bl w:val="nil"/>
            </w:tcBorders>
            <w:shd w:val="clear" w:color="auto" w:fill="auto"/>
            <w:vAlign w:val="center"/>
          </w:tcPr>
          <w:p w14:paraId="733A6F6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1.23</w:t>
            </w:r>
          </w:p>
        </w:tc>
        <w:tc>
          <w:tcPr>
            <w:tcW w:w="714" w:type="pct"/>
            <w:tcBorders>
              <w:tl2br w:val="nil"/>
              <w:tr2bl w:val="nil"/>
            </w:tcBorders>
            <w:shd w:val="clear" w:color="auto" w:fill="auto"/>
            <w:vAlign w:val="center"/>
          </w:tcPr>
          <w:p w14:paraId="5F59C40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1.21</w:t>
            </w:r>
          </w:p>
        </w:tc>
        <w:tc>
          <w:tcPr>
            <w:tcW w:w="721" w:type="pct"/>
            <w:tcBorders>
              <w:tl2br w:val="nil"/>
              <w:tr2bl w:val="nil"/>
            </w:tcBorders>
            <w:shd w:val="clear" w:color="auto" w:fill="auto"/>
            <w:vAlign w:val="center"/>
          </w:tcPr>
          <w:p w14:paraId="030D08E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1.21</w:t>
            </w:r>
          </w:p>
        </w:tc>
      </w:tr>
      <w:tr w14:paraId="746E9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2D8C78D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756BDA0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上风向12#</w:t>
            </w:r>
          </w:p>
        </w:tc>
        <w:tc>
          <w:tcPr>
            <w:tcW w:w="712" w:type="pct"/>
            <w:vMerge w:val="restart"/>
            <w:tcBorders>
              <w:tl2br w:val="nil"/>
              <w:tr2bl w:val="nil"/>
            </w:tcBorders>
            <w:shd w:val="clear" w:color="auto" w:fill="auto"/>
            <w:vAlign w:val="center"/>
          </w:tcPr>
          <w:p w14:paraId="500884A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2024.11.5</w:t>
            </w:r>
          </w:p>
        </w:tc>
        <w:tc>
          <w:tcPr>
            <w:tcW w:w="712" w:type="pct"/>
            <w:tcBorders>
              <w:tl2br w:val="nil"/>
              <w:tr2bl w:val="nil"/>
            </w:tcBorders>
            <w:shd w:val="clear" w:color="auto" w:fill="auto"/>
            <w:vAlign w:val="center"/>
          </w:tcPr>
          <w:p w14:paraId="31B875B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1.20</w:t>
            </w:r>
          </w:p>
        </w:tc>
        <w:tc>
          <w:tcPr>
            <w:tcW w:w="712" w:type="pct"/>
            <w:tcBorders>
              <w:tl2br w:val="nil"/>
              <w:tr2bl w:val="nil"/>
            </w:tcBorders>
            <w:shd w:val="clear" w:color="auto" w:fill="auto"/>
            <w:vAlign w:val="center"/>
          </w:tcPr>
          <w:p w14:paraId="66DC05B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1.20</w:t>
            </w:r>
          </w:p>
        </w:tc>
        <w:tc>
          <w:tcPr>
            <w:tcW w:w="714" w:type="pct"/>
            <w:tcBorders>
              <w:tl2br w:val="nil"/>
              <w:tr2bl w:val="nil"/>
            </w:tcBorders>
            <w:shd w:val="clear" w:color="auto" w:fill="auto"/>
            <w:vAlign w:val="center"/>
          </w:tcPr>
          <w:p w14:paraId="6989E26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1.20</w:t>
            </w:r>
          </w:p>
        </w:tc>
        <w:tc>
          <w:tcPr>
            <w:tcW w:w="721" w:type="pct"/>
            <w:tcBorders>
              <w:tl2br w:val="nil"/>
              <w:tr2bl w:val="nil"/>
            </w:tcBorders>
            <w:shd w:val="clear" w:color="auto" w:fill="auto"/>
            <w:vAlign w:val="center"/>
          </w:tcPr>
          <w:p w14:paraId="657AE08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1.16</w:t>
            </w:r>
          </w:p>
        </w:tc>
      </w:tr>
      <w:tr w14:paraId="0A7F7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6D2A1AB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55836F3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下风向13#</w:t>
            </w:r>
          </w:p>
        </w:tc>
        <w:tc>
          <w:tcPr>
            <w:tcW w:w="712" w:type="pct"/>
            <w:vMerge w:val="continue"/>
            <w:tcBorders>
              <w:tl2br w:val="nil"/>
              <w:tr2bl w:val="nil"/>
            </w:tcBorders>
            <w:shd w:val="clear" w:color="auto" w:fill="auto"/>
            <w:vAlign w:val="center"/>
          </w:tcPr>
          <w:p w14:paraId="7D7E876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1F4AE34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1.18</w:t>
            </w:r>
          </w:p>
        </w:tc>
        <w:tc>
          <w:tcPr>
            <w:tcW w:w="712" w:type="pct"/>
            <w:tcBorders>
              <w:tl2br w:val="nil"/>
              <w:tr2bl w:val="nil"/>
            </w:tcBorders>
            <w:shd w:val="clear" w:color="auto" w:fill="auto"/>
            <w:vAlign w:val="center"/>
          </w:tcPr>
          <w:p w14:paraId="6ED4EF0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1.19</w:t>
            </w:r>
          </w:p>
        </w:tc>
        <w:tc>
          <w:tcPr>
            <w:tcW w:w="714" w:type="pct"/>
            <w:tcBorders>
              <w:tl2br w:val="nil"/>
              <w:tr2bl w:val="nil"/>
            </w:tcBorders>
            <w:shd w:val="clear" w:color="auto" w:fill="auto"/>
            <w:vAlign w:val="center"/>
          </w:tcPr>
          <w:p w14:paraId="4A051E0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1.19</w:t>
            </w:r>
          </w:p>
        </w:tc>
        <w:tc>
          <w:tcPr>
            <w:tcW w:w="721" w:type="pct"/>
            <w:tcBorders>
              <w:tl2br w:val="nil"/>
              <w:tr2bl w:val="nil"/>
            </w:tcBorders>
            <w:shd w:val="clear" w:color="auto" w:fill="auto"/>
            <w:vAlign w:val="center"/>
          </w:tcPr>
          <w:p w14:paraId="09E45E2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1.24</w:t>
            </w:r>
          </w:p>
        </w:tc>
      </w:tr>
      <w:tr w14:paraId="4910B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5BC6793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47E93886">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下风向14#</w:t>
            </w:r>
          </w:p>
        </w:tc>
        <w:tc>
          <w:tcPr>
            <w:tcW w:w="712" w:type="pct"/>
            <w:vMerge w:val="continue"/>
            <w:tcBorders>
              <w:tl2br w:val="nil"/>
              <w:tr2bl w:val="nil"/>
            </w:tcBorders>
            <w:shd w:val="clear" w:color="auto" w:fill="auto"/>
            <w:vAlign w:val="center"/>
          </w:tcPr>
          <w:p w14:paraId="6F3106B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72DE43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1.19</w:t>
            </w:r>
          </w:p>
        </w:tc>
        <w:tc>
          <w:tcPr>
            <w:tcW w:w="712" w:type="pct"/>
            <w:tcBorders>
              <w:tl2br w:val="nil"/>
              <w:tr2bl w:val="nil"/>
            </w:tcBorders>
            <w:shd w:val="clear" w:color="auto" w:fill="auto"/>
            <w:vAlign w:val="center"/>
          </w:tcPr>
          <w:p w14:paraId="05DB837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1.49</w:t>
            </w:r>
          </w:p>
        </w:tc>
        <w:tc>
          <w:tcPr>
            <w:tcW w:w="714" w:type="pct"/>
            <w:tcBorders>
              <w:tl2br w:val="nil"/>
              <w:tr2bl w:val="nil"/>
            </w:tcBorders>
            <w:shd w:val="clear" w:color="auto" w:fill="auto"/>
            <w:vAlign w:val="center"/>
          </w:tcPr>
          <w:p w14:paraId="0FBCABC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1.23</w:t>
            </w:r>
          </w:p>
        </w:tc>
        <w:tc>
          <w:tcPr>
            <w:tcW w:w="721" w:type="pct"/>
            <w:tcBorders>
              <w:tl2br w:val="nil"/>
              <w:tr2bl w:val="nil"/>
            </w:tcBorders>
            <w:shd w:val="clear" w:color="auto" w:fill="auto"/>
            <w:vAlign w:val="center"/>
          </w:tcPr>
          <w:p w14:paraId="2E01F8E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1.19</w:t>
            </w:r>
          </w:p>
        </w:tc>
      </w:tr>
      <w:tr w14:paraId="30108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21D3CAD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7A05F7EC">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下风向15#</w:t>
            </w:r>
          </w:p>
        </w:tc>
        <w:tc>
          <w:tcPr>
            <w:tcW w:w="712" w:type="pct"/>
            <w:vMerge w:val="continue"/>
            <w:tcBorders>
              <w:tl2br w:val="nil"/>
              <w:tr2bl w:val="nil"/>
            </w:tcBorders>
            <w:shd w:val="clear" w:color="auto" w:fill="auto"/>
            <w:vAlign w:val="center"/>
          </w:tcPr>
          <w:p w14:paraId="780CC87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49A2D81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1.20</w:t>
            </w:r>
          </w:p>
        </w:tc>
        <w:tc>
          <w:tcPr>
            <w:tcW w:w="712" w:type="pct"/>
            <w:tcBorders>
              <w:tl2br w:val="nil"/>
              <w:tr2bl w:val="nil"/>
            </w:tcBorders>
            <w:shd w:val="clear" w:color="auto" w:fill="auto"/>
            <w:vAlign w:val="center"/>
          </w:tcPr>
          <w:p w14:paraId="0DCBA26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1.25</w:t>
            </w:r>
          </w:p>
        </w:tc>
        <w:tc>
          <w:tcPr>
            <w:tcW w:w="714" w:type="pct"/>
            <w:tcBorders>
              <w:tl2br w:val="nil"/>
              <w:tr2bl w:val="nil"/>
            </w:tcBorders>
            <w:shd w:val="clear" w:color="auto" w:fill="auto"/>
            <w:vAlign w:val="center"/>
          </w:tcPr>
          <w:p w14:paraId="52FE720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1.18</w:t>
            </w:r>
          </w:p>
        </w:tc>
        <w:tc>
          <w:tcPr>
            <w:tcW w:w="721" w:type="pct"/>
            <w:tcBorders>
              <w:tl2br w:val="nil"/>
              <w:tr2bl w:val="nil"/>
            </w:tcBorders>
            <w:shd w:val="clear" w:color="auto" w:fill="auto"/>
            <w:vAlign w:val="center"/>
          </w:tcPr>
          <w:p w14:paraId="46BAD6F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1.20</w:t>
            </w:r>
          </w:p>
        </w:tc>
      </w:tr>
      <w:tr w14:paraId="1D17B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restart"/>
            <w:tcBorders>
              <w:tl2br w:val="nil"/>
              <w:tr2bl w:val="nil"/>
            </w:tcBorders>
            <w:shd w:val="clear" w:color="auto" w:fill="auto"/>
            <w:vAlign w:val="center"/>
          </w:tcPr>
          <w:p w14:paraId="5B69D5A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7#计量站</w:t>
            </w:r>
          </w:p>
        </w:tc>
        <w:tc>
          <w:tcPr>
            <w:tcW w:w="653" w:type="pct"/>
            <w:tcBorders>
              <w:tl2br w:val="nil"/>
              <w:tr2bl w:val="nil"/>
            </w:tcBorders>
            <w:shd w:val="clear" w:color="auto" w:fill="auto"/>
            <w:vAlign w:val="center"/>
          </w:tcPr>
          <w:p w14:paraId="4C7E4D84">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上风向</w:t>
            </w:r>
          </w:p>
        </w:tc>
        <w:tc>
          <w:tcPr>
            <w:tcW w:w="712" w:type="pct"/>
            <w:vMerge w:val="restart"/>
            <w:tcBorders>
              <w:tl2br w:val="nil"/>
              <w:tr2bl w:val="nil"/>
            </w:tcBorders>
            <w:shd w:val="clear" w:color="auto" w:fill="auto"/>
            <w:vAlign w:val="center"/>
          </w:tcPr>
          <w:p w14:paraId="61B5F08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2020.12.14</w:t>
            </w:r>
          </w:p>
        </w:tc>
        <w:tc>
          <w:tcPr>
            <w:tcW w:w="712" w:type="pct"/>
            <w:tcBorders>
              <w:tl2br w:val="nil"/>
              <w:tr2bl w:val="nil"/>
            </w:tcBorders>
            <w:shd w:val="clear" w:color="auto" w:fill="auto"/>
            <w:vAlign w:val="center"/>
          </w:tcPr>
          <w:p w14:paraId="0F15668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1.14</w:t>
            </w:r>
          </w:p>
        </w:tc>
        <w:tc>
          <w:tcPr>
            <w:tcW w:w="712" w:type="pct"/>
            <w:tcBorders>
              <w:tl2br w:val="nil"/>
              <w:tr2bl w:val="nil"/>
            </w:tcBorders>
            <w:shd w:val="clear" w:color="auto" w:fill="auto"/>
            <w:vAlign w:val="center"/>
          </w:tcPr>
          <w:p w14:paraId="08A0E92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1.09</w:t>
            </w:r>
          </w:p>
        </w:tc>
        <w:tc>
          <w:tcPr>
            <w:tcW w:w="714" w:type="pct"/>
            <w:tcBorders>
              <w:tl2br w:val="nil"/>
              <w:tr2bl w:val="nil"/>
            </w:tcBorders>
            <w:shd w:val="clear" w:color="auto" w:fill="auto"/>
            <w:vAlign w:val="center"/>
          </w:tcPr>
          <w:p w14:paraId="550E365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1.11</w:t>
            </w:r>
          </w:p>
        </w:tc>
        <w:tc>
          <w:tcPr>
            <w:tcW w:w="1212" w:type="dxa"/>
            <w:tcBorders>
              <w:tl2br w:val="nil"/>
              <w:tr2bl w:val="nil"/>
            </w:tcBorders>
            <w:shd w:val="clear" w:color="auto" w:fill="auto"/>
            <w:vAlign w:val="center"/>
          </w:tcPr>
          <w:p w14:paraId="3727814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1D09D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5D2F353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3FD502CD">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下风向1#</w:t>
            </w:r>
          </w:p>
        </w:tc>
        <w:tc>
          <w:tcPr>
            <w:tcW w:w="712" w:type="pct"/>
            <w:vMerge w:val="continue"/>
            <w:tcBorders>
              <w:tl2br w:val="nil"/>
              <w:tr2bl w:val="nil"/>
            </w:tcBorders>
            <w:shd w:val="clear" w:color="auto" w:fill="auto"/>
            <w:vAlign w:val="center"/>
          </w:tcPr>
          <w:p w14:paraId="73B00E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0F174AE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1.05</w:t>
            </w:r>
          </w:p>
        </w:tc>
        <w:tc>
          <w:tcPr>
            <w:tcW w:w="712" w:type="pct"/>
            <w:tcBorders>
              <w:tl2br w:val="nil"/>
              <w:tr2bl w:val="nil"/>
            </w:tcBorders>
            <w:shd w:val="clear" w:color="auto" w:fill="auto"/>
            <w:vAlign w:val="center"/>
          </w:tcPr>
          <w:p w14:paraId="3AAEE67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w:t>
            </w:r>
          </w:p>
        </w:tc>
        <w:tc>
          <w:tcPr>
            <w:tcW w:w="714" w:type="pct"/>
            <w:tcBorders>
              <w:tl2br w:val="nil"/>
              <w:tr2bl w:val="nil"/>
            </w:tcBorders>
            <w:shd w:val="clear" w:color="auto" w:fill="auto"/>
            <w:vAlign w:val="center"/>
          </w:tcPr>
          <w:p w14:paraId="574771F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1.02</w:t>
            </w:r>
          </w:p>
        </w:tc>
        <w:tc>
          <w:tcPr>
            <w:tcW w:w="1212" w:type="dxa"/>
            <w:tcBorders>
              <w:tl2br w:val="nil"/>
              <w:tr2bl w:val="nil"/>
            </w:tcBorders>
            <w:shd w:val="clear" w:color="auto" w:fill="auto"/>
            <w:vAlign w:val="center"/>
          </w:tcPr>
          <w:p w14:paraId="0BE994D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3C12A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7EC10D5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079D8B93">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下风向2#</w:t>
            </w:r>
          </w:p>
        </w:tc>
        <w:tc>
          <w:tcPr>
            <w:tcW w:w="712" w:type="pct"/>
            <w:vMerge w:val="continue"/>
            <w:tcBorders>
              <w:tl2br w:val="nil"/>
              <w:tr2bl w:val="nil"/>
            </w:tcBorders>
            <w:shd w:val="clear" w:color="auto" w:fill="auto"/>
            <w:vAlign w:val="center"/>
          </w:tcPr>
          <w:p w14:paraId="49A1352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75E6965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1.04</w:t>
            </w:r>
          </w:p>
        </w:tc>
        <w:tc>
          <w:tcPr>
            <w:tcW w:w="712" w:type="pct"/>
            <w:tcBorders>
              <w:tl2br w:val="nil"/>
              <w:tr2bl w:val="nil"/>
            </w:tcBorders>
            <w:shd w:val="clear" w:color="auto" w:fill="auto"/>
            <w:vAlign w:val="center"/>
          </w:tcPr>
          <w:p w14:paraId="3649EB8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1.04</w:t>
            </w:r>
          </w:p>
        </w:tc>
        <w:tc>
          <w:tcPr>
            <w:tcW w:w="714" w:type="pct"/>
            <w:tcBorders>
              <w:tl2br w:val="nil"/>
              <w:tr2bl w:val="nil"/>
            </w:tcBorders>
            <w:shd w:val="clear" w:color="auto" w:fill="auto"/>
            <w:vAlign w:val="center"/>
          </w:tcPr>
          <w:p w14:paraId="26BFDAB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1.03</w:t>
            </w:r>
          </w:p>
        </w:tc>
        <w:tc>
          <w:tcPr>
            <w:tcW w:w="1212" w:type="dxa"/>
            <w:tcBorders>
              <w:tl2br w:val="nil"/>
              <w:tr2bl w:val="nil"/>
            </w:tcBorders>
            <w:shd w:val="clear" w:color="auto" w:fill="auto"/>
            <w:vAlign w:val="center"/>
          </w:tcPr>
          <w:p w14:paraId="7C7CBDD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1F7BF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6B84C06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6589D869">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下风向3#</w:t>
            </w:r>
          </w:p>
        </w:tc>
        <w:tc>
          <w:tcPr>
            <w:tcW w:w="712" w:type="pct"/>
            <w:vMerge w:val="continue"/>
            <w:tcBorders>
              <w:tl2br w:val="nil"/>
              <w:tr2bl w:val="nil"/>
            </w:tcBorders>
            <w:shd w:val="clear" w:color="auto" w:fill="auto"/>
            <w:vAlign w:val="center"/>
          </w:tcPr>
          <w:p w14:paraId="1FDDE3B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776C663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1.04</w:t>
            </w:r>
          </w:p>
        </w:tc>
        <w:tc>
          <w:tcPr>
            <w:tcW w:w="712" w:type="pct"/>
            <w:tcBorders>
              <w:tl2br w:val="nil"/>
              <w:tr2bl w:val="nil"/>
            </w:tcBorders>
            <w:shd w:val="clear" w:color="auto" w:fill="auto"/>
            <w:vAlign w:val="center"/>
          </w:tcPr>
          <w:p w14:paraId="211A074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0.97</w:t>
            </w:r>
          </w:p>
        </w:tc>
        <w:tc>
          <w:tcPr>
            <w:tcW w:w="714" w:type="pct"/>
            <w:tcBorders>
              <w:tl2br w:val="nil"/>
              <w:tr2bl w:val="nil"/>
            </w:tcBorders>
            <w:shd w:val="clear" w:color="auto" w:fill="auto"/>
            <w:vAlign w:val="center"/>
          </w:tcPr>
          <w:p w14:paraId="099377B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w:t>
            </w:r>
          </w:p>
        </w:tc>
        <w:tc>
          <w:tcPr>
            <w:tcW w:w="1212" w:type="dxa"/>
            <w:tcBorders>
              <w:tl2br w:val="nil"/>
              <w:tr2bl w:val="nil"/>
            </w:tcBorders>
            <w:shd w:val="clear" w:color="auto" w:fill="auto"/>
            <w:vAlign w:val="center"/>
          </w:tcPr>
          <w:p w14:paraId="7B1B5E4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11048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7D4EA77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7FE1E25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上风向</w:t>
            </w:r>
          </w:p>
        </w:tc>
        <w:tc>
          <w:tcPr>
            <w:tcW w:w="712" w:type="pct"/>
            <w:vMerge w:val="restart"/>
            <w:tcBorders>
              <w:tl2br w:val="nil"/>
              <w:tr2bl w:val="nil"/>
            </w:tcBorders>
            <w:shd w:val="clear" w:color="auto" w:fill="auto"/>
            <w:vAlign w:val="center"/>
          </w:tcPr>
          <w:p w14:paraId="35E3A0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2020.12.5</w:t>
            </w:r>
          </w:p>
        </w:tc>
        <w:tc>
          <w:tcPr>
            <w:tcW w:w="712" w:type="pct"/>
            <w:tcBorders>
              <w:tl2br w:val="nil"/>
              <w:tr2bl w:val="nil"/>
            </w:tcBorders>
            <w:shd w:val="clear" w:color="auto" w:fill="auto"/>
            <w:vAlign w:val="center"/>
          </w:tcPr>
          <w:p w14:paraId="2F8BA78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0.99</w:t>
            </w:r>
          </w:p>
        </w:tc>
        <w:tc>
          <w:tcPr>
            <w:tcW w:w="712" w:type="pct"/>
            <w:tcBorders>
              <w:tl2br w:val="nil"/>
              <w:tr2bl w:val="nil"/>
            </w:tcBorders>
            <w:shd w:val="clear" w:color="auto" w:fill="auto"/>
            <w:vAlign w:val="center"/>
          </w:tcPr>
          <w:p w14:paraId="4922463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1.06</w:t>
            </w:r>
          </w:p>
        </w:tc>
        <w:tc>
          <w:tcPr>
            <w:tcW w:w="714" w:type="pct"/>
            <w:tcBorders>
              <w:tl2br w:val="nil"/>
              <w:tr2bl w:val="nil"/>
            </w:tcBorders>
            <w:shd w:val="clear" w:color="auto" w:fill="auto"/>
            <w:vAlign w:val="center"/>
          </w:tcPr>
          <w:p w14:paraId="32EB9AB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1.03</w:t>
            </w:r>
          </w:p>
        </w:tc>
        <w:tc>
          <w:tcPr>
            <w:tcW w:w="1212" w:type="dxa"/>
            <w:tcBorders>
              <w:tl2br w:val="nil"/>
              <w:tr2bl w:val="nil"/>
            </w:tcBorders>
            <w:shd w:val="clear" w:color="auto" w:fill="auto"/>
            <w:vAlign w:val="center"/>
          </w:tcPr>
          <w:p w14:paraId="5E954FB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6FF10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2D22E5A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6B670AC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下风向1#</w:t>
            </w:r>
          </w:p>
        </w:tc>
        <w:tc>
          <w:tcPr>
            <w:tcW w:w="712" w:type="pct"/>
            <w:vMerge w:val="continue"/>
            <w:tcBorders>
              <w:tl2br w:val="nil"/>
              <w:tr2bl w:val="nil"/>
            </w:tcBorders>
            <w:shd w:val="clear" w:color="auto" w:fill="auto"/>
            <w:vAlign w:val="center"/>
          </w:tcPr>
          <w:p w14:paraId="764B707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11D08DC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1.05</w:t>
            </w:r>
          </w:p>
        </w:tc>
        <w:tc>
          <w:tcPr>
            <w:tcW w:w="712" w:type="pct"/>
            <w:tcBorders>
              <w:tl2br w:val="nil"/>
              <w:tr2bl w:val="nil"/>
            </w:tcBorders>
            <w:shd w:val="clear" w:color="auto" w:fill="auto"/>
            <w:vAlign w:val="center"/>
          </w:tcPr>
          <w:p w14:paraId="215F460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0.96</w:t>
            </w:r>
          </w:p>
        </w:tc>
        <w:tc>
          <w:tcPr>
            <w:tcW w:w="714" w:type="pct"/>
            <w:tcBorders>
              <w:tl2br w:val="nil"/>
              <w:tr2bl w:val="nil"/>
            </w:tcBorders>
            <w:shd w:val="clear" w:color="auto" w:fill="auto"/>
            <w:vAlign w:val="center"/>
          </w:tcPr>
          <w:p w14:paraId="13C1EAB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0.97</w:t>
            </w:r>
          </w:p>
        </w:tc>
        <w:tc>
          <w:tcPr>
            <w:tcW w:w="1212" w:type="dxa"/>
            <w:tcBorders>
              <w:tl2br w:val="nil"/>
              <w:tr2bl w:val="nil"/>
            </w:tcBorders>
            <w:shd w:val="clear" w:color="auto" w:fill="auto"/>
            <w:vAlign w:val="center"/>
          </w:tcPr>
          <w:p w14:paraId="3156EE5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0C062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1780EE6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23112C0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下风向2#</w:t>
            </w:r>
          </w:p>
        </w:tc>
        <w:tc>
          <w:tcPr>
            <w:tcW w:w="712" w:type="pct"/>
            <w:vMerge w:val="continue"/>
            <w:tcBorders>
              <w:tl2br w:val="nil"/>
              <w:tr2bl w:val="nil"/>
            </w:tcBorders>
            <w:shd w:val="clear" w:color="auto" w:fill="auto"/>
            <w:vAlign w:val="center"/>
          </w:tcPr>
          <w:p w14:paraId="0341313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45C4394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0.96</w:t>
            </w:r>
          </w:p>
        </w:tc>
        <w:tc>
          <w:tcPr>
            <w:tcW w:w="712" w:type="pct"/>
            <w:tcBorders>
              <w:tl2br w:val="nil"/>
              <w:tr2bl w:val="nil"/>
            </w:tcBorders>
            <w:shd w:val="clear" w:color="auto" w:fill="auto"/>
            <w:vAlign w:val="center"/>
          </w:tcPr>
          <w:p w14:paraId="2C5FC6B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0.94</w:t>
            </w:r>
          </w:p>
        </w:tc>
        <w:tc>
          <w:tcPr>
            <w:tcW w:w="714" w:type="pct"/>
            <w:tcBorders>
              <w:tl2br w:val="nil"/>
              <w:tr2bl w:val="nil"/>
            </w:tcBorders>
            <w:shd w:val="clear" w:color="auto" w:fill="auto"/>
            <w:vAlign w:val="center"/>
          </w:tcPr>
          <w:p w14:paraId="064ADDA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0.87</w:t>
            </w:r>
          </w:p>
        </w:tc>
        <w:tc>
          <w:tcPr>
            <w:tcW w:w="1212" w:type="dxa"/>
            <w:tcBorders>
              <w:tl2br w:val="nil"/>
              <w:tr2bl w:val="nil"/>
            </w:tcBorders>
            <w:shd w:val="clear" w:color="auto" w:fill="auto"/>
            <w:vAlign w:val="center"/>
          </w:tcPr>
          <w:p w14:paraId="6BD210A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44C10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tblHeader/>
          <w:jc w:val="center"/>
        </w:trPr>
        <w:tc>
          <w:tcPr>
            <w:tcW w:w="774" w:type="pct"/>
            <w:vMerge w:val="continue"/>
            <w:tcBorders>
              <w:tl2br w:val="nil"/>
              <w:tr2bl w:val="nil"/>
            </w:tcBorders>
            <w:shd w:val="clear" w:color="auto" w:fill="auto"/>
            <w:vAlign w:val="center"/>
          </w:tcPr>
          <w:p w14:paraId="387A43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653" w:type="pct"/>
            <w:tcBorders>
              <w:tl2br w:val="nil"/>
              <w:tr2bl w:val="nil"/>
            </w:tcBorders>
            <w:shd w:val="clear" w:color="auto" w:fill="auto"/>
            <w:vAlign w:val="center"/>
          </w:tcPr>
          <w:p w14:paraId="2EFFE2B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下风向3#</w:t>
            </w:r>
          </w:p>
        </w:tc>
        <w:tc>
          <w:tcPr>
            <w:tcW w:w="712" w:type="pct"/>
            <w:vMerge w:val="continue"/>
            <w:tcBorders>
              <w:tl2br w:val="nil"/>
              <w:tr2bl w:val="nil"/>
            </w:tcBorders>
            <w:shd w:val="clear" w:color="auto" w:fill="auto"/>
            <w:vAlign w:val="center"/>
          </w:tcPr>
          <w:p w14:paraId="660F0B9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712" w:type="pct"/>
            <w:tcBorders>
              <w:tl2br w:val="nil"/>
              <w:tr2bl w:val="nil"/>
            </w:tcBorders>
            <w:shd w:val="clear" w:color="auto" w:fill="auto"/>
            <w:vAlign w:val="center"/>
          </w:tcPr>
          <w:p w14:paraId="56CC823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1.04</w:t>
            </w:r>
          </w:p>
        </w:tc>
        <w:tc>
          <w:tcPr>
            <w:tcW w:w="712" w:type="pct"/>
            <w:tcBorders>
              <w:tl2br w:val="nil"/>
              <w:tr2bl w:val="nil"/>
            </w:tcBorders>
            <w:shd w:val="clear" w:color="auto" w:fill="auto"/>
            <w:vAlign w:val="center"/>
          </w:tcPr>
          <w:p w14:paraId="52F0592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0.96</w:t>
            </w:r>
          </w:p>
        </w:tc>
        <w:tc>
          <w:tcPr>
            <w:tcW w:w="714" w:type="pct"/>
            <w:tcBorders>
              <w:tl2br w:val="nil"/>
              <w:tr2bl w:val="nil"/>
            </w:tcBorders>
            <w:shd w:val="clear" w:color="auto" w:fill="auto"/>
            <w:vAlign w:val="center"/>
          </w:tcPr>
          <w:p w14:paraId="3FCE3B5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1.02</w:t>
            </w:r>
          </w:p>
        </w:tc>
        <w:tc>
          <w:tcPr>
            <w:tcW w:w="1212" w:type="dxa"/>
            <w:tcBorders>
              <w:tl2br w:val="nil"/>
              <w:tr2bl w:val="nil"/>
            </w:tcBorders>
            <w:shd w:val="clear" w:color="auto" w:fill="auto"/>
            <w:vAlign w:val="center"/>
          </w:tcPr>
          <w:p w14:paraId="6067814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bl>
    <w:p w14:paraId="16946153">
      <w:pPr>
        <w:pStyle w:val="33"/>
        <w:bidi w:val="0"/>
        <w:rPr>
          <w:rFonts w:hint="default"/>
          <w:color w:val="auto"/>
          <w:lang w:val="en-US" w:eastAsia="zh-CN"/>
        </w:rPr>
      </w:pPr>
      <w:r>
        <w:rPr>
          <w:rFonts w:hint="eastAsia"/>
          <w:color w:val="auto"/>
          <w:lang w:val="en-US" w:eastAsia="zh-CN"/>
        </w:rPr>
        <w:t>2、废水</w:t>
      </w:r>
    </w:p>
    <w:p w14:paraId="4BD834C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现有工程</w:t>
      </w:r>
      <w:r>
        <w:rPr>
          <w:rFonts w:hint="eastAsia"/>
          <w:color w:val="auto"/>
          <w:sz w:val="24"/>
          <w:szCs w:val="24"/>
          <w:lang w:eastAsia="zh-CN"/>
        </w:rPr>
        <w:t>运营</w:t>
      </w:r>
      <w:r>
        <w:rPr>
          <w:rFonts w:ascii="Times New Roman" w:hAnsi="Times New Roman" w:eastAsia="宋体"/>
          <w:color w:val="auto"/>
          <w:sz w:val="24"/>
          <w:szCs w:val="24"/>
        </w:rPr>
        <w:t>期产生的废水主要包括采出水、</w:t>
      </w:r>
      <w:r>
        <w:rPr>
          <w:rFonts w:hint="eastAsia"/>
          <w:color w:val="auto"/>
          <w:sz w:val="24"/>
          <w:szCs w:val="24"/>
          <w:lang w:val="en-US" w:eastAsia="zh-CN"/>
        </w:rPr>
        <w:t>井下作业废水</w:t>
      </w:r>
      <w:r>
        <w:rPr>
          <w:rFonts w:ascii="Times New Roman" w:hAnsi="Times New Roman" w:eastAsia="宋体"/>
          <w:color w:val="auto"/>
          <w:sz w:val="24"/>
          <w:szCs w:val="24"/>
        </w:rPr>
        <w:t>和生活污水。</w:t>
      </w:r>
    </w:p>
    <w:p w14:paraId="2C412A2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（1）油田采出水</w:t>
      </w:r>
    </w:p>
    <w:p w14:paraId="463FF1C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根据各区块现有工程统计资料，现有工程采出水产生量约</w:t>
      </w:r>
      <w:r>
        <w:rPr>
          <w:rFonts w:hint="eastAsia"/>
          <w:color w:val="auto"/>
          <w:sz w:val="24"/>
          <w:szCs w:val="24"/>
          <w:lang w:val="en-US" w:eastAsia="zh-CN"/>
        </w:rPr>
        <w:t>100.38</w:t>
      </w:r>
      <w:r>
        <w:rPr>
          <w:rFonts w:ascii="Times New Roman" w:hAnsi="Times New Roman" w:eastAsia="宋体"/>
          <w:color w:val="auto"/>
          <w:sz w:val="24"/>
          <w:szCs w:val="24"/>
        </w:rPr>
        <w:t>×10</w:t>
      </w:r>
      <w:r>
        <w:rPr>
          <w:rFonts w:ascii="Times New Roman" w:hAnsi="Times New Roman" w:eastAsia="宋体"/>
          <w:color w:val="auto"/>
          <w:sz w:val="24"/>
          <w:szCs w:val="24"/>
          <w:vertAlign w:val="superscript"/>
        </w:rPr>
        <w:t>4</w:t>
      </w:r>
      <w:r>
        <w:rPr>
          <w:rFonts w:ascii="Times New Roman" w:hAnsi="Times New Roman" w:eastAsia="宋体"/>
          <w:color w:val="auto"/>
          <w:sz w:val="24"/>
          <w:szCs w:val="24"/>
        </w:rPr>
        <w:t>m</w:t>
      </w:r>
      <w:r>
        <w:rPr>
          <w:rFonts w:hint="eastAsia" w:ascii="Times New Roman" w:hAnsi="Times New Roman" w:eastAsia="宋体"/>
          <w:color w:val="auto"/>
          <w:sz w:val="24"/>
          <w:szCs w:val="24"/>
          <w:vertAlign w:val="superscript"/>
          <w:lang w:val="en-US" w:eastAsia="zh-CN"/>
        </w:rPr>
        <w:t>3</w:t>
      </w:r>
      <w:r>
        <w:rPr>
          <w:rFonts w:ascii="Times New Roman" w:hAnsi="Times New Roman" w:eastAsia="宋体"/>
          <w:color w:val="auto"/>
          <w:sz w:val="24"/>
          <w:szCs w:val="24"/>
        </w:rPr>
        <w:t>/a，采出水均</w:t>
      </w:r>
      <w:r>
        <w:rPr>
          <w:rFonts w:hint="eastAsia"/>
          <w:color w:val="auto"/>
          <w:sz w:val="24"/>
          <w:szCs w:val="24"/>
          <w:lang w:val="en-US" w:eastAsia="zh-CN"/>
        </w:rPr>
        <w:t>依托百口泉注输联合站</w:t>
      </w:r>
      <w:r>
        <w:rPr>
          <w:rFonts w:ascii="Times New Roman" w:hAnsi="Times New Roman" w:eastAsia="宋体"/>
          <w:color w:val="auto"/>
          <w:sz w:val="24"/>
          <w:szCs w:val="24"/>
        </w:rPr>
        <w:t>采出水处理装置处理后回注油层。</w:t>
      </w:r>
    </w:p>
    <w:p w14:paraId="2039B9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Cs/>
          <w:color w:val="auto"/>
          <w:sz w:val="24"/>
          <w:szCs w:val="24"/>
        </w:rPr>
        <w:t>采出水依托百口泉注输联合站采出水处理系统，已建处理能力8000m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/d，采</w:t>
      </w:r>
      <w:r>
        <w:rPr>
          <w:rFonts w:hint="eastAsia" w:ascii="宋体" w:hAnsi="宋体" w:eastAsia="宋体" w:cs="宋体"/>
          <w:bCs/>
          <w:color w:val="auto"/>
          <w:sz w:val="24"/>
          <w:szCs w:val="24"/>
        </w:rPr>
        <w:t>用“重力除油→混凝沉降→压力过滤”工</w:t>
      </w:r>
      <w:r>
        <w:rPr>
          <w:rFonts w:hint="default" w:ascii="Times New Roman" w:hAnsi="Times New Roman" w:cs="Times New Roman"/>
          <w:bCs/>
          <w:color w:val="auto"/>
          <w:sz w:val="24"/>
          <w:szCs w:val="24"/>
        </w:rPr>
        <w:t>艺；</w:t>
      </w:r>
      <w:r>
        <w:rPr>
          <w:rFonts w:hint="eastAsia" w:ascii="Times New Roman" w:hAnsi="Times New Roman" w:cs="Times New Roman"/>
          <w:bCs/>
          <w:color w:val="auto"/>
          <w:sz w:val="24"/>
          <w:szCs w:val="24"/>
          <w:lang w:val="en-US" w:eastAsia="zh-CN"/>
        </w:rPr>
        <w:t>扩建</w:t>
      </w:r>
      <w:r>
        <w:rPr>
          <w:rFonts w:hint="default" w:ascii="Times New Roman" w:hAnsi="Times New Roman" w:cs="Times New Roman"/>
          <w:bCs/>
          <w:color w:val="auto"/>
          <w:sz w:val="24"/>
          <w:szCs w:val="24"/>
        </w:rPr>
        <w:t>处理能力3000m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/d，采</w:t>
      </w:r>
      <w:r>
        <w:rPr>
          <w:rFonts w:hint="eastAsia" w:ascii="宋体" w:hAnsi="宋体" w:eastAsia="宋体" w:cs="宋体"/>
          <w:bCs/>
          <w:color w:val="auto"/>
          <w:sz w:val="24"/>
          <w:szCs w:val="24"/>
        </w:rPr>
        <w:t>用“重力除油+生物接触氧化+过滤”</w:t>
      </w:r>
      <w:r>
        <w:rPr>
          <w:rFonts w:hint="default" w:ascii="Times New Roman" w:hAnsi="Times New Roman" w:cs="Times New Roman"/>
          <w:bCs/>
          <w:color w:val="auto"/>
          <w:sz w:val="24"/>
          <w:szCs w:val="24"/>
        </w:rPr>
        <w:t>工艺。目前实际处理量约8715m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/d（年平均），处理后合格净化水全部回注百口泉油田。</w:t>
      </w:r>
    </w:p>
    <w:p w14:paraId="018D784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color w:val="auto"/>
        </w:rPr>
        <w:t>2022年11月4日国家能源局发布了《碎屑岩油藏注水水质指标技术要求及分析方法》（SY</w:t>
      </w:r>
      <w:r>
        <w:rPr>
          <w:rFonts w:hint="eastAsia"/>
          <w:color w:val="auto"/>
          <w:lang w:val="en-US" w:eastAsia="zh-CN"/>
        </w:rPr>
        <w:t>/</w:t>
      </w:r>
      <w:r>
        <w:rPr>
          <w:color w:val="auto"/>
        </w:rPr>
        <w:t>T5329-2022），自2023年5月4日执行。根据环境标准要求，</w:t>
      </w:r>
      <w:r>
        <w:rPr>
          <w:rFonts w:hint="eastAsia"/>
          <w:color w:val="auto"/>
          <w:lang w:val="en-US" w:eastAsia="zh-CN"/>
        </w:rPr>
        <w:t>百口泉采油厂</w:t>
      </w:r>
      <w:r>
        <w:rPr>
          <w:color w:val="auto"/>
        </w:rPr>
        <w:t>采出水回注应执行《碎屑岩油藏注水水质指标技术要求及分析方法》（SY</w:t>
      </w:r>
      <w:r>
        <w:rPr>
          <w:rFonts w:hint="eastAsia"/>
          <w:color w:val="auto"/>
          <w:lang w:val="en-US" w:eastAsia="zh-CN"/>
        </w:rPr>
        <w:t>/</w:t>
      </w:r>
      <w:r>
        <w:rPr>
          <w:color w:val="auto"/>
        </w:rPr>
        <w:t>T5329-2022），具体见</w:t>
      </w:r>
      <w:r>
        <w:rPr>
          <w:rFonts w:hint="default"/>
          <w:color w:val="auto"/>
          <w:lang w:val="en-US"/>
        </w:rPr>
        <w:fldChar w:fldCharType="begin"/>
      </w:r>
      <w:r>
        <w:rPr>
          <w:rFonts w:hint="default"/>
          <w:color w:val="auto"/>
          <w:lang w:val="en-US"/>
        </w:rPr>
        <w:instrText xml:space="preserve"> REF _Ref170124321 \h </w:instrText>
      </w:r>
      <w:r>
        <w:rPr>
          <w:rFonts w:hint="default"/>
          <w:color w:val="auto"/>
          <w:lang w:val="en-US"/>
        </w:rPr>
        <w:fldChar w:fldCharType="separate"/>
      </w:r>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2.4</w:t>
      </w:r>
      <w:r>
        <w:rPr>
          <w:rFonts w:cs="Times New Roman"/>
          <w:color w:val="auto"/>
        </w:rPr>
        <w:fldChar w:fldCharType="end"/>
      </w:r>
      <w:r>
        <w:rPr>
          <w:rFonts w:hint="eastAsia" w:cs="Times New Roman"/>
          <w:color w:val="auto"/>
          <w:lang w:val="en-US" w:eastAsia="zh-CN"/>
        </w:rPr>
        <w:t>-5</w:t>
      </w:r>
      <w:r>
        <w:rPr>
          <w:rFonts w:hint="default"/>
          <w:color w:val="auto"/>
          <w:lang w:val="en-US"/>
        </w:rPr>
        <w:fldChar w:fldCharType="end"/>
      </w:r>
      <w:r>
        <w:rPr>
          <w:color w:val="auto"/>
        </w:rPr>
        <w:t>。为进一步说明现有工程采出水处理系统处理效果，评价收集了现有工程2024年5月采出水处理设施出口回注水质粒径中值、平均腐蚀速率监测数据，结果见</w:t>
      </w:r>
      <w:r>
        <w:rPr>
          <w:rFonts w:hint="default"/>
          <w:color w:val="auto"/>
          <w:lang w:val="en-US"/>
        </w:rPr>
        <w:fldChar w:fldCharType="begin"/>
      </w:r>
      <w:r>
        <w:rPr>
          <w:rFonts w:hint="default"/>
          <w:color w:val="auto"/>
          <w:lang w:val="en-US"/>
        </w:rPr>
        <w:instrText xml:space="preserve"> REF _Ref2574 \h </w:instrText>
      </w:r>
      <w:r>
        <w:rPr>
          <w:rFonts w:hint="default"/>
          <w:color w:val="auto"/>
          <w:lang w:val="en-US"/>
        </w:rPr>
        <w:fldChar w:fldCharType="separate"/>
      </w:r>
      <w:r>
        <w:rPr>
          <w:color w:val="auto"/>
        </w:rPr>
        <w:t>表</w:t>
      </w:r>
      <w:r>
        <w:rPr>
          <w:color w:val="auto"/>
        </w:rPr>
        <w:fldChar w:fldCharType="begin"/>
      </w:r>
      <w:r>
        <w:rPr>
          <w:color w:val="auto"/>
        </w:rPr>
        <w:instrText xml:space="preserve"> STYLEREF 2 \s </w:instrText>
      </w:r>
      <w:r>
        <w:rPr>
          <w:color w:val="auto"/>
        </w:rPr>
        <w:fldChar w:fldCharType="separate"/>
      </w:r>
      <w:r>
        <w:rPr>
          <w:color w:val="auto"/>
        </w:rPr>
        <w:t>3.</w:t>
      </w:r>
      <w:r>
        <w:rPr>
          <w:rFonts w:hint="eastAsia"/>
          <w:color w:val="auto"/>
          <w:lang w:val="en-US" w:eastAsia="zh-CN"/>
        </w:rPr>
        <w:t>1</w:t>
      </w:r>
      <w:r>
        <w:rPr>
          <w:color w:val="auto"/>
        </w:rPr>
        <w:fldChar w:fldCharType="end"/>
      </w:r>
      <w:r>
        <w:rPr>
          <w:rFonts w:hint="eastAsia"/>
          <w:color w:val="auto"/>
          <w:lang w:eastAsia="zh-CN"/>
        </w:rPr>
        <w:t>-</w:t>
      </w:r>
      <w:r>
        <w:rPr>
          <w:rFonts w:hint="eastAsia"/>
          <w:color w:val="auto"/>
          <w:lang w:val="en-US" w:eastAsia="zh-CN"/>
        </w:rPr>
        <w:t>1</w:t>
      </w:r>
      <w:r>
        <w:rPr>
          <w:rFonts w:hint="default"/>
          <w:color w:val="auto"/>
          <w:lang w:val="en-US"/>
        </w:rPr>
        <w:fldChar w:fldCharType="end"/>
      </w:r>
      <w:r>
        <w:rPr>
          <w:rFonts w:hint="eastAsia"/>
          <w:color w:val="auto"/>
          <w:lang w:val="en-US" w:eastAsia="zh-CN"/>
        </w:rPr>
        <w:t>2。</w:t>
      </w:r>
    </w:p>
    <w:p w14:paraId="3ABB2C12">
      <w:pPr>
        <w:jc w:val="center"/>
        <w:rPr>
          <w:rFonts w:hint="default"/>
          <w:b/>
          <w:bCs/>
          <w:color w:val="auto"/>
          <w:lang w:val="en-US" w:eastAsia="zh-CN"/>
        </w:rPr>
      </w:pPr>
      <w:r>
        <w:rPr>
          <w:rFonts w:hint="eastAsia"/>
          <w:b/>
          <w:bCs/>
          <w:color w:val="auto"/>
          <w:lang w:val="en-US" w:eastAsia="zh-CN"/>
        </w:rPr>
        <w:t>表3.1-12  百联站采出水水质数据一览表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65"/>
        <w:gridCol w:w="1495"/>
        <w:gridCol w:w="1069"/>
        <w:gridCol w:w="1720"/>
        <w:gridCol w:w="1067"/>
        <w:gridCol w:w="1070"/>
      </w:tblGrid>
      <w:tr w14:paraId="510A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Align w:val="center"/>
          </w:tcPr>
          <w:p w14:paraId="2A29ED9D">
            <w:pPr>
              <w:adjustRightInd w:val="0"/>
              <w:snapToGrid w:val="0"/>
              <w:spacing w:line="240" w:lineRule="auto"/>
              <w:ind w:firstLine="0" w:firstLineChars="0"/>
              <w:contextualSpacing/>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点位编号</w:t>
            </w:r>
          </w:p>
        </w:tc>
        <w:tc>
          <w:tcPr>
            <w:tcW w:w="801" w:type="pct"/>
            <w:vAlign w:val="center"/>
          </w:tcPr>
          <w:p w14:paraId="258D771B">
            <w:pPr>
              <w:adjustRightInd w:val="0"/>
              <w:snapToGrid w:val="0"/>
              <w:spacing w:line="240" w:lineRule="auto"/>
              <w:ind w:firstLine="0" w:firstLineChars="0"/>
              <w:contextualSpacing/>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877" w:type="pct"/>
            <w:vAlign w:val="center"/>
          </w:tcPr>
          <w:p w14:paraId="3F1EFCD5">
            <w:pPr>
              <w:adjustRightInd w:val="0"/>
              <w:snapToGrid w:val="0"/>
              <w:spacing w:line="240" w:lineRule="auto"/>
              <w:ind w:firstLine="0" w:firstLineChars="0"/>
              <w:contextualSpacing/>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样品编号</w:t>
            </w:r>
          </w:p>
        </w:tc>
        <w:tc>
          <w:tcPr>
            <w:tcW w:w="627" w:type="pct"/>
            <w:vAlign w:val="center"/>
          </w:tcPr>
          <w:p w14:paraId="22D64FCC">
            <w:pPr>
              <w:adjustRightInd w:val="0"/>
              <w:snapToGrid w:val="0"/>
              <w:spacing w:line="240" w:lineRule="auto"/>
              <w:ind w:firstLine="0" w:firstLineChars="0"/>
              <w:contextualSpacing/>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采样时间</w:t>
            </w:r>
          </w:p>
        </w:tc>
        <w:tc>
          <w:tcPr>
            <w:tcW w:w="1009" w:type="pct"/>
            <w:vAlign w:val="center"/>
          </w:tcPr>
          <w:p w14:paraId="12C0057A">
            <w:pPr>
              <w:adjustRightInd w:val="0"/>
              <w:snapToGrid w:val="0"/>
              <w:spacing w:line="240" w:lineRule="auto"/>
              <w:ind w:firstLine="0" w:firstLineChars="0"/>
              <w:contextualSpacing/>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检测项目</w:t>
            </w:r>
          </w:p>
        </w:tc>
        <w:tc>
          <w:tcPr>
            <w:tcW w:w="626" w:type="pct"/>
            <w:vAlign w:val="center"/>
          </w:tcPr>
          <w:p w14:paraId="6B9ECDEB">
            <w:pPr>
              <w:adjustRightInd w:val="0"/>
              <w:snapToGrid w:val="0"/>
              <w:spacing w:line="240" w:lineRule="auto"/>
              <w:ind w:firstLine="0" w:firstLineChars="0"/>
              <w:contextualSpacing/>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628" w:type="pct"/>
            <w:vAlign w:val="center"/>
          </w:tcPr>
          <w:p w14:paraId="464E9DD7">
            <w:pPr>
              <w:adjustRightInd w:val="0"/>
              <w:snapToGrid w:val="0"/>
              <w:spacing w:line="240" w:lineRule="auto"/>
              <w:ind w:firstLine="0" w:firstLineChars="0"/>
              <w:contextualSpacing/>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检测结果</w:t>
            </w:r>
          </w:p>
        </w:tc>
      </w:tr>
      <w:tr w14:paraId="0EAC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vMerge w:val="restart"/>
            <w:vAlign w:val="center"/>
          </w:tcPr>
          <w:p w14:paraId="0DE62E80">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01" w:type="pct"/>
            <w:vMerge w:val="restart"/>
            <w:vAlign w:val="center"/>
          </w:tcPr>
          <w:p w14:paraId="52929DAB">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百联站</w:t>
            </w:r>
            <w:r>
              <w:rPr>
                <w:rFonts w:hint="default" w:ascii="Times New Roman" w:hAnsi="Times New Roman" w:cs="Times New Roman"/>
                <w:color w:val="auto"/>
                <w:sz w:val="21"/>
                <w:szCs w:val="21"/>
                <w:lang w:val="en-US" w:eastAsia="zh-CN"/>
              </w:rPr>
              <w:t>采出水处理系统</w:t>
            </w:r>
          </w:p>
        </w:tc>
        <w:tc>
          <w:tcPr>
            <w:tcW w:w="877" w:type="pct"/>
            <w:vMerge w:val="restart"/>
            <w:vAlign w:val="center"/>
          </w:tcPr>
          <w:p w14:paraId="5DB799A9">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LS-202402082</w:t>
            </w:r>
          </w:p>
        </w:tc>
        <w:tc>
          <w:tcPr>
            <w:tcW w:w="627" w:type="pct"/>
            <w:vMerge w:val="restart"/>
            <w:vAlign w:val="center"/>
          </w:tcPr>
          <w:p w14:paraId="678EE1DA">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2024.5.16</w:t>
            </w:r>
          </w:p>
        </w:tc>
        <w:tc>
          <w:tcPr>
            <w:tcW w:w="1009" w:type="pct"/>
            <w:vAlign w:val="center"/>
          </w:tcPr>
          <w:p w14:paraId="6F7B52E4">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含油</w:t>
            </w:r>
          </w:p>
        </w:tc>
        <w:tc>
          <w:tcPr>
            <w:tcW w:w="1067" w:type="dxa"/>
            <w:vAlign w:val="center"/>
          </w:tcPr>
          <w:p w14:paraId="6927E7D7">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70" w:type="dxa"/>
            <w:vAlign w:val="center"/>
          </w:tcPr>
          <w:p w14:paraId="3AF61C6A">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r>
      <w:tr w14:paraId="50EB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vMerge w:val="continue"/>
            <w:vAlign w:val="center"/>
          </w:tcPr>
          <w:p w14:paraId="1ACA8AF6">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801" w:type="pct"/>
            <w:vMerge w:val="continue"/>
            <w:vAlign w:val="center"/>
          </w:tcPr>
          <w:p w14:paraId="6741D17D">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877" w:type="pct"/>
            <w:vMerge w:val="continue"/>
            <w:vAlign w:val="center"/>
          </w:tcPr>
          <w:p w14:paraId="630E853F">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27" w:type="pct"/>
            <w:vMerge w:val="continue"/>
            <w:vAlign w:val="center"/>
          </w:tcPr>
          <w:p w14:paraId="3F1A9DC0">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1009" w:type="pct"/>
            <w:vAlign w:val="center"/>
          </w:tcPr>
          <w:p w14:paraId="7B229CBF">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平均腐蚀率</w:t>
            </w:r>
          </w:p>
        </w:tc>
        <w:tc>
          <w:tcPr>
            <w:tcW w:w="626" w:type="pct"/>
            <w:vAlign w:val="center"/>
          </w:tcPr>
          <w:p w14:paraId="79E44EF5">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mm/年</w:t>
            </w:r>
          </w:p>
        </w:tc>
        <w:tc>
          <w:tcPr>
            <w:tcW w:w="628" w:type="pct"/>
            <w:vAlign w:val="center"/>
          </w:tcPr>
          <w:p w14:paraId="46B60BB5">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0.052</w:t>
            </w:r>
          </w:p>
        </w:tc>
      </w:tr>
      <w:tr w14:paraId="5E12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vMerge w:val="continue"/>
            <w:vAlign w:val="center"/>
          </w:tcPr>
          <w:p w14:paraId="0892A68C">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801" w:type="pct"/>
            <w:vMerge w:val="continue"/>
            <w:vAlign w:val="center"/>
          </w:tcPr>
          <w:p w14:paraId="7D0C0B78">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877" w:type="pct"/>
            <w:vMerge w:val="continue"/>
            <w:vAlign w:val="center"/>
          </w:tcPr>
          <w:p w14:paraId="5220E6CA">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27" w:type="pct"/>
            <w:vMerge w:val="continue"/>
            <w:vAlign w:val="center"/>
          </w:tcPr>
          <w:p w14:paraId="5342B84F">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1009" w:type="pct"/>
            <w:vAlign w:val="center"/>
          </w:tcPr>
          <w:p w14:paraId="41A5A23D">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悬浮固体含量</w:t>
            </w:r>
          </w:p>
        </w:tc>
        <w:tc>
          <w:tcPr>
            <w:tcW w:w="626" w:type="pct"/>
            <w:vAlign w:val="center"/>
          </w:tcPr>
          <w:p w14:paraId="0A4DDB73">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628" w:type="pct"/>
            <w:vAlign w:val="center"/>
          </w:tcPr>
          <w:p w14:paraId="67E883B9">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r>
      <w:tr w14:paraId="0E39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vMerge w:val="continue"/>
            <w:vAlign w:val="center"/>
          </w:tcPr>
          <w:p w14:paraId="7A28DCED">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801" w:type="pct"/>
            <w:vMerge w:val="continue"/>
            <w:vAlign w:val="center"/>
          </w:tcPr>
          <w:p w14:paraId="0CB059AD">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877" w:type="pct"/>
            <w:vMerge w:val="continue"/>
            <w:vAlign w:val="center"/>
          </w:tcPr>
          <w:p w14:paraId="646CF2C6">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27" w:type="pct"/>
            <w:vMerge w:val="continue"/>
            <w:vAlign w:val="center"/>
          </w:tcPr>
          <w:p w14:paraId="42AA8739">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1009" w:type="pct"/>
            <w:vAlign w:val="center"/>
          </w:tcPr>
          <w:p w14:paraId="231261C3">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颗粒直径中值</w:t>
            </w:r>
          </w:p>
        </w:tc>
        <w:tc>
          <w:tcPr>
            <w:tcW w:w="626" w:type="pct"/>
            <w:vAlign w:val="center"/>
          </w:tcPr>
          <w:p w14:paraId="133D3755">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μm</w:t>
            </w:r>
          </w:p>
        </w:tc>
        <w:tc>
          <w:tcPr>
            <w:tcW w:w="628" w:type="pct"/>
            <w:vAlign w:val="center"/>
          </w:tcPr>
          <w:p w14:paraId="2E8061EA">
            <w:pPr>
              <w:adjustRightInd w:val="0"/>
              <w:snapToGrid w:val="0"/>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r>
    </w:tbl>
    <w:p w14:paraId="290CEFE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根据监测结果，主要回注指标石油类、悬浮物均、悬浮物颗粒直径中值、平均腐蚀率均可满足《碎屑岩油藏注水水质指标技术要求及分析方法》（SY</w:t>
      </w:r>
      <w:r>
        <w:rPr>
          <w:rFonts w:hint="eastAsia"/>
          <w:color w:val="auto"/>
          <w:sz w:val="24"/>
          <w:szCs w:val="24"/>
          <w:lang w:val="en-US" w:eastAsia="zh-CN"/>
        </w:rPr>
        <w:t>/</w:t>
      </w:r>
      <w:r>
        <w:rPr>
          <w:rFonts w:ascii="Times New Roman" w:hAnsi="Times New Roman" w:eastAsia="宋体"/>
          <w:color w:val="auto"/>
          <w:sz w:val="24"/>
          <w:szCs w:val="24"/>
        </w:rPr>
        <w:t>T5329-2022）中水质标准。</w:t>
      </w:r>
    </w:p>
    <w:p w14:paraId="211B1DC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井下作业废水</w:t>
      </w:r>
    </w:p>
    <w:p w14:paraId="30EB25E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ascii="Times New Roman" w:hAnsi="Times New Roman" w:eastAsia="宋体"/>
          <w:color w:val="auto"/>
          <w:sz w:val="24"/>
          <w:szCs w:val="24"/>
        </w:rPr>
        <w:t>现有工程</w:t>
      </w:r>
      <w:r>
        <w:rPr>
          <w:rFonts w:hint="eastAsia"/>
          <w:color w:val="auto"/>
          <w:sz w:val="24"/>
          <w:szCs w:val="24"/>
          <w:lang w:eastAsia="zh-CN"/>
        </w:rPr>
        <w:t>运营</w:t>
      </w:r>
      <w:r>
        <w:rPr>
          <w:rFonts w:ascii="Times New Roman" w:hAnsi="Times New Roman" w:eastAsia="宋体"/>
          <w:color w:val="auto"/>
          <w:sz w:val="24"/>
          <w:szCs w:val="24"/>
        </w:rPr>
        <w:t>期井下作业主要包括压裂改造、大小修井等作业，不同类型的</w:t>
      </w:r>
      <w:r>
        <w:rPr>
          <w:rFonts w:hint="eastAsia"/>
          <w:color w:val="auto"/>
          <w:sz w:val="24"/>
          <w:szCs w:val="24"/>
          <w:lang w:val="en-US" w:eastAsia="zh-CN"/>
        </w:rPr>
        <w:t>井下</w:t>
      </w:r>
      <w:r>
        <w:rPr>
          <w:rFonts w:ascii="Times New Roman" w:hAnsi="Times New Roman" w:eastAsia="宋体"/>
          <w:color w:val="auto"/>
          <w:sz w:val="24"/>
          <w:szCs w:val="24"/>
        </w:rPr>
        <w:t>作业施工环节基本相同，</w:t>
      </w:r>
      <w:r>
        <w:rPr>
          <w:rFonts w:hint="eastAsia"/>
          <w:color w:val="auto"/>
          <w:sz w:val="24"/>
          <w:szCs w:val="24"/>
          <w:lang w:val="en-US" w:eastAsia="zh-CN"/>
        </w:rPr>
        <w:t>井下作业</w:t>
      </w:r>
      <w:r>
        <w:rPr>
          <w:rFonts w:ascii="Times New Roman" w:hAnsi="Times New Roman" w:eastAsia="宋体"/>
          <w:color w:val="auto"/>
          <w:sz w:val="24"/>
          <w:szCs w:val="24"/>
        </w:rPr>
        <w:t>主要来自修井过程中的洗井环节，根据现有工程类比调查和相关技术资料，修井为不定期流动作业，频率一般1次/2年，单井每次作业的最大废水产生量约为70m³（修井产生废水量约40m³，洗井产生废水量约30m³），现有工程井区当前生产油井共</w:t>
      </w:r>
      <w:r>
        <w:rPr>
          <w:rFonts w:hint="eastAsia"/>
          <w:color w:val="auto"/>
          <w:sz w:val="24"/>
          <w:szCs w:val="24"/>
          <w:lang w:val="en-US" w:eastAsia="zh-CN"/>
        </w:rPr>
        <w:t>748</w:t>
      </w:r>
      <w:r>
        <w:rPr>
          <w:rFonts w:ascii="Times New Roman" w:hAnsi="Times New Roman" w:eastAsia="宋体"/>
          <w:color w:val="auto"/>
          <w:sz w:val="24"/>
          <w:szCs w:val="24"/>
        </w:rPr>
        <w:t>口，废水最大产生量为</w:t>
      </w:r>
      <w:r>
        <w:rPr>
          <w:rFonts w:hint="eastAsia"/>
          <w:color w:val="auto"/>
          <w:sz w:val="24"/>
          <w:szCs w:val="24"/>
          <w:lang w:val="en-US" w:eastAsia="zh-CN"/>
        </w:rPr>
        <w:t>52360</w:t>
      </w:r>
      <w:r>
        <w:rPr>
          <w:rFonts w:ascii="Times New Roman" w:hAnsi="Times New Roman" w:eastAsia="宋体"/>
          <w:color w:val="auto"/>
          <w:sz w:val="24"/>
          <w:szCs w:val="24"/>
        </w:rPr>
        <w:t>m</w:t>
      </w:r>
      <w:r>
        <w:rPr>
          <w:rFonts w:hint="eastAsia" w:ascii="Times New Roman" w:hAnsi="Times New Roman" w:eastAsia="宋体"/>
          <w:color w:val="auto"/>
          <w:sz w:val="24"/>
          <w:szCs w:val="24"/>
          <w:vertAlign w:val="superscript"/>
          <w:lang w:val="en-US" w:eastAsia="zh-CN"/>
        </w:rPr>
        <w:t>3</w:t>
      </w:r>
      <w:r>
        <w:rPr>
          <w:rFonts w:ascii="Times New Roman" w:hAnsi="Times New Roman" w:eastAsia="宋体"/>
          <w:color w:val="auto"/>
          <w:sz w:val="24"/>
          <w:szCs w:val="24"/>
        </w:rPr>
        <w:t>/a。</w:t>
      </w:r>
      <w:r>
        <w:rPr>
          <w:rFonts w:hint="eastAsia"/>
          <w:color w:val="auto"/>
          <w:sz w:val="24"/>
          <w:szCs w:val="24"/>
          <w:lang w:val="en-US" w:eastAsia="zh-CN"/>
        </w:rPr>
        <w:t>井下作业废水依托百口泉注输联合站采出水处理系统处理达标后回注。</w:t>
      </w:r>
    </w:p>
    <w:p w14:paraId="096EF80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lang w:val="en-US" w:eastAsia="zh-CN"/>
        </w:rPr>
        <w:t>生活污水</w:t>
      </w:r>
    </w:p>
    <w:p w14:paraId="7533714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根据调查统计数据，生活污水产生量为1485m</w:t>
      </w:r>
      <w:r>
        <w:rPr>
          <w:rFonts w:hint="eastAsia"/>
          <w:color w:val="auto"/>
          <w:sz w:val="24"/>
          <w:szCs w:val="24"/>
          <w:vertAlign w:val="superscript"/>
          <w:lang w:val="en-US" w:eastAsia="zh-CN"/>
        </w:rPr>
        <w:t>3</w:t>
      </w:r>
      <w:r>
        <w:rPr>
          <w:rFonts w:hint="eastAsia"/>
          <w:color w:val="auto"/>
          <w:sz w:val="24"/>
          <w:szCs w:val="24"/>
          <w:lang w:val="en-US" w:eastAsia="zh-CN"/>
        </w:rPr>
        <w:t>/a，产生的生活污水经化粪池收集后拉运至乌尔禾区生活污水处理厂处置。</w:t>
      </w:r>
    </w:p>
    <w:p w14:paraId="4DA5FAC3">
      <w:pPr>
        <w:pStyle w:val="33"/>
        <w:bidi w:val="0"/>
        <w:rPr>
          <w:rFonts w:hint="default"/>
          <w:color w:val="auto"/>
          <w:lang w:val="en-US" w:eastAsia="zh-CN"/>
        </w:rPr>
      </w:pPr>
      <w:r>
        <w:rPr>
          <w:rFonts w:hint="eastAsia"/>
          <w:color w:val="auto"/>
          <w:lang w:val="en-US" w:eastAsia="zh-CN"/>
        </w:rPr>
        <w:t>3、噪声</w:t>
      </w:r>
    </w:p>
    <w:p w14:paraId="68A04B6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目前区域现有工程的噪声污染源主要有井场抽油机、接转站、</w:t>
      </w:r>
      <w:r>
        <w:rPr>
          <w:rFonts w:hint="eastAsia" w:ascii="Times New Roman" w:hAnsi="Times New Roman" w:eastAsia="宋体"/>
          <w:color w:val="auto"/>
          <w:sz w:val="24"/>
          <w:szCs w:val="24"/>
          <w:lang w:val="en-US" w:eastAsia="zh-CN"/>
        </w:rPr>
        <w:t>转油</w:t>
      </w:r>
      <w:r>
        <w:rPr>
          <w:rFonts w:ascii="Times New Roman" w:hAnsi="Times New Roman" w:eastAsia="宋体"/>
          <w:color w:val="auto"/>
          <w:sz w:val="24"/>
          <w:szCs w:val="24"/>
        </w:rPr>
        <w:t>站的机泵及运输车辆等。根据噪声现场监测，各主要噪声源源强见</w:t>
      </w:r>
      <w:r>
        <w:rPr>
          <w:rFonts w:hint="default" w:ascii="Times New Roman" w:hAnsi="Times New Roman" w:eastAsia="宋体"/>
          <w:color w:val="auto"/>
          <w:sz w:val="24"/>
          <w:szCs w:val="24"/>
          <w:lang w:val="en-US"/>
        </w:rPr>
        <w:fldChar w:fldCharType="begin"/>
      </w:r>
      <w:r>
        <w:rPr>
          <w:rFonts w:hint="default" w:ascii="Times New Roman" w:hAnsi="Times New Roman" w:eastAsia="宋体"/>
          <w:color w:val="auto"/>
          <w:sz w:val="24"/>
          <w:szCs w:val="24"/>
          <w:lang w:val="en-US"/>
        </w:rPr>
        <w:instrText xml:space="preserve"> REF _Ref19895 \h </w:instrText>
      </w:r>
      <w:r>
        <w:rPr>
          <w:rFonts w:hint="default" w:ascii="Times New Roman" w:hAnsi="Times New Roman" w:eastAsia="宋体"/>
          <w:color w:val="auto"/>
          <w:sz w:val="24"/>
          <w:szCs w:val="24"/>
          <w:lang w:val="en-US"/>
        </w:rPr>
        <w:fldChar w:fldCharType="separate"/>
      </w:r>
      <w:r>
        <w:rPr>
          <w:rFonts w:ascii="Times New Roman" w:hAnsi="Times New Roman" w:eastAsia="宋体"/>
          <w:color w:val="auto"/>
          <w:sz w:val="24"/>
          <w:szCs w:val="24"/>
        </w:rPr>
        <w:t>表</w:t>
      </w:r>
      <w:r>
        <w:rPr>
          <w:rFonts w:hint="eastAsia" w:ascii="Times New Roman" w:hAnsi="Times New Roman" w:eastAsia="宋体"/>
          <w:color w:val="auto"/>
          <w:sz w:val="24"/>
          <w:szCs w:val="24"/>
          <w:lang w:val="en-US" w:eastAsia="zh-CN"/>
        </w:rPr>
        <w:t>3.1</w:t>
      </w:r>
      <w:r>
        <w:rPr>
          <w:rFonts w:hint="eastAsia" w:ascii="Times New Roman" w:hAnsi="Times New Roman" w:eastAsia="宋体"/>
          <w:color w:val="auto"/>
          <w:sz w:val="24"/>
          <w:szCs w:val="24"/>
          <w:lang w:eastAsia="zh-CN"/>
        </w:rPr>
        <w:t>-</w:t>
      </w:r>
      <w:r>
        <w:rPr>
          <w:rFonts w:hint="eastAsia"/>
          <w:color w:val="auto"/>
          <w:sz w:val="24"/>
          <w:szCs w:val="24"/>
          <w:lang w:val="en-US" w:eastAsia="zh-CN"/>
        </w:rPr>
        <w:t>1</w:t>
      </w:r>
      <w:r>
        <w:rPr>
          <w:rFonts w:hint="default" w:ascii="Times New Roman" w:hAnsi="Times New Roman" w:eastAsia="宋体"/>
          <w:color w:val="auto"/>
          <w:sz w:val="24"/>
          <w:szCs w:val="24"/>
          <w:lang w:val="en-US"/>
        </w:rPr>
        <w:fldChar w:fldCharType="end"/>
      </w:r>
      <w:r>
        <w:rPr>
          <w:rFonts w:hint="eastAsia"/>
          <w:color w:val="auto"/>
          <w:sz w:val="24"/>
          <w:szCs w:val="24"/>
          <w:lang w:val="en-US" w:eastAsia="zh-CN"/>
        </w:rPr>
        <w:t>3</w:t>
      </w:r>
      <w:r>
        <w:rPr>
          <w:rFonts w:ascii="Times New Roman" w:hAnsi="Times New Roman" w:eastAsia="宋体"/>
          <w:color w:val="auto"/>
          <w:sz w:val="24"/>
          <w:szCs w:val="24"/>
        </w:rPr>
        <w:t>。</w:t>
      </w:r>
    </w:p>
    <w:p w14:paraId="24E75AA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本次评价收集了</w:t>
      </w:r>
      <w:r>
        <w:rPr>
          <w:rFonts w:hint="eastAsia"/>
          <w:color w:val="auto"/>
          <w:sz w:val="24"/>
          <w:szCs w:val="24"/>
          <w:lang w:val="en-US" w:eastAsia="zh-CN"/>
        </w:rPr>
        <w:t>例行监测和</w:t>
      </w:r>
      <w:r>
        <w:rPr>
          <w:rFonts w:ascii="Times New Roman" w:hAnsi="Times New Roman" w:eastAsia="宋体"/>
          <w:color w:val="auto"/>
          <w:sz w:val="24"/>
          <w:szCs w:val="24"/>
        </w:rPr>
        <w:t>历年验收监测报告中典型</w:t>
      </w:r>
      <w:r>
        <w:rPr>
          <w:rFonts w:hint="eastAsia" w:ascii="Times New Roman" w:hAnsi="Times New Roman" w:eastAsia="宋体"/>
          <w:color w:val="auto"/>
          <w:sz w:val="24"/>
          <w:szCs w:val="24"/>
          <w:lang w:val="en-US" w:eastAsia="zh-CN"/>
        </w:rPr>
        <w:t>井场、</w:t>
      </w:r>
      <w:r>
        <w:rPr>
          <w:rFonts w:ascii="Times New Roman" w:hAnsi="Times New Roman" w:eastAsia="宋体"/>
          <w:color w:val="auto"/>
          <w:sz w:val="24"/>
          <w:szCs w:val="24"/>
        </w:rPr>
        <w:t>站场</w:t>
      </w:r>
      <w:r>
        <w:rPr>
          <w:rFonts w:hint="eastAsia" w:ascii="Times New Roman" w:hAnsi="Times New Roman" w:eastAsia="宋体"/>
          <w:color w:val="auto"/>
          <w:sz w:val="24"/>
          <w:szCs w:val="24"/>
          <w:lang w:val="en-US" w:eastAsia="zh-CN"/>
        </w:rPr>
        <w:t>的厂界噪声</w:t>
      </w:r>
      <w:r>
        <w:rPr>
          <w:rFonts w:ascii="Times New Roman" w:hAnsi="Times New Roman" w:eastAsia="宋体"/>
          <w:color w:val="auto"/>
          <w:sz w:val="24"/>
          <w:szCs w:val="24"/>
        </w:rPr>
        <w:t>实测数据，监测结果见。根据监测结果，各典型</w:t>
      </w:r>
      <w:r>
        <w:rPr>
          <w:rFonts w:hint="eastAsia" w:ascii="Times New Roman" w:hAnsi="Times New Roman" w:eastAsia="宋体"/>
          <w:color w:val="auto"/>
          <w:sz w:val="24"/>
          <w:szCs w:val="24"/>
          <w:lang w:val="en-US" w:eastAsia="zh-CN"/>
        </w:rPr>
        <w:t>井场、站场</w:t>
      </w:r>
      <w:r>
        <w:rPr>
          <w:rFonts w:ascii="Times New Roman" w:hAnsi="Times New Roman" w:eastAsia="宋体"/>
          <w:color w:val="auto"/>
          <w:sz w:val="24"/>
          <w:szCs w:val="24"/>
        </w:rPr>
        <w:t>的昼、夜间厂界噪声均能满足《工业企业厂界环境噪声排放标准》（GB12348-2008）中的2类标准要求。</w:t>
      </w:r>
    </w:p>
    <w:p w14:paraId="19BADA91">
      <w:pPr>
        <w:pStyle w:val="43"/>
        <w:bidi w:val="0"/>
        <w:rPr>
          <w:rFonts w:cs="Times New Roman"/>
          <w:color w:val="auto"/>
        </w:rPr>
      </w:pPr>
      <w:r>
        <w:rPr>
          <w:color w:val="auto"/>
        </w:rPr>
        <w:t>表</w:t>
      </w:r>
      <w:r>
        <w:rPr>
          <w:rFonts w:hint="eastAsia"/>
          <w:color w:val="auto"/>
          <w:lang w:val="en-US" w:eastAsia="zh-CN"/>
        </w:rPr>
        <w:t>3.1-13</w:t>
      </w:r>
      <w:r>
        <w:rPr>
          <w:rFonts w:cs="Times New Roman"/>
          <w:color w:val="auto"/>
        </w:rPr>
        <w:t xml:space="preserve">  典型站场噪声监测结果表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1327"/>
        <w:gridCol w:w="979"/>
        <w:gridCol w:w="1495"/>
        <w:gridCol w:w="1354"/>
        <w:gridCol w:w="1657"/>
        <w:gridCol w:w="1596"/>
      </w:tblGrid>
      <w:tr w14:paraId="4789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40" w:hRule="atLeast"/>
          <w:jc w:val="center"/>
        </w:trPr>
        <w:tc>
          <w:tcPr>
            <w:tcW w:w="1371"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6BA84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站场</w:t>
            </w:r>
          </w:p>
        </w:tc>
        <w:tc>
          <w:tcPr>
            <w:tcW w:w="3628" w:type="pct"/>
            <w:gridSpan w:val="4"/>
            <w:tcBorders>
              <w:top w:val="single" w:color="auto" w:sz="4" w:space="0"/>
              <w:left w:val="nil"/>
              <w:bottom w:val="single" w:color="auto" w:sz="4" w:space="0"/>
              <w:right w:val="single" w:color="auto" w:sz="4" w:space="0"/>
            </w:tcBorders>
            <w:shd w:val="clear" w:color="auto" w:fill="auto"/>
            <w:vAlign w:val="center"/>
          </w:tcPr>
          <w:p w14:paraId="746D555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监测结果dB(A）</w:t>
            </w:r>
          </w:p>
        </w:tc>
      </w:tr>
      <w:tr w14:paraId="69E2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37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71524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1694" w:type="pct"/>
            <w:gridSpan w:val="2"/>
            <w:tcBorders>
              <w:top w:val="single" w:color="auto" w:sz="4" w:space="0"/>
              <w:left w:val="nil"/>
              <w:bottom w:val="single" w:color="auto" w:sz="4" w:space="0"/>
              <w:right w:val="single" w:color="auto" w:sz="4" w:space="0"/>
            </w:tcBorders>
            <w:shd w:val="clear" w:color="auto" w:fill="auto"/>
            <w:vAlign w:val="center"/>
          </w:tcPr>
          <w:p w14:paraId="3A89661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第一天</w:t>
            </w:r>
          </w:p>
        </w:tc>
        <w:tc>
          <w:tcPr>
            <w:tcW w:w="1934" w:type="pct"/>
            <w:gridSpan w:val="2"/>
            <w:tcBorders>
              <w:top w:val="single" w:color="auto" w:sz="4" w:space="0"/>
              <w:left w:val="nil"/>
              <w:bottom w:val="single" w:color="auto" w:sz="4" w:space="0"/>
              <w:right w:val="single" w:color="auto" w:sz="4" w:space="0"/>
            </w:tcBorders>
            <w:shd w:val="clear" w:color="auto" w:fill="auto"/>
            <w:vAlign w:val="center"/>
          </w:tcPr>
          <w:p w14:paraId="27B5E9C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第二天</w:t>
            </w:r>
          </w:p>
        </w:tc>
      </w:tr>
      <w:tr w14:paraId="6E31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37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88896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889" w:type="pct"/>
            <w:tcBorders>
              <w:top w:val="single" w:color="auto" w:sz="4" w:space="0"/>
              <w:left w:val="nil"/>
              <w:bottom w:val="single" w:color="auto" w:sz="4" w:space="0"/>
              <w:right w:val="single" w:color="auto" w:sz="4" w:space="0"/>
            </w:tcBorders>
            <w:shd w:val="clear" w:color="auto" w:fill="auto"/>
            <w:vAlign w:val="center"/>
          </w:tcPr>
          <w:p w14:paraId="12D4BAA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805" w:type="pct"/>
            <w:tcBorders>
              <w:top w:val="single" w:color="auto" w:sz="4" w:space="0"/>
              <w:left w:val="nil"/>
              <w:bottom w:val="single" w:color="auto" w:sz="4" w:space="0"/>
              <w:right w:val="single" w:color="auto" w:sz="4" w:space="0"/>
            </w:tcBorders>
            <w:shd w:val="clear" w:color="auto" w:fill="auto"/>
            <w:vAlign w:val="center"/>
          </w:tcPr>
          <w:p w14:paraId="0291D8B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c>
          <w:tcPr>
            <w:tcW w:w="985" w:type="pct"/>
            <w:tcBorders>
              <w:top w:val="single" w:color="auto" w:sz="4" w:space="0"/>
              <w:left w:val="nil"/>
              <w:bottom w:val="single" w:color="auto" w:sz="4" w:space="0"/>
              <w:right w:val="single" w:color="auto" w:sz="4" w:space="0"/>
            </w:tcBorders>
            <w:shd w:val="clear" w:color="auto" w:fill="auto"/>
            <w:vAlign w:val="center"/>
          </w:tcPr>
          <w:p w14:paraId="190A3AC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949" w:type="pct"/>
            <w:tcBorders>
              <w:top w:val="single" w:color="auto" w:sz="4" w:space="0"/>
              <w:left w:val="nil"/>
              <w:bottom w:val="single" w:color="auto" w:sz="4" w:space="0"/>
              <w:right w:val="single" w:color="auto" w:sz="4" w:space="0"/>
            </w:tcBorders>
            <w:shd w:val="clear" w:color="auto" w:fill="auto"/>
            <w:vAlign w:val="center"/>
          </w:tcPr>
          <w:p w14:paraId="328236E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34D2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restart"/>
            <w:tcBorders>
              <w:top w:val="single" w:color="auto" w:sz="4" w:space="0"/>
              <w:left w:val="single" w:color="auto" w:sz="4" w:space="0"/>
              <w:right w:val="single" w:color="auto" w:sz="4" w:space="0"/>
            </w:tcBorders>
            <w:shd w:val="clear" w:color="auto" w:fill="auto"/>
            <w:vAlign w:val="center"/>
          </w:tcPr>
          <w:p w14:paraId="25151CB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玛2转油站</w:t>
            </w:r>
          </w:p>
          <w:p w14:paraId="54F08EE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2025.5.30-31</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1E196FD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东侧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439FBE6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51</w:t>
            </w:r>
          </w:p>
        </w:tc>
        <w:tc>
          <w:tcPr>
            <w:tcW w:w="805" w:type="pct"/>
            <w:tcBorders>
              <w:top w:val="single" w:color="auto" w:sz="4" w:space="0"/>
              <w:left w:val="nil"/>
              <w:bottom w:val="single" w:color="auto" w:sz="4" w:space="0"/>
              <w:right w:val="single" w:color="auto" w:sz="4" w:space="0"/>
            </w:tcBorders>
            <w:shd w:val="clear" w:color="auto" w:fill="auto"/>
            <w:vAlign w:val="center"/>
          </w:tcPr>
          <w:p w14:paraId="59672D0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w:t>
            </w:r>
          </w:p>
        </w:tc>
        <w:tc>
          <w:tcPr>
            <w:tcW w:w="985" w:type="pct"/>
            <w:tcBorders>
              <w:top w:val="single" w:color="auto" w:sz="4" w:space="0"/>
              <w:left w:val="nil"/>
              <w:bottom w:val="single" w:color="auto" w:sz="4" w:space="0"/>
              <w:right w:val="single" w:color="auto" w:sz="4" w:space="0"/>
            </w:tcBorders>
            <w:shd w:val="clear" w:color="auto" w:fill="auto"/>
            <w:vAlign w:val="center"/>
          </w:tcPr>
          <w:p w14:paraId="558919B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22917CB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492A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22D3BA0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3CEDD7C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3BE916E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51</w:t>
            </w:r>
          </w:p>
        </w:tc>
        <w:tc>
          <w:tcPr>
            <w:tcW w:w="805" w:type="pct"/>
            <w:tcBorders>
              <w:top w:val="single" w:color="auto" w:sz="4" w:space="0"/>
              <w:left w:val="nil"/>
              <w:bottom w:val="single" w:color="auto" w:sz="4" w:space="0"/>
              <w:right w:val="single" w:color="auto" w:sz="4" w:space="0"/>
            </w:tcBorders>
            <w:shd w:val="clear" w:color="auto" w:fill="auto"/>
            <w:vAlign w:val="center"/>
          </w:tcPr>
          <w:p w14:paraId="0C02770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w:t>
            </w:r>
          </w:p>
        </w:tc>
        <w:tc>
          <w:tcPr>
            <w:tcW w:w="985" w:type="pct"/>
            <w:tcBorders>
              <w:top w:val="single" w:color="auto" w:sz="4" w:space="0"/>
              <w:left w:val="nil"/>
              <w:bottom w:val="single" w:color="auto" w:sz="4" w:space="0"/>
              <w:right w:val="single" w:color="auto" w:sz="4" w:space="0"/>
            </w:tcBorders>
            <w:shd w:val="clear" w:color="auto" w:fill="auto"/>
            <w:vAlign w:val="center"/>
          </w:tcPr>
          <w:p w14:paraId="4B4FB9A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70DE0E7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7459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3EA421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165DFFC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7A29CF9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51</w:t>
            </w:r>
          </w:p>
        </w:tc>
        <w:tc>
          <w:tcPr>
            <w:tcW w:w="805" w:type="pct"/>
            <w:tcBorders>
              <w:top w:val="single" w:color="auto" w:sz="4" w:space="0"/>
              <w:left w:val="nil"/>
              <w:bottom w:val="single" w:color="auto" w:sz="4" w:space="0"/>
              <w:right w:val="single" w:color="auto" w:sz="4" w:space="0"/>
            </w:tcBorders>
            <w:shd w:val="clear" w:color="auto" w:fill="auto"/>
            <w:vAlign w:val="center"/>
          </w:tcPr>
          <w:p w14:paraId="613A383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w:t>
            </w:r>
          </w:p>
        </w:tc>
        <w:tc>
          <w:tcPr>
            <w:tcW w:w="985" w:type="pct"/>
            <w:tcBorders>
              <w:top w:val="single" w:color="auto" w:sz="4" w:space="0"/>
              <w:left w:val="nil"/>
              <w:bottom w:val="single" w:color="auto" w:sz="4" w:space="0"/>
              <w:right w:val="single" w:color="auto" w:sz="4" w:space="0"/>
            </w:tcBorders>
            <w:shd w:val="clear" w:color="auto" w:fill="auto"/>
            <w:vAlign w:val="center"/>
          </w:tcPr>
          <w:p w14:paraId="00666DB5">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53B52199">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0FD1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bottom w:val="single" w:color="auto" w:sz="4" w:space="0"/>
              <w:right w:val="single" w:color="auto" w:sz="4" w:space="0"/>
            </w:tcBorders>
            <w:shd w:val="clear" w:color="auto" w:fill="auto"/>
            <w:vAlign w:val="center"/>
          </w:tcPr>
          <w:p w14:paraId="5CFDF2B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12EB4C1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0446A14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52</w:t>
            </w:r>
          </w:p>
        </w:tc>
        <w:tc>
          <w:tcPr>
            <w:tcW w:w="805" w:type="pct"/>
            <w:tcBorders>
              <w:top w:val="single" w:color="auto" w:sz="4" w:space="0"/>
              <w:left w:val="nil"/>
              <w:bottom w:val="single" w:color="auto" w:sz="4" w:space="0"/>
              <w:right w:val="single" w:color="auto" w:sz="4" w:space="0"/>
            </w:tcBorders>
            <w:shd w:val="clear" w:color="auto" w:fill="auto"/>
            <w:vAlign w:val="center"/>
          </w:tcPr>
          <w:p w14:paraId="74ED35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w:t>
            </w:r>
          </w:p>
        </w:tc>
        <w:tc>
          <w:tcPr>
            <w:tcW w:w="985" w:type="pct"/>
            <w:tcBorders>
              <w:top w:val="single" w:color="auto" w:sz="4" w:space="0"/>
              <w:left w:val="nil"/>
              <w:bottom w:val="single" w:color="auto" w:sz="4" w:space="0"/>
              <w:right w:val="single" w:color="auto" w:sz="4" w:space="0"/>
            </w:tcBorders>
            <w:shd w:val="clear" w:color="auto" w:fill="auto"/>
            <w:vAlign w:val="center"/>
          </w:tcPr>
          <w:p w14:paraId="54DFDD8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54C4987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74D8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restart"/>
            <w:tcBorders>
              <w:top w:val="single" w:color="auto" w:sz="4" w:space="0"/>
              <w:left w:val="single" w:color="auto" w:sz="4" w:space="0"/>
              <w:right w:val="single" w:color="auto" w:sz="4" w:space="0"/>
            </w:tcBorders>
            <w:shd w:val="clear" w:color="auto" w:fill="auto"/>
            <w:vAlign w:val="center"/>
          </w:tcPr>
          <w:p w14:paraId="718FF91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玛131转油站</w:t>
            </w:r>
          </w:p>
          <w:p w14:paraId="01DF734E">
            <w:pPr>
              <w:rPr>
                <w:rFonts w:hint="default"/>
                <w:color w:val="auto"/>
                <w:lang w:val="en-US" w:eastAsia="zh-CN"/>
              </w:rPr>
            </w:pPr>
            <w:r>
              <w:rPr>
                <w:rFonts w:hint="eastAsia" w:cs="Times New Roman"/>
                <w:b w:val="0"/>
                <w:bCs w:val="0"/>
                <w:color w:val="auto"/>
                <w:sz w:val="21"/>
                <w:szCs w:val="21"/>
                <w:lang w:val="en-US" w:eastAsia="zh-CN"/>
              </w:rPr>
              <w:t>2025.5.25-26</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241616D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东侧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5C2FB4E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51</w:t>
            </w:r>
          </w:p>
        </w:tc>
        <w:tc>
          <w:tcPr>
            <w:tcW w:w="805" w:type="pct"/>
            <w:tcBorders>
              <w:top w:val="single" w:color="auto" w:sz="4" w:space="0"/>
              <w:left w:val="nil"/>
              <w:bottom w:val="single" w:color="auto" w:sz="4" w:space="0"/>
              <w:right w:val="single" w:color="auto" w:sz="4" w:space="0"/>
            </w:tcBorders>
            <w:shd w:val="clear" w:color="auto" w:fill="auto"/>
            <w:vAlign w:val="center"/>
          </w:tcPr>
          <w:p w14:paraId="16926E3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w:t>
            </w:r>
          </w:p>
        </w:tc>
        <w:tc>
          <w:tcPr>
            <w:tcW w:w="985" w:type="pct"/>
            <w:tcBorders>
              <w:top w:val="single" w:color="auto" w:sz="4" w:space="0"/>
              <w:left w:val="nil"/>
              <w:bottom w:val="single" w:color="auto" w:sz="4" w:space="0"/>
              <w:right w:val="single" w:color="auto" w:sz="4" w:space="0"/>
            </w:tcBorders>
            <w:shd w:val="clear" w:color="auto" w:fill="auto"/>
            <w:vAlign w:val="center"/>
          </w:tcPr>
          <w:p w14:paraId="143B8CE7">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1265CDC5">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10C0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007972F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6D23EC9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13467E4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52</w:t>
            </w:r>
          </w:p>
        </w:tc>
        <w:tc>
          <w:tcPr>
            <w:tcW w:w="805" w:type="pct"/>
            <w:tcBorders>
              <w:top w:val="single" w:color="auto" w:sz="4" w:space="0"/>
              <w:left w:val="nil"/>
              <w:bottom w:val="single" w:color="auto" w:sz="4" w:space="0"/>
              <w:right w:val="single" w:color="auto" w:sz="4" w:space="0"/>
            </w:tcBorders>
            <w:shd w:val="clear" w:color="auto" w:fill="auto"/>
            <w:vAlign w:val="center"/>
          </w:tcPr>
          <w:p w14:paraId="088EF2A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47</w:t>
            </w:r>
          </w:p>
        </w:tc>
        <w:tc>
          <w:tcPr>
            <w:tcW w:w="985" w:type="pct"/>
            <w:tcBorders>
              <w:top w:val="single" w:color="auto" w:sz="4" w:space="0"/>
              <w:left w:val="nil"/>
              <w:bottom w:val="single" w:color="auto" w:sz="4" w:space="0"/>
              <w:right w:val="single" w:color="auto" w:sz="4" w:space="0"/>
            </w:tcBorders>
            <w:shd w:val="clear" w:color="auto" w:fill="auto"/>
            <w:vAlign w:val="center"/>
          </w:tcPr>
          <w:p w14:paraId="7C75659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2C95DC5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5C6B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64BDD8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07E010A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西侧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7B1DEC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52</w:t>
            </w:r>
          </w:p>
        </w:tc>
        <w:tc>
          <w:tcPr>
            <w:tcW w:w="805" w:type="pct"/>
            <w:tcBorders>
              <w:top w:val="single" w:color="auto" w:sz="4" w:space="0"/>
              <w:left w:val="nil"/>
              <w:bottom w:val="single" w:color="auto" w:sz="4" w:space="0"/>
              <w:right w:val="single" w:color="auto" w:sz="4" w:space="0"/>
            </w:tcBorders>
            <w:shd w:val="clear" w:color="auto" w:fill="auto"/>
            <w:vAlign w:val="center"/>
          </w:tcPr>
          <w:p w14:paraId="36AAFFA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46</w:t>
            </w:r>
          </w:p>
        </w:tc>
        <w:tc>
          <w:tcPr>
            <w:tcW w:w="985" w:type="pct"/>
            <w:tcBorders>
              <w:top w:val="single" w:color="auto" w:sz="4" w:space="0"/>
              <w:left w:val="nil"/>
              <w:bottom w:val="single" w:color="auto" w:sz="4" w:space="0"/>
              <w:right w:val="single" w:color="auto" w:sz="4" w:space="0"/>
            </w:tcBorders>
            <w:shd w:val="clear" w:color="auto" w:fill="auto"/>
            <w:vAlign w:val="center"/>
          </w:tcPr>
          <w:p w14:paraId="1615513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0CE7FF6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5531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bottom w:val="single" w:color="auto" w:sz="4" w:space="0"/>
              <w:right w:val="single" w:color="auto" w:sz="4" w:space="0"/>
            </w:tcBorders>
            <w:shd w:val="clear" w:color="auto" w:fill="auto"/>
            <w:vAlign w:val="center"/>
          </w:tcPr>
          <w:p w14:paraId="4CA7FEA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6948844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4ECB9BE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52</w:t>
            </w:r>
          </w:p>
        </w:tc>
        <w:tc>
          <w:tcPr>
            <w:tcW w:w="805" w:type="pct"/>
            <w:tcBorders>
              <w:top w:val="single" w:color="auto" w:sz="4" w:space="0"/>
              <w:left w:val="nil"/>
              <w:bottom w:val="single" w:color="auto" w:sz="4" w:space="0"/>
              <w:right w:val="single" w:color="auto" w:sz="4" w:space="0"/>
            </w:tcBorders>
            <w:shd w:val="clear" w:color="auto" w:fill="auto"/>
            <w:vAlign w:val="center"/>
          </w:tcPr>
          <w:p w14:paraId="6567ACA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46</w:t>
            </w:r>
          </w:p>
        </w:tc>
        <w:tc>
          <w:tcPr>
            <w:tcW w:w="985" w:type="pct"/>
            <w:tcBorders>
              <w:top w:val="single" w:color="auto" w:sz="4" w:space="0"/>
              <w:left w:val="nil"/>
              <w:bottom w:val="single" w:color="auto" w:sz="4" w:space="0"/>
              <w:right w:val="single" w:color="auto" w:sz="4" w:space="0"/>
            </w:tcBorders>
            <w:shd w:val="clear" w:color="auto" w:fill="auto"/>
            <w:vAlign w:val="center"/>
          </w:tcPr>
          <w:p w14:paraId="41D799F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20CE7EB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07D8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restart"/>
            <w:tcBorders>
              <w:top w:val="single" w:color="auto" w:sz="4" w:space="0"/>
              <w:left w:val="single" w:color="auto" w:sz="4" w:space="0"/>
              <w:right w:val="single" w:color="auto" w:sz="4" w:space="0"/>
            </w:tcBorders>
            <w:shd w:val="clear" w:color="auto" w:fill="auto"/>
            <w:vAlign w:val="center"/>
          </w:tcPr>
          <w:p w14:paraId="4C78F19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艾湖2转油站</w:t>
            </w:r>
          </w:p>
          <w:p w14:paraId="61F0AF09">
            <w:pPr>
              <w:rPr>
                <w:rFonts w:hint="default"/>
                <w:color w:val="auto"/>
                <w:lang w:val="en-US" w:eastAsia="zh-CN"/>
              </w:rPr>
            </w:pPr>
            <w:r>
              <w:rPr>
                <w:rFonts w:hint="eastAsia" w:cs="Times New Roman"/>
                <w:b w:val="0"/>
                <w:bCs w:val="0"/>
                <w:color w:val="auto"/>
                <w:sz w:val="21"/>
                <w:szCs w:val="21"/>
                <w:lang w:val="en-US" w:eastAsia="zh-CN"/>
              </w:rPr>
              <w:t>2025.5.29-30</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568B140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6221D60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53</w:t>
            </w:r>
          </w:p>
        </w:tc>
        <w:tc>
          <w:tcPr>
            <w:tcW w:w="805" w:type="pct"/>
            <w:tcBorders>
              <w:top w:val="single" w:color="auto" w:sz="4" w:space="0"/>
              <w:left w:val="nil"/>
              <w:bottom w:val="single" w:color="auto" w:sz="4" w:space="0"/>
              <w:right w:val="single" w:color="auto" w:sz="4" w:space="0"/>
            </w:tcBorders>
            <w:shd w:val="clear" w:color="auto" w:fill="auto"/>
            <w:vAlign w:val="center"/>
          </w:tcPr>
          <w:p w14:paraId="4EA0637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w:t>
            </w:r>
          </w:p>
        </w:tc>
        <w:tc>
          <w:tcPr>
            <w:tcW w:w="985" w:type="pct"/>
            <w:tcBorders>
              <w:top w:val="single" w:color="auto" w:sz="4" w:space="0"/>
              <w:left w:val="nil"/>
              <w:bottom w:val="single" w:color="auto" w:sz="4" w:space="0"/>
              <w:right w:val="single" w:color="auto" w:sz="4" w:space="0"/>
            </w:tcBorders>
            <w:shd w:val="clear" w:color="auto" w:fill="auto"/>
            <w:vAlign w:val="center"/>
          </w:tcPr>
          <w:p w14:paraId="4AB909F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2294E02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2565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4C45A79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3DFBCD9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2056A98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53</w:t>
            </w:r>
          </w:p>
        </w:tc>
        <w:tc>
          <w:tcPr>
            <w:tcW w:w="805" w:type="pct"/>
            <w:tcBorders>
              <w:top w:val="single" w:color="auto" w:sz="4" w:space="0"/>
              <w:left w:val="nil"/>
              <w:bottom w:val="single" w:color="auto" w:sz="4" w:space="0"/>
              <w:right w:val="single" w:color="auto" w:sz="4" w:space="0"/>
            </w:tcBorders>
            <w:shd w:val="clear" w:color="auto" w:fill="auto"/>
            <w:vAlign w:val="center"/>
          </w:tcPr>
          <w:p w14:paraId="00057A0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w:t>
            </w:r>
          </w:p>
        </w:tc>
        <w:tc>
          <w:tcPr>
            <w:tcW w:w="985" w:type="pct"/>
            <w:tcBorders>
              <w:top w:val="single" w:color="auto" w:sz="4" w:space="0"/>
              <w:left w:val="nil"/>
              <w:bottom w:val="single" w:color="auto" w:sz="4" w:space="0"/>
              <w:right w:val="single" w:color="auto" w:sz="4" w:space="0"/>
            </w:tcBorders>
            <w:shd w:val="clear" w:color="auto" w:fill="auto"/>
            <w:vAlign w:val="center"/>
          </w:tcPr>
          <w:p w14:paraId="576327D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1AF9B65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211D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5F1EA89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65F9330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4E0AF55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52</w:t>
            </w:r>
          </w:p>
        </w:tc>
        <w:tc>
          <w:tcPr>
            <w:tcW w:w="805" w:type="pct"/>
            <w:tcBorders>
              <w:top w:val="single" w:color="auto" w:sz="4" w:space="0"/>
              <w:left w:val="nil"/>
              <w:bottom w:val="single" w:color="auto" w:sz="4" w:space="0"/>
              <w:right w:val="single" w:color="auto" w:sz="4" w:space="0"/>
            </w:tcBorders>
            <w:shd w:val="clear" w:color="auto" w:fill="auto"/>
            <w:vAlign w:val="center"/>
          </w:tcPr>
          <w:p w14:paraId="33B18CE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w:t>
            </w:r>
          </w:p>
        </w:tc>
        <w:tc>
          <w:tcPr>
            <w:tcW w:w="985" w:type="pct"/>
            <w:tcBorders>
              <w:top w:val="single" w:color="auto" w:sz="4" w:space="0"/>
              <w:left w:val="nil"/>
              <w:bottom w:val="single" w:color="auto" w:sz="4" w:space="0"/>
              <w:right w:val="single" w:color="auto" w:sz="4" w:space="0"/>
            </w:tcBorders>
            <w:shd w:val="clear" w:color="auto" w:fill="auto"/>
            <w:vAlign w:val="center"/>
          </w:tcPr>
          <w:p w14:paraId="2EE992F9">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396A50C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338F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bottom w:val="single" w:color="auto" w:sz="4" w:space="0"/>
              <w:right w:val="single" w:color="auto" w:sz="4" w:space="0"/>
            </w:tcBorders>
            <w:shd w:val="clear" w:color="auto" w:fill="auto"/>
            <w:vAlign w:val="center"/>
          </w:tcPr>
          <w:p w14:paraId="3A74C5A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22003E4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5F29DDD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52</w:t>
            </w:r>
          </w:p>
        </w:tc>
        <w:tc>
          <w:tcPr>
            <w:tcW w:w="805" w:type="pct"/>
            <w:tcBorders>
              <w:top w:val="single" w:color="auto" w:sz="4" w:space="0"/>
              <w:left w:val="nil"/>
              <w:bottom w:val="single" w:color="auto" w:sz="4" w:space="0"/>
              <w:right w:val="single" w:color="auto" w:sz="4" w:space="0"/>
            </w:tcBorders>
            <w:shd w:val="clear" w:color="auto" w:fill="auto"/>
            <w:vAlign w:val="center"/>
          </w:tcPr>
          <w:p w14:paraId="40E982E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47</w:t>
            </w:r>
          </w:p>
        </w:tc>
        <w:tc>
          <w:tcPr>
            <w:tcW w:w="985" w:type="pct"/>
            <w:tcBorders>
              <w:top w:val="single" w:color="auto" w:sz="4" w:space="0"/>
              <w:left w:val="nil"/>
              <w:bottom w:val="single" w:color="auto" w:sz="4" w:space="0"/>
              <w:right w:val="single" w:color="auto" w:sz="4" w:space="0"/>
            </w:tcBorders>
            <w:shd w:val="clear" w:color="auto" w:fill="auto"/>
            <w:vAlign w:val="center"/>
          </w:tcPr>
          <w:p w14:paraId="1474B49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1D8068B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43B1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restart"/>
            <w:tcBorders>
              <w:top w:val="single" w:color="auto" w:sz="4" w:space="0"/>
              <w:left w:val="single" w:color="auto" w:sz="4" w:space="0"/>
              <w:right w:val="single" w:color="auto" w:sz="4" w:space="0"/>
            </w:tcBorders>
            <w:shd w:val="clear" w:color="auto" w:fill="auto"/>
            <w:vAlign w:val="center"/>
          </w:tcPr>
          <w:p w14:paraId="2F6FF38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玛18转油站2025.5.26-27</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0B4AEDD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17A475C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53</w:t>
            </w:r>
          </w:p>
        </w:tc>
        <w:tc>
          <w:tcPr>
            <w:tcW w:w="805" w:type="pct"/>
            <w:tcBorders>
              <w:top w:val="single" w:color="auto" w:sz="4" w:space="0"/>
              <w:left w:val="nil"/>
              <w:bottom w:val="single" w:color="auto" w:sz="4" w:space="0"/>
              <w:right w:val="single" w:color="auto" w:sz="4" w:space="0"/>
            </w:tcBorders>
            <w:shd w:val="clear" w:color="auto" w:fill="auto"/>
            <w:vAlign w:val="center"/>
          </w:tcPr>
          <w:p w14:paraId="55819F3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49</w:t>
            </w:r>
          </w:p>
        </w:tc>
        <w:tc>
          <w:tcPr>
            <w:tcW w:w="985" w:type="pct"/>
            <w:tcBorders>
              <w:top w:val="single" w:color="auto" w:sz="4" w:space="0"/>
              <w:left w:val="nil"/>
              <w:bottom w:val="single" w:color="auto" w:sz="4" w:space="0"/>
              <w:right w:val="single" w:color="auto" w:sz="4" w:space="0"/>
            </w:tcBorders>
            <w:shd w:val="clear" w:color="auto" w:fill="auto"/>
            <w:vAlign w:val="center"/>
          </w:tcPr>
          <w:p w14:paraId="27204F0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0EF75855">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2839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03887E7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1B050FE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1312735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53</w:t>
            </w:r>
          </w:p>
        </w:tc>
        <w:tc>
          <w:tcPr>
            <w:tcW w:w="805" w:type="pct"/>
            <w:tcBorders>
              <w:top w:val="single" w:color="auto" w:sz="4" w:space="0"/>
              <w:left w:val="nil"/>
              <w:bottom w:val="single" w:color="auto" w:sz="4" w:space="0"/>
              <w:right w:val="single" w:color="auto" w:sz="4" w:space="0"/>
            </w:tcBorders>
            <w:shd w:val="clear" w:color="auto" w:fill="auto"/>
            <w:vAlign w:val="center"/>
          </w:tcPr>
          <w:p w14:paraId="125D92D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w:t>
            </w:r>
          </w:p>
        </w:tc>
        <w:tc>
          <w:tcPr>
            <w:tcW w:w="985" w:type="pct"/>
            <w:tcBorders>
              <w:top w:val="single" w:color="auto" w:sz="4" w:space="0"/>
              <w:left w:val="nil"/>
              <w:bottom w:val="single" w:color="auto" w:sz="4" w:space="0"/>
              <w:right w:val="single" w:color="auto" w:sz="4" w:space="0"/>
            </w:tcBorders>
            <w:shd w:val="clear" w:color="auto" w:fill="auto"/>
            <w:vAlign w:val="center"/>
          </w:tcPr>
          <w:p w14:paraId="461AF997">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3C452A2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764B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092556B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0A8D507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06A5C8B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52</w:t>
            </w:r>
          </w:p>
        </w:tc>
        <w:tc>
          <w:tcPr>
            <w:tcW w:w="805" w:type="pct"/>
            <w:tcBorders>
              <w:top w:val="single" w:color="auto" w:sz="4" w:space="0"/>
              <w:left w:val="nil"/>
              <w:bottom w:val="single" w:color="auto" w:sz="4" w:space="0"/>
              <w:right w:val="single" w:color="auto" w:sz="4" w:space="0"/>
            </w:tcBorders>
            <w:shd w:val="clear" w:color="auto" w:fill="auto"/>
            <w:vAlign w:val="center"/>
          </w:tcPr>
          <w:p w14:paraId="3F0F08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47</w:t>
            </w:r>
          </w:p>
        </w:tc>
        <w:tc>
          <w:tcPr>
            <w:tcW w:w="985" w:type="pct"/>
            <w:tcBorders>
              <w:top w:val="single" w:color="auto" w:sz="4" w:space="0"/>
              <w:left w:val="nil"/>
              <w:bottom w:val="single" w:color="auto" w:sz="4" w:space="0"/>
              <w:right w:val="single" w:color="auto" w:sz="4" w:space="0"/>
            </w:tcBorders>
            <w:shd w:val="clear" w:color="auto" w:fill="auto"/>
            <w:vAlign w:val="center"/>
          </w:tcPr>
          <w:p w14:paraId="5E536C3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43D62A4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0AF4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bottom w:val="single" w:color="auto" w:sz="4" w:space="0"/>
              <w:right w:val="single" w:color="auto" w:sz="4" w:space="0"/>
            </w:tcBorders>
            <w:shd w:val="clear" w:color="auto" w:fill="auto"/>
            <w:vAlign w:val="center"/>
          </w:tcPr>
          <w:p w14:paraId="21CC050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5192C3B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7876D77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54</w:t>
            </w:r>
          </w:p>
        </w:tc>
        <w:tc>
          <w:tcPr>
            <w:tcW w:w="805" w:type="pct"/>
            <w:tcBorders>
              <w:top w:val="single" w:color="auto" w:sz="4" w:space="0"/>
              <w:left w:val="nil"/>
              <w:bottom w:val="single" w:color="auto" w:sz="4" w:space="0"/>
              <w:right w:val="single" w:color="auto" w:sz="4" w:space="0"/>
            </w:tcBorders>
            <w:shd w:val="clear" w:color="auto" w:fill="auto"/>
            <w:vAlign w:val="center"/>
          </w:tcPr>
          <w:p w14:paraId="1CB47F0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47</w:t>
            </w:r>
          </w:p>
        </w:tc>
        <w:tc>
          <w:tcPr>
            <w:tcW w:w="985" w:type="pct"/>
            <w:tcBorders>
              <w:top w:val="single" w:color="auto" w:sz="4" w:space="0"/>
              <w:left w:val="nil"/>
              <w:bottom w:val="single" w:color="auto" w:sz="4" w:space="0"/>
              <w:right w:val="single" w:color="auto" w:sz="4" w:space="0"/>
            </w:tcBorders>
            <w:shd w:val="clear" w:color="auto" w:fill="auto"/>
            <w:vAlign w:val="center"/>
          </w:tcPr>
          <w:p w14:paraId="1FFD50C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c>
          <w:tcPr>
            <w:tcW w:w="949" w:type="pct"/>
            <w:tcBorders>
              <w:top w:val="single" w:color="auto" w:sz="4" w:space="0"/>
              <w:left w:val="nil"/>
              <w:bottom w:val="single" w:color="auto" w:sz="4" w:space="0"/>
              <w:right w:val="single" w:color="auto" w:sz="4" w:space="0"/>
            </w:tcBorders>
            <w:shd w:val="clear" w:color="auto" w:fill="auto"/>
            <w:vAlign w:val="center"/>
          </w:tcPr>
          <w:p w14:paraId="4A5E708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w:t>
            </w:r>
          </w:p>
        </w:tc>
      </w:tr>
      <w:tr w14:paraId="62CE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restart"/>
            <w:tcBorders>
              <w:top w:val="single" w:color="auto" w:sz="4" w:space="0"/>
              <w:left w:val="single" w:color="auto" w:sz="4" w:space="0"/>
              <w:right w:val="single" w:color="auto" w:sz="4" w:space="0"/>
            </w:tcBorders>
            <w:shd w:val="clear" w:color="auto" w:fill="auto"/>
            <w:vAlign w:val="center"/>
          </w:tcPr>
          <w:p w14:paraId="7945B4AC">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MaHW2077井</w:t>
            </w:r>
          </w:p>
          <w:p w14:paraId="19E90F00">
            <w:pPr>
              <w:jc w:val="center"/>
              <w:rPr>
                <w:rFonts w:hint="default"/>
                <w:color w:val="auto"/>
                <w:lang w:val="en-US" w:eastAsia="zh-CN"/>
              </w:rPr>
            </w:pPr>
            <w:r>
              <w:rPr>
                <w:rFonts w:hint="eastAsia" w:cs="Times New Roman"/>
                <w:b w:val="0"/>
                <w:bCs w:val="0"/>
                <w:color w:val="auto"/>
                <w:sz w:val="21"/>
                <w:szCs w:val="21"/>
                <w:lang w:val="en-US" w:eastAsia="zh-CN"/>
              </w:rPr>
              <w:t>2024.11.1-3</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33098EF7">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东侧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0FD8C04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44</w:t>
            </w:r>
          </w:p>
        </w:tc>
        <w:tc>
          <w:tcPr>
            <w:tcW w:w="805" w:type="pct"/>
            <w:tcBorders>
              <w:top w:val="single" w:color="auto" w:sz="4" w:space="0"/>
              <w:left w:val="nil"/>
              <w:bottom w:val="single" w:color="auto" w:sz="4" w:space="0"/>
              <w:right w:val="single" w:color="auto" w:sz="4" w:space="0"/>
            </w:tcBorders>
            <w:shd w:val="clear" w:color="auto" w:fill="auto"/>
            <w:vAlign w:val="center"/>
          </w:tcPr>
          <w:p w14:paraId="626CC23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41</w:t>
            </w:r>
          </w:p>
        </w:tc>
        <w:tc>
          <w:tcPr>
            <w:tcW w:w="985" w:type="pct"/>
            <w:tcBorders>
              <w:top w:val="single" w:color="auto" w:sz="4" w:space="0"/>
              <w:left w:val="nil"/>
              <w:bottom w:val="single" w:color="auto" w:sz="4" w:space="0"/>
              <w:right w:val="single" w:color="auto" w:sz="4" w:space="0"/>
            </w:tcBorders>
            <w:shd w:val="clear" w:color="auto" w:fill="auto"/>
            <w:vAlign w:val="center"/>
          </w:tcPr>
          <w:p w14:paraId="0E8332E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43</w:t>
            </w:r>
          </w:p>
        </w:tc>
        <w:tc>
          <w:tcPr>
            <w:tcW w:w="949" w:type="pct"/>
            <w:tcBorders>
              <w:top w:val="single" w:color="auto" w:sz="4" w:space="0"/>
              <w:left w:val="nil"/>
              <w:bottom w:val="single" w:color="auto" w:sz="4" w:space="0"/>
              <w:right w:val="single" w:color="auto" w:sz="4" w:space="0"/>
            </w:tcBorders>
            <w:shd w:val="clear" w:color="auto" w:fill="auto"/>
            <w:vAlign w:val="center"/>
          </w:tcPr>
          <w:p w14:paraId="2C3C3AF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w:t>
            </w:r>
          </w:p>
        </w:tc>
      </w:tr>
      <w:tr w14:paraId="5E27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591650D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1A27253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441FB6A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42</w:t>
            </w:r>
          </w:p>
        </w:tc>
        <w:tc>
          <w:tcPr>
            <w:tcW w:w="805" w:type="pct"/>
            <w:tcBorders>
              <w:top w:val="single" w:color="auto" w:sz="4" w:space="0"/>
              <w:left w:val="nil"/>
              <w:bottom w:val="single" w:color="auto" w:sz="4" w:space="0"/>
              <w:right w:val="single" w:color="auto" w:sz="4" w:space="0"/>
            </w:tcBorders>
            <w:shd w:val="clear" w:color="auto" w:fill="auto"/>
            <w:vAlign w:val="center"/>
          </w:tcPr>
          <w:p w14:paraId="23F87B8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w:t>
            </w:r>
          </w:p>
        </w:tc>
        <w:tc>
          <w:tcPr>
            <w:tcW w:w="985" w:type="pct"/>
            <w:tcBorders>
              <w:top w:val="single" w:color="auto" w:sz="4" w:space="0"/>
              <w:left w:val="nil"/>
              <w:bottom w:val="single" w:color="auto" w:sz="4" w:space="0"/>
              <w:right w:val="single" w:color="auto" w:sz="4" w:space="0"/>
            </w:tcBorders>
            <w:shd w:val="clear" w:color="auto" w:fill="auto"/>
            <w:vAlign w:val="center"/>
          </w:tcPr>
          <w:p w14:paraId="7F7A308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43</w:t>
            </w:r>
          </w:p>
        </w:tc>
        <w:tc>
          <w:tcPr>
            <w:tcW w:w="949" w:type="pct"/>
            <w:tcBorders>
              <w:top w:val="single" w:color="auto" w:sz="4" w:space="0"/>
              <w:left w:val="nil"/>
              <w:bottom w:val="single" w:color="auto" w:sz="4" w:space="0"/>
              <w:right w:val="single" w:color="auto" w:sz="4" w:space="0"/>
            </w:tcBorders>
            <w:shd w:val="clear" w:color="auto" w:fill="auto"/>
            <w:vAlign w:val="center"/>
          </w:tcPr>
          <w:p w14:paraId="54A6E39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w:t>
            </w:r>
          </w:p>
        </w:tc>
      </w:tr>
      <w:tr w14:paraId="632B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46A8303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21E80AD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西侧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0D29AEF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43</w:t>
            </w:r>
          </w:p>
        </w:tc>
        <w:tc>
          <w:tcPr>
            <w:tcW w:w="805" w:type="pct"/>
            <w:tcBorders>
              <w:top w:val="single" w:color="auto" w:sz="4" w:space="0"/>
              <w:left w:val="nil"/>
              <w:bottom w:val="single" w:color="auto" w:sz="4" w:space="0"/>
              <w:right w:val="single" w:color="auto" w:sz="4" w:space="0"/>
            </w:tcBorders>
            <w:shd w:val="clear" w:color="auto" w:fill="auto"/>
            <w:vAlign w:val="center"/>
          </w:tcPr>
          <w:p w14:paraId="1EDD205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39</w:t>
            </w:r>
          </w:p>
        </w:tc>
        <w:tc>
          <w:tcPr>
            <w:tcW w:w="985" w:type="pct"/>
            <w:tcBorders>
              <w:top w:val="single" w:color="auto" w:sz="4" w:space="0"/>
              <w:left w:val="nil"/>
              <w:bottom w:val="single" w:color="auto" w:sz="4" w:space="0"/>
              <w:right w:val="single" w:color="auto" w:sz="4" w:space="0"/>
            </w:tcBorders>
            <w:shd w:val="clear" w:color="auto" w:fill="auto"/>
            <w:vAlign w:val="center"/>
          </w:tcPr>
          <w:p w14:paraId="4596804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43</w:t>
            </w:r>
          </w:p>
        </w:tc>
        <w:tc>
          <w:tcPr>
            <w:tcW w:w="949" w:type="pct"/>
            <w:tcBorders>
              <w:top w:val="single" w:color="auto" w:sz="4" w:space="0"/>
              <w:left w:val="nil"/>
              <w:bottom w:val="single" w:color="auto" w:sz="4" w:space="0"/>
              <w:right w:val="single" w:color="auto" w:sz="4" w:space="0"/>
            </w:tcBorders>
            <w:shd w:val="clear" w:color="auto" w:fill="auto"/>
            <w:vAlign w:val="center"/>
          </w:tcPr>
          <w:p w14:paraId="6798ECF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w:t>
            </w:r>
          </w:p>
        </w:tc>
      </w:tr>
      <w:tr w14:paraId="5FC4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bottom w:val="single" w:color="auto" w:sz="4" w:space="0"/>
              <w:right w:val="single" w:color="auto" w:sz="4" w:space="0"/>
            </w:tcBorders>
            <w:shd w:val="clear" w:color="auto" w:fill="auto"/>
            <w:vAlign w:val="center"/>
          </w:tcPr>
          <w:p w14:paraId="2F10AE3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4D523559">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5310FD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42</w:t>
            </w:r>
          </w:p>
        </w:tc>
        <w:tc>
          <w:tcPr>
            <w:tcW w:w="805" w:type="pct"/>
            <w:tcBorders>
              <w:top w:val="single" w:color="auto" w:sz="4" w:space="0"/>
              <w:left w:val="nil"/>
              <w:bottom w:val="single" w:color="auto" w:sz="4" w:space="0"/>
              <w:right w:val="single" w:color="auto" w:sz="4" w:space="0"/>
            </w:tcBorders>
            <w:shd w:val="clear" w:color="auto" w:fill="auto"/>
            <w:vAlign w:val="center"/>
          </w:tcPr>
          <w:p w14:paraId="5DE942C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39</w:t>
            </w:r>
          </w:p>
        </w:tc>
        <w:tc>
          <w:tcPr>
            <w:tcW w:w="985" w:type="pct"/>
            <w:tcBorders>
              <w:top w:val="single" w:color="auto" w:sz="4" w:space="0"/>
              <w:left w:val="nil"/>
              <w:bottom w:val="single" w:color="auto" w:sz="4" w:space="0"/>
              <w:right w:val="single" w:color="auto" w:sz="4" w:space="0"/>
            </w:tcBorders>
            <w:shd w:val="clear" w:color="auto" w:fill="auto"/>
            <w:vAlign w:val="center"/>
          </w:tcPr>
          <w:p w14:paraId="5B59900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43</w:t>
            </w:r>
          </w:p>
        </w:tc>
        <w:tc>
          <w:tcPr>
            <w:tcW w:w="949" w:type="pct"/>
            <w:tcBorders>
              <w:top w:val="single" w:color="auto" w:sz="4" w:space="0"/>
              <w:left w:val="nil"/>
              <w:bottom w:val="single" w:color="auto" w:sz="4" w:space="0"/>
              <w:right w:val="single" w:color="auto" w:sz="4" w:space="0"/>
            </w:tcBorders>
            <w:shd w:val="clear" w:color="auto" w:fill="auto"/>
            <w:vAlign w:val="center"/>
          </w:tcPr>
          <w:p w14:paraId="73DD610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41</w:t>
            </w:r>
          </w:p>
        </w:tc>
      </w:tr>
      <w:tr w14:paraId="50DA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restart"/>
            <w:tcBorders>
              <w:top w:val="single" w:color="auto" w:sz="4" w:space="0"/>
              <w:left w:val="single" w:color="auto" w:sz="4" w:space="0"/>
              <w:right w:val="single" w:color="auto" w:sz="4" w:space="0"/>
            </w:tcBorders>
            <w:shd w:val="clear" w:color="auto" w:fill="auto"/>
            <w:vAlign w:val="center"/>
          </w:tcPr>
          <w:p w14:paraId="2262DD87">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XHW7202</w:t>
            </w:r>
          </w:p>
          <w:p w14:paraId="50139192">
            <w:pPr>
              <w:jc w:val="center"/>
              <w:rPr>
                <w:rFonts w:hint="default"/>
                <w:color w:val="auto"/>
                <w:lang w:val="en-US" w:eastAsia="zh-CN"/>
              </w:rPr>
            </w:pPr>
            <w:r>
              <w:rPr>
                <w:rFonts w:hint="eastAsia" w:cs="Times New Roman"/>
                <w:b w:val="0"/>
                <w:bCs w:val="0"/>
                <w:color w:val="auto"/>
                <w:sz w:val="21"/>
                <w:szCs w:val="21"/>
                <w:lang w:val="en-US" w:eastAsia="zh-CN"/>
              </w:rPr>
              <w:t>2019.9.24-25</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07D86BB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东侧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54AD708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38</w:t>
            </w:r>
          </w:p>
        </w:tc>
        <w:tc>
          <w:tcPr>
            <w:tcW w:w="805" w:type="pct"/>
            <w:tcBorders>
              <w:top w:val="single" w:color="auto" w:sz="4" w:space="0"/>
              <w:left w:val="nil"/>
              <w:bottom w:val="single" w:color="auto" w:sz="4" w:space="0"/>
              <w:right w:val="single" w:color="auto" w:sz="4" w:space="0"/>
            </w:tcBorders>
            <w:shd w:val="clear" w:color="auto" w:fill="auto"/>
            <w:vAlign w:val="center"/>
          </w:tcPr>
          <w:p w14:paraId="36AC071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36</w:t>
            </w:r>
          </w:p>
        </w:tc>
        <w:tc>
          <w:tcPr>
            <w:tcW w:w="985" w:type="pct"/>
            <w:tcBorders>
              <w:top w:val="single" w:color="auto" w:sz="4" w:space="0"/>
              <w:left w:val="nil"/>
              <w:bottom w:val="single" w:color="auto" w:sz="4" w:space="0"/>
              <w:right w:val="single" w:color="auto" w:sz="4" w:space="0"/>
            </w:tcBorders>
            <w:shd w:val="clear" w:color="auto" w:fill="auto"/>
            <w:vAlign w:val="center"/>
          </w:tcPr>
          <w:p w14:paraId="243FFD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39</w:t>
            </w:r>
          </w:p>
        </w:tc>
        <w:tc>
          <w:tcPr>
            <w:tcW w:w="949" w:type="pct"/>
            <w:tcBorders>
              <w:top w:val="single" w:color="auto" w:sz="4" w:space="0"/>
              <w:left w:val="nil"/>
              <w:bottom w:val="single" w:color="auto" w:sz="4" w:space="0"/>
              <w:right w:val="single" w:color="auto" w:sz="4" w:space="0"/>
            </w:tcBorders>
            <w:shd w:val="clear" w:color="auto" w:fill="auto"/>
            <w:vAlign w:val="center"/>
          </w:tcPr>
          <w:p w14:paraId="4EE4FB9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37</w:t>
            </w:r>
          </w:p>
        </w:tc>
      </w:tr>
      <w:tr w14:paraId="35F7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0910E21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5FA288E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474ADEC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36</w:t>
            </w:r>
          </w:p>
        </w:tc>
        <w:tc>
          <w:tcPr>
            <w:tcW w:w="805" w:type="pct"/>
            <w:tcBorders>
              <w:top w:val="single" w:color="auto" w:sz="4" w:space="0"/>
              <w:left w:val="nil"/>
              <w:bottom w:val="single" w:color="auto" w:sz="4" w:space="0"/>
              <w:right w:val="single" w:color="auto" w:sz="4" w:space="0"/>
            </w:tcBorders>
            <w:shd w:val="clear" w:color="auto" w:fill="auto"/>
            <w:vAlign w:val="center"/>
          </w:tcPr>
          <w:p w14:paraId="1B7448A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35</w:t>
            </w:r>
          </w:p>
        </w:tc>
        <w:tc>
          <w:tcPr>
            <w:tcW w:w="985" w:type="pct"/>
            <w:tcBorders>
              <w:top w:val="single" w:color="auto" w:sz="4" w:space="0"/>
              <w:left w:val="nil"/>
              <w:bottom w:val="single" w:color="auto" w:sz="4" w:space="0"/>
              <w:right w:val="single" w:color="auto" w:sz="4" w:space="0"/>
            </w:tcBorders>
            <w:shd w:val="clear" w:color="auto" w:fill="auto"/>
            <w:vAlign w:val="center"/>
          </w:tcPr>
          <w:p w14:paraId="153BBF6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37</w:t>
            </w:r>
          </w:p>
        </w:tc>
        <w:tc>
          <w:tcPr>
            <w:tcW w:w="949" w:type="pct"/>
            <w:tcBorders>
              <w:top w:val="single" w:color="auto" w:sz="4" w:space="0"/>
              <w:left w:val="nil"/>
              <w:bottom w:val="single" w:color="auto" w:sz="4" w:space="0"/>
              <w:right w:val="single" w:color="auto" w:sz="4" w:space="0"/>
            </w:tcBorders>
            <w:shd w:val="clear" w:color="auto" w:fill="auto"/>
            <w:vAlign w:val="center"/>
          </w:tcPr>
          <w:p w14:paraId="56F36BD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36</w:t>
            </w:r>
          </w:p>
        </w:tc>
      </w:tr>
      <w:tr w14:paraId="78DB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right w:val="single" w:color="auto" w:sz="4" w:space="0"/>
            </w:tcBorders>
            <w:shd w:val="clear" w:color="auto" w:fill="auto"/>
            <w:vAlign w:val="center"/>
          </w:tcPr>
          <w:p w14:paraId="482F0C9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0DCB762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西侧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5A60D2C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37</w:t>
            </w:r>
          </w:p>
        </w:tc>
        <w:tc>
          <w:tcPr>
            <w:tcW w:w="805" w:type="pct"/>
            <w:tcBorders>
              <w:top w:val="single" w:color="auto" w:sz="4" w:space="0"/>
              <w:left w:val="nil"/>
              <w:bottom w:val="single" w:color="auto" w:sz="4" w:space="0"/>
              <w:right w:val="single" w:color="auto" w:sz="4" w:space="0"/>
            </w:tcBorders>
            <w:shd w:val="clear" w:color="auto" w:fill="auto"/>
            <w:vAlign w:val="center"/>
          </w:tcPr>
          <w:p w14:paraId="16B2FBC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36</w:t>
            </w:r>
          </w:p>
        </w:tc>
        <w:tc>
          <w:tcPr>
            <w:tcW w:w="985" w:type="pct"/>
            <w:tcBorders>
              <w:top w:val="single" w:color="auto" w:sz="4" w:space="0"/>
              <w:left w:val="nil"/>
              <w:bottom w:val="single" w:color="auto" w:sz="4" w:space="0"/>
              <w:right w:val="single" w:color="auto" w:sz="4" w:space="0"/>
            </w:tcBorders>
            <w:shd w:val="clear" w:color="auto" w:fill="auto"/>
            <w:vAlign w:val="center"/>
          </w:tcPr>
          <w:p w14:paraId="19FD839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37</w:t>
            </w:r>
          </w:p>
        </w:tc>
        <w:tc>
          <w:tcPr>
            <w:tcW w:w="949" w:type="pct"/>
            <w:tcBorders>
              <w:top w:val="single" w:color="auto" w:sz="4" w:space="0"/>
              <w:left w:val="nil"/>
              <w:bottom w:val="single" w:color="auto" w:sz="4" w:space="0"/>
              <w:right w:val="single" w:color="auto" w:sz="4" w:space="0"/>
            </w:tcBorders>
            <w:shd w:val="clear" w:color="auto" w:fill="auto"/>
            <w:vAlign w:val="center"/>
          </w:tcPr>
          <w:p w14:paraId="455DDFC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36</w:t>
            </w:r>
          </w:p>
        </w:tc>
      </w:tr>
      <w:tr w14:paraId="0E30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89" w:type="pct"/>
            <w:vMerge w:val="continue"/>
            <w:tcBorders>
              <w:left w:val="single" w:color="auto" w:sz="4" w:space="0"/>
              <w:bottom w:val="single" w:color="auto" w:sz="4" w:space="0"/>
              <w:right w:val="single" w:color="auto" w:sz="4" w:space="0"/>
            </w:tcBorders>
            <w:shd w:val="clear" w:color="auto" w:fill="auto"/>
            <w:vAlign w:val="center"/>
          </w:tcPr>
          <w:p w14:paraId="36FADA8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cs="Times New Roman"/>
                <w:b w:val="0"/>
                <w:bCs w:val="0"/>
                <w:color w:val="auto"/>
                <w:sz w:val="21"/>
                <w:szCs w:val="21"/>
                <w:lang w:val="en-US" w:eastAsia="zh-CN"/>
              </w:rPr>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126FDF6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北侧</w:t>
            </w:r>
          </w:p>
        </w:tc>
        <w:tc>
          <w:tcPr>
            <w:tcW w:w="889" w:type="pct"/>
            <w:tcBorders>
              <w:top w:val="single" w:color="auto" w:sz="4" w:space="0"/>
              <w:left w:val="nil"/>
              <w:bottom w:val="single" w:color="auto" w:sz="4" w:space="0"/>
              <w:right w:val="single" w:color="auto" w:sz="4" w:space="0"/>
            </w:tcBorders>
            <w:shd w:val="clear" w:color="auto" w:fill="auto"/>
            <w:vAlign w:val="center"/>
          </w:tcPr>
          <w:p w14:paraId="0CB0D6F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39</w:t>
            </w:r>
          </w:p>
        </w:tc>
        <w:tc>
          <w:tcPr>
            <w:tcW w:w="805" w:type="pct"/>
            <w:tcBorders>
              <w:top w:val="single" w:color="auto" w:sz="4" w:space="0"/>
              <w:left w:val="nil"/>
              <w:bottom w:val="single" w:color="auto" w:sz="4" w:space="0"/>
              <w:right w:val="single" w:color="auto" w:sz="4" w:space="0"/>
            </w:tcBorders>
            <w:shd w:val="clear" w:color="auto" w:fill="auto"/>
            <w:vAlign w:val="center"/>
          </w:tcPr>
          <w:p w14:paraId="205E1E0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37</w:t>
            </w:r>
          </w:p>
        </w:tc>
        <w:tc>
          <w:tcPr>
            <w:tcW w:w="985" w:type="pct"/>
            <w:tcBorders>
              <w:top w:val="single" w:color="auto" w:sz="4" w:space="0"/>
              <w:left w:val="nil"/>
              <w:bottom w:val="single" w:color="auto" w:sz="4" w:space="0"/>
              <w:right w:val="single" w:color="auto" w:sz="4" w:space="0"/>
            </w:tcBorders>
            <w:shd w:val="clear" w:color="auto" w:fill="auto"/>
            <w:vAlign w:val="center"/>
          </w:tcPr>
          <w:p w14:paraId="27BF025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38</w:t>
            </w:r>
          </w:p>
        </w:tc>
        <w:tc>
          <w:tcPr>
            <w:tcW w:w="949" w:type="pct"/>
            <w:tcBorders>
              <w:top w:val="single" w:color="auto" w:sz="4" w:space="0"/>
              <w:left w:val="nil"/>
              <w:bottom w:val="single" w:color="auto" w:sz="4" w:space="0"/>
              <w:right w:val="single" w:color="auto" w:sz="4" w:space="0"/>
            </w:tcBorders>
            <w:shd w:val="clear" w:color="auto" w:fill="auto"/>
            <w:vAlign w:val="center"/>
          </w:tcPr>
          <w:p w14:paraId="5EA077D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37</w:t>
            </w:r>
          </w:p>
        </w:tc>
      </w:tr>
    </w:tbl>
    <w:p w14:paraId="3648000E">
      <w:pPr>
        <w:pStyle w:val="33"/>
        <w:bidi w:val="0"/>
        <w:rPr>
          <w:rFonts w:hint="default"/>
          <w:color w:val="auto"/>
          <w:lang w:val="en-US" w:eastAsia="zh-CN"/>
        </w:rPr>
      </w:pPr>
      <w:r>
        <w:rPr>
          <w:rFonts w:hint="eastAsia"/>
          <w:color w:val="auto"/>
          <w:lang w:val="en-US" w:eastAsia="zh-CN"/>
        </w:rPr>
        <w:t>4、固体废物</w:t>
      </w:r>
    </w:p>
    <w:p w14:paraId="1064E74D">
      <w:pPr>
        <w:pStyle w:val="37"/>
        <w:keepNext w:val="0"/>
        <w:keepLines w:val="0"/>
        <w:pageBreakBefore w:val="0"/>
        <w:widowControl/>
        <w:kinsoku/>
        <w:wordWrap/>
        <w:overflowPunct/>
        <w:topLinePunct w:val="0"/>
        <w:autoSpaceDE/>
        <w:autoSpaceDN/>
        <w:bidi w:val="0"/>
        <w:adjustRightInd/>
        <w:snapToGrid/>
        <w:spacing w:line="360" w:lineRule="auto"/>
        <w:textAlignment w:val="auto"/>
        <w:rPr>
          <w:rFonts w:hint="default" w:eastAsia="宋体"/>
          <w:color w:val="auto"/>
          <w:sz w:val="24"/>
          <w:szCs w:val="28"/>
          <w:lang w:val="en-US" w:eastAsia="zh-CN"/>
        </w:rPr>
      </w:pPr>
      <w:r>
        <w:rPr>
          <w:color w:val="auto"/>
          <w:sz w:val="24"/>
          <w:szCs w:val="28"/>
        </w:rPr>
        <w:t>根据现有工程统计资料，</w:t>
      </w:r>
      <w:r>
        <w:rPr>
          <w:rFonts w:hint="eastAsia"/>
          <w:color w:val="auto"/>
          <w:sz w:val="24"/>
          <w:szCs w:val="28"/>
          <w:lang w:val="en-US" w:eastAsia="zh-CN"/>
        </w:rPr>
        <w:t>百口泉</w:t>
      </w:r>
      <w:r>
        <w:rPr>
          <w:color w:val="auto"/>
          <w:sz w:val="24"/>
          <w:szCs w:val="28"/>
        </w:rPr>
        <w:t>采油厂产生的固体废物主要有落地油、含油污泥、生活垃圾和</w:t>
      </w:r>
      <w:r>
        <w:rPr>
          <w:rFonts w:hint="eastAsia"/>
          <w:color w:val="auto"/>
          <w:sz w:val="24"/>
          <w:szCs w:val="28"/>
          <w:lang w:val="en-US" w:eastAsia="zh-CN"/>
        </w:rPr>
        <w:t>沾油废物</w:t>
      </w:r>
      <w:r>
        <w:rPr>
          <w:color w:val="auto"/>
          <w:sz w:val="24"/>
          <w:szCs w:val="28"/>
        </w:rPr>
        <w:t>，其产生量及处置情况见</w:t>
      </w:r>
      <w:r>
        <w:rPr>
          <w:rFonts w:hint="default"/>
          <w:color w:val="auto"/>
          <w:sz w:val="24"/>
          <w:szCs w:val="28"/>
          <w:lang w:val="en-US"/>
        </w:rPr>
        <w:fldChar w:fldCharType="begin"/>
      </w:r>
      <w:r>
        <w:rPr>
          <w:rFonts w:hint="default"/>
          <w:color w:val="auto"/>
          <w:sz w:val="24"/>
          <w:szCs w:val="28"/>
          <w:lang w:val="en-US"/>
        </w:rPr>
        <w:instrText xml:space="preserve"> REF _Ref21528 \h </w:instrText>
      </w:r>
      <w:r>
        <w:rPr>
          <w:rFonts w:hint="default"/>
          <w:color w:val="auto"/>
          <w:sz w:val="24"/>
          <w:szCs w:val="28"/>
          <w:lang w:val="en-US"/>
        </w:rPr>
        <w:fldChar w:fldCharType="separate"/>
      </w:r>
      <w:r>
        <w:rPr>
          <w:color w:val="auto"/>
          <w:sz w:val="24"/>
          <w:szCs w:val="28"/>
        </w:rPr>
        <w:t>表</w:t>
      </w:r>
      <w:r>
        <w:rPr>
          <w:color w:val="auto"/>
          <w:sz w:val="24"/>
          <w:szCs w:val="28"/>
        </w:rPr>
        <w:fldChar w:fldCharType="begin"/>
      </w:r>
      <w:r>
        <w:rPr>
          <w:color w:val="auto"/>
          <w:sz w:val="24"/>
          <w:szCs w:val="28"/>
        </w:rPr>
        <w:instrText xml:space="preserve"> STYLEREF 2 \s </w:instrText>
      </w:r>
      <w:r>
        <w:rPr>
          <w:color w:val="auto"/>
          <w:sz w:val="24"/>
          <w:szCs w:val="28"/>
        </w:rPr>
        <w:fldChar w:fldCharType="separate"/>
      </w:r>
      <w:r>
        <w:rPr>
          <w:color w:val="auto"/>
          <w:sz w:val="24"/>
          <w:szCs w:val="28"/>
        </w:rPr>
        <w:t>3.</w:t>
      </w:r>
      <w:r>
        <w:rPr>
          <w:rFonts w:hint="eastAsia"/>
          <w:color w:val="auto"/>
          <w:sz w:val="24"/>
          <w:szCs w:val="28"/>
          <w:lang w:val="en-US" w:eastAsia="zh-CN"/>
        </w:rPr>
        <w:t>1</w:t>
      </w:r>
      <w:r>
        <w:rPr>
          <w:color w:val="auto"/>
          <w:sz w:val="24"/>
          <w:szCs w:val="28"/>
        </w:rPr>
        <w:fldChar w:fldCharType="end"/>
      </w:r>
      <w:r>
        <w:rPr>
          <w:rFonts w:hint="eastAsia"/>
          <w:color w:val="auto"/>
          <w:sz w:val="24"/>
          <w:szCs w:val="28"/>
          <w:lang w:eastAsia="zh-CN"/>
        </w:rPr>
        <w:t>-</w:t>
      </w:r>
      <w:r>
        <w:rPr>
          <w:rFonts w:hint="eastAsia"/>
          <w:color w:val="auto"/>
          <w:sz w:val="24"/>
          <w:szCs w:val="28"/>
          <w:lang w:val="en-US" w:eastAsia="zh-CN"/>
        </w:rPr>
        <w:t>1</w:t>
      </w:r>
      <w:r>
        <w:rPr>
          <w:rFonts w:hint="default"/>
          <w:color w:val="auto"/>
          <w:sz w:val="24"/>
          <w:szCs w:val="28"/>
          <w:lang w:val="en-US"/>
        </w:rPr>
        <w:fldChar w:fldCharType="end"/>
      </w:r>
      <w:r>
        <w:rPr>
          <w:rFonts w:hint="eastAsia"/>
          <w:color w:val="auto"/>
          <w:sz w:val="24"/>
          <w:szCs w:val="28"/>
          <w:lang w:val="en-US" w:eastAsia="zh-CN"/>
        </w:rPr>
        <w:t>4</w:t>
      </w:r>
      <w:r>
        <w:rPr>
          <w:color w:val="auto"/>
          <w:sz w:val="24"/>
          <w:szCs w:val="28"/>
        </w:rPr>
        <w:t>。</w:t>
      </w:r>
      <w:r>
        <w:rPr>
          <w:rFonts w:hint="eastAsia"/>
          <w:color w:val="auto"/>
          <w:sz w:val="24"/>
          <w:szCs w:val="28"/>
          <w:lang w:val="en-US" w:eastAsia="zh-CN"/>
        </w:rPr>
        <w:t>现有固体废物处置方式合理，未对区域环境产生明显不利影响。</w:t>
      </w:r>
    </w:p>
    <w:p w14:paraId="31A3C89A">
      <w:pPr>
        <w:pStyle w:val="43"/>
        <w:bidi w:val="0"/>
        <w:rPr>
          <w:rFonts w:cs="Times New Roman"/>
          <w:color w:val="auto"/>
        </w:rPr>
      </w:pPr>
      <w:bookmarkStart w:id="151" w:name="_Ref21528"/>
      <w:r>
        <w:rPr>
          <w:color w:val="auto"/>
        </w:rPr>
        <w:t>表</w:t>
      </w:r>
      <w:bookmarkEnd w:id="151"/>
      <w:r>
        <w:rPr>
          <w:rFonts w:hint="eastAsia"/>
          <w:color w:val="auto"/>
          <w:lang w:val="en-US" w:eastAsia="zh-CN"/>
        </w:rPr>
        <w:t>3.1-14</w:t>
      </w:r>
      <w:r>
        <w:rPr>
          <w:rFonts w:cs="Times New Roman"/>
          <w:color w:val="auto"/>
        </w:rPr>
        <w:t xml:space="preserve">  现有工程固体废物产生及处置情况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663"/>
        <w:gridCol w:w="1751"/>
        <w:gridCol w:w="1706"/>
        <w:gridCol w:w="1324"/>
        <w:gridCol w:w="2964"/>
      </w:tblGrid>
      <w:tr w14:paraId="4EC8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jc w:val="center"/>
        </w:trPr>
        <w:tc>
          <w:tcPr>
            <w:tcW w:w="394" w:type="pct"/>
            <w:shd w:val="clear" w:color="auto" w:fill="auto"/>
            <w:vAlign w:val="center"/>
          </w:tcPr>
          <w:p w14:paraId="787651B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41" w:type="pct"/>
            <w:shd w:val="clear" w:color="auto" w:fill="auto"/>
            <w:vAlign w:val="center"/>
          </w:tcPr>
          <w:p w14:paraId="17687C9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产生环节</w:t>
            </w:r>
          </w:p>
        </w:tc>
        <w:tc>
          <w:tcPr>
            <w:tcW w:w="1014" w:type="pct"/>
            <w:shd w:val="clear" w:color="auto" w:fill="auto"/>
            <w:vAlign w:val="center"/>
          </w:tcPr>
          <w:p w14:paraId="37ED4DC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787" w:type="pct"/>
            <w:shd w:val="clear" w:color="auto" w:fill="auto"/>
            <w:vAlign w:val="center"/>
          </w:tcPr>
          <w:p w14:paraId="27EB39D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1762" w:type="pct"/>
            <w:shd w:val="clear" w:color="auto" w:fill="auto"/>
            <w:vAlign w:val="center"/>
          </w:tcPr>
          <w:p w14:paraId="5E3F3C1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处置情况</w:t>
            </w:r>
          </w:p>
        </w:tc>
      </w:tr>
      <w:tr w14:paraId="08E9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94" w:type="pct"/>
            <w:shd w:val="clear" w:color="auto" w:fill="auto"/>
            <w:vAlign w:val="center"/>
          </w:tcPr>
          <w:p w14:paraId="486F1B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41" w:type="pct"/>
            <w:shd w:val="clear" w:color="auto" w:fill="auto"/>
            <w:vAlign w:val="center"/>
          </w:tcPr>
          <w:p w14:paraId="599676E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修井作业</w:t>
            </w:r>
          </w:p>
        </w:tc>
        <w:tc>
          <w:tcPr>
            <w:tcW w:w="1014" w:type="pct"/>
            <w:shd w:val="clear" w:color="auto" w:fill="auto"/>
            <w:vAlign w:val="center"/>
          </w:tcPr>
          <w:p w14:paraId="6F87154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落地油</w:t>
            </w:r>
          </w:p>
        </w:tc>
        <w:tc>
          <w:tcPr>
            <w:tcW w:w="787" w:type="pct"/>
            <w:shd w:val="clear" w:color="auto" w:fill="auto"/>
            <w:vAlign w:val="center"/>
          </w:tcPr>
          <w:p w14:paraId="0EC3FEF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7.48</w:t>
            </w:r>
          </w:p>
        </w:tc>
        <w:tc>
          <w:tcPr>
            <w:tcW w:w="1762" w:type="pct"/>
            <w:shd w:val="clear" w:color="auto" w:fill="auto"/>
            <w:vAlign w:val="center"/>
          </w:tcPr>
          <w:p w14:paraId="1267632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100%回收</w:t>
            </w:r>
          </w:p>
        </w:tc>
      </w:tr>
      <w:tr w14:paraId="292D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94" w:type="pct"/>
            <w:shd w:val="clear" w:color="auto" w:fill="auto"/>
            <w:vAlign w:val="center"/>
          </w:tcPr>
          <w:p w14:paraId="4AA2EBF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41" w:type="pct"/>
            <w:shd w:val="clear" w:color="auto" w:fill="auto"/>
            <w:vAlign w:val="center"/>
          </w:tcPr>
          <w:p w14:paraId="4890481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清罐、原油脱水和采出水处理等</w:t>
            </w:r>
          </w:p>
        </w:tc>
        <w:tc>
          <w:tcPr>
            <w:tcW w:w="1014" w:type="pct"/>
            <w:shd w:val="clear" w:color="auto" w:fill="auto"/>
            <w:vAlign w:val="center"/>
          </w:tcPr>
          <w:p w14:paraId="416BBE5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含油污泥</w:t>
            </w:r>
          </w:p>
        </w:tc>
        <w:tc>
          <w:tcPr>
            <w:tcW w:w="787" w:type="pct"/>
            <w:shd w:val="clear" w:color="auto" w:fill="auto"/>
            <w:noWrap/>
            <w:vAlign w:val="center"/>
          </w:tcPr>
          <w:p w14:paraId="74C37B4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 xml:space="preserve">735.6 </w:t>
            </w:r>
          </w:p>
        </w:tc>
        <w:tc>
          <w:tcPr>
            <w:tcW w:w="1762" w:type="pct"/>
            <w:shd w:val="clear" w:color="auto" w:fill="auto"/>
            <w:vAlign w:val="center"/>
          </w:tcPr>
          <w:p w14:paraId="40FD156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定期</w:t>
            </w:r>
            <w:r>
              <w:rPr>
                <w:rFonts w:hint="eastAsia" w:cs="Times New Roman"/>
                <w:color w:val="auto"/>
                <w:sz w:val="21"/>
                <w:szCs w:val="21"/>
                <w:lang w:val="en-US" w:eastAsia="zh-CN"/>
              </w:rPr>
              <w:t>交有</w:t>
            </w:r>
            <w:r>
              <w:rPr>
                <w:rFonts w:hint="default" w:ascii="Times New Roman" w:hAnsi="Times New Roman" w:eastAsia="宋体" w:cs="Times New Roman"/>
                <w:color w:val="auto"/>
                <w:sz w:val="21"/>
                <w:szCs w:val="21"/>
              </w:rPr>
              <w:t>资质单位处置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202</w:t>
            </w:r>
            <w:r>
              <w:rPr>
                <w:rFonts w:hint="eastAsia" w:cs="Times New Roman"/>
                <w:color w:val="auto"/>
                <w:sz w:val="21"/>
                <w:szCs w:val="21"/>
                <w:lang w:val="en-US" w:eastAsia="zh-CN"/>
              </w:rPr>
              <w:t>5年交由克拉玛依顺通环保科技有限责任公司</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lang w:eastAsia="zh-CN"/>
              </w:rPr>
              <w:t>）</w:t>
            </w:r>
          </w:p>
        </w:tc>
      </w:tr>
      <w:tr w14:paraId="03CF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94" w:type="pct"/>
            <w:shd w:val="clear" w:color="auto" w:fill="auto"/>
            <w:vAlign w:val="center"/>
          </w:tcPr>
          <w:p w14:paraId="6F947E3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1" w:type="pct"/>
            <w:shd w:val="clear" w:color="auto" w:fill="auto"/>
            <w:vAlign w:val="center"/>
          </w:tcPr>
          <w:p w14:paraId="07DB40E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设备维护及修井</w:t>
            </w:r>
          </w:p>
        </w:tc>
        <w:tc>
          <w:tcPr>
            <w:tcW w:w="1014" w:type="pct"/>
            <w:shd w:val="clear" w:color="auto" w:fill="auto"/>
            <w:vAlign w:val="center"/>
          </w:tcPr>
          <w:p w14:paraId="665E205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沾油废物</w:t>
            </w:r>
          </w:p>
        </w:tc>
        <w:tc>
          <w:tcPr>
            <w:tcW w:w="787" w:type="pct"/>
            <w:shd w:val="clear" w:color="auto" w:fill="auto"/>
            <w:vAlign w:val="center"/>
          </w:tcPr>
          <w:p w14:paraId="1964F8B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9.8</w:t>
            </w:r>
          </w:p>
        </w:tc>
        <w:tc>
          <w:tcPr>
            <w:tcW w:w="1762" w:type="pct"/>
            <w:shd w:val="clear" w:color="auto" w:fill="auto"/>
            <w:vAlign w:val="center"/>
          </w:tcPr>
          <w:p w14:paraId="00F4422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定期交</w:t>
            </w:r>
            <w:r>
              <w:rPr>
                <w:rFonts w:hint="default" w:ascii="Times New Roman" w:hAnsi="Times New Roman" w:eastAsia="宋体" w:cs="Times New Roman"/>
                <w:color w:val="auto"/>
                <w:sz w:val="21"/>
                <w:szCs w:val="21"/>
              </w:rPr>
              <w:t>有资质单位处置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202</w:t>
            </w:r>
            <w:r>
              <w:rPr>
                <w:rFonts w:hint="eastAsia" w:cs="Times New Roman"/>
                <w:color w:val="auto"/>
                <w:sz w:val="21"/>
                <w:szCs w:val="21"/>
                <w:lang w:val="en-US" w:eastAsia="zh-CN"/>
              </w:rPr>
              <w:t>5年交由克拉玛依顺通环保科技有限责任公司</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lang w:eastAsia="zh-CN"/>
              </w:rPr>
              <w:t>）</w:t>
            </w:r>
          </w:p>
        </w:tc>
      </w:tr>
      <w:tr w14:paraId="78DA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94" w:type="pct"/>
            <w:shd w:val="clear" w:color="auto" w:fill="auto"/>
            <w:vAlign w:val="center"/>
          </w:tcPr>
          <w:p w14:paraId="109D592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41" w:type="pct"/>
            <w:shd w:val="clear" w:color="auto" w:fill="auto"/>
            <w:vAlign w:val="center"/>
          </w:tcPr>
          <w:p w14:paraId="0043364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职工生活</w:t>
            </w:r>
          </w:p>
        </w:tc>
        <w:tc>
          <w:tcPr>
            <w:tcW w:w="1014" w:type="pct"/>
            <w:shd w:val="clear" w:color="auto" w:fill="auto"/>
            <w:vAlign w:val="center"/>
          </w:tcPr>
          <w:p w14:paraId="1F3B1A1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生活垃圾</w:t>
            </w:r>
          </w:p>
        </w:tc>
        <w:tc>
          <w:tcPr>
            <w:tcW w:w="787" w:type="pct"/>
            <w:shd w:val="clear" w:color="auto" w:fill="auto"/>
            <w:vAlign w:val="center"/>
          </w:tcPr>
          <w:p w14:paraId="0D7DFCA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14.85</w:t>
            </w:r>
          </w:p>
        </w:tc>
        <w:tc>
          <w:tcPr>
            <w:tcW w:w="1762" w:type="pct"/>
            <w:shd w:val="clear" w:color="auto" w:fill="auto"/>
            <w:vAlign w:val="center"/>
          </w:tcPr>
          <w:p w14:paraId="34B1E85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集中收集后</w:t>
            </w:r>
            <w:r>
              <w:rPr>
                <w:rFonts w:hint="default" w:ascii="Times New Roman" w:hAnsi="Times New Roman" w:eastAsia="宋体" w:cs="Times New Roman"/>
                <w:color w:val="auto"/>
                <w:sz w:val="21"/>
                <w:szCs w:val="21"/>
              </w:rPr>
              <w:t>送</w:t>
            </w:r>
            <w:r>
              <w:rPr>
                <w:rFonts w:hint="eastAsia" w:cs="Times New Roman"/>
                <w:color w:val="auto"/>
                <w:sz w:val="21"/>
                <w:szCs w:val="21"/>
                <w:lang w:val="en-US" w:eastAsia="zh-CN"/>
              </w:rPr>
              <w:t>乌尔禾区</w:t>
            </w:r>
            <w:r>
              <w:rPr>
                <w:rFonts w:hint="default" w:ascii="Times New Roman" w:hAnsi="Times New Roman" w:eastAsia="宋体" w:cs="Times New Roman"/>
                <w:color w:val="auto"/>
                <w:sz w:val="21"/>
                <w:szCs w:val="21"/>
              </w:rPr>
              <w:t>生活垃圾填埋场填埋</w:t>
            </w:r>
          </w:p>
        </w:tc>
      </w:tr>
    </w:tbl>
    <w:p w14:paraId="4AC67049">
      <w:pPr>
        <w:pStyle w:val="33"/>
        <w:bidi w:val="0"/>
        <w:rPr>
          <w:rFonts w:hint="default"/>
          <w:color w:val="auto"/>
          <w:lang w:val="en-US" w:eastAsia="zh-CN"/>
        </w:rPr>
      </w:pPr>
      <w:r>
        <w:rPr>
          <w:rFonts w:hint="eastAsia"/>
          <w:color w:val="auto"/>
          <w:lang w:val="en-US" w:eastAsia="zh-CN"/>
        </w:rPr>
        <w:t>5、地下水</w:t>
      </w:r>
    </w:p>
    <w:p w14:paraId="53ACAD7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eastAsia="zh-CN"/>
        </w:rPr>
      </w:pPr>
      <w:r>
        <w:rPr>
          <w:rFonts w:hint="eastAsia"/>
          <w:color w:val="auto"/>
          <w:sz w:val="24"/>
          <w:szCs w:val="24"/>
          <w:lang w:val="en-US" w:eastAsia="zh-CN"/>
        </w:rPr>
        <w:t>中国石油新疆油田分公司百口泉采油厂</w:t>
      </w:r>
      <w:r>
        <w:rPr>
          <w:rFonts w:ascii="Times New Roman" w:hAnsi="Times New Roman" w:eastAsia="宋体"/>
          <w:color w:val="auto"/>
          <w:sz w:val="24"/>
          <w:szCs w:val="24"/>
        </w:rPr>
        <w:t>区域历年开发范围基本一致，历年产建环评阶段的地下水监测</w:t>
      </w:r>
      <w:r>
        <w:rPr>
          <w:rFonts w:hint="eastAsia"/>
          <w:color w:val="auto"/>
          <w:sz w:val="24"/>
          <w:szCs w:val="24"/>
          <w:lang w:val="en-US" w:eastAsia="zh-CN"/>
        </w:rPr>
        <w:t>以及例行监测数据</w:t>
      </w:r>
      <w:r>
        <w:rPr>
          <w:rFonts w:ascii="Times New Roman" w:hAnsi="Times New Roman" w:eastAsia="宋体"/>
          <w:color w:val="auto"/>
          <w:sz w:val="24"/>
          <w:szCs w:val="24"/>
        </w:rPr>
        <w:t>可代表</w:t>
      </w:r>
      <w:r>
        <w:rPr>
          <w:rFonts w:hint="eastAsia"/>
          <w:color w:val="auto"/>
          <w:sz w:val="24"/>
          <w:szCs w:val="24"/>
          <w:lang w:val="en-US" w:eastAsia="zh-CN"/>
        </w:rPr>
        <w:t>百口泉采油厂</w:t>
      </w:r>
      <w:r>
        <w:rPr>
          <w:rFonts w:hint="eastAsia" w:ascii="Times New Roman" w:hAnsi="Times New Roman" w:eastAsia="宋体"/>
          <w:color w:val="auto"/>
          <w:sz w:val="24"/>
          <w:szCs w:val="24"/>
          <w:lang w:val="en-US" w:eastAsia="zh-CN"/>
        </w:rPr>
        <w:t>开采区域</w:t>
      </w:r>
      <w:r>
        <w:rPr>
          <w:rFonts w:ascii="Times New Roman" w:hAnsi="Times New Roman" w:eastAsia="宋体"/>
          <w:color w:val="auto"/>
          <w:sz w:val="24"/>
          <w:szCs w:val="24"/>
        </w:rPr>
        <w:t>地下水整体水质概况</w:t>
      </w:r>
      <w:r>
        <w:rPr>
          <w:rFonts w:hint="eastAsia" w:ascii="Times New Roman" w:hAnsi="Times New Roman" w:eastAsia="宋体"/>
          <w:color w:val="auto"/>
          <w:sz w:val="24"/>
          <w:szCs w:val="24"/>
          <w:lang w:eastAsia="zh-CN"/>
        </w:rPr>
        <w:t>。</w:t>
      </w:r>
      <w:r>
        <w:rPr>
          <w:rFonts w:hint="eastAsia"/>
          <w:color w:val="auto"/>
          <w:sz w:val="24"/>
          <w:szCs w:val="24"/>
          <w:lang w:val="en-US" w:eastAsia="zh-CN"/>
        </w:rPr>
        <w:t>百口泉采油厂</w:t>
      </w:r>
      <w:r>
        <w:rPr>
          <w:rFonts w:ascii="Times New Roman" w:hAnsi="Times New Roman" w:eastAsia="宋体"/>
          <w:color w:val="auto"/>
          <w:sz w:val="24"/>
          <w:szCs w:val="24"/>
        </w:rPr>
        <w:t>区域202</w:t>
      </w:r>
      <w:r>
        <w:rPr>
          <w:rFonts w:hint="eastAsia"/>
          <w:color w:val="auto"/>
          <w:sz w:val="24"/>
          <w:szCs w:val="24"/>
          <w:lang w:val="en-US" w:eastAsia="zh-CN"/>
        </w:rPr>
        <w:t>0</w:t>
      </w:r>
      <w:r>
        <w:rPr>
          <w:rFonts w:ascii="Times New Roman" w:hAnsi="Times New Roman" w:eastAsia="宋体"/>
          <w:color w:val="auto"/>
          <w:sz w:val="24"/>
          <w:szCs w:val="24"/>
        </w:rPr>
        <w:t>年、202</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年产能建设项目环境</w:t>
      </w:r>
      <w:r>
        <w:rPr>
          <w:rFonts w:hint="eastAsia"/>
          <w:color w:val="auto"/>
          <w:sz w:val="24"/>
          <w:szCs w:val="24"/>
          <w:lang w:val="en-US" w:eastAsia="zh-CN"/>
        </w:rPr>
        <w:t>影响报告</w:t>
      </w:r>
      <w:r>
        <w:rPr>
          <w:rFonts w:ascii="Times New Roman" w:hAnsi="Times New Roman" w:eastAsia="宋体"/>
          <w:color w:val="auto"/>
          <w:sz w:val="24"/>
          <w:szCs w:val="24"/>
        </w:rPr>
        <w:t>地下水</w:t>
      </w:r>
      <w:r>
        <w:rPr>
          <w:rFonts w:hint="eastAsia"/>
          <w:color w:val="auto"/>
          <w:sz w:val="24"/>
          <w:szCs w:val="24"/>
          <w:lang w:val="en-US" w:eastAsia="zh-CN"/>
        </w:rPr>
        <w:t>监测点位见表3.1-15，</w:t>
      </w:r>
      <w:r>
        <w:rPr>
          <w:rFonts w:ascii="Times New Roman" w:hAnsi="Times New Roman" w:eastAsia="宋体"/>
          <w:color w:val="auto"/>
          <w:sz w:val="24"/>
          <w:szCs w:val="24"/>
        </w:rPr>
        <w:t>监测结果见</w:t>
      </w:r>
      <w:r>
        <w:rPr>
          <w:rFonts w:hint="default" w:ascii="Times New Roman" w:hAnsi="Times New Roman" w:eastAsia="宋体"/>
          <w:color w:val="auto"/>
          <w:sz w:val="24"/>
          <w:szCs w:val="24"/>
          <w:lang w:val="en-US"/>
        </w:rPr>
        <w:fldChar w:fldCharType="begin"/>
      </w:r>
      <w:r>
        <w:rPr>
          <w:rFonts w:hint="default" w:ascii="Times New Roman" w:hAnsi="Times New Roman" w:eastAsia="宋体"/>
          <w:color w:val="auto"/>
          <w:sz w:val="24"/>
          <w:szCs w:val="24"/>
          <w:lang w:val="en-US"/>
        </w:rPr>
        <w:instrText xml:space="preserve"> REF _Ref31204 \h </w:instrText>
      </w:r>
      <w:r>
        <w:rPr>
          <w:rFonts w:hint="default" w:ascii="Times New Roman" w:hAnsi="Times New Roman" w:eastAsia="宋体"/>
          <w:color w:val="auto"/>
          <w:sz w:val="24"/>
          <w:szCs w:val="24"/>
          <w:lang w:val="en-US"/>
        </w:rPr>
        <w:fldChar w:fldCharType="separate"/>
      </w:r>
      <w:r>
        <w:rPr>
          <w:rFonts w:ascii="Times New Roman" w:hAnsi="Times New Roman" w:eastAsia="宋体"/>
          <w:color w:val="auto"/>
          <w:sz w:val="24"/>
          <w:szCs w:val="24"/>
        </w:rPr>
        <w:t>表</w:t>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STYLEREF 2 \s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3.</w:t>
      </w:r>
      <w:r>
        <w:rPr>
          <w:rFonts w:hint="eastAsia"/>
          <w:color w:val="auto"/>
          <w:sz w:val="24"/>
          <w:szCs w:val="24"/>
          <w:lang w:val="en-US" w:eastAsia="zh-CN"/>
        </w:rPr>
        <w:t>1</w:t>
      </w:r>
      <w:r>
        <w:rPr>
          <w:rFonts w:ascii="Times New Roman" w:hAnsi="Times New Roman" w:eastAsia="宋体"/>
          <w:color w:val="auto"/>
          <w:sz w:val="24"/>
          <w:szCs w:val="24"/>
        </w:rPr>
        <w:fldChar w:fldCharType="end"/>
      </w:r>
      <w:r>
        <w:rPr>
          <w:rFonts w:ascii="Times New Roman" w:hAnsi="Times New Roman" w:eastAsia="宋体"/>
          <w:color w:val="auto"/>
          <w:sz w:val="24"/>
          <w:szCs w:val="24"/>
        </w:rPr>
        <w:noBreakHyphen/>
      </w:r>
      <w:r>
        <w:rPr>
          <w:rFonts w:hint="eastAsia"/>
          <w:color w:val="auto"/>
          <w:sz w:val="24"/>
          <w:szCs w:val="24"/>
          <w:lang w:val="en-US" w:eastAsia="zh-CN"/>
        </w:rPr>
        <w:t>1</w:t>
      </w:r>
      <w:r>
        <w:rPr>
          <w:rFonts w:hint="default" w:ascii="Times New Roman" w:hAnsi="Times New Roman" w:eastAsia="宋体"/>
          <w:color w:val="auto"/>
          <w:sz w:val="24"/>
          <w:szCs w:val="24"/>
          <w:lang w:val="en-US"/>
        </w:rPr>
        <w:fldChar w:fldCharType="end"/>
      </w:r>
      <w:r>
        <w:rPr>
          <w:rFonts w:hint="eastAsia"/>
          <w:color w:val="auto"/>
          <w:sz w:val="24"/>
          <w:szCs w:val="24"/>
          <w:lang w:val="en-US" w:eastAsia="zh-CN"/>
        </w:rPr>
        <w:t>6</w:t>
      </w:r>
      <w:r>
        <w:rPr>
          <w:rFonts w:hint="eastAsia" w:ascii="Times New Roman" w:hAnsi="Times New Roman" w:eastAsia="宋体"/>
          <w:color w:val="auto"/>
          <w:sz w:val="24"/>
          <w:szCs w:val="24"/>
          <w:lang w:eastAsia="zh-CN"/>
        </w:rPr>
        <w:t>。</w:t>
      </w:r>
    </w:p>
    <w:p w14:paraId="37EE610A">
      <w:pPr>
        <w:pStyle w:val="43"/>
        <w:bidi w:val="0"/>
        <w:rPr>
          <w:rFonts w:cs="Times New Roman"/>
          <w:color w:val="auto"/>
        </w:rPr>
      </w:pPr>
      <w:bookmarkStart w:id="152" w:name="_Ref28709"/>
      <w:r>
        <w:rPr>
          <w:color w:val="auto"/>
        </w:rPr>
        <w:t>表</w:t>
      </w:r>
      <w:bookmarkEnd w:id="152"/>
      <w:r>
        <w:rPr>
          <w:rFonts w:hint="eastAsia"/>
          <w:color w:val="auto"/>
          <w:lang w:val="en-US" w:eastAsia="zh-CN"/>
        </w:rPr>
        <w:t>3.1-15</w:t>
      </w:r>
      <w:r>
        <w:rPr>
          <w:rFonts w:cs="Times New Roman"/>
          <w:color w:val="auto"/>
        </w:rPr>
        <w:t xml:space="preserve">  区域现有工程调查区内地下水监测点分布情况一览表</w:t>
      </w:r>
    </w:p>
    <w:tbl>
      <w:tblPr>
        <w:tblStyle w:val="27"/>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58"/>
        <w:gridCol w:w="1943"/>
        <w:gridCol w:w="1895"/>
        <w:gridCol w:w="1896"/>
        <w:gridCol w:w="2159"/>
      </w:tblGrid>
      <w:tr w14:paraId="028C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51" w:hRule="atLeast"/>
          <w:jc w:val="center"/>
        </w:trPr>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14:paraId="1205E6E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1149" w:type="pct"/>
            <w:tcBorders>
              <w:top w:val="single" w:color="auto" w:sz="4" w:space="0"/>
              <w:left w:val="single" w:color="auto" w:sz="4" w:space="0"/>
              <w:bottom w:val="single" w:color="auto" w:sz="4" w:space="0"/>
              <w:right w:val="single" w:color="auto" w:sz="4" w:space="0"/>
            </w:tcBorders>
            <w:shd w:val="clear" w:color="auto" w:fill="auto"/>
            <w:vAlign w:val="center"/>
          </w:tcPr>
          <w:p w14:paraId="7E3FE9C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点位名称</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1D1AE2F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经度</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3E340C4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纬度</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4014379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地下水类型</w:t>
            </w:r>
          </w:p>
        </w:tc>
      </w:tr>
      <w:tr w14:paraId="55C0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B27C80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2020年</w:t>
            </w:r>
          </w:p>
        </w:tc>
      </w:tr>
      <w:tr w14:paraId="58C4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14:paraId="1ED85CF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1149" w:type="pct"/>
            <w:tcBorders>
              <w:top w:val="single" w:color="auto" w:sz="4" w:space="0"/>
              <w:left w:val="single" w:color="auto" w:sz="4" w:space="0"/>
              <w:bottom w:val="single" w:color="auto" w:sz="4" w:space="0"/>
              <w:right w:val="single" w:color="auto" w:sz="4" w:space="0"/>
            </w:tcBorders>
            <w:shd w:val="clear" w:color="auto" w:fill="auto"/>
            <w:vAlign w:val="center"/>
          </w:tcPr>
          <w:p w14:paraId="403EF36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玛水12</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484D5B4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121" w:type="pct"/>
            <w:tcBorders>
              <w:top w:val="single" w:color="auto" w:sz="4" w:space="0"/>
              <w:left w:val="single" w:color="auto" w:sz="4" w:space="0"/>
              <w:bottom w:val="single" w:color="auto" w:sz="4" w:space="0"/>
              <w:right w:val="single" w:color="auto" w:sz="4" w:space="0"/>
            </w:tcBorders>
            <w:shd w:val="clear" w:color="auto" w:fill="auto"/>
            <w:vAlign w:val="center"/>
          </w:tcPr>
          <w:p w14:paraId="66CFF4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23A1466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潜水</w:t>
            </w:r>
          </w:p>
        </w:tc>
      </w:tr>
      <w:tr w14:paraId="5EEB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14:paraId="4C5397A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1149" w:type="pct"/>
            <w:tcBorders>
              <w:top w:val="single" w:color="auto" w:sz="4" w:space="0"/>
              <w:left w:val="single" w:color="auto" w:sz="4" w:space="0"/>
              <w:bottom w:val="single" w:color="auto" w:sz="4" w:space="0"/>
              <w:right w:val="single" w:color="auto" w:sz="4" w:space="0"/>
            </w:tcBorders>
            <w:shd w:val="clear" w:color="auto" w:fill="auto"/>
            <w:vAlign w:val="center"/>
          </w:tcPr>
          <w:p w14:paraId="7FEE98D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玛水13</w:t>
            </w:r>
          </w:p>
        </w:tc>
        <w:tc>
          <w:tcPr>
            <w:tcW w:w="1895" w:type="dxa"/>
            <w:tcBorders>
              <w:top w:val="single" w:color="auto" w:sz="4" w:space="0"/>
              <w:left w:val="single" w:color="auto" w:sz="4" w:space="0"/>
              <w:bottom w:val="single" w:color="auto" w:sz="4" w:space="0"/>
              <w:right w:val="single" w:color="auto" w:sz="4" w:space="0"/>
            </w:tcBorders>
            <w:shd w:val="clear" w:color="auto" w:fill="auto"/>
            <w:vAlign w:val="center"/>
          </w:tcPr>
          <w:p w14:paraId="2F7F78C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14:paraId="0D67B20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1ED2CCB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潜水</w:t>
            </w:r>
          </w:p>
        </w:tc>
      </w:tr>
      <w:tr w14:paraId="7064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14:paraId="4D53929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149" w:type="pct"/>
            <w:tcBorders>
              <w:top w:val="single" w:color="auto" w:sz="4" w:space="0"/>
              <w:left w:val="single" w:color="auto" w:sz="4" w:space="0"/>
              <w:bottom w:val="single" w:color="auto" w:sz="4" w:space="0"/>
              <w:right w:val="single" w:color="auto" w:sz="4" w:space="0"/>
            </w:tcBorders>
            <w:shd w:val="clear" w:color="auto" w:fill="auto"/>
            <w:vAlign w:val="center"/>
          </w:tcPr>
          <w:p w14:paraId="439DB45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玛水15</w:t>
            </w:r>
          </w:p>
        </w:tc>
        <w:tc>
          <w:tcPr>
            <w:tcW w:w="1895" w:type="dxa"/>
            <w:tcBorders>
              <w:top w:val="single" w:color="auto" w:sz="4" w:space="0"/>
              <w:left w:val="single" w:color="auto" w:sz="4" w:space="0"/>
              <w:bottom w:val="single" w:color="auto" w:sz="4" w:space="0"/>
              <w:right w:val="single" w:color="auto" w:sz="4" w:space="0"/>
            </w:tcBorders>
            <w:shd w:val="clear" w:color="auto" w:fill="auto"/>
            <w:vAlign w:val="center"/>
          </w:tcPr>
          <w:p w14:paraId="77E1EE0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14:paraId="1ED60A7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000B488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潜水</w:t>
            </w:r>
          </w:p>
        </w:tc>
      </w:tr>
      <w:tr w14:paraId="7219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06F7C5B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cs="Times New Roman"/>
                <w:b w:val="0"/>
                <w:bCs w:val="0"/>
                <w:color w:val="auto"/>
                <w:sz w:val="21"/>
                <w:szCs w:val="21"/>
                <w:lang w:val="en-US" w:eastAsia="zh-CN"/>
              </w:rPr>
            </w:pPr>
            <w:r>
              <w:rPr>
                <w:rFonts w:hint="eastAsia" w:cs="Times New Roman"/>
                <w:b/>
                <w:bCs/>
                <w:color w:val="auto"/>
                <w:sz w:val="21"/>
                <w:szCs w:val="21"/>
                <w:lang w:val="en-US" w:eastAsia="zh-CN"/>
              </w:rPr>
              <w:t>2023年</w:t>
            </w:r>
          </w:p>
        </w:tc>
      </w:tr>
      <w:tr w14:paraId="293E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14:paraId="46ACBFE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1149" w:type="pct"/>
            <w:tcBorders>
              <w:top w:val="single" w:color="auto" w:sz="4" w:space="0"/>
              <w:left w:val="single" w:color="auto" w:sz="4" w:space="0"/>
              <w:bottom w:val="single" w:color="auto" w:sz="4" w:space="0"/>
              <w:right w:val="single" w:color="auto" w:sz="4" w:space="0"/>
            </w:tcBorders>
            <w:shd w:val="clear" w:color="auto" w:fill="auto"/>
            <w:vAlign w:val="center"/>
          </w:tcPr>
          <w:p w14:paraId="54669B1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玛水13</w:t>
            </w:r>
          </w:p>
        </w:tc>
        <w:tc>
          <w:tcPr>
            <w:tcW w:w="1895" w:type="dxa"/>
            <w:tcBorders>
              <w:top w:val="single" w:color="auto" w:sz="4" w:space="0"/>
              <w:left w:val="single" w:color="auto" w:sz="4" w:space="0"/>
              <w:bottom w:val="single" w:color="auto" w:sz="4" w:space="0"/>
              <w:right w:val="single" w:color="auto" w:sz="4" w:space="0"/>
            </w:tcBorders>
            <w:shd w:val="clear" w:color="auto" w:fill="auto"/>
            <w:vAlign w:val="center"/>
          </w:tcPr>
          <w:p w14:paraId="1BFF9D75">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14:paraId="42BA3FB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15E6AEF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潜水</w:t>
            </w:r>
          </w:p>
        </w:tc>
      </w:tr>
      <w:tr w14:paraId="2405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tcPr>
          <w:p w14:paraId="0837384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0" w:type="auto"/>
            <w:shd w:val="clear" w:color="auto" w:fill="auto"/>
            <w:vAlign w:val="center"/>
          </w:tcPr>
          <w:p w14:paraId="1105462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玛水15</w:t>
            </w:r>
          </w:p>
        </w:tc>
        <w:tc>
          <w:tcPr>
            <w:tcW w:w="1895" w:type="dxa"/>
            <w:shd w:val="clear" w:color="auto" w:fill="auto"/>
            <w:vAlign w:val="center"/>
          </w:tcPr>
          <w:p w14:paraId="6CD296A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w:t>
            </w:r>
          </w:p>
        </w:tc>
        <w:tc>
          <w:tcPr>
            <w:tcW w:w="1896" w:type="dxa"/>
            <w:shd w:val="clear" w:color="auto" w:fill="auto"/>
            <w:vAlign w:val="center"/>
          </w:tcPr>
          <w:p w14:paraId="4C172ED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w:t>
            </w:r>
          </w:p>
        </w:tc>
        <w:tc>
          <w:tcPr>
            <w:tcW w:w="0" w:type="auto"/>
            <w:shd w:val="clear" w:color="auto" w:fill="auto"/>
            <w:vAlign w:val="center"/>
          </w:tcPr>
          <w:p w14:paraId="49EC4B3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潜水</w:t>
            </w:r>
          </w:p>
        </w:tc>
      </w:tr>
      <w:tr w14:paraId="0AF9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tcPr>
          <w:p w14:paraId="3C0F672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0" w:type="auto"/>
            <w:shd w:val="clear" w:color="auto" w:fill="auto"/>
            <w:vAlign w:val="center"/>
          </w:tcPr>
          <w:p w14:paraId="33FAD71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玛水18</w:t>
            </w:r>
          </w:p>
        </w:tc>
        <w:tc>
          <w:tcPr>
            <w:tcW w:w="1895" w:type="dxa"/>
            <w:shd w:val="clear" w:color="auto" w:fill="auto"/>
            <w:vAlign w:val="center"/>
          </w:tcPr>
          <w:p w14:paraId="6F91E67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cs="Times New Roman"/>
                <w:color w:val="auto"/>
                <w:sz w:val="21"/>
                <w:szCs w:val="21"/>
                <w:highlight w:val="none"/>
                <w:lang w:val="en-US" w:eastAsia="zh-CN"/>
              </w:rPr>
            </w:pPr>
            <w:r>
              <w:rPr>
                <w:rFonts w:hint="eastAsia" w:cs="Times New Roman"/>
                <w:b w:val="0"/>
                <w:bCs w:val="0"/>
                <w:color w:val="auto"/>
                <w:sz w:val="21"/>
                <w:szCs w:val="21"/>
                <w:lang w:val="en-US" w:eastAsia="zh-CN"/>
              </w:rPr>
              <w:t>****</w:t>
            </w:r>
          </w:p>
        </w:tc>
        <w:tc>
          <w:tcPr>
            <w:tcW w:w="1896" w:type="dxa"/>
            <w:shd w:val="clear" w:color="auto" w:fill="auto"/>
            <w:vAlign w:val="center"/>
          </w:tcPr>
          <w:p w14:paraId="5F59F02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cs="Times New Roman"/>
                <w:color w:val="auto"/>
                <w:sz w:val="21"/>
                <w:szCs w:val="21"/>
                <w:highlight w:val="none"/>
                <w:lang w:val="en-US" w:eastAsia="zh-CN"/>
              </w:rPr>
            </w:pPr>
            <w:r>
              <w:rPr>
                <w:rFonts w:hint="eastAsia" w:cs="Times New Roman"/>
                <w:b w:val="0"/>
                <w:bCs w:val="0"/>
                <w:color w:val="auto"/>
                <w:sz w:val="21"/>
                <w:szCs w:val="21"/>
                <w:lang w:val="en-US" w:eastAsia="zh-CN"/>
              </w:rPr>
              <w:t>****</w:t>
            </w:r>
          </w:p>
        </w:tc>
        <w:tc>
          <w:tcPr>
            <w:tcW w:w="0" w:type="auto"/>
            <w:shd w:val="clear" w:color="auto" w:fill="auto"/>
            <w:vAlign w:val="center"/>
          </w:tcPr>
          <w:p w14:paraId="6E9855E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潜水</w:t>
            </w:r>
          </w:p>
        </w:tc>
      </w:tr>
    </w:tbl>
    <w:p w14:paraId="2275CC2B">
      <w:pPr>
        <w:pStyle w:val="43"/>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cs="Times New Roman"/>
          <w:color w:val="auto"/>
        </w:rPr>
      </w:pPr>
      <w:bookmarkStart w:id="153" w:name="_Ref31204"/>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3.</w:t>
      </w:r>
      <w:r>
        <w:rPr>
          <w:rFonts w:hint="eastAsia" w:cs="Times New Roman"/>
          <w:color w:val="auto"/>
          <w:lang w:val="en-US" w:eastAsia="zh-CN"/>
        </w:rPr>
        <w:t>1</w:t>
      </w:r>
      <w:r>
        <w:rPr>
          <w:rFonts w:cs="Times New Roman"/>
          <w:color w:val="auto"/>
        </w:rPr>
        <w:fldChar w:fldCharType="end"/>
      </w:r>
      <w:r>
        <w:rPr>
          <w:rFonts w:cs="Times New Roman"/>
          <w:color w:val="auto"/>
        </w:rPr>
        <w:noBreakHyphen/>
      </w:r>
      <w:bookmarkEnd w:id="153"/>
      <w:r>
        <w:rPr>
          <w:rFonts w:hint="eastAsia" w:cs="Times New Roman"/>
          <w:color w:val="auto"/>
          <w:lang w:val="en-US" w:eastAsia="zh-CN"/>
        </w:rPr>
        <w:t>16</w:t>
      </w:r>
      <w:r>
        <w:rPr>
          <w:rFonts w:cs="Times New Roman"/>
          <w:color w:val="auto"/>
        </w:rPr>
        <w:t xml:space="preserve"> 地下水水质监测结果  单位：mg/L</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2189"/>
        <w:gridCol w:w="1297"/>
        <w:gridCol w:w="1322"/>
        <w:gridCol w:w="1362"/>
        <w:gridCol w:w="1482"/>
        <w:gridCol w:w="765"/>
      </w:tblGrid>
      <w:tr w14:paraId="68FF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51" w:hRule="atLeast"/>
          <w:jc w:val="center"/>
        </w:trPr>
        <w:tc>
          <w:tcPr>
            <w:tcW w:w="130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8E7134">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分析项目</w:t>
            </w:r>
          </w:p>
        </w:tc>
        <w:tc>
          <w:tcPr>
            <w:tcW w:w="23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D7B0935">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14:paraId="273EF649">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III类</w:t>
            </w:r>
          </w:p>
        </w:tc>
        <w:tc>
          <w:tcPr>
            <w:tcW w:w="454" w:type="pct"/>
            <w:vMerge w:val="restart"/>
            <w:tcBorders>
              <w:top w:val="single" w:color="auto" w:sz="4" w:space="0"/>
              <w:left w:val="single" w:color="auto" w:sz="4" w:space="0"/>
              <w:right w:val="single" w:color="auto" w:sz="4" w:space="0"/>
            </w:tcBorders>
            <w:shd w:val="clear" w:color="auto" w:fill="auto"/>
            <w:vAlign w:val="center"/>
          </w:tcPr>
          <w:p w14:paraId="252DE57A">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最大超标倍数</w:t>
            </w:r>
          </w:p>
        </w:tc>
      </w:tr>
      <w:tr w14:paraId="2D2B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7389BE">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rPr>
            </w:pP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54E2BB2F">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玛水12井</w:t>
            </w:r>
          </w:p>
        </w:tc>
        <w:tc>
          <w:tcPr>
            <w:tcW w:w="785" w:type="pct"/>
            <w:tcBorders>
              <w:top w:val="single" w:color="auto" w:sz="4" w:space="0"/>
              <w:left w:val="single" w:color="auto" w:sz="4" w:space="0"/>
              <w:bottom w:val="single" w:color="auto" w:sz="4" w:space="0"/>
              <w:right w:val="single" w:color="auto" w:sz="4" w:space="0"/>
            </w:tcBorders>
            <w:shd w:val="clear" w:color="auto" w:fill="auto"/>
            <w:vAlign w:val="center"/>
          </w:tcPr>
          <w:p w14:paraId="688A1580">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玛水13井</w:t>
            </w:r>
          </w:p>
        </w:tc>
        <w:tc>
          <w:tcPr>
            <w:tcW w:w="809" w:type="pct"/>
            <w:tcBorders>
              <w:left w:val="single" w:color="auto" w:sz="4" w:space="0"/>
              <w:right w:val="single" w:color="auto" w:sz="4" w:space="0"/>
            </w:tcBorders>
            <w:shd w:val="clear" w:color="auto" w:fill="auto"/>
            <w:vAlign w:val="center"/>
          </w:tcPr>
          <w:p w14:paraId="0052D6D8">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玛水15井</w:t>
            </w:r>
          </w:p>
        </w:tc>
        <w:tc>
          <w:tcPr>
            <w:tcW w:w="880" w:type="pct"/>
            <w:vMerge w:val="restart"/>
            <w:tcBorders>
              <w:left w:val="single" w:color="auto" w:sz="4" w:space="0"/>
              <w:right w:val="single" w:color="auto" w:sz="4" w:space="0"/>
            </w:tcBorders>
            <w:shd w:val="clear" w:color="auto" w:fill="auto"/>
            <w:vAlign w:val="center"/>
          </w:tcPr>
          <w:p w14:paraId="087F95A9">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c>
          <w:tcPr>
            <w:tcW w:w="454" w:type="pct"/>
            <w:vMerge w:val="continue"/>
            <w:tcBorders>
              <w:left w:val="single" w:color="auto" w:sz="4" w:space="0"/>
              <w:right w:val="single" w:color="auto" w:sz="4" w:space="0"/>
            </w:tcBorders>
            <w:shd w:val="clear" w:color="auto" w:fill="auto"/>
            <w:vAlign w:val="center"/>
          </w:tcPr>
          <w:p w14:paraId="789881C1">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rPr>
            </w:pPr>
          </w:p>
        </w:tc>
      </w:tr>
      <w:tr w14:paraId="3F4F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FA3039">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rPr>
            </w:pPr>
          </w:p>
        </w:tc>
        <w:tc>
          <w:tcPr>
            <w:tcW w:w="23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DAB061">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2020年8月27日</w:t>
            </w:r>
          </w:p>
        </w:tc>
        <w:tc>
          <w:tcPr>
            <w:tcW w:w="880" w:type="pct"/>
            <w:vMerge w:val="continue"/>
            <w:tcBorders>
              <w:left w:val="single" w:color="auto" w:sz="4" w:space="0"/>
              <w:bottom w:val="single" w:color="auto" w:sz="4" w:space="0"/>
              <w:right w:val="single" w:color="auto" w:sz="4" w:space="0"/>
            </w:tcBorders>
            <w:shd w:val="clear" w:color="auto" w:fill="auto"/>
            <w:vAlign w:val="center"/>
          </w:tcPr>
          <w:p w14:paraId="7BB739BB">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p>
        </w:tc>
        <w:tc>
          <w:tcPr>
            <w:tcW w:w="454" w:type="pct"/>
            <w:vMerge w:val="continue"/>
            <w:tcBorders>
              <w:left w:val="single" w:color="auto" w:sz="4" w:space="0"/>
              <w:bottom w:val="single" w:color="auto" w:sz="4" w:space="0"/>
              <w:right w:val="single" w:color="auto" w:sz="4" w:space="0"/>
            </w:tcBorders>
            <w:shd w:val="clear" w:color="auto" w:fill="auto"/>
            <w:vAlign w:val="center"/>
          </w:tcPr>
          <w:p w14:paraId="348B357D">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p>
        </w:tc>
      </w:tr>
      <w:tr w14:paraId="6FD6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tcBorders>
              <w:top w:val="single" w:color="auto" w:sz="4" w:space="0"/>
              <w:left w:val="single" w:color="auto" w:sz="4" w:space="0"/>
              <w:bottom w:val="single" w:color="auto" w:sz="4" w:space="0"/>
              <w:right w:val="single" w:color="auto" w:sz="4" w:space="0"/>
            </w:tcBorders>
            <w:shd w:val="clear" w:color="auto" w:fill="auto"/>
            <w:vAlign w:val="center"/>
          </w:tcPr>
          <w:p w14:paraId="2BA7977B">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37CD3D17">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8.3</w:t>
            </w:r>
          </w:p>
        </w:tc>
        <w:tc>
          <w:tcPr>
            <w:tcW w:w="785" w:type="pct"/>
            <w:tcBorders>
              <w:top w:val="single" w:color="auto" w:sz="4" w:space="0"/>
              <w:left w:val="single" w:color="auto" w:sz="4" w:space="0"/>
              <w:bottom w:val="single" w:color="auto" w:sz="4" w:space="0"/>
              <w:right w:val="single" w:color="auto" w:sz="4" w:space="0"/>
            </w:tcBorders>
            <w:shd w:val="clear" w:color="auto" w:fill="auto"/>
            <w:vAlign w:val="center"/>
          </w:tcPr>
          <w:p w14:paraId="1F771520">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7.96</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4AE2713E">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8.45</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14:paraId="2C85BD8D">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31998572">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2EA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tcBorders>
              <w:top w:val="single" w:color="auto" w:sz="4" w:space="0"/>
              <w:left w:val="single" w:color="auto" w:sz="4" w:space="0"/>
              <w:bottom w:val="single" w:color="auto" w:sz="4" w:space="0"/>
              <w:right w:val="single" w:color="auto" w:sz="4" w:space="0"/>
            </w:tcBorders>
            <w:shd w:val="clear" w:color="auto" w:fill="auto"/>
            <w:vAlign w:val="center"/>
          </w:tcPr>
          <w:p w14:paraId="65A2E194">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氨氮</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49B61CCF">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785" w:type="pct"/>
            <w:tcBorders>
              <w:top w:val="single" w:color="auto" w:sz="4" w:space="0"/>
              <w:left w:val="single" w:color="auto" w:sz="4" w:space="0"/>
              <w:bottom w:val="single" w:color="auto" w:sz="4" w:space="0"/>
              <w:right w:val="single" w:color="auto" w:sz="4" w:space="0"/>
            </w:tcBorders>
            <w:shd w:val="clear" w:color="auto" w:fill="auto"/>
            <w:vAlign w:val="center"/>
          </w:tcPr>
          <w:p w14:paraId="6DF43E2D">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0.042</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7087BAAB">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14:paraId="4F06DF45">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0.5</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634041C8">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85F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tcBorders>
              <w:top w:val="single" w:color="auto" w:sz="4" w:space="0"/>
              <w:left w:val="single" w:color="auto" w:sz="4" w:space="0"/>
              <w:bottom w:val="single" w:color="auto" w:sz="4" w:space="0"/>
              <w:right w:val="single" w:color="auto" w:sz="4" w:space="0"/>
            </w:tcBorders>
            <w:shd w:val="clear" w:color="auto" w:fill="auto"/>
            <w:vAlign w:val="center"/>
          </w:tcPr>
          <w:p w14:paraId="1A6DF8B0">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硝酸盐</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0976C6D0">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0.44</w:t>
            </w:r>
          </w:p>
        </w:tc>
        <w:tc>
          <w:tcPr>
            <w:tcW w:w="785" w:type="pct"/>
            <w:tcBorders>
              <w:top w:val="single" w:color="auto" w:sz="4" w:space="0"/>
              <w:left w:val="single" w:color="auto" w:sz="4" w:space="0"/>
              <w:bottom w:val="single" w:color="auto" w:sz="4" w:space="0"/>
              <w:right w:val="single" w:color="auto" w:sz="4" w:space="0"/>
            </w:tcBorders>
            <w:shd w:val="clear" w:color="auto" w:fill="auto"/>
            <w:vAlign w:val="center"/>
          </w:tcPr>
          <w:p w14:paraId="1D0CB406">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0.8</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48B02172">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0.56</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14:paraId="3F5444F6">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20</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D06AE80">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00C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44AD84E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亚硝酸盐</w:t>
            </w:r>
          </w:p>
        </w:tc>
        <w:tc>
          <w:tcPr>
            <w:tcW w:w="770" w:type="pct"/>
            <w:shd w:val="clear" w:color="auto" w:fill="auto"/>
            <w:vAlign w:val="center"/>
          </w:tcPr>
          <w:p w14:paraId="7CB26306">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w:t>
            </w:r>
          </w:p>
        </w:tc>
        <w:tc>
          <w:tcPr>
            <w:tcW w:w="785" w:type="pct"/>
            <w:shd w:val="clear" w:color="auto" w:fill="auto"/>
            <w:vAlign w:val="center"/>
          </w:tcPr>
          <w:p w14:paraId="02A297E7">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809" w:type="pct"/>
            <w:shd w:val="clear" w:color="auto" w:fill="auto"/>
            <w:vAlign w:val="center"/>
          </w:tcPr>
          <w:p w14:paraId="268D6AEA">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880" w:type="pct"/>
            <w:shd w:val="clear" w:color="auto" w:fill="auto"/>
            <w:vAlign w:val="center"/>
          </w:tcPr>
          <w:p w14:paraId="4E7B3B50">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w:t>
            </w:r>
          </w:p>
        </w:tc>
        <w:tc>
          <w:tcPr>
            <w:tcW w:w="454" w:type="pct"/>
            <w:shd w:val="clear" w:color="auto" w:fill="auto"/>
            <w:vAlign w:val="center"/>
          </w:tcPr>
          <w:p w14:paraId="27CDC8C8">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AFE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0C86213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挥发酚类</w:t>
            </w:r>
          </w:p>
        </w:tc>
        <w:tc>
          <w:tcPr>
            <w:tcW w:w="770" w:type="pct"/>
            <w:shd w:val="clear" w:color="auto" w:fill="auto"/>
            <w:vAlign w:val="center"/>
          </w:tcPr>
          <w:p w14:paraId="7C9B675C">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0.0019</w:t>
            </w:r>
          </w:p>
        </w:tc>
        <w:tc>
          <w:tcPr>
            <w:tcW w:w="785" w:type="pct"/>
            <w:shd w:val="clear" w:color="auto" w:fill="auto"/>
            <w:vAlign w:val="center"/>
          </w:tcPr>
          <w:p w14:paraId="53F7825F">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0.0016</w:t>
            </w:r>
          </w:p>
        </w:tc>
        <w:tc>
          <w:tcPr>
            <w:tcW w:w="809" w:type="pct"/>
            <w:shd w:val="clear" w:color="auto" w:fill="auto"/>
            <w:vAlign w:val="center"/>
          </w:tcPr>
          <w:p w14:paraId="2FE6D979">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0.0012</w:t>
            </w:r>
          </w:p>
        </w:tc>
        <w:tc>
          <w:tcPr>
            <w:tcW w:w="880" w:type="pct"/>
            <w:shd w:val="clear" w:color="auto" w:fill="auto"/>
            <w:vAlign w:val="center"/>
          </w:tcPr>
          <w:p w14:paraId="4C57275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0.002</w:t>
            </w:r>
          </w:p>
        </w:tc>
        <w:tc>
          <w:tcPr>
            <w:tcW w:w="454" w:type="pct"/>
            <w:shd w:val="clear" w:color="auto" w:fill="auto"/>
            <w:vAlign w:val="center"/>
          </w:tcPr>
          <w:p w14:paraId="0CA30EB5">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9CE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7BDEB38D">
            <w:pPr>
              <w:pStyle w:val="42"/>
              <w:keepNext w:val="0"/>
              <w:keepLines w:val="0"/>
              <w:pageBreakBefore w:val="0"/>
              <w:widowControl w:val="0"/>
              <w:kinsoku/>
              <w:wordWrap/>
              <w:overflowPunct/>
              <w:topLinePunct w:val="0"/>
              <w:bidi w:val="0"/>
              <w:spacing w:line="30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氯化物</w:t>
            </w:r>
          </w:p>
        </w:tc>
        <w:tc>
          <w:tcPr>
            <w:tcW w:w="770" w:type="pct"/>
            <w:shd w:val="clear" w:color="auto" w:fill="auto"/>
            <w:vAlign w:val="center"/>
          </w:tcPr>
          <w:p w14:paraId="2DCFCCBE">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5441</w:t>
            </w:r>
          </w:p>
        </w:tc>
        <w:tc>
          <w:tcPr>
            <w:tcW w:w="785" w:type="pct"/>
            <w:shd w:val="clear" w:color="auto" w:fill="auto"/>
            <w:vAlign w:val="center"/>
          </w:tcPr>
          <w:p w14:paraId="34C6383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8118</w:t>
            </w:r>
          </w:p>
        </w:tc>
        <w:tc>
          <w:tcPr>
            <w:tcW w:w="809" w:type="pct"/>
            <w:shd w:val="clear" w:color="auto" w:fill="auto"/>
            <w:vAlign w:val="center"/>
          </w:tcPr>
          <w:p w14:paraId="48B768C0">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6617</w:t>
            </w:r>
          </w:p>
        </w:tc>
        <w:tc>
          <w:tcPr>
            <w:tcW w:w="880" w:type="pct"/>
            <w:shd w:val="clear" w:color="auto" w:fill="auto"/>
            <w:vAlign w:val="center"/>
          </w:tcPr>
          <w:p w14:paraId="72DAA25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w:t>
            </w:r>
          </w:p>
        </w:tc>
        <w:tc>
          <w:tcPr>
            <w:tcW w:w="454" w:type="pct"/>
            <w:shd w:val="clear" w:color="auto" w:fill="auto"/>
            <w:vAlign w:val="center"/>
          </w:tcPr>
          <w:p w14:paraId="7BD5454D">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31.47</w:t>
            </w:r>
          </w:p>
        </w:tc>
      </w:tr>
      <w:tr w14:paraId="7F66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077782D1">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铅</w:t>
            </w:r>
          </w:p>
        </w:tc>
        <w:tc>
          <w:tcPr>
            <w:tcW w:w="770" w:type="pct"/>
            <w:shd w:val="clear" w:color="auto" w:fill="auto"/>
            <w:vAlign w:val="center"/>
          </w:tcPr>
          <w:p w14:paraId="17D3E598">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785" w:type="pct"/>
            <w:shd w:val="clear" w:color="auto" w:fill="auto"/>
            <w:vAlign w:val="center"/>
          </w:tcPr>
          <w:p w14:paraId="343A9E5B">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ND</w:t>
            </w:r>
          </w:p>
        </w:tc>
        <w:tc>
          <w:tcPr>
            <w:tcW w:w="809" w:type="pct"/>
            <w:shd w:val="clear" w:color="auto" w:fill="auto"/>
            <w:vAlign w:val="center"/>
          </w:tcPr>
          <w:p w14:paraId="7E26A76C">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ND</w:t>
            </w:r>
          </w:p>
        </w:tc>
        <w:tc>
          <w:tcPr>
            <w:tcW w:w="880" w:type="pct"/>
            <w:shd w:val="clear" w:color="auto" w:fill="auto"/>
            <w:vAlign w:val="center"/>
          </w:tcPr>
          <w:p w14:paraId="37D98B88">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0.01</w:t>
            </w:r>
          </w:p>
        </w:tc>
        <w:tc>
          <w:tcPr>
            <w:tcW w:w="454" w:type="pct"/>
            <w:shd w:val="clear" w:color="auto" w:fill="auto"/>
            <w:vAlign w:val="center"/>
          </w:tcPr>
          <w:p w14:paraId="31AF7EEF">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06B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0DC8A866">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镉</w:t>
            </w:r>
          </w:p>
        </w:tc>
        <w:tc>
          <w:tcPr>
            <w:tcW w:w="770" w:type="pct"/>
            <w:shd w:val="clear" w:color="auto" w:fill="auto"/>
            <w:vAlign w:val="center"/>
          </w:tcPr>
          <w:p w14:paraId="13B8F4B2">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w:t>
            </w:r>
          </w:p>
        </w:tc>
        <w:tc>
          <w:tcPr>
            <w:tcW w:w="785" w:type="pct"/>
            <w:shd w:val="clear" w:color="auto" w:fill="auto"/>
            <w:vAlign w:val="center"/>
          </w:tcPr>
          <w:p w14:paraId="6F32AA94">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w:t>
            </w:r>
          </w:p>
        </w:tc>
        <w:tc>
          <w:tcPr>
            <w:tcW w:w="809" w:type="pct"/>
            <w:shd w:val="clear" w:color="auto" w:fill="auto"/>
            <w:vAlign w:val="center"/>
          </w:tcPr>
          <w:p w14:paraId="7A7BF5F7">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880" w:type="pct"/>
            <w:shd w:val="clear" w:color="auto" w:fill="auto"/>
            <w:vAlign w:val="center"/>
          </w:tcPr>
          <w:p w14:paraId="5D24B7E5">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0.005</w:t>
            </w:r>
          </w:p>
        </w:tc>
        <w:tc>
          <w:tcPr>
            <w:tcW w:w="454" w:type="pct"/>
            <w:shd w:val="clear" w:color="auto" w:fill="auto"/>
            <w:vAlign w:val="center"/>
          </w:tcPr>
          <w:p w14:paraId="48996A14">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13E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14E58DE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六价铬</w:t>
            </w:r>
          </w:p>
        </w:tc>
        <w:tc>
          <w:tcPr>
            <w:tcW w:w="770" w:type="pct"/>
            <w:shd w:val="clear" w:color="auto" w:fill="auto"/>
            <w:vAlign w:val="center"/>
          </w:tcPr>
          <w:p w14:paraId="285621B3">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w:t>
            </w:r>
          </w:p>
        </w:tc>
        <w:tc>
          <w:tcPr>
            <w:tcW w:w="785" w:type="pct"/>
            <w:shd w:val="clear" w:color="auto" w:fill="auto"/>
            <w:vAlign w:val="center"/>
          </w:tcPr>
          <w:p w14:paraId="030EFCA1">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0.006</w:t>
            </w:r>
          </w:p>
        </w:tc>
        <w:tc>
          <w:tcPr>
            <w:tcW w:w="809" w:type="pct"/>
            <w:shd w:val="clear" w:color="auto" w:fill="auto"/>
            <w:vAlign w:val="center"/>
          </w:tcPr>
          <w:p w14:paraId="5B7A516F">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w:t>
            </w:r>
          </w:p>
        </w:tc>
        <w:tc>
          <w:tcPr>
            <w:tcW w:w="880" w:type="pct"/>
            <w:shd w:val="clear" w:color="auto" w:fill="auto"/>
            <w:vAlign w:val="center"/>
          </w:tcPr>
          <w:p w14:paraId="2CF428CD">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0.05</w:t>
            </w:r>
          </w:p>
        </w:tc>
        <w:tc>
          <w:tcPr>
            <w:tcW w:w="454" w:type="pct"/>
            <w:shd w:val="clear" w:color="auto" w:fill="auto"/>
            <w:vAlign w:val="center"/>
          </w:tcPr>
          <w:p w14:paraId="352851F4">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A4D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6BB5779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汞</w:t>
            </w:r>
          </w:p>
        </w:tc>
        <w:tc>
          <w:tcPr>
            <w:tcW w:w="770" w:type="pct"/>
            <w:shd w:val="clear" w:color="auto" w:fill="auto"/>
            <w:vAlign w:val="center"/>
          </w:tcPr>
          <w:p w14:paraId="0871A4A5">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0.0002</w:t>
            </w:r>
          </w:p>
        </w:tc>
        <w:tc>
          <w:tcPr>
            <w:tcW w:w="785" w:type="pct"/>
            <w:shd w:val="clear" w:color="auto" w:fill="auto"/>
            <w:vAlign w:val="center"/>
          </w:tcPr>
          <w:p w14:paraId="3793E903">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0.00013</w:t>
            </w:r>
          </w:p>
        </w:tc>
        <w:tc>
          <w:tcPr>
            <w:tcW w:w="809" w:type="pct"/>
            <w:shd w:val="clear" w:color="auto" w:fill="auto"/>
            <w:vAlign w:val="center"/>
          </w:tcPr>
          <w:p w14:paraId="21413748">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0.00016</w:t>
            </w:r>
          </w:p>
        </w:tc>
        <w:tc>
          <w:tcPr>
            <w:tcW w:w="880" w:type="pct"/>
            <w:shd w:val="clear" w:color="auto" w:fill="auto"/>
            <w:vAlign w:val="center"/>
          </w:tcPr>
          <w:p w14:paraId="3FB58DC2">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0.001</w:t>
            </w:r>
          </w:p>
        </w:tc>
        <w:tc>
          <w:tcPr>
            <w:tcW w:w="454" w:type="pct"/>
            <w:shd w:val="clear" w:color="auto" w:fill="auto"/>
            <w:vAlign w:val="center"/>
          </w:tcPr>
          <w:p w14:paraId="3AD7ECAF">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BDC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58EA475A">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砷</w:t>
            </w:r>
          </w:p>
        </w:tc>
        <w:tc>
          <w:tcPr>
            <w:tcW w:w="770" w:type="pct"/>
            <w:shd w:val="clear" w:color="auto" w:fill="auto"/>
            <w:vAlign w:val="center"/>
          </w:tcPr>
          <w:p w14:paraId="534C3FE4">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0.0024</w:t>
            </w:r>
          </w:p>
        </w:tc>
        <w:tc>
          <w:tcPr>
            <w:tcW w:w="785" w:type="pct"/>
            <w:shd w:val="clear" w:color="auto" w:fill="auto"/>
            <w:vAlign w:val="center"/>
          </w:tcPr>
          <w:p w14:paraId="55FBCA0D">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0.0066</w:t>
            </w:r>
          </w:p>
        </w:tc>
        <w:tc>
          <w:tcPr>
            <w:tcW w:w="809" w:type="pct"/>
            <w:shd w:val="clear" w:color="auto" w:fill="auto"/>
            <w:vAlign w:val="center"/>
          </w:tcPr>
          <w:p w14:paraId="6334FC6D">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0.0053</w:t>
            </w:r>
          </w:p>
        </w:tc>
        <w:tc>
          <w:tcPr>
            <w:tcW w:w="880" w:type="pct"/>
            <w:shd w:val="clear" w:color="auto" w:fill="auto"/>
            <w:vAlign w:val="center"/>
          </w:tcPr>
          <w:p w14:paraId="1DEE88CA">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0.01</w:t>
            </w:r>
          </w:p>
        </w:tc>
        <w:tc>
          <w:tcPr>
            <w:tcW w:w="454" w:type="pct"/>
            <w:shd w:val="clear" w:color="auto" w:fill="auto"/>
            <w:vAlign w:val="center"/>
          </w:tcPr>
          <w:p w14:paraId="7A28BD9B">
            <w:pPr>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7A9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7B4143F6">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总硬度</w:t>
            </w:r>
          </w:p>
        </w:tc>
        <w:tc>
          <w:tcPr>
            <w:tcW w:w="770" w:type="pct"/>
            <w:shd w:val="clear" w:color="auto" w:fill="auto"/>
            <w:vAlign w:val="center"/>
          </w:tcPr>
          <w:p w14:paraId="130A2284">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2020</w:t>
            </w:r>
          </w:p>
        </w:tc>
        <w:tc>
          <w:tcPr>
            <w:tcW w:w="785" w:type="pct"/>
            <w:shd w:val="clear" w:color="auto" w:fill="auto"/>
            <w:vAlign w:val="center"/>
          </w:tcPr>
          <w:p w14:paraId="7CCA7EF5">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3195</w:t>
            </w:r>
          </w:p>
        </w:tc>
        <w:tc>
          <w:tcPr>
            <w:tcW w:w="809" w:type="pct"/>
            <w:shd w:val="clear" w:color="auto" w:fill="auto"/>
            <w:vAlign w:val="center"/>
          </w:tcPr>
          <w:p w14:paraId="1C7C5098">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2087</w:t>
            </w:r>
          </w:p>
        </w:tc>
        <w:tc>
          <w:tcPr>
            <w:tcW w:w="880" w:type="pct"/>
            <w:shd w:val="clear" w:color="auto" w:fill="auto"/>
            <w:vAlign w:val="center"/>
          </w:tcPr>
          <w:p w14:paraId="7DC85595">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450</w:t>
            </w:r>
          </w:p>
        </w:tc>
        <w:tc>
          <w:tcPr>
            <w:tcW w:w="454" w:type="pct"/>
            <w:shd w:val="clear" w:color="auto" w:fill="auto"/>
            <w:vAlign w:val="center"/>
          </w:tcPr>
          <w:p w14:paraId="21B17323">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6.10</w:t>
            </w:r>
          </w:p>
        </w:tc>
      </w:tr>
      <w:tr w14:paraId="4CA2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539D60A5">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Ca</w:t>
            </w:r>
            <w:r>
              <w:rPr>
                <w:rFonts w:hint="default" w:ascii="Times New Roman" w:hAnsi="Times New Roman" w:eastAsia="宋体" w:cs="Times New Roman"/>
                <w:color w:val="auto"/>
                <w:sz w:val="21"/>
                <w:szCs w:val="21"/>
                <w:vertAlign w:val="superscript"/>
              </w:rPr>
              <w:t>2+</w:t>
            </w:r>
          </w:p>
        </w:tc>
        <w:tc>
          <w:tcPr>
            <w:tcW w:w="770" w:type="pct"/>
            <w:shd w:val="clear" w:color="auto" w:fill="auto"/>
            <w:vAlign w:val="center"/>
          </w:tcPr>
          <w:p w14:paraId="073A07AB">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755</w:t>
            </w:r>
          </w:p>
        </w:tc>
        <w:tc>
          <w:tcPr>
            <w:tcW w:w="785" w:type="pct"/>
            <w:shd w:val="clear" w:color="auto" w:fill="auto"/>
            <w:vAlign w:val="center"/>
          </w:tcPr>
          <w:p w14:paraId="4D6931FB">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1532</w:t>
            </w:r>
          </w:p>
        </w:tc>
        <w:tc>
          <w:tcPr>
            <w:tcW w:w="809" w:type="pct"/>
            <w:shd w:val="clear" w:color="auto" w:fill="auto"/>
            <w:vAlign w:val="center"/>
          </w:tcPr>
          <w:p w14:paraId="45945B6F">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1010</w:t>
            </w:r>
          </w:p>
        </w:tc>
        <w:tc>
          <w:tcPr>
            <w:tcW w:w="880" w:type="pct"/>
            <w:shd w:val="clear" w:color="auto" w:fill="auto"/>
            <w:vAlign w:val="center"/>
          </w:tcPr>
          <w:p w14:paraId="4F82F6F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454" w:type="pct"/>
            <w:shd w:val="clear" w:color="auto" w:fill="auto"/>
            <w:vAlign w:val="center"/>
          </w:tcPr>
          <w:p w14:paraId="20807E52">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5C7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3C35ABFD">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vertAlign w:val="superscript"/>
              </w:rPr>
              <w:t>2+</w:t>
            </w:r>
          </w:p>
        </w:tc>
        <w:tc>
          <w:tcPr>
            <w:tcW w:w="770" w:type="pct"/>
            <w:shd w:val="clear" w:color="auto" w:fill="auto"/>
            <w:vAlign w:val="center"/>
          </w:tcPr>
          <w:p w14:paraId="566B2202">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3.15</w:t>
            </w:r>
          </w:p>
        </w:tc>
        <w:tc>
          <w:tcPr>
            <w:tcW w:w="785" w:type="pct"/>
            <w:shd w:val="clear" w:color="auto" w:fill="auto"/>
            <w:vAlign w:val="center"/>
          </w:tcPr>
          <w:p w14:paraId="504F5053">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5.82</w:t>
            </w:r>
          </w:p>
        </w:tc>
        <w:tc>
          <w:tcPr>
            <w:tcW w:w="809" w:type="pct"/>
            <w:shd w:val="clear" w:color="auto" w:fill="auto"/>
            <w:vAlign w:val="center"/>
          </w:tcPr>
          <w:p w14:paraId="2BEEEBCA">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4.01</w:t>
            </w:r>
          </w:p>
        </w:tc>
        <w:tc>
          <w:tcPr>
            <w:tcW w:w="880" w:type="pct"/>
            <w:shd w:val="clear" w:color="auto" w:fill="auto"/>
            <w:vAlign w:val="center"/>
          </w:tcPr>
          <w:p w14:paraId="4B956C8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454" w:type="pct"/>
            <w:shd w:val="clear" w:color="auto" w:fill="auto"/>
            <w:vAlign w:val="center"/>
          </w:tcPr>
          <w:p w14:paraId="17F5D870">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076D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6A648E6A">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K</w:t>
            </w:r>
            <w:r>
              <w:rPr>
                <w:rFonts w:hint="default" w:ascii="Times New Roman" w:hAnsi="Times New Roman" w:eastAsia="宋体" w:cs="Times New Roman"/>
                <w:color w:val="auto"/>
                <w:sz w:val="21"/>
                <w:szCs w:val="21"/>
                <w:vertAlign w:val="superscript"/>
              </w:rPr>
              <w:t>+</w:t>
            </w:r>
          </w:p>
        </w:tc>
        <w:tc>
          <w:tcPr>
            <w:tcW w:w="770" w:type="pct"/>
            <w:shd w:val="clear" w:color="auto" w:fill="auto"/>
            <w:vAlign w:val="center"/>
          </w:tcPr>
          <w:p w14:paraId="2B3556B9">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785" w:type="pct"/>
            <w:shd w:val="clear" w:color="auto" w:fill="auto"/>
            <w:vAlign w:val="center"/>
          </w:tcPr>
          <w:p w14:paraId="6602E166">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7.03</w:t>
            </w:r>
          </w:p>
        </w:tc>
        <w:tc>
          <w:tcPr>
            <w:tcW w:w="809" w:type="pct"/>
            <w:shd w:val="clear" w:color="auto" w:fill="auto"/>
            <w:vAlign w:val="center"/>
          </w:tcPr>
          <w:p w14:paraId="579EA9FF">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6.03</w:t>
            </w:r>
          </w:p>
        </w:tc>
        <w:tc>
          <w:tcPr>
            <w:tcW w:w="880" w:type="pct"/>
            <w:shd w:val="clear" w:color="auto" w:fill="auto"/>
            <w:vAlign w:val="center"/>
          </w:tcPr>
          <w:p w14:paraId="232B36F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454" w:type="pct"/>
            <w:shd w:val="clear" w:color="auto" w:fill="auto"/>
            <w:vAlign w:val="center"/>
          </w:tcPr>
          <w:p w14:paraId="38006F74">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236F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2A10EC9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z w:val="21"/>
                <w:szCs w:val="21"/>
                <w:vertAlign w:val="superscript"/>
              </w:rPr>
              <w:t>+</w:t>
            </w:r>
          </w:p>
        </w:tc>
        <w:tc>
          <w:tcPr>
            <w:tcW w:w="770" w:type="pct"/>
            <w:shd w:val="clear" w:color="auto" w:fill="auto"/>
            <w:vAlign w:val="center"/>
          </w:tcPr>
          <w:p w14:paraId="38422FBB">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25132</w:t>
            </w:r>
          </w:p>
        </w:tc>
        <w:tc>
          <w:tcPr>
            <w:tcW w:w="785" w:type="pct"/>
            <w:shd w:val="clear" w:color="auto" w:fill="auto"/>
            <w:vAlign w:val="center"/>
          </w:tcPr>
          <w:p w14:paraId="53A2FF6B">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35522</w:t>
            </w:r>
          </w:p>
        </w:tc>
        <w:tc>
          <w:tcPr>
            <w:tcW w:w="809" w:type="pct"/>
            <w:shd w:val="clear" w:color="auto" w:fill="auto"/>
            <w:vAlign w:val="center"/>
          </w:tcPr>
          <w:p w14:paraId="44AAE5BD">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25555</w:t>
            </w:r>
          </w:p>
        </w:tc>
        <w:tc>
          <w:tcPr>
            <w:tcW w:w="880" w:type="pct"/>
            <w:shd w:val="clear" w:color="auto" w:fill="auto"/>
            <w:vAlign w:val="center"/>
          </w:tcPr>
          <w:p w14:paraId="0F0041F2">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200</w:t>
            </w:r>
          </w:p>
        </w:tc>
        <w:tc>
          <w:tcPr>
            <w:tcW w:w="454" w:type="pct"/>
            <w:shd w:val="clear" w:color="auto" w:fill="auto"/>
            <w:vAlign w:val="center"/>
          </w:tcPr>
          <w:p w14:paraId="457D7806">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176.61</w:t>
            </w:r>
          </w:p>
        </w:tc>
      </w:tr>
      <w:tr w14:paraId="6E03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402C4330">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p>
        </w:tc>
        <w:tc>
          <w:tcPr>
            <w:tcW w:w="770" w:type="pct"/>
            <w:shd w:val="clear" w:color="auto" w:fill="auto"/>
            <w:vAlign w:val="center"/>
          </w:tcPr>
          <w:p w14:paraId="0207CD2A">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85" w:type="pct"/>
            <w:shd w:val="clear" w:color="auto" w:fill="auto"/>
            <w:vAlign w:val="center"/>
          </w:tcPr>
          <w:p w14:paraId="470CC4F9">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809" w:type="pct"/>
            <w:shd w:val="clear" w:color="auto" w:fill="auto"/>
            <w:vAlign w:val="center"/>
          </w:tcPr>
          <w:p w14:paraId="42F81DB2">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880" w:type="pct"/>
            <w:shd w:val="clear" w:color="auto" w:fill="auto"/>
            <w:vAlign w:val="center"/>
          </w:tcPr>
          <w:p w14:paraId="5DD62525">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454" w:type="pct"/>
            <w:shd w:val="clear" w:color="auto" w:fill="auto"/>
            <w:vAlign w:val="center"/>
          </w:tcPr>
          <w:p w14:paraId="6CA939BB">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D36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4CF707F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w:t>
            </w:r>
          </w:p>
        </w:tc>
        <w:tc>
          <w:tcPr>
            <w:tcW w:w="770" w:type="pct"/>
            <w:shd w:val="clear" w:color="auto" w:fill="auto"/>
            <w:vAlign w:val="center"/>
          </w:tcPr>
          <w:p w14:paraId="6AB6E283">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w:t>
            </w:r>
          </w:p>
        </w:tc>
        <w:tc>
          <w:tcPr>
            <w:tcW w:w="785" w:type="pct"/>
            <w:shd w:val="clear" w:color="auto" w:fill="auto"/>
            <w:vAlign w:val="center"/>
          </w:tcPr>
          <w:p w14:paraId="534D6620">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809" w:type="pct"/>
            <w:shd w:val="clear" w:color="auto" w:fill="auto"/>
            <w:vAlign w:val="center"/>
          </w:tcPr>
          <w:p w14:paraId="074352AC">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880" w:type="pct"/>
            <w:shd w:val="clear" w:color="auto" w:fill="auto"/>
            <w:vAlign w:val="center"/>
          </w:tcPr>
          <w:p w14:paraId="7F391348">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454" w:type="pct"/>
            <w:shd w:val="clear" w:color="auto" w:fill="auto"/>
            <w:vAlign w:val="center"/>
          </w:tcPr>
          <w:p w14:paraId="05FE675F">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0BC6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7F859BA0">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p>
        </w:tc>
        <w:tc>
          <w:tcPr>
            <w:tcW w:w="770" w:type="pct"/>
            <w:shd w:val="clear" w:color="auto" w:fill="auto"/>
            <w:vAlign w:val="center"/>
          </w:tcPr>
          <w:p w14:paraId="599B2F0B">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1260</w:t>
            </w:r>
          </w:p>
        </w:tc>
        <w:tc>
          <w:tcPr>
            <w:tcW w:w="785" w:type="pct"/>
            <w:shd w:val="clear" w:color="auto" w:fill="auto"/>
            <w:vAlign w:val="center"/>
          </w:tcPr>
          <w:p w14:paraId="06BCCEE0">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1120</w:t>
            </w:r>
          </w:p>
        </w:tc>
        <w:tc>
          <w:tcPr>
            <w:tcW w:w="809" w:type="pct"/>
            <w:shd w:val="clear" w:color="auto" w:fill="auto"/>
            <w:vAlign w:val="center"/>
          </w:tcPr>
          <w:p w14:paraId="252E564F">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1430</w:t>
            </w:r>
          </w:p>
        </w:tc>
        <w:tc>
          <w:tcPr>
            <w:tcW w:w="880" w:type="pct"/>
            <w:shd w:val="clear" w:color="auto" w:fill="auto"/>
            <w:vAlign w:val="center"/>
          </w:tcPr>
          <w:p w14:paraId="1A1B028E">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250</w:t>
            </w:r>
          </w:p>
        </w:tc>
        <w:tc>
          <w:tcPr>
            <w:tcW w:w="454" w:type="pct"/>
            <w:shd w:val="clear" w:color="auto" w:fill="auto"/>
            <w:vAlign w:val="center"/>
          </w:tcPr>
          <w:p w14:paraId="382DBA8F">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4.72</w:t>
            </w:r>
          </w:p>
        </w:tc>
      </w:tr>
      <w:tr w14:paraId="7683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574F5E9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p>
        </w:tc>
        <w:tc>
          <w:tcPr>
            <w:tcW w:w="770" w:type="pct"/>
            <w:shd w:val="clear" w:color="auto" w:fill="auto"/>
            <w:vAlign w:val="center"/>
          </w:tcPr>
          <w:p w14:paraId="6C04C3D3">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6460</w:t>
            </w:r>
          </w:p>
        </w:tc>
        <w:tc>
          <w:tcPr>
            <w:tcW w:w="785" w:type="pct"/>
            <w:shd w:val="clear" w:color="auto" w:fill="auto"/>
            <w:vAlign w:val="center"/>
          </w:tcPr>
          <w:p w14:paraId="51E37353">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6620</w:t>
            </w:r>
          </w:p>
        </w:tc>
        <w:tc>
          <w:tcPr>
            <w:tcW w:w="809" w:type="pct"/>
            <w:shd w:val="clear" w:color="auto" w:fill="auto"/>
            <w:vAlign w:val="center"/>
          </w:tcPr>
          <w:p w14:paraId="25C86B29">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2930</w:t>
            </w:r>
          </w:p>
        </w:tc>
        <w:tc>
          <w:tcPr>
            <w:tcW w:w="880" w:type="pct"/>
            <w:shd w:val="clear" w:color="auto" w:fill="auto"/>
            <w:vAlign w:val="center"/>
          </w:tcPr>
          <w:p w14:paraId="2F632576">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250</w:t>
            </w:r>
          </w:p>
        </w:tc>
        <w:tc>
          <w:tcPr>
            <w:tcW w:w="454" w:type="pct"/>
            <w:shd w:val="clear" w:color="auto" w:fill="auto"/>
            <w:vAlign w:val="center"/>
          </w:tcPr>
          <w:p w14:paraId="4AEAA0F6">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25.48</w:t>
            </w:r>
          </w:p>
        </w:tc>
      </w:tr>
      <w:tr w14:paraId="63DD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0D5022E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氰化物</w:t>
            </w:r>
          </w:p>
        </w:tc>
        <w:tc>
          <w:tcPr>
            <w:tcW w:w="770" w:type="pct"/>
            <w:shd w:val="clear" w:color="auto" w:fill="auto"/>
            <w:vAlign w:val="center"/>
          </w:tcPr>
          <w:p w14:paraId="540B2EE1">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785" w:type="pct"/>
            <w:shd w:val="clear" w:color="auto" w:fill="auto"/>
            <w:vAlign w:val="center"/>
          </w:tcPr>
          <w:p w14:paraId="0FA17D3A">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809" w:type="pct"/>
            <w:shd w:val="clear" w:color="auto" w:fill="auto"/>
            <w:vAlign w:val="center"/>
          </w:tcPr>
          <w:p w14:paraId="1A5A5740">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880" w:type="pct"/>
            <w:shd w:val="clear" w:color="auto" w:fill="auto"/>
            <w:vAlign w:val="center"/>
          </w:tcPr>
          <w:p w14:paraId="48F16EE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0.05</w:t>
            </w:r>
          </w:p>
        </w:tc>
        <w:tc>
          <w:tcPr>
            <w:tcW w:w="454" w:type="pct"/>
            <w:shd w:val="clear" w:color="auto" w:fill="auto"/>
            <w:vAlign w:val="center"/>
          </w:tcPr>
          <w:p w14:paraId="52DA8B72">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0FE2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0C0D97F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氟化物</w:t>
            </w:r>
          </w:p>
        </w:tc>
        <w:tc>
          <w:tcPr>
            <w:tcW w:w="770" w:type="pct"/>
            <w:shd w:val="clear" w:color="auto" w:fill="auto"/>
            <w:vAlign w:val="center"/>
          </w:tcPr>
          <w:p w14:paraId="326080DB">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1.57</w:t>
            </w:r>
          </w:p>
        </w:tc>
        <w:tc>
          <w:tcPr>
            <w:tcW w:w="785" w:type="pct"/>
            <w:shd w:val="clear" w:color="auto" w:fill="auto"/>
            <w:vAlign w:val="center"/>
          </w:tcPr>
          <w:p w14:paraId="4DB87580">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1.21</w:t>
            </w:r>
          </w:p>
        </w:tc>
        <w:tc>
          <w:tcPr>
            <w:tcW w:w="809" w:type="pct"/>
            <w:shd w:val="clear" w:color="auto" w:fill="auto"/>
            <w:vAlign w:val="center"/>
          </w:tcPr>
          <w:p w14:paraId="1B71BBAD">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2.06</w:t>
            </w:r>
          </w:p>
        </w:tc>
        <w:tc>
          <w:tcPr>
            <w:tcW w:w="880" w:type="pct"/>
            <w:shd w:val="clear" w:color="auto" w:fill="auto"/>
            <w:vAlign w:val="center"/>
          </w:tcPr>
          <w:p w14:paraId="76D0F30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w:t>
            </w:r>
          </w:p>
        </w:tc>
        <w:tc>
          <w:tcPr>
            <w:tcW w:w="454" w:type="pct"/>
            <w:shd w:val="clear" w:color="auto" w:fill="auto"/>
            <w:vAlign w:val="center"/>
          </w:tcPr>
          <w:p w14:paraId="4E4F89F0">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1.06</w:t>
            </w:r>
          </w:p>
        </w:tc>
      </w:tr>
      <w:tr w14:paraId="3F1C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223510F0">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石油类</w:t>
            </w:r>
          </w:p>
        </w:tc>
        <w:tc>
          <w:tcPr>
            <w:tcW w:w="770" w:type="pct"/>
            <w:shd w:val="clear" w:color="auto" w:fill="auto"/>
            <w:vAlign w:val="center"/>
          </w:tcPr>
          <w:p w14:paraId="0780CE7F">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785" w:type="pct"/>
            <w:shd w:val="clear" w:color="auto" w:fill="auto"/>
            <w:vAlign w:val="center"/>
          </w:tcPr>
          <w:p w14:paraId="3843ECBD">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w:t>
            </w:r>
          </w:p>
        </w:tc>
        <w:tc>
          <w:tcPr>
            <w:tcW w:w="809" w:type="pct"/>
            <w:shd w:val="clear" w:color="auto" w:fill="auto"/>
            <w:vAlign w:val="center"/>
          </w:tcPr>
          <w:p w14:paraId="53EA596C">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w:t>
            </w:r>
          </w:p>
        </w:tc>
        <w:tc>
          <w:tcPr>
            <w:tcW w:w="880" w:type="pct"/>
            <w:shd w:val="clear" w:color="auto" w:fill="auto"/>
            <w:vAlign w:val="center"/>
          </w:tcPr>
          <w:p w14:paraId="54BD3A1C">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0.05</w:t>
            </w:r>
          </w:p>
        </w:tc>
        <w:tc>
          <w:tcPr>
            <w:tcW w:w="454" w:type="pct"/>
            <w:shd w:val="clear" w:color="auto" w:fill="auto"/>
            <w:vAlign w:val="center"/>
          </w:tcPr>
          <w:p w14:paraId="0448459A">
            <w:pPr>
              <w:pStyle w:val="42"/>
              <w:keepNext w:val="0"/>
              <w:keepLines w:val="0"/>
              <w:pageBreakBefore w:val="0"/>
              <w:widowControl w:val="0"/>
              <w:kinsoku/>
              <w:wordWrap/>
              <w:overflowPunct/>
              <w:topLinePunct w:val="0"/>
              <w:bidi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5F16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vMerge w:val="restart"/>
            <w:shd w:val="clear" w:color="auto" w:fill="auto"/>
            <w:vAlign w:val="center"/>
          </w:tcPr>
          <w:p w14:paraId="6729A098">
            <w:pPr>
              <w:pStyle w:val="42"/>
              <w:keepNext w:val="0"/>
              <w:keepLines w:val="0"/>
              <w:pageBreakBefore w:val="0"/>
              <w:widowControl w:val="0"/>
              <w:kinsoku/>
              <w:wordWrap/>
              <w:overflowPunct/>
              <w:topLinePunct w:val="0"/>
              <w:bidi w:val="0"/>
              <w:spacing w:line="300" w:lineRule="exac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分析项目</w:t>
            </w:r>
          </w:p>
        </w:tc>
        <w:tc>
          <w:tcPr>
            <w:tcW w:w="2364" w:type="pct"/>
            <w:gridSpan w:val="3"/>
            <w:shd w:val="clear" w:color="auto" w:fill="auto"/>
            <w:vAlign w:val="center"/>
          </w:tcPr>
          <w:p w14:paraId="277E0754">
            <w:pPr>
              <w:pStyle w:val="42"/>
              <w:keepNext w:val="0"/>
              <w:keepLines w:val="0"/>
              <w:pageBreakBefore w:val="0"/>
              <w:widowControl w:val="0"/>
              <w:kinsoku/>
              <w:wordWrap/>
              <w:overflowPunct/>
              <w:topLinePunct w:val="0"/>
              <w:bidi w:val="0"/>
              <w:spacing w:line="300" w:lineRule="exact"/>
              <w:jc w:val="center"/>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rPr>
              <w:t>监测结果</w:t>
            </w:r>
          </w:p>
        </w:tc>
        <w:tc>
          <w:tcPr>
            <w:tcW w:w="880" w:type="pct"/>
            <w:shd w:val="clear" w:color="auto" w:fill="auto"/>
            <w:vAlign w:val="center"/>
          </w:tcPr>
          <w:p w14:paraId="36DDE4EC">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III类</w:t>
            </w:r>
          </w:p>
        </w:tc>
        <w:tc>
          <w:tcPr>
            <w:tcW w:w="454" w:type="pct"/>
            <w:vMerge w:val="restart"/>
            <w:shd w:val="clear" w:color="auto" w:fill="auto"/>
            <w:vAlign w:val="center"/>
          </w:tcPr>
          <w:p w14:paraId="034353D0">
            <w:pPr>
              <w:pStyle w:val="42"/>
              <w:keepNext w:val="0"/>
              <w:keepLines w:val="0"/>
              <w:pageBreakBefore w:val="0"/>
              <w:widowControl w:val="0"/>
              <w:kinsoku/>
              <w:wordWrap/>
              <w:overflowPunct/>
              <w:topLinePunct w:val="0"/>
              <w:bidi w:val="0"/>
              <w:spacing w:line="300" w:lineRule="exact"/>
              <w:ind w:firstLine="0" w:firstLineChars="0"/>
              <w:jc w:val="center"/>
              <w:rPr>
                <w:rFonts w:hint="eastAsia"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最大超标倍数</w:t>
            </w:r>
          </w:p>
        </w:tc>
      </w:tr>
      <w:tr w14:paraId="75C3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vMerge w:val="continue"/>
            <w:shd w:val="clear" w:color="auto" w:fill="auto"/>
            <w:vAlign w:val="center"/>
          </w:tcPr>
          <w:p w14:paraId="0E20D57C">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b/>
                <w:bCs/>
                <w:color w:val="auto"/>
                <w:sz w:val="21"/>
                <w:szCs w:val="21"/>
              </w:rPr>
            </w:pPr>
          </w:p>
        </w:tc>
        <w:tc>
          <w:tcPr>
            <w:tcW w:w="770" w:type="pct"/>
            <w:shd w:val="clear" w:color="auto" w:fill="auto"/>
            <w:vAlign w:val="center"/>
          </w:tcPr>
          <w:p w14:paraId="0781BF83">
            <w:pPr>
              <w:pStyle w:val="42"/>
              <w:keepNext w:val="0"/>
              <w:keepLines w:val="0"/>
              <w:pageBreakBefore w:val="0"/>
              <w:widowControl w:val="0"/>
              <w:kinsoku/>
              <w:wordWrap/>
              <w:overflowPunct/>
              <w:topLinePunct w:val="0"/>
              <w:bidi w:val="0"/>
              <w:spacing w:line="300" w:lineRule="exact"/>
              <w:ind w:firstLine="0" w:firstLineChars="0"/>
              <w:jc w:val="center"/>
              <w:rPr>
                <w:rFonts w:hint="eastAsia" w:ascii="Times New Roman" w:hAnsi="Times New Roman" w:eastAsia="宋体" w:cs="Times New Roman"/>
                <w:b/>
                <w:bCs/>
                <w:color w:val="auto"/>
                <w:sz w:val="21"/>
                <w:szCs w:val="21"/>
                <w:lang w:val="en-US" w:eastAsia="zh-CN" w:bidi="ar-SA"/>
              </w:rPr>
            </w:pPr>
            <w:r>
              <w:rPr>
                <w:rFonts w:hint="eastAsia" w:cs="Times New Roman"/>
                <w:b/>
                <w:bCs/>
                <w:color w:val="auto"/>
                <w:sz w:val="21"/>
                <w:szCs w:val="21"/>
                <w:lang w:val="en-US" w:eastAsia="zh-CN"/>
              </w:rPr>
              <w:t>玛水13井</w:t>
            </w:r>
          </w:p>
        </w:tc>
        <w:tc>
          <w:tcPr>
            <w:tcW w:w="785" w:type="pct"/>
            <w:shd w:val="clear" w:color="auto" w:fill="auto"/>
            <w:vAlign w:val="center"/>
          </w:tcPr>
          <w:p w14:paraId="22F643BD">
            <w:pPr>
              <w:pStyle w:val="42"/>
              <w:keepNext w:val="0"/>
              <w:keepLines w:val="0"/>
              <w:pageBreakBefore w:val="0"/>
              <w:widowControl w:val="0"/>
              <w:kinsoku/>
              <w:wordWrap/>
              <w:overflowPunct/>
              <w:topLinePunct w:val="0"/>
              <w:bidi w:val="0"/>
              <w:spacing w:line="300" w:lineRule="exact"/>
              <w:ind w:firstLine="0" w:firstLineChars="0"/>
              <w:jc w:val="center"/>
              <w:rPr>
                <w:rFonts w:hint="eastAsia" w:ascii="Times New Roman" w:hAnsi="Times New Roman" w:eastAsia="宋体" w:cs="Times New Roman"/>
                <w:b/>
                <w:bCs/>
                <w:color w:val="auto"/>
                <w:sz w:val="21"/>
                <w:szCs w:val="21"/>
                <w:lang w:val="en-US" w:eastAsia="zh-CN" w:bidi="ar-SA"/>
              </w:rPr>
            </w:pPr>
            <w:r>
              <w:rPr>
                <w:rFonts w:hint="eastAsia" w:cs="Times New Roman"/>
                <w:b/>
                <w:bCs/>
                <w:color w:val="auto"/>
                <w:sz w:val="21"/>
                <w:szCs w:val="21"/>
                <w:lang w:val="en-US" w:eastAsia="zh-CN"/>
              </w:rPr>
              <w:t>玛水15井</w:t>
            </w:r>
          </w:p>
        </w:tc>
        <w:tc>
          <w:tcPr>
            <w:tcW w:w="809" w:type="pct"/>
            <w:shd w:val="clear" w:color="auto" w:fill="auto"/>
            <w:vAlign w:val="center"/>
          </w:tcPr>
          <w:p w14:paraId="354A95C1">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b/>
                <w:bCs/>
                <w:color w:val="auto"/>
                <w:sz w:val="21"/>
                <w:szCs w:val="21"/>
                <w:lang w:val="en-US" w:eastAsia="zh-CN"/>
              </w:rPr>
              <w:t>玛水18</w:t>
            </w:r>
          </w:p>
        </w:tc>
        <w:tc>
          <w:tcPr>
            <w:tcW w:w="880" w:type="pct"/>
            <w:vMerge w:val="restart"/>
            <w:shd w:val="clear" w:color="auto" w:fill="auto"/>
            <w:vAlign w:val="center"/>
          </w:tcPr>
          <w:p w14:paraId="2EBBD63F">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c>
          <w:tcPr>
            <w:tcW w:w="454" w:type="pct"/>
            <w:vMerge w:val="continue"/>
            <w:shd w:val="clear" w:color="auto" w:fill="auto"/>
            <w:vAlign w:val="center"/>
          </w:tcPr>
          <w:p w14:paraId="0EF93021">
            <w:pPr>
              <w:pStyle w:val="42"/>
              <w:keepNext w:val="0"/>
              <w:keepLines w:val="0"/>
              <w:pageBreakBefore w:val="0"/>
              <w:widowControl w:val="0"/>
              <w:kinsoku/>
              <w:wordWrap/>
              <w:overflowPunct/>
              <w:topLinePunct w:val="0"/>
              <w:bidi w:val="0"/>
              <w:spacing w:line="300" w:lineRule="exact"/>
              <w:jc w:val="center"/>
              <w:rPr>
                <w:rFonts w:hint="eastAsia" w:cs="Times New Roman"/>
                <w:b/>
                <w:bCs/>
                <w:color w:val="auto"/>
                <w:sz w:val="21"/>
                <w:szCs w:val="21"/>
                <w:lang w:val="en-US" w:eastAsia="zh-CN"/>
              </w:rPr>
            </w:pPr>
          </w:p>
        </w:tc>
      </w:tr>
      <w:tr w14:paraId="6E3F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vMerge w:val="continue"/>
            <w:shd w:val="clear" w:color="auto" w:fill="auto"/>
            <w:vAlign w:val="center"/>
          </w:tcPr>
          <w:p w14:paraId="4E63F604">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b/>
                <w:bCs/>
                <w:color w:val="auto"/>
                <w:sz w:val="21"/>
                <w:szCs w:val="21"/>
              </w:rPr>
            </w:pPr>
          </w:p>
        </w:tc>
        <w:tc>
          <w:tcPr>
            <w:tcW w:w="2364" w:type="pct"/>
            <w:gridSpan w:val="3"/>
            <w:shd w:val="clear" w:color="auto" w:fill="auto"/>
            <w:vAlign w:val="center"/>
          </w:tcPr>
          <w:p w14:paraId="04B5851A">
            <w:pPr>
              <w:pStyle w:val="42"/>
              <w:keepNext w:val="0"/>
              <w:keepLines w:val="0"/>
              <w:pageBreakBefore w:val="0"/>
              <w:widowControl w:val="0"/>
              <w:kinsoku/>
              <w:wordWrap/>
              <w:overflowPunct/>
              <w:topLinePunct w:val="0"/>
              <w:bidi w:val="0"/>
              <w:spacing w:line="300" w:lineRule="exact"/>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2023年</w:t>
            </w:r>
          </w:p>
        </w:tc>
        <w:tc>
          <w:tcPr>
            <w:tcW w:w="880" w:type="pct"/>
            <w:vMerge w:val="continue"/>
            <w:shd w:val="clear" w:color="auto" w:fill="auto"/>
            <w:vAlign w:val="center"/>
          </w:tcPr>
          <w:p w14:paraId="3641F82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b/>
                <w:bCs/>
                <w:color w:val="auto"/>
                <w:sz w:val="21"/>
                <w:szCs w:val="21"/>
              </w:rPr>
            </w:pPr>
          </w:p>
        </w:tc>
        <w:tc>
          <w:tcPr>
            <w:tcW w:w="454" w:type="pct"/>
            <w:vMerge w:val="continue"/>
            <w:shd w:val="clear" w:color="auto" w:fill="auto"/>
            <w:vAlign w:val="center"/>
          </w:tcPr>
          <w:p w14:paraId="4D5521DF">
            <w:pPr>
              <w:pStyle w:val="42"/>
              <w:keepNext w:val="0"/>
              <w:keepLines w:val="0"/>
              <w:pageBreakBefore w:val="0"/>
              <w:widowControl w:val="0"/>
              <w:kinsoku/>
              <w:wordWrap/>
              <w:overflowPunct/>
              <w:topLinePunct w:val="0"/>
              <w:bidi w:val="0"/>
              <w:spacing w:line="300" w:lineRule="exact"/>
              <w:jc w:val="center"/>
              <w:rPr>
                <w:rFonts w:hint="eastAsia" w:cs="Times New Roman"/>
                <w:b/>
                <w:bCs/>
                <w:color w:val="auto"/>
                <w:sz w:val="21"/>
                <w:szCs w:val="21"/>
                <w:lang w:val="en-US" w:eastAsia="zh-CN"/>
              </w:rPr>
            </w:pPr>
          </w:p>
        </w:tc>
      </w:tr>
      <w:tr w14:paraId="1F79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314A5A11">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pH</w:t>
            </w:r>
          </w:p>
        </w:tc>
        <w:tc>
          <w:tcPr>
            <w:tcW w:w="770" w:type="pct"/>
            <w:shd w:val="clear" w:color="auto" w:fill="auto"/>
            <w:vAlign w:val="center"/>
          </w:tcPr>
          <w:p w14:paraId="745C8C68">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7.47</w:t>
            </w:r>
          </w:p>
        </w:tc>
        <w:tc>
          <w:tcPr>
            <w:tcW w:w="785" w:type="pct"/>
            <w:shd w:val="clear" w:color="auto" w:fill="auto"/>
            <w:vAlign w:val="center"/>
          </w:tcPr>
          <w:p w14:paraId="11008DC1">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7.36</w:t>
            </w:r>
          </w:p>
        </w:tc>
        <w:tc>
          <w:tcPr>
            <w:tcW w:w="809" w:type="pct"/>
            <w:shd w:val="clear" w:color="auto" w:fill="auto"/>
            <w:vAlign w:val="center"/>
          </w:tcPr>
          <w:p w14:paraId="626BCF7E">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7.48</w:t>
            </w:r>
          </w:p>
        </w:tc>
        <w:tc>
          <w:tcPr>
            <w:tcW w:w="880" w:type="pct"/>
            <w:shd w:val="clear" w:color="auto" w:fill="auto"/>
            <w:vAlign w:val="center"/>
          </w:tcPr>
          <w:p w14:paraId="49526F7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6.5~8.5</w:t>
            </w:r>
          </w:p>
        </w:tc>
        <w:tc>
          <w:tcPr>
            <w:tcW w:w="454" w:type="pct"/>
            <w:shd w:val="clear" w:color="auto" w:fill="auto"/>
            <w:vAlign w:val="center"/>
          </w:tcPr>
          <w:p w14:paraId="7C64DE7B">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6A51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1300" w:type="pct"/>
            <w:shd w:val="clear" w:color="auto" w:fill="auto"/>
            <w:vAlign w:val="center"/>
          </w:tcPr>
          <w:p w14:paraId="607E755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耗氧量</w:t>
            </w:r>
          </w:p>
        </w:tc>
        <w:tc>
          <w:tcPr>
            <w:tcW w:w="770" w:type="pct"/>
            <w:shd w:val="clear" w:color="auto" w:fill="auto"/>
            <w:vAlign w:val="center"/>
          </w:tcPr>
          <w:p w14:paraId="4C67C151">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1.34</w:t>
            </w:r>
          </w:p>
        </w:tc>
        <w:tc>
          <w:tcPr>
            <w:tcW w:w="785" w:type="pct"/>
            <w:shd w:val="clear" w:color="auto" w:fill="auto"/>
            <w:vAlign w:val="center"/>
          </w:tcPr>
          <w:p w14:paraId="6A038F90">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1.83</w:t>
            </w:r>
          </w:p>
        </w:tc>
        <w:tc>
          <w:tcPr>
            <w:tcW w:w="809" w:type="pct"/>
            <w:shd w:val="clear" w:color="auto" w:fill="auto"/>
            <w:vAlign w:val="center"/>
          </w:tcPr>
          <w:p w14:paraId="6E58A7D7">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1.42</w:t>
            </w:r>
          </w:p>
        </w:tc>
        <w:tc>
          <w:tcPr>
            <w:tcW w:w="880" w:type="pct"/>
            <w:shd w:val="clear" w:color="auto" w:fill="auto"/>
            <w:vAlign w:val="center"/>
          </w:tcPr>
          <w:p w14:paraId="191334E8">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3</w:t>
            </w:r>
          </w:p>
        </w:tc>
        <w:tc>
          <w:tcPr>
            <w:tcW w:w="454" w:type="pct"/>
            <w:shd w:val="clear" w:color="auto" w:fill="auto"/>
            <w:vAlign w:val="center"/>
          </w:tcPr>
          <w:p w14:paraId="747E09E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1124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3EFEB23F">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氨氮</w:t>
            </w:r>
          </w:p>
        </w:tc>
        <w:tc>
          <w:tcPr>
            <w:tcW w:w="0" w:type="auto"/>
            <w:shd w:val="clear" w:color="auto" w:fill="auto"/>
            <w:vAlign w:val="center"/>
          </w:tcPr>
          <w:p w14:paraId="02660F7E">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0.059</w:t>
            </w:r>
          </w:p>
        </w:tc>
        <w:tc>
          <w:tcPr>
            <w:tcW w:w="0" w:type="auto"/>
            <w:shd w:val="clear" w:color="auto" w:fill="auto"/>
            <w:vAlign w:val="center"/>
          </w:tcPr>
          <w:p w14:paraId="091F07C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0.051</w:t>
            </w:r>
          </w:p>
        </w:tc>
        <w:tc>
          <w:tcPr>
            <w:tcW w:w="0" w:type="auto"/>
            <w:shd w:val="clear" w:color="auto" w:fill="auto"/>
            <w:vAlign w:val="center"/>
          </w:tcPr>
          <w:p w14:paraId="7693E985">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0.074</w:t>
            </w:r>
          </w:p>
        </w:tc>
        <w:tc>
          <w:tcPr>
            <w:tcW w:w="0" w:type="auto"/>
            <w:shd w:val="clear" w:color="auto" w:fill="auto"/>
            <w:vAlign w:val="center"/>
          </w:tcPr>
          <w:p w14:paraId="14E8011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0.5</w:t>
            </w:r>
          </w:p>
        </w:tc>
        <w:tc>
          <w:tcPr>
            <w:tcW w:w="0" w:type="auto"/>
            <w:shd w:val="clear" w:color="auto" w:fill="auto"/>
            <w:vAlign w:val="center"/>
          </w:tcPr>
          <w:p w14:paraId="2B44DF60">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727F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7DE2B595">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硝酸盐</w:t>
            </w:r>
          </w:p>
        </w:tc>
        <w:tc>
          <w:tcPr>
            <w:tcW w:w="0" w:type="auto"/>
            <w:shd w:val="clear" w:color="auto" w:fill="auto"/>
            <w:vAlign w:val="center"/>
          </w:tcPr>
          <w:p w14:paraId="36F4588D">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0.11</w:t>
            </w:r>
          </w:p>
        </w:tc>
        <w:tc>
          <w:tcPr>
            <w:tcW w:w="0" w:type="auto"/>
            <w:shd w:val="clear" w:color="auto" w:fill="auto"/>
            <w:vAlign w:val="center"/>
          </w:tcPr>
          <w:p w14:paraId="3BBA52E4">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0.10</w:t>
            </w:r>
          </w:p>
        </w:tc>
        <w:tc>
          <w:tcPr>
            <w:tcW w:w="0" w:type="auto"/>
            <w:shd w:val="clear" w:color="auto" w:fill="auto"/>
            <w:vAlign w:val="center"/>
          </w:tcPr>
          <w:p w14:paraId="1C227DDC">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0.13</w:t>
            </w:r>
          </w:p>
        </w:tc>
        <w:tc>
          <w:tcPr>
            <w:tcW w:w="0" w:type="auto"/>
            <w:shd w:val="clear" w:color="auto" w:fill="auto"/>
            <w:vAlign w:val="center"/>
          </w:tcPr>
          <w:p w14:paraId="6A934AD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20</w:t>
            </w:r>
          </w:p>
        </w:tc>
        <w:tc>
          <w:tcPr>
            <w:tcW w:w="0" w:type="auto"/>
            <w:shd w:val="clear" w:color="auto" w:fill="auto"/>
            <w:vAlign w:val="center"/>
          </w:tcPr>
          <w:p w14:paraId="3062D2EC">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7793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5381931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亚硝酸盐</w:t>
            </w:r>
          </w:p>
        </w:tc>
        <w:tc>
          <w:tcPr>
            <w:tcW w:w="0" w:type="auto"/>
            <w:shd w:val="clear" w:color="auto" w:fill="auto"/>
            <w:vAlign w:val="center"/>
          </w:tcPr>
          <w:p w14:paraId="2EE0A880">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0.005</w:t>
            </w:r>
          </w:p>
        </w:tc>
        <w:tc>
          <w:tcPr>
            <w:tcW w:w="0" w:type="auto"/>
            <w:shd w:val="clear" w:color="auto" w:fill="auto"/>
            <w:vAlign w:val="center"/>
          </w:tcPr>
          <w:p w14:paraId="4094B30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0.005</w:t>
            </w:r>
          </w:p>
        </w:tc>
        <w:tc>
          <w:tcPr>
            <w:tcW w:w="0" w:type="auto"/>
            <w:shd w:val="clear" w:color="auto" w:fill="auto"/>
            <w:vAlign w:val="center"/>
          </w:tcPr>
          <w:p w14:paraId="72CEB295">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0.004</w:t>
            </w:r>
          </w:p>
        </w:tc>
        <w:tc>
          <w:tcPr>
            <w:tcW w:w="0" w:type="auto"/>
            <w:shd w:val="clear" w:color="auto" w:fill="auto"/>
            <w:vAlign w:val="center"/>
          </w:tcPr>
          <w:p w14:paraId="4C23F072">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w:t>
            </w:r>
          </w:p>
        </w:tc>
        <w:tc>
          <w:tcPr>
            <w:tcW w:w="0" w:type="auto"/>
            <w:shd w:val="clear" w:color="auto" w:fill="auto"/>
            <w:vAlign w:val="center"/>
          </w:tcPr>
          <w:p w14:paraId="1D3AF155">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15C7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4AD39BC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挥发酚类</w:t>
            </w:r>
          </w:p>
        </w:tc>
        <w:tc>
          <w:tcPr>
            <w:tcW w:w="0" w:type="auto"/>
            <w:shd w:val="clear" w:color="auto" w:fill="auto"/>
            <w:vAlign w:val="center"/>
          </w:tcPr>
          <w:p w14:paraId="122D9468">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0.0015</w:t>
            </w:r>
          </w:p>
        </w:tc>
        <w:tc>
          <w:tcPr>
            <w:tcW w:w="0" w:type="auto"/>
            <w:shd w:val="clear" w:color="auto" w:fill="auto"/>
            <w:vAlign w:val="center"/>
          </w:tcPr>
          <w:p w14:paraId="5425B87C">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0.0015</w:t>
            </w:r>
          </w:p>
        </w:tc>
        <w:tc>
          <w:tcPr>
            <w:tcW w:w="0" w:type="auto"/>
            <w:shd w:val="clear" w:color="auto" w:fill="auto"/>
            <w:vAlign w:val="center"/>
          </w:tcPr>
          <w:p w14:paraId="6D20AD9F">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0.0013</w:t>
            </w:r>
          </w:p>
        </w:tc>
        <w:tc>
          <w:tcPr>
            <w:tcW w:w="0" w:type="auto"/>
            <w:shd w:val="clear" w:color="auto" w:fill="auto"/>
            <w:vAlign w:val="center"/>
          </w:tcPr>
          <w:p w14:paraId="6DC6D6E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0.002</w:t>
            </w:r>
          </w:p>
        </w:tc>
        <w:tc>
          <w:tcPr>
            <w:tcW w:w="0" w:type="auto"/>
            <w:shd w:val="clear" w:color="auto" w:fill="auto"/>
            <w:vAlign w:val="center"/>
          </w:tcPr>
          <w:p w14:paraId="07F8FCCF">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0B78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5118727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溶解性总固体</w:t>
            </w:r>
          </w:p>
        </w:tc>
        <w:tc>
          <w:tcPr>
            <w:tcW w:w="0" w:type="auto"/>
            <w:shd w:val="clear" w:color="auto" w:fill="auto"/>
            <w:vAlign w:val="center"/>
          </w:tcPr>
          <w:p w14:paraId="101B4A04">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17310</w:t>
            </w:r>
          </w:p>
        </w:tc>
        <w:tc>
          <w:tcPr>
            <w:tcW w:w="0" w:type="auto"/>
            <w:shd w:val="clear" w:color="auto" w:fill="auto"/>
            <w:vAlign w:val="center"/>
          </w:tcPr>
          <w:p w14:paraId="569AC6F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12690</w:t>
            </w:r>
          </w:p>
        </w:tc>
        <w:tc>
          <w:tcPr>
            <w:tcW w:w="0" w:type="auto"/>
            <w:shd w:val="clear" w:color="auto" w:fill="auto"/>
            <w:vAlign w:val="center"/>
          </w:tcPr>
          <w:p w14:paraId="205CB82F">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14410</w:t>
            </w:r>
          </w:p>
        </w:tc>
        <w:tc>
          <w:tcPr>
            <w:tcW w:w="0" w:type="auto"/>
            <w:shd w:val="clear" w:color="auto" w:fill="auto"/>
            <w:vAlign w:val="center"/>
          </w:tcPr>
          <w:p w14:paraId="06B10ACF">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1000</w:t>
            </w:r>
          </w:p>
        </w:tc>
        <w:tc>
          <w:tcPr>
            <w:tcW w:w="0" w:type="auto"/>
            <w:shd w:val="clear" w:color="auto" w:fill="auto"/>
            <w:vAlign w:val="center"/>
          </w:tcPr>
          <w:p w14:paraId="3386FE61">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16.31</w:t>
            </w:r>
          </w:p>
        </w:tc>
      </w:tr>
      <w:tr w14:paraId="2DC6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4F9D80F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镉</w:t>
            </w:r>
          </w:p>
        </w:tc>
        <w:tc>
          <w:tcPr>
            <w:tcW w:w="0" w:type="auto"/>
            <w:shd w:val="clear" w:color="auto" w:fill="auto"/>
            <w:vAlign w:val="center"/>
          </w:tcPr>
          <w:p w14:paraId="16826900">
            <w:pPr>
              <w:keepNext w:val="0"/>
              <w:keepLines w:val="0"/>
              <w:pageBreakBefore w:val="0"/>
              <w:widowControl w:val="0"/>
              <w:kinsoku/>
              <w:wordWrap/>
              <w:overflowPunct/>
              <w:topLinePunct w:val="0"/>
              <w:bidi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49469AFE">
            <w:pPr>
              <w:keepNext w:val="0"/>
              <w:keepLines w:val="0"/>
              <w:pageBreakBefore w:val="0"/>
              <w:widowControl w:val="0"/>
              <w:kinsoku/>
              <w:wordWrap/>
              <w:overflowPunct/>
              <w:topLinePunct w:val="0"/>
              <w:bidi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356D5DCF">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2CBBA31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0.005</w:t>
            </w:r>
          </w:p>
        </w:tc>
        <w:tc>
          <w:tcPr>
            <w:tcW w:w="0" w:type="auto"/>
            <w:shd w:val="clear" w:color="auto" w:fill="auto"/>
            <w:vAlign w:val="center"/>
          </w:tcPr>
          <w:p w14:paraId="04978A8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7E67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06B405A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六价铬</w:t>
            </w:r>
          </w:p>
        </w:tc>
        <w:tc>
          <w:tcPr>
            <w:tcW w:w="0" w:type="auto"/>
            <w:shd w:val="clear" w:color="auto" w:fill="auto"/>
            <w:vAlign w:val="center"/>
          </w:tcPr>
          <w:p w14:paraId="0658D322">
            <w:pPr>
              <w:keepNext w:val="0"/>
              <w:keepLines w:val="0"/>
              <w:pageBreakBefore w:val="0"/>
              <w:widowControl w:val="0"/>
              <w:kinsoku/>
              <w:wordWrap/>
              <w:overflowPunct/>
              <w:topLinePunct w:val="0"/>
              <w:bidi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3FB67527">
            <w:pPr>
              <w:keepNext w:val="0"/>
              <w:keepLines w:val="0"/>
              <w:pageBreakBefore w:val="0"/>
              <w:widowControl w:val="0"/>
              <w:kinsoku/>
              <w:wordWrap/>
              <w:overflowPunct/>
              <w:topLinePunct w:val="0"/>
              <w:bidi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2DDA4098">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06EAE5B0">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0.05</w:t>
            </w:r>
          </w:p>
        </w:tc>
        <w:tc>
          <w:tcPr>
            <w:tcW w:w="0" w:type="auto"/>
            <w:shd w:val="clear" w:color="auto" w:fill="auto"/>
            <w:vAlign w:val="center"/>
          </w:tcPr>
          <w:p w14:paraId="02640D25">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6793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3C6FAF2A">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汞</w:t>
            </w:r>
          </w:p>
        </w:tc>
        <w:tc>
          <w:tcPr>
            <w:tcW w:w="0" w:type="auto"/>
            <w:shd w:val="clear" w:color="auto" w:fill="auto"/>
            <w:vAlign w:val="center"/>
          </w:tcPr>
          <w:p w14:paraId="08F1EB85">
            <w:pPr>
              <w:keepNext w:val="0"/>
              <w:keepLines w:val="0"/>
              <w:pageBreakBefore w:val="0"/>
              <w:widowControl w:val="0"/>
              <w:kinsoku/>
              <w:wordWrap/>
              <w:overflowPunct/>
              <w:topLinePunct w:val="0"/>
              <w:bidi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2FE67E36">
            <w:pPr>
              <w:keepNext w:val="0"/>
              <w:keepLines w:val="0"/>
              <w:pageBreakBefore w:val="0"/>
              <w:widowControl w:val="0"/>
              <w:kinsoku/>
              <w:wordWrap/>
              <w:overflowPunct/>
              <w:topLinePunct w:val="0"/>
              <w:bidi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6A1E7B62">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788EF5B2">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0.001</w:t>
            </w:r>
          </w:p>
        </w:tc>
        <w:tc>
          <w:tcPr>
            <w:tcW w:w="0" w:type="auto"/>
            <w:shd w:val="clear" w:color="auto" w:fill="auto"/>
            <w:vAlign w:val="center"/>
          </w:tcPr>
          <w:p w14:paraId="3AFCB27A">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534B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268EB05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砷</w:t>
            </w:r>
          </w:p>
        </w:tc>
        <w:tc>
          <w:tcPr>
            <w:tcW w:w="0" w:type="auto"/>
            <w:shd w:val="clear" w:color="auto" w:fill="auto"/>
            <w:vAlign w:val="center"/>
          </w:tcPr>
          <w:p w14:paraId="5C372CC9">
            <w:pPr>
              <w:keepNext w:val="0"/>
              <w:keepLines w:val="0"/>
              <w:pageBreakBefore w:val="0"/>
              <w:widowControl w:val="0"/>
              <w:kinsoku/>
              <w:wordWrap/>
              <w:overflowPunct/>
              <w:topLinePunct w:val="0"/>
              <w:bidi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71FB42C8">
            <w:pPr>
              <w:keepNext w:val="0"/>
              <w:keepLines w:val="0"/>
              <w:pageBreakBefore w:val="0"/>
              <w:widowControl w:val="0"/>
              <w:kinsoku/>
              <w:wordWrap/>
              <w:overflowPunct/>
              <w:topLinePunct w:val="0"/>
              <w:bidi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4B40F847">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3E30663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0.01</w:t>
            </w:r>
          </w:p>
        </w:tc>
        <w:tc>
          <w:tcPr>
            <w:tcW w:w="0" w:type="auto"/>
            <w:shd w:val="clear" w:color="auto" w:fill="auto"/>
            <w:vAlign w:val="center"/>
          </w:tcPr>
          <w:p w14:paraId="1B7CE2D1">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40F3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4240BA4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总硬度</w:t>
            </w:r>
          </w:p>
        </w:tc>
        <w:tc>
          <w:tcPr>
            <w:tcW w:w="0" w:type="auto"/>
            <w:shd w:val="clear" w:color="auto" w:fill="auto"/>
            <w:vAlign w:val="center"/>
          </w:tcPr>
          <w:p w14:paraId="07C74EDD">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3740</w:t>
            </w:r>
          </w:p>
        </w:tc>
        <w:tc>
          <w:tcPr>
            <w:tcW w:w="0" w:type="auto"/>
            <w:shd w:val="clear" w:color="auto" w:fill="auto"/>
            <w:vAlign w:val="center"/>
          </w:tcPr>
          <w:p w14:paraId="36B4966F">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2880</w:t>
            </w:r>
          </w:p>
        </w:tc>
        <w:tc>
          <w:tcPr>
            <w:tcW w:w="0" w:type="auto"/>
            <w:shd w:val="clear" w:color="auto" w:fill="auto"/>
            <w:vAlign w:val="center"/>
          </w:tcPr>
          <w:p w14:paraId="3A754557">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2850</w:t>
            </w:r>
          </w:p>
        </w:tc>
        <w:tc>
          <w:tcPr>
            <w:tcW w:w="0" w:type="auto"/>
            <w:shd w:val="clear" w:color="auto" w:fill="auto"/>
            <w:vAlign w:val="center"/>
          </w:tcPr>
          <w:p w14:paraId="74154E1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450</w:t>
            </w:r>
          </w:p>
        </w:tc>
        <w:tc>
          <w:tcPr>
            <w:tcW w:w="0" w:type="auto"/>
            <w:shd w:val="clear" w:color="auto" w:fill="auto"/>
            <w:vAlign w:val="center"/>
          </w:tcPr>
          <w:p w14:paraId="08322CE7">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13.96</w:t>
            </w:r>
          </w:p>
        </w:tc>
      </w:tr>
      <w:tr w14:paraId="1CBD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51209C5C">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Ca</w:t>
            </w:r>
            <w:r>
              <w:rPr>
                <w:rFonts w:hint="default" w:ascii="Times New Roman" w:hAnsi="Times New Roman" w:eastAsia="宋体" w:cs="Times New Roman"/>
                <w:color w:val="auto"/>
                <w:sz w:val="21"/>
                <w:szCs w:val="21"/>
                <w:vertAlign w:val="superscript"/>
              </w:rPr>
              <w:t>2+</w:t>
            </w:r>
          </w:p>
        </w:tc>
        <w:tc>
          <w:tcPr>
            <w:tcW w:w="0" w:type="auto"/>
            <w:shd w:val="clear" w:color="auto" w:fill="auto"/>
            <w:vAlign w:val="center"/>
          </w:tcPr>
          <w:p w14:paraId="6BEB8EBE">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1390</w:t>
            </w:r>
          </w:p>
        </w:tc>
        <w:tc>
          <w:tcPr>
            <w:tcW w:w="0" w:type="auto"/>
            <w:shd w:val="clear" w:color="auto" w:fill="auto"/>
            <w:vAlign w:val="center"/>
          </w:tcPr>
          <w:p w14:paraId="7C0C4F10">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1060</w:t>
            </w:r>
          </w:p>
        </w:tc>
        <w:tc>
          <w:tcPr>
            <w:tcW w:w="0" w:type="auto"/>
            <w:shd w:val="clear" w:color="auto" w:fill="auto"/>
            <w:vAlign w:val="center"/>
          </w:tcPr>
          <w:p w14:paraId="22F7614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1120</w:t>
            </w:r>
          </w:p>
        </w:tc>
        <w:tc>
          <w:tcPr>
            <w:tcW w:w="0" w:type="auto"/>
            <w:shd w:val="clear" w:color="auto" w:fill="auto"/>
            <w:vAlign w:val="center"/>
          </w:tcPr>
          <w:p w14:paraId="179DA4D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50372D85">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5F86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5172B04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vertAlign w:val="superscript"/>
              </w:rPr>
              <w:t>2+</w:t>
            </w:r>
          </w:p>
        </w:tc>
        <w:tc>
          <w:tcPr>
            <w:tcW w:w="0" w:type="auto"/>
            <w:shd w:val="clear" w:color="auto" w:fill="auto"/>
            <w:vAlign w:val="center"/>
          </w:tcPr>
          <w:p w14:paraId="39B261A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0.40</w:t>
            </w:r>
          </w:p>
        </w:tc>
        <w:tc>
          <w:tcPr>
            <w:tcW w:w="0" w:type="auto"/>
            <w:shd w:val="clear" w:color="auto" w:fill="auto"/>
            <w:vAlign w:val="center"/>
          </w:tcPr>
          <w:p w14:paraId="23768D19">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0.70</w:t>
            </w:r>
          </w:p>
        </w:tc>
        <w:tc>
          <w:tcPr>
            <w:tcW w:w="0" w:type="auto"/>
            <w:shd w:val="clear" w:color="auto" w:fill="auto"/>
            <w:vAlign w:val="center"/>
          </w:tcPr>
          <w:p w14:paraId="5C15B63F">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4.30</w:t>
            </w:r>
          </w:p>
        </w:tc>
        <w:tc>
          <w:tcPr>
            <w:tcW w:w="0" w:type="auto"/>
            <w:shd w:val="clear" w:color="auto" w:fill="auto"/>
            <w:vAlign w:val="center"/>
          </w:tcPr>
          <w:p w14:paraId="0A32E442">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55E27912">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1665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61008CAB">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K</w:t>
            </w:r>
            <w:r>
              <w:rPr>
                <w:rFonts w:hint="default" w:ascii="Times New Roman" w:hAnsi="Times New Roman" w:eastAsia="宋体" w:cs="Times New Roman"/>
                <w:color w:val="auto"/>
                <w:sz w:val="21"/>
                <w:szCs w:val="21"/>
                <w:vertAlign w:val="superscript"/>
              </w:rPr>
              <w:t>+</w:t>
            </w:r>
          </w:p>
        </w:tc>
        <w:tc>
          <w:tcPr>
            <w:tcW w:w="0" w:type="auto"/>
            <w:shd w:val="clear" w:color="auto" w:fill="auto"/>
            <w:vAlign w:val="center"/>
          </w:tcPr>
          <w:p w14:paraId="70734B6F">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11.5</w:t>
            </w:r>
          </w:p>
        </w:tc>
        <w:tc>
          <w:tcPr>
            <w:tcW w:w="0" w:type="auto"/>
            <w:shd w:val="clear" w:color="auto" w:fill="auto"/>
            <w:vAlign w:val="center"/>
          </w:tcPr>
          <w:p w14:paraId="65C2D244">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13.1</w:t>
            </w:r>
          </w:p>
        </w:tc>
        <w:tc>
          <w:tcPr>
            <w:tcW w:w="0" w:type="auto"/>
            <w:shd w:val="clear" w:color="auto" w:fill="auto"/>
            <w:vAlign w:val="center"/>
          </w:tcPr>
          <w:p w14:paraId="3394E71C">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11.9</w:t>
            </w:r>
          </w:p>
        </w:tc>
        <w:tc>
          <w:tcPr>
            <w:tcW w:w="0" w:type="auto"/>
            <w:shd w:val="clear" w:color="auto" w:fill="auto"/>
            <w:vAlign w:val="center"/>
          </w:tcPr>
          <w:p w14:paraId="710A742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65524239">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76E1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16B4A90D">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z w:val="21"/>
                <w:szCs w:val="21"/>
                <w:vertAlign w:val="superscript"/>
              </w:rPr>
              <w:t>+</w:t>
            </w:r>
          </w:p>
        </w:tc>
        <w:tc>
          <w:tcPr>
            <w:tcW w:w="0" w:type="auto"/>
            <w:shd w:val="clear" w:color="auto" w:fill="auto"/>
            <w:vAlign w:val="center"/>
          </w:tcPr>
          <w:p w14:paraId="603222A4">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5480</w:t>
            </w:r>
          </w:p>
        </w:tc>
        <w:tc>
          <w:tcPr>
            <w:tcW w:w="0" w:type="auto"/>
            <w:shd w:val="clear" w:color="auto" w:fill="auto"/>
            <w:vAlign w:val="center"/>
          </w:tcPr>
          <w:p w14:paraId="748FD34E">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4050</w:t>
            </w:r>
          </w:p>
        </w:tc>
        <w:tc>
          <w:tcPr>
            <w:tcW w:w="0" w:type="auto"/>
            <w:shd w:val="clear" w:color="auto" w:fill="auto"/>
            <w:vAlign w:val="center"/>
          </w:tcPr>
          <w:p w14:paraId="00B338B4">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4500</w:t>
            </w:r>
          </w:p>
        </w:tc>
        <w:tc>
          <w:tcPr>
            <w:tcW w:w="0" w:type="auto"/>
            <w:shd w:val="clear" w:color="auto" w:fill="auto"/>
            <w:vAlign w:val="center"/>
          </w:tcPr>
          <w:p w14:paraId="1292205F">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200</w:t>
            </w:r>
          </w:p>
        </w:tc>
        <w:tc>
          <w:tcPr>
            <w:tcW w:w="0" w:type="auto"/>
            <w:shd w:val="clear" w:color="auto" w:fill="auto"/>
            <w:vAlign w:val="center"/>
          </w:tcPr>
          <w:p w14:paraId="41724300">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26.4</w:t>
            </w:r>
          </w:p>
        </w:tc>
      </w:tr>
      <w:tr w14:paraId="20A7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41F97FAC">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p>
        </w:tc>
        <w:tc>
          <w:tcPr>
            <w:tcW w:w="0" w:type="auto"/>
            <w:shd w:val="clear" w:color="auto" w:fill="auto"/>
            <w:vAlign w:val="center"/>
          </w:tcPr>
          <w:p w14:paraId="52CD0618">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0.00</w:t>
            </w:r>
          </w:p>
        </w:tc>
        <w:tc>
          <w:tcPr>
            <w:tcW w:w="0" w:type="auto"/>
            <w:shd w:val="clear" w:color="auto" w:fill="auto"/>
            <w:vAlign w:val="center"/>
          </w:tcPr>
          <w:p w14:paraId="0DF874B0">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4.07</w:t>
            </w:r>
          </w:p>
        </w:tc>
        <w:tc>
          <w:tcPr>
            <w:tcW w:w="0" w:type="auto"/>
            <w:shd w:val="clear" w:color="auto" w:fill="auto"/>
            <w:vAlign w:val="center"/>
          </w:tcPr>
          <w:p w14:paraId="001F4DB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4.07</w:t>
            </w:r>
          </w:p>
        </w:tc>
        <w:tc>
          <w:tcPr>
            <w:tcW w:w="0" w:type="auto"/>
            <w:shd w:val="clear" w:color="auto" w:fill="auto"/>
            <w:vAlign w:val="center"/>
          </w:tcPr>
          <w:p w14:paraId="0A25BF02">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3A5655A1">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69A7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441975C4">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w:t>
            </w:r>
          </w:p>
        </w:tc>
        <w:tc>
          <w:tcPr>
            <w:tcW w:w="0" w:type="auto"/>
            <w:shd w:val="clear" w:color="auto" w:fill="auto"/>
            <w:vAlign w:val="center"/>
          </w:tcPr>
          <w:p w14:paraId="20B8E912">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31.0</w:t>
            </w:r>
          </w:p>
        </w:tc>
        <w:tc>
          <w:tcPr>
            <w:tcW w:w="0" w:type="auto"/>
            <w:shd w:val="clear" w:color="auto" w:fill="auto"/>
            <w:vAlign w:val="center"/>
          </w:tcPr>
          <w:p w14:paraId="731F2F0C">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27.9</w:t>
            </w:r>
          </w:p>
        </w:tc>
        <w:tc>
          <w:tcPr>
            <w:tcW w:w="0" w:type="auto"/>
            <w:shd w:val="clear" w:color="auto" w:fill="auto"/>
            <w:vAlign w:val="center"/>
          </w:tcPr>
          <w:p w14:paraId="32A3545E">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32.2</w:t>
            </w:r>
          </w:p>
        </w:tc>
        <w:tc>
          <w:tcPr>
            <w:tcW w:w="0" w:type="auto"/>
            <w:shd w:val="clear" w:color="auto" w:fill="auto"/>
            <w:vAlign w:val="center"/>
          </w:tcPr>
          <w:p w14:paraId="75C1FBE5">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1685F83D">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67A5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0B3D7A3F">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p>
        </w:tc>
        <w:tc>
          <w:tcPr>
            <w:tcW w:w="0" w:type="auto"/>
            <w:shd w:val="clear" w:color="auto" w:fill="auto"/>
            <w:vAlign w:val="center"/>
          </w:tcPr>
          <w:p w14:paraId="66A66F26">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1260</w:t>
            </w:r>
          </w:p>
        </w:tc>
        <w:tc>
          <w:tcPr>
            <w:tcW w:w="0" w:type="auto"/>
            <w:shd w:val="clear" w:color="auto" w:fill="auto"/>
            <w:vAlign w:val="center"/>
          </w:tcPr>
          <w:p w14:paraId="6D6BB7AD">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1130</w:t>
            </w:r>
          </w:p>
        </w:tc>
        <w:tc>
          <w:tcPr>
            <w:tcW w:w="0" w:type="auto"/>
            <w:shd w:val="clear" w:color="auto" w:fill="auto"/>
            <w:vAlign w:val="center"/>
          </w:tcPr>
          <w:p w14:paraId="3929A678">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1200</w:t>
            </w:r>
          </w:p>
        </w:tc>
        <w:tc>
          <w:tcPr>
            <w:tcW w:w="0" w:type="auto"/>
            <w:shd w:val="clear" w:color="auto" w:fill="auto"/>
            <w:vAlign w:val="center"/>
          </w:tcPr>
          <w:p w14:paraId="08F9C7A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250</w:t>
            </w:r>
          </w:p>
        </w:tc>
        <w:tc>
          <w:tcPr>
            <w:tcW w:w="0" w:type="auto"/>
            <w:shd w:val="clear" w:color="auto" w:fill="auto"/>
            <w:vAlign w:val="center"/>
          </w:tcPr>
          <w:p w14:paraId="1840D5DA">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4.04</w:t>
            </w:r>
          </w:p>
        </w:tc>
      </w:tr>
      <w:tr w14:paraId="35D7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46ECCC61">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p>
        </w:tc>
        <w:tc>
          <w:tcPr>
            <w:tcW w:w="0" w:type="auto"/>
            <w:shd w:val="clear" w:color="auto" w:fill="auto"/>
            <w:vAlign w:val="center"/>
          </w:tcPr>
          <w:p w14:paraId="2864993E">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9140</w:t>
            </w:r>
          </w:p>
        </w:tc>
        <w:tc>
          <w:tcPr>
            <w:tcW w:w="0" w:type="auto"/>
            <w:shd w:val="clear" w:color="auto" w:fill="auto"/>
            <w:vAlign w:val="center"/>
          </w:tcPr>
          <w:p w14:paraId="00B7912A">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6320</w:t>
            </w:r>
          </w:p>
        </w:tc>
        <w:tc>
          <w:tcPr>
            <w:tcW w:w="0" w:type="auto"/>
            <w:shd w:val="clear" w:color="auto" w:fill="auto"/>
            <w:vAlign w:val="center"/>
          </w:tcPr>
          <w:p w14:paraId="0ECE0EE5">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6920</w:t>
            </w:r>
          </w:p>
        </w:tc>
        <w:tc>
          <w:tcPr>
            <w:tcW w:w="0" w:type="auto"/>
            <w:shd w:val="clear" w:color="auto" w:fill="auto"/>
            <w:vAlign w:val="center"/>
          </w:tcPr>
          <w:p w14:paraId="72654050">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250</w:t>
            </w:r>
          </w:p>
        </w:tc>
        <w:tc>
          <w:tcPr>
            <w:tcW w:w="0" w:type="auto"/>
            <w:shd w:val="clear" w:color="auto" w:fill="auto"/>
            <w:vAlign w:val="center"/>
          </w:tcPr>
          <w:p w14:paraId="2FF6E245">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35.56</w:t>
            </w:r>
          </w:p>
        </w:tc>
      </w:tr>
      <w:tr w14:paraId="733A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36884E79">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氰化物</w:t>
            </w:r>
          </w:p>
        </w:tc>
        <w:tc>
          <w:tcPr>
            <w:tcW w:w="0" w:type="auto"/>
            <w:shd w:val="clear" w:color="auto" w:fill="auto"/>
            <w:vAlign w:val="center"/>
          </w:tcPr>
          <w:p w14:paraId="31017346">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23A01968">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24C7552E">
            <w:pPr>
              <w:pStyle w:val="42"/>
              <w:keepNext w:val="0"/>
              <w:keepLines w:val="0"/>
              <w:pageBreakBefore w:val="0"/>
              <w:widowControl w:val="0"/>
              <w:kinsoku/>
              <w:wordWrap/>
              <w:overflowPunct/>
              <w:topLinePunct w:val="0"/>
              <w:bidi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0" w:type="auto"/>
            <w:shd w:val="clear" w:color="auto" w:fill="auto"/>
            <w:vAlign w:val="center"/>
          </w:tcPr>
          <w:p w14:paraId="69EB604E">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0.05</w:t>
            </w:r>
          </w:p>
        </w:tc>
        <w:tc>
          <w:tcPr>
            <w:tcW w:w="0" w:type="auto"/>
            <w:shd w:val="clear" w:color="auto" w:fill="auto"/>
            <w:vAlign w:val="center"/>
          </w:tcPr>
          <w:p w14:paraId="7C5E9A89">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61B7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7D9C745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氟化物</w:t>
            </w:r>
          </w:p>
        </w:tc>
        <w:tc>
          <w:tcPr>
            <w:tcW w:w="0" w:type="auto"/>
            <w:shd w:val="clear" w:color="auto" w:fill="auto"/>
            <w:vAlign w:val="center"/>
          </w:tcPr>
          <w:p w14:paraId="38A5AA2C">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0.95</w:t>
            </w:r>
          </w:p>
        </w:tc>
        <w:tc>
          <w:tcPr>
            <w:tcW w:w="0" w:type="auto"/>
            <w:shd w:val="clear" w:color="auto" w:fill="auto"/>
            <w:vAlign w:val="center"/>
          </w:tcPr>
          <w:p w14:paraId="719D8B08">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0.93</w:t>
            </w:r>
          </w:p>
        </w:tc>
        <w:tc>
          <w:tcPr>
            <w:tcW w:w="0" w:type="auto"/>
            <w:shd w:val="clear" w:color="auto" w:fill="auto"/>
            <w:vAlign w:val="center"/>
          </w:tcPr>
          <w:p w14:paraId="7A2E2A7C">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0.87</w:t>
            </w:r>
          </w:p>
        </w:tc>
        <w:tc>
          <w:tcPr>
            <w:tcW w:w="0" w:type="auto"/>
            <w:shd w:val="clear" w:color="auto" w:fill="auto"/>
            <w:vAlign w:val="center"/>
          </w:tcPr>
          <w:p w14:paraId="20DCF193">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w:t>
            </w:r>
          </w:p>
        </w:tc>
        <w:tc>
          <w:tcPr>
            <w:tcW w:w="0" w:type="auto"/>
            <w:shd w:val="clear" w:color="auto" w:fill="auto"/>
            <w:vAlign w:val="center"/>
          </w:tcPr>
          <w:p w14:paraId="5DB79850">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5936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0" w:type="auto"/>
            <w:shd w:val="clear" w:color="auto" w:fill="auto"/>
            <w:vAlign w:val="center"/>
          </w:tcPr>
          <w:p w14:paraId="42C2D6CA">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石油类</w:t>
            </w:r>
          </w:p>
        </w:tc>
        <w:tc>
          <w:tcPr>
            <w:tcW w:w="0" w:type="auto"/>
            <w:shd w:val="clear" w:color="auto" w:fill="auto"/>
            <w:vAlign w:val="center"/>
          </w:tcPr>
          <w:p w14:paraId="5EAE0723">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0.02</w:t>
            </w:r>
          </w:p>
        </w:tc>
        <w:tc>
          <w:tcPr>
            <w:tcW w:w="0" w:type="auto"/>
            <w:shd w:val="clear" w:color="auto" w:fill="auto"/>
            <w:vAlign w:val="center"/>
          </w:tcPr>
          <w:p w14:paraId="2ED5FAFE">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0.04</w:t>
            </w:r>
          </w:p>
        </w:tc>
        <w:tc>
          <w:tcPr>
            <w:tcW w:w="0" w:type="auto"/>
            <w:shd w:val="clear" w:color="auto" w:fill="auto"/>
            <w:vAlign w:val="center"/>
          </w:tcPr>
          <w:p w14:paraId="386852E1">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0.02</w:t>
            </w:r>
          </w:p>
        </w:tc>
        <w:tc>
          <w:tcPr>
            <w:tcW w:w="0" w:type="auto"/>
            <w:shd w:val="clear" w:color="auto" w:fill="auto"/>
            <w:vAlign w:val="center"/>
          </w:tcPr>
          <w:p w14:paraId="6ECF2F27">
            <w:pPr>
              <w:pStyle w:val="42"/>
              <w:keepNext w:val="0"/>
              <w:keepLines w:val="0"/>
              <w:pageBreakBefore w:val="0"/>
              <w:widowControl w:val="0"/>
              <w:kinsoku/>
              <w:wordWrap/>
              <w:overflowPunct/>
              <w:topLinePunct w:val="0"/>
              <w:bidi w:val="0"/>
              <w:spacing w:line="300" w:lineRule="exac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0.05</w:t>
            </w:r>
          </w:p>
        </w:tc>
        <w:tc>
          <w:tcPr>
            <w:tcW w:w="0" w:type="auto"/>
            <w:shd w:val="clear" w:color="auto" w:fill="auto"/>
            <w:vAlign w:val="center"/>
          </w:tcPr>
          <w:p w14:paraId="6EA693DD">
            <w:pPr>
              <w:pStyle w:val="42"/>
              <w:keepNext w:val="0"/>
              <w:keepLines w:val="0"/>
              <w:pageBreakBefore w:val="0"/>
              <w:widowControl w:val="0"/>
              <w:kinsoku/>
              <w:wordWrap/>
              <w:overflowPunct/>
              <w:topLinePunct w:val="0"/>
              <w:bidi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bl>
    <w:p w14:paraId="2BA0E74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由以上监测数据可知，油区地下水水质总体比较稳定，除个别监测点硫酸根离子、氯离子、钠离子指标、总硬度、溶解性总固体超标外，其他指标</w:t>
      </w:r>
      <w:r>
        <w:rPr>
          <w:rFonts w:ascii="Times New Roman" w:hAnsi="Times New Roman" w:eastAsia="宋体"/>
          <w:color w:val="auto"/>
          <w:sz w:val="24"/>
          <w:szCs w:val="24"/>
        </w:rPr>
        <w:t>均满足《地下水质量标准》（GB/T14848-2017）Ⅲ类标准</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石油类、汞、砷、六价铬等</w:t>
      </w:r>
      <w:r>
        <w:rPr>
          <w:rFonts w:ascii="Times New Roman" w:hAnsi="Times New Roman" w:eastAsia="宋体"/>
          <w:color w:val="auto"/>
          <w:sz w:val="24"/>
          <w:szCs w:val="24"/>
        </w:rPr>
        <w:t>油田开发的特征因子检出结果相差不大</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表明区域地下水水质未见明显恶化趋势。</w:t>
      </w:r>
    </w:p>
    <w:p w14:paraId="3953EFDE">
      <w:pPr>
        <w:pStyle w:val="33"/>
        <w:bidi w:val="0"/>
        <w:rPr>
          <w:rFonts w:hint="default"/>
          <w:color w:val="auto"/>
          <w:lang w:val="en-US" w:eastAsia="zh-CN"/>
        </w:rPr>
      </w:pPr>
      <w:r>
        <w:rPr>
          <w:rFonts w:hint="eastAsia"/>
          <w:color w:val="auto"/>
          <w:lang w:val="en-US" w:eastAsia="zh-CN"/>
        </w:rPr>
        <w:t>6、土壤</w:t>
      </w:r>
    </w:p>
    <w:p w14:paraId="5A40553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百口泉</w:t>
      </w:r>
      <w:r>
        <w:rPr>
          <w:rFonts w:ascii="Times New Roman" w:hAnsi="Times New Roman" w:eastAsia="宋体"/>
          <w:color w:val="auto"/>
          <w:sz w:val="24"/>
          <w:szCs w:val="24"/>
        </w:rPr>
        <w:t>采油厂历年开发范围基本一致，历年产建</w:t>
      </w:r>
      <w:r>
        <w:rPr>
          <w:rFonts w:hint="eastAsia" w:ascii="Times New Roman" w:hAnsi="Times New Roman" w:eastAsia="宋体"/>
          <w:color w:val="auto"/>
          <w:sz w:val="24"/>
          <w:szCs w:val="24"/>
          <w:lang w:val="en-US" w:eastAsia="zh-CN"/>
        </w:rPr>
        <w:t>验收</w:t>
      </w:r>
      <w:r>
        <w:rPr>
          <w:rFonts w:ascii="Times New Roman" w:hAnsi="Times New Roman" w:eastAsia="宋体"/>
          <w:color w:val="auto"/>
          <w:sz w:val="24"/>
          <w:szCs w:val="24"/>
        </w:rPr>
        <w:t>阶段的土壤环境现状监测对现有工程污染装置区土壤及井场、站场厂界外土壤都有监测，</w:t>
      </w:r>
      <w:r>
        <w:rPr>
          <w:rFonts w:hint="eastAsia" w:ascii="Times New Roman" w:hAnsi="Times New Roman" w:eastAsia="宋体"/>
          <w:color w:val="auto"/>
          <w:sz w:val="24"/>
          <w:szCs w:val="24"/>
          <w:lang w:val="en-US" w:eastAsia="zh-CN"/>
        </w:rPr>
        <w:t>本次评价选取部分土壤监测点监测数据进行分析，见表3.1-1</w:t>
      </w:r>
      <w:r>
        <w:rPr>
          <w:rFonts w:hint="eastAsia"/>
          <w:color w:val="auto"/>
          <w:sz w:val="24"/>
          <w:szCs w:val="24"/>
          <w:lang w:val="en-US" w:eastAsia="zh-CN"/>
        </w:rPr>
        <w:t>7</w:t>
      </w:r>
      <w:r>
        <w:rPr>
          <w:rFonts w:hint="eastAsia" w:ascii="Times New Roman" w:hAnsi="Times New Roman" w:eastAsia="宋体"/>
          <w:color w:val="auto"/>
          <w:sz w:val="24"/>
          <w:szCs w:val="24"/>
          <w:lang w:val="en-US" w:eastAsia="zh-CN"/>
        </w:rPr>
        <w:t>。</w:t>
      </w:r>
    </w:p>
    <w:p w14:paraId="6477019B">
      <w:pPr>
        <w:pStyle w:val="43"/>
        <w:bidi w:val="0"/>
        <w:rPr>
          <w:rFonts w:hint="eastAsia" w:eastAsia="宋体" w:cs="Times New Roman"/>
          <w:color w:val="auto"/>
          <w:lang w:val="en-US" w:eastAsia="zh-CN"/>
        </w:rPr>
      </w:pPr>
      <w:bookmarkStart w:id="154" w:name="_Ref3011"/>
      <w:r>
        <w:rPr>
          <w:color w:val="auto"/>
        </w:rPr>
        <w:t>表</w:t>
      </w:r>
      <w:r>
        <w:rPr>
          <w:color w:val="auto"/>
        </w:rPr>
        <w:fldChar w:fldCharType="begin"/>
      </w:r>
      <w:r>
        <w:rPr>
          <w:color w:val="auto"/>
        </w:rPr>
        <w:instrText xml:space="preserve"> STYLEREF 2 \s </w:instrText>
      </w:r>
      <w:r>
        <w:rPr>
          <w:color w:val="auto"/>
        </w:rPr>
        <w:fldChar w:fldCharType="separate"/>
      </w:r>
      <w:r>
        <w:rPr>
          <w:color w:val="auto"/>
        </w:rPr>
        <w:t>3.</w:t>
      </w:r>
      <w:r>
        <w:rPr>
          <w:rFonts w:hint="eastAsia"/>
          <w:color w:val="auto"/>
          <w:lang w:val="en-US" w:eastAsia="zh-CN"/>
        </w:rPr>
        <w:t>1</w:t>
      </w:r>
      <w:r>
        <w:rPr>
          <w:color w:val="auto"/>
        </w:rPr>
        <w:fldChar w:fldCharType="end"/>
      </w:r>
      <w:r>
        <w:rPr>
          <w:rFonts w:hint="eastAsia"/>
          <w:color w:val="auto"/>
          <w:lang w:eastAsia="zh-CN"/>
        </w:rPr>
        <w:t>-</w:t>
      </w:r>
      <w:bookmarkEnd w:id="154"/>
      <w:r>
        <w:rPr>
          <w:rFonts w:hint="eastAsia"/>
          <w:color w:val="auto"/>
          <w:lang w:val="en-US" w:eastAsia="zh-CN"/>
        </w:rPr>
        <w:t>17</w:t>
      </w:r>
      <w:r>
        <w:rPr>
          <w:rFonts w:cs="Times New Roman"/>
          <w:color w:val="auto"/>
        </w:rPr>
        <w:t xml:space="preserve"> 产能建设项目</w:t>
      </w:r>
      <w:r>
        <w:rPr>
          <w:rFonts w:hint="eastAsia" w:cs="Times New Roman"/>
          <w:color w:val="auto"/>
          <w:lang w:val="en-US" w:eastAsia="zh-CN"/>
        </w:rPr>
        <w:t>验收阶段</w:t>
      </w:r>
      <w:r>
        <w:rPr>
          <w:rFonts w:cs="Times New Roman"/>
          <w:color w:val="auto"/>
          <w:lang w:eastAsia="zh"/>
        </w:rPr>
        <w:t>土壤环境质量监测结果</w:t>
      </w:r>
      <w:r>
        <w:rPr>
          <w:rFonts w:hint="eastAsia" w:cs="Times New Roman"/>
          <w:color w:val="auto"/>
          <w:lang w:eastAsia="zh-CN"/>
        </w:rPr>
        <w:t>（</w:t>
      </w:r>
      <w:r>
        <w:rPr>
          <w:rFonts w:hint="eastAsia" w:cs="Times New Roman"/>
          <w:color w:val="auto"/>
          <w:lang w:val="en-US" w:eastAsia="zh-CN"/>
        </w:rPr>
        <w:t>建设用地</w:t>
      </w:r>
      <w:r>
        <w:rPr>
          <w:rFonts w:hint="eastAsia" w:cs="Times New Roman"/>
          <w:color w:val="auto"/>
          <w:lang w:eastAsia="zh-CN"/>
        </w:rPr>
        <w:t>）</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1" w:type="dxa"/>
          <w:bottom w:w="0" w:type="dxa"/>
          <w:right w:w="51" w:type="dxa"/>
        </w:tblCellMar>
      </w:tblPr>
      <w:tblGrid>
        <w:gridCol w:w="389"/>
        <w:gridCol w:w="2197"/>
        <w:gridCol w:w="735"/>
        <w:gridCol w:w="589"/>
        <w:gridCol w:w="588"/>
        <w:gridCol w:w="614"/>
        <w:gridCol w:w="666"/>
        <w:gridCol w:w="649"/>
        <w:gridCol w:w="727"/>
        <w:gridCol w:w="735"/>
        <w:gridCol w:w="513"/>
      </w:tblGrid>
      <w:tr w14:paraId="4A63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jc w:val="center"/>
        </w:trPr>
        <w:tc>
          <w:tcPr>
            <w:tcW w:w="231" w:type="pct"/>
            <w:vMerge w:val="restart"/>
            <w:shd w:val="clear" w:color="auto" w:fill="auto"/>
            <w:vAlign w:val="center"/>
          </w:tcPr>
          <w:p w14:paraId="5D1B136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区域</w:t>
            </w:r>
          </w:p>
        </w:tc>
        <w:tc>
          <w:tcPr>
            <w:tcW w:w="1307" w:type="pct"/>
            <w:vMerge w:val="restart"/>
            <w:shd w:val="clear" w:color="auto" w:fill="auto"/>
            <w:vAlign w:val="center"/>
          </w:tcPr>
          <w:p w14:paraId="524BAE1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监测点位</w:t>
            </w:r>
          </w:p>
        </w:tc>
        <w:tc>
          <w:tcPr>
            <w:tcW w:w="3460" w:type="pct"/>
            <w:gridSpan w:val="9"/>
            <w:shd w:val="clear" w:color="auto" w:fill="auto"/>
            <w:vAlign w:val="center"/>
          </w:tcPr>
          <w:p w14:paraId="443BFC3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监测结果（mg/kg）</w:t>
            </w:r>
          </w:p>
        </w:tc>
      </w:tr>
      <w:tr w14:paraId="31B7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4E0734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lang w:val="en-US"/>
              </w:rPr>
            </w:pPr>
          </w:p>
        </w:tc>
        <w:tc>
          <w:tcPr>
            <w:tcW w:w="1307" w:type="pct"/>
            <w:vMerge w:val="continue"/>
            <w:shd w:val="clear" w:color="auto" w:fill="auto"/>
            <w:vAlign w:val="center"/>
          </w:tcPr>
          <w:p w14:paraId="3CA20D1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lang w:val="en-US"/>
              </w:rPr>
            </w:pPr>
          </w:p>
        </w:tc>
        <w:tc>
          <w:tcPr>
            <w:tcW w:w="437" w:type="pct"/>
            <w:shd w:val="clear" w:color="auto" w:fill="auto"/>
            <w:vAlign w:val="center"/>
          </w:tcPr>
          <w:p w14:paraId="0381246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铜</w:t>
            </w:r>
          </w:p>
        </w:tc>
        <w:tc>
          <w:tcPr>
            <w:tcW w:w="350" w:type="pct"/>
            <w:shd w:val="clear" w:color="auto" w:fill="auto"/>
            <w:vAlign w:val="center"/>
          </w:tcPr>
          <w:p w14:paraId="37292F6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铅</w:t>
            </w:r>
          </w:p>
        </w:tc>
        <w:tc>
          <w:tcPr>
            <w:tcW w:w="349" w:type="pct"/>
            <w:shd w:val="clear" w:color="auto" w:fill="auto"/>
            <w:vAlign w:val="center"/>
          </w:tcPr>
          <w:p w14:paraId="3DC7163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镉</w:t>
            </w:r>
          </w:p>
        </w:tc>
        <w:tc>
          <w:tcPr>
            <w:tcW w:w="365" w:type="pct"/>
            <w:shd w:val="clear" w:color="auto" w:fill="auto"/>
            <w:vAlign w:val="center"/>
          </w:tcPr>
          <w:p w14:paraId="4F8D774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镍</w:t>
            </w:r>
          </w:p>
        </w:tc>
        <w:tc>
          <w:tcPr>
            <w:tcW w:w="396" w:type="pct"/>
            <w:shd w:val="clear" w:color="auto" w:fill="auto"/>
            <w:vAlign w:val="center"/>
          </w:tcPr>
          <w:p w14:paraId="5014DE3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汞</w:t>
            </w:r>
          </w:p>
        </w:tc>
        <w:tc>
          <w:tcPr>
            <w:tcW w:w="386" w:type="pct"/>
            <w:shd w:val="clear" w:color="auto" w:fill="auto"/>
            <w:vAlign w:val="center"/>
          </w:tcPr>
          <w:p w14:paraId="5ACB139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砷</w:t>
            </w:r>
          </w:p>
        </w:tc>
        <w:tc>
          <w:tcPr>
            <w:tcW w:w="432" w:type="pct"/>
            <w:shd w:val="clear" w:color="auto" w:fill="auto"/>
            <w:vAlign w:val="center"/>
          </w:tcPr>
          <w:p w14:paraId="100E1FA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六价铬</w:t>
            </w:r>
          </w:p>
        </w:tc>
        <w:tc>
          <w:tcPr>
            <w:tcW w:w="437" w:type="pct"/>
            <w:shd w:val="clear" w:color="auto" w:fill="auto"/>
            <w:vAlign w:val="center"/>
          </w:tcPr>
          <w:p w14:paraId="3BB96E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石油烃（C</w:t>
            </w:r>
            <w:r>
              <w:rPr>
                <w:rFonts w:hint="default" w:ascii="Times New Roman" w:hAnsi="Times New Roman" w:eastAsia="宋体" w:cs="Times New Roman"/>
                <w:b/>
                <w:bCs/>
                <w:i w:val="0"/>
                <w:iCs w:val="0"/>
                <w:color w:val="auto"/>
                <w:kern w:val="0"/>
                <w:sz w:val="21"/>
                <w:szCs w:val="21"/>
                <w:u w:val="none"/>
                <w:vertAlign w:val="subscript"/>
                <w:lang w:val="en-US" w:eastAsia="zh-CN" w:bidi="ar"/>
              </w:rPr>
              <w:t>10</w:t>
            </w:r>
            <w:r>
              <w:rPr>
                <w:rFonts w:hint="default" w:ascii="Times New Roman" w:hAnsi="Times New Roman" w:eastAsia="宋体" w:cs="Times New Roman"/>
                <w:b/>
                <w:bCs/>
                <w:i w:val="0"/>
                <w:iCs w:val="0"/>
                <w:color w:val="auto"/>
                <w:kern w:val="0"/>
                <w:sz w:val="21"/>
                <w:szCs w:val="21"/>
                <w:u w:val="none"/>
                <w:lang w:val="en-US" w:eastAsia="zh-CN" w:bidi="ar"/>
              </w:rPr>
              <w:t>~C</w:t>
            </w:r>
            <w:r>
              <w:rPr>
                <w:rFonts w:hint="default" w:ascii="Times New Roman" w:hAnsi="Times New Roman" w:eastAsia="宋体" w:cs="Times New Roman"/>
                <w:b/>
                <w:bCs/>
                <w:i w:val="0"/>
                <w:iCs w:val="0"/>
                <w:color w:val="auto"/>
                <w:kern w:val="0"/>
                <w:sz w:val="21"/>
                <w:szCs w:val="21"/>
                <w:u w:val="none"/>
                <w:vertAlign w:val="subscript"/>
                <w:lang w:val="en-US" w:eastAsia="zh-CN" w:bidi="ar"/>
              </w:rPr>
              <w:t>40</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305" w:type="pct"/>
            <w:shd w:val="clear" w:color="auto" w:fill="auto"/>
            <w:vAlign w:val="center"/>
          </w:tcPr>
          <w:p w14:paraId="51DB8CE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pH</w:t>
            </w:r>
          </w:p>
        </w:tc>
      </w:tr>
      <w:tr w14:paraId="1317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56B34F0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p>
        </w:tc>
        <w:tc>
          <w:tcPr>
            <w:tcW w:w="1307" w:type="pct"/>
            <w:vMerge w:val="continue"/>
            <w:shd w:val="clear" w:color="auto" w:fill="auto"/>
            <w:vAlign w:val="center"/>
          </w:tcPr>
          <w:p w14:paraId="6528DA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p>
        </w:tc>
        <w:tc>
          <w:tcPr>
            <w:tcW w:w="437" w:type="pct"/>
            <w:shd w:val="clear" w:color="auto" w:fill="auto"/>
            <w:vAlign w:val="center"/>
          </w:tcPr>
          <w:p w14:paraId="03889A9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18000</w:t>
            </w:r>
          </w:p>
        </w:tc>
        <w:tc>
          <w:tcPr>
            <w:tcW w:w="350" w:type="pct"/>
            <w:shd w:val="clear" w:color="auto" w:fill="auto"/>
            <w:vAlign w:val="center"/>
          </w:tcPr>
          <w:p w14:paraId="7FA24A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800</w:t>
            </w:r>
          </w:p>
        </w:tc>
        <w:tc>
          <w:tcPr>
            <w:tcW w:w="349" w:type="pct"/>
            <w:shd w:val="clear" w:color="auto" w:fill="auto"/>
            <w:vAlign w:val="center"/>
          </w:tcPr>
          <w:p w14:paraId="70BAE8D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65</w:t>
            </w:r>
          </w:p>
        </w:tc>
        <w:tc>
          <w:tcPr>
            <w:tcW w:w="365" w:type="pct"/>
            <w:shd w:val="clear" w:color="auto" w:fill="auto"/>
            <w:vAlign w:val="center"/>
          </w:tcPr>
          <w:p w14:paraId="7364A8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900</w:t>
            </w:r>
          </w:p>
        </w:tc>
        <w:tc>
          <w:tcPr>
            <w:tcW w:w="396" w:type="pct"/>
            <w:shd w:val="clear" w:color="auto" w:fill="auto"/>
            <w:vAlign w:val="center"/>
          </w:tcPr>
          <w:p w14:paraId="75E634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38</w:t>
            </w:r>
          </w:p>
        </w:tc>
        <w:tc>
          <w:tcPr>
            <w:tcW w:w="386" w:type="pct"/>
            <w:shd w:val="clear" w:color="auto" w:fill="auto"/>
            <w:vAlign w:val="center"/>
          </w:tcPr>
          <w:p w14:paraId="51B5A39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60</w:t>
            </w:r>
          </w:p>
        </w:tc>
        <w:tc>
          <w:tcPr>
            <w:tcW w:w="432" w:type="pct"/>
            <w:shd w:val="clear" w:color="auto" w:fill="auto"/>
            <w:vAlign w:val="center"/>
          </w:tcPr>
          <w:p w14:paraId="5D8FED6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5.7</w:t>
            </w:r>
          </w:p>
        </w:tc>
        <w:tc>
          <w:tcPr>
            <w:tcW w:w="437" w:type="pct"/>
            <w:shd w:val="clear" w:color="auto" w:fill="auto"/>
            <w:vAlign w:val="center"/>
          </w:tcPr>
          <w:p w14:paraId="6BA98FF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4500</w:t>
            </w:r>
          </w:p>
        </w:tc>
        <w:tc>
          <w:tcPr>
            <w:tcW w:w="305" w:type="pct"/>
            <w:shd w:val="clear" w:color="auto" w:fill="auto"/>
            <w:vAlign w:val="center"/>
          </w:tcPr>
          <w:p w14:paraId="41029BC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57E4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restart"/>
            <w:shd w:val="clear" w:color="auto" w:fill="auto"/>
            <w:vAlign w:val="center"/>
          </w:tcPr>
          <w:p w14:paraId="58A434E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玛2井区</w:t>
            </w:r>
          </w:p>
        </w:tc>
        <w:tc>
          <w:tcPr>
            <w:tcW w:w="1307" w:type="pct"/>
            <w:shd w:val="clear" w:color="auto" w:fill="auto"/>
            <w:vAlign w:val="center"/>
          </w:tcPr>
          <w:p w14:paraId="4A4B4FA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MaHW2077井场</w:t>
            </w:r>
          </w:p>
        </w:tc>
        <w:tc>
          <w:tcPr>
            <w:tcW w:w="437" w:type="pct"/>
            <w:shd w:val="clear" w:color="auto" w:fill="auto"/>
            <w:vAlign w:val="center"/>
          </w:tcPr>
          <w:p w14:paraId="1B480AD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52</w:t>
            </w:r>
          </w:p>
        </w:tc>
        <w:tc>
          <w:tcPr>
            <w:tcW w:w="350" w:type="pct"/>
            <w:shd w:val="clear" w:color="auto" w:fill="auto"/>
            <w:vAlign w:val="center"/>
          </w:tcPr>
          <w:p w14:paraId="730F01F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9.3</w:t>
            </w:r>
          </w:p>
        </w:tc>
        <w:tc>
          <w:tcPr>
            <w:tcW w:w="349" w:type="pct"/>
            <w:shd w:val="clear" w:color="auto" w:fill="auto"/>
            <w:vAlign w:val="center"/>
          </w:tcPr>
          <w:p w14:paraId="5A97112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0.45</w:t>
            </w:r>
          </w:p>
        </w:tc>
        <w:tc>
          <w:tcPr>
            <w:tcW w:w="365" w:type="pct"/>
            <w:shd w:val="clear" w:color="auto" w:fill="auto"/>
            <w:vAlign w:val="center"/>
          </w:tcPr>
          <w:p w14:paraId="6811088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54</w:t>
            </w:r>
          </w:p>
        </w:tc>
        <w:tc>
          <w:tcPr>
            <w:tcW w:w="396" w:type="pct"/>
            <w:shd w:val="clear" w:color="auto" w:fill="auto"/>
            <w:vAlign w:val="center"/>
          </w:tcPr>
          <w:p w14:paraId="7CC791A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0.016</w:t>
            </w:r>
          </w:p>
        </w:tc>
        <w:tc>
          <w:tcPr>
            <w:tcW w:w="386" w:type="pct"/>
            <w:shd w:val="clear" w:color="auto" w:fill="auto"/>
            <w:vAlign w:val="center"/>
          </w:tcPr>
          <w:p w14:paraId="5A38D08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15.41</w:t>
            </w:r>
          </w:p>
        </w:tc>
        <w:tc>
          <w:tcPr>
            <w:tcW w:w="432" w:type="pct"/>
            <w:shd w:val="clear" w:color="auto" w:fill="auto"/>
            <w:vAlign w:val="center"/>
          </w:tcPr>
          <w:p w14:paraId="4E78BFD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ND</w:t>
            </w:r>
          </w:p>
        </w:tc>
        <w:tc>
          <w:tcPr>
            <w:tcW w:w="437" w:type="pct"/>
            <w:shd w:val="clear" w:color="auto" w:fill="auto"/>
            <w:vAlign w:val="center"/>
          </w:tcPr>
          <w:p w14:paraId="5AA89C3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45.3</w:t>
            </w:r>
          </w:p>
        </w:tc>
        <w:tc>
          <w:tcPr>
            <w:tcW w:w="305" w:type="pct"/>
            <w:shd w:val="clear" w:color="auto" w:fill="auto"/>
            <w:vAlign w:val="center"/>
          </w:tcPr>
          <w:p w14:paraId="7173DAB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7.14</w:t>
            </w:r>
          </w:p>
        </w:tc>
      </w:tr>
      <w:tr w14:paraId="2126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39A91FF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7009A72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MaHW2077井场外10m</w:t>
            </w:r>
          </w:p>
        </w:tc>
        <w:tc>
          <w:tcPr>
            <w:tcW w:w="437" w:type="pct"/>
            <w:shd w:val="clear" w:color="auto" w:fill="auto"/>
            <w:vAlign w:val="center"/>
          </w:tcPr>
          <w:p w14:paraId="18E8DC5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51</w:t>
            </w:r>
          </w:p>
        </w:tc>
        <w:tc>
          <w:tcPr>
            <w:tcW w:w="350" w:type="pct"/>
            <w:shd w:val="clear" w:color="auto" w:fill="auto"/>
            <w:vAlign w:val="center"/>
          </w:tcPr>
          <w:p w14:paraId="0DC908D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9.2</w:t>
            </w:r>
          </w:p>
        </w:tc>
        <w:tc>
          <w:tcPr>
            <w:tcW w:w="349" w:type="pct"/>
            <w:shd w:val="clear" w:color="auto" w:fill="auto"/>
            <w:vAlign w:val="center"/>
          </w:tcPr>
          <w:p w14:paraId="003B67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0.41</w:t>
            </w:r>
          </w:p>
        </w:tc>
        <w:tc>
          <w:tcPr>
            <w:tcW w:w="365" w:type="pct"/>
            <w:shd w:val="clear" w:color="auto" w:fill="auto"/>
            <w:vAlign w:val="center"/>
          </w:tcPr>
          <w:p w14:paraId="290EF8D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54</w:t>
            </w:r>
          </w:p>
        </w:tc>
        <w:tc>
          <w:tcPr>
            <w:tcW w:w="396" w:type="pct"/>
            <w:shd w:val="clear" w:color="auto" w:fill="auto"/>
            <w:vAlign w:val="center"/>
          </w:tcPr>
          <w:p w14:paraId="64D195F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0.016</w:t>
            </w:r>
          </w:p>
        </w:tc>
        <w:tc>
          <w:tcPr>
            <w:tcW w:w="386" w:type="pct"/>
            <w:shd w:val="clear" w:color="auto" w:fill="auto"/>
            <w:vAlign w:val="center"/>
          </w:tcPr>
          <w:p w14:paraId="11F7871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15.37</w:t>
            </w:r>
          </w:p>
        </w:tc>
        <w:tc>
          <w:tcPr>
            <w:tcW w:w="432" w:type="pct"/>
            <w:shd w:val="clear" w:color="auto" w:fill="auto"/>
            <w:vAlign w:val="center"/>
          </w:tcPr>
          <w:p w14:paraId="687F487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ND</w:t>
            </w:r>
          </w:p>
        </w:tc>
        <w:tc>
          <w:tcPr>
            <w:tcW w:w="437" w:type="pct"/>
            <w:shd w:val="clear" w:color="auto" w:fill="auto"/>
            <w:vAlign w:val="center"/>
          </w:tcPr>
          <w:p w14:paraId="5EA6F0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44.9</w:t>
            </w:r>
          </w:p>
        </w:tc>
        <w:tc>
          <w:tcPr>
            <w:tcW w:w="305" w:type="pct"/>
            <w:shd w:val="clear" w:color="auto" w:fill="auto"/>
            <w:vAlign w:val="center"/>
          </w:tcPr>
          <w:p w14:paraId="71FD1F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7.12</w:t>
            </w:r>
          </w:p>
        </w:tc>
      </w:tr>
      <w:tr w14:paraId="4AF6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26D4D1F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53FAD6A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MaHW2077井场外20m</w:t>
            </w:r>
          </w:p>
        </w:tc>
        <w:tc>
          <w:tcPr>
            <w:tcW w:w="437" w:type="pct"/>
            <w:shd w:val="clear" w:color="auto" w:fill="auto"/>
            <w:vAlign w:val="center"/>
          </w:tcPr>
          <w:p w14:paraId="7EB755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47</w:t>
            </w:r>
          </w:p>
        </w:tc>
        <w:tc>
          <w:tcPr>
            <w:tcW w:w="350" w:type="pct"/>
            <w:shd w:val="clear" w:color="auto" w:fill="auto"/>
            <w:vAlign w:val="center"/>
          </w:tcPr>
          <w:p w14:paraId="284DFBE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8.9</w:t>
            </w:r>
          </w:p>
        </w:tc>
        <w:tc>
          <w:tcPr>
            <w:tcW w:w="349" w:type="pct"/>
            <w:shd w:val="clear" w:color="auto" w:fill="auto"/>
            <w:vAlign w:val="center"/>
          </w:tcPr>
          <w:p w14:paraId="3D8E899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0.41</w:t>
            </w:r>
          </w:p>
        </w:tc>
        <w:tc>
          <w:tcPr>
            <w:tcW w:w="365" w:type="pct"/>
            <w:shd w:val="clear" w:color="auto" w:fill="auto"/>
            <w:vAlign w:val="center"/>
          </w:tcPr>
          <w:p w14:paraId="5CD4F22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50</w:t>
            </w:r>
          </w:p>
        </w:tc>
        <w:tc>
          <w:tcPr>
            <w:tcW w:w="396" w:type="pct"/>
            <w:shd w:val="clear" w:color="auto" w:fill="auto"/>
            <w:vAlign w:val="center"/>
          </w:tcPr>
          <w:p w14:paraId="557A240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0.014</w:t>
            </w:r>
          </w:p>
        </w:tc>
        <w:tc>
          <w:tcPr>
            <w:tcW w:w="386" w:type="pct"/>
            <w:shd w:val="clear" w:color="auto" w:fill="auto"/>
            <w:vAlign w:val="center"/>
          </w:tcPr>
          <w:p w14:paraId="129176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15.33</w:t>
            </w:r>
          </w:p>
        </w:tc>
        <w:tc>
          <w:tcPr>
            <w:tcW w:w="432" w:type="pct"/>
            <w:shd w:val="clear" w:color="auto" w:fill="auto"/>
            <w:vAlign w:val="center"/>
          </w:tcPr>
          <w:p w14:paraId="403347C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ND</w:t>
            </w:r>
          </w:p>
        </w:tc>
        <w:tc>
          <w:tcPr>
            <w:tcW w:w="437" w:type="pct"/>
            <w:shd w:val="clear" w:color="auto" w:fill="auto"/>
            <w:vAlign w:val="center"/>
          </w:tcPr>
          <w:p w14:paraId="01B7A36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42.6</w:t>
            </w:r>
          </w:p>
        </w:tc>
        <w:tc>
          <w:tcPr>
            <w:tcW w:w="305" w:type="pct"/>
            <w:shd w:val="clear" w:color="auto" w:fill="auto"/>
            <w:vAlign w:val="center"/>
          </w:tcPr>
          <w:p w14:paraId="33E6935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7.10</w:t>
            </w:r>
          </w:p>
        </w:tc>
      </w:tr>
      <w:tr w14:paraId="34A2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5320CB4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29B3810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MaHW2077井场外30m</w:t>
            </w:r>
          </w:p>
        </w:tc>
        <w:tc>
          <w:tcPr>
            <w:tcW w:w="437" w:type="pct"/>
            <w:shd w:val="clear" w:color="auto" w:fill="auto"/>
            <w:vAlign w:val="center"/>
          </w:tcPr>
          <w:p w14:paraId="2CA3C83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48</w:t>
            </w:r>
          </w:p>
        </w:tc>
        <w:tc>
          <w:tcPr>
            <w:tcW w:w="350" w:type="pct"/>
            <w:shd w:val="clear" w:color="auto" w:fill="auto"/>
            <w:vAlign w:val="center"/>
          </w:tcPr>
          <w:p w14:paraId="7B0DB56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8.6</w:t>
            </w:r>
          </w:p>
        </w:tc>
        <w:tc>
          <w:tcPr>
            <w:tcW w:w="349" w:type="pct"/>
            <w:shd w:val="clear" w:color="auto" w:fill="auto"/>
            <w:vAlign w:val="center"/>
          </w:tcPr>
          <w:p w14:paraId="5F7A21B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0.40</w:t>
            </w:r>
          </w:p>
        </w:tc>
        <w:tc>
          <w:tcPr>
            <w:tcW w:w="365" w:type="pct"/>
            <w:shd w:val="clear" w:color="auto" w:fill="auto"/>
            <w:vAlign w:val="center"/>
          </w:tcPr>
          <w:p w14:paraId="3B5012A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50</w:t>
            </w:r>
          </w:p>
        </w:tc>
        <w:tc>
          <w:tcPr>
            <w:tcW w:w="396" w:type="pct"/>
            <w:shd w:val="clear" w:color="auto" w:fill="auto"/>
            <w:vAlign w:val="center"/>
          </w:tcPr>
          <w:p w14:paraId="0EBEB9D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0.013</w:t>
            </w:r>
          </w:p>
        </w:tc>
        <w:tc>
          <w:tcPr>
            <w:tcW w:w="386" w:type="pct"/>
            <w:shd w:val="clear" w:color="auto" w:fill="auto"/>
            <w:vAlign w:val="center"/>
          </w:tcPr>
          <w:p w14:paraId="4613584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14.73</w:t>
            </w:r>
          </w:p>
        </w:tc>
        <w:tc>
          <w:tcPr>
            <w:tcW w:w="432" w:type="pct"/>
            <w:shd w:val="clear" w:color="auto" w:fill="auto"/>
            <w:vAlign w:val="center"/>
          </w:tcPr>
          <w:p w14:paraId="5C6D794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ND</w:t>
            </w:r>
          </w:p>
        </w:tc>
        <w:tc>
          <w:tcPr>
            <w:tcW w:w="437" w:type="pct"/>
            <w:shd w:val="clear" w:color="auto" w:fill="auto"/>
            <w:vAlign w:val="center"/>
          </w:tcPr>
          <w:p w14:paraId="6FB50A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41.5</w:t>
            </w:r>
          </w:p>
        </w:tc>
        <w:tc>
          <w:tcPr>
            <w:tcW w:w="305" w:type="pct"/>
            <w:shd w:val="clear" w:color="auto" w:fill="auto"/>
            <w:vAlign w:val="center"/>
          </w:tcPr>
          <w:p w14:paraId="3982147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7.10</w:t>
            </w:r>
          </w:p>
        </w:tc>
      </w:tr>
      <w:tr w14:paraId="0B08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57AD59D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68A5A19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MaHW2077井场外50m</w:t>
            </w:r>
          </w:p>
        </w:tc>
        <w:tc>
          <w:tcPr>
            <w:tcW w:w="437" w:type="pct"/>
            <w:shd w:val="clear" w:color="auto" w:fill="auto"/>
            <w:vAlign w:val="center"/>
          </w:tcPr>
          <w:p w14:paraId="308A737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45</w:t>
            </w:r>
          </w:p>
        </w:tc>
        <w:tc>
          <w:tcPr>
            <w:tcW w:w="350" w:type="pct"/>
            <w:shd w:val="clear" w:color="auto" w:fill="auto"/>
            <w:vAlign w:val="center"/>
          </w:tcPr>
          <w:p w14:paraId="10630B5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8.7</w:t>
            </w:r>
          </w:p>
        </w:tc>
        <w:tc>
          <w:tcPr>
            <w:tcW w:w="349" w:type="pct"/>
            <w:shd w:val="clear" w:color="auto" w:fill="auto"/>
            <w:vAlign w:val="center"/>
          </w:tcPr>
          <w:p w14:paraId="3326341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0.36</w:t>
            </w:r>
          </w:p>
        </w:tc>
        <w:tc>
          <w:tcPr>
            <w:tcW w:w="365" w:type="pct"/>
            <w:shd w:val="clear" w:color="auto" w:fill="auto"/>
            <w:vAlign w:val="center"/>
          </w:tcPr>
          <w:p w14:paraId="26BC08D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47</w:t>
            </w:r>
          </w:p>
        </w:tc>
        <w:tc>
          <w:tcPr>
            <w:tcW w:w="396" w:type="pct"/>
            <w:shd w:val="clear" w:color="auto" w:fill="auto"/>
            <w:vAlign w:val="center"/>
          </w:tcPr>
          <w:p w14:paraId="0417DF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0.011</w:t>
            </w:r>
          </w:p>
        </w:tc>
        <w:tc>
          <w:tcPr>
            <w:tcW w:w="386" w:type="pct"/>
            <w:shd w:val="clear" w:color="auto" w:fill="auto"/>
            <w:vAlign w:val="center"/>
          </w:tcPr>
          <w:p w14:paraId="68CFD2F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14.59</w:t>
            </w:r>
          </w:p>
        </w:tc>
        <w:tc>
          <w:tcPr>
            <w:tcW w:w="432" w:type="pct"/>
            <w:shd w:val="clear" w:color="auto" w:fill="auto"/>
            <w:vAlign w:val="center"/>
          </w:tcPr>
          <w:p w14:paraId="127E7FE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ND</w:t>
            </w:r>
          </w:p>
        </w:tc>
        <w:tc>
          <w:tcPr>
            <w:tcW w:w="437" w:type="pct"/>
            <w:shd w:val="clear" w:color="auto" w:fill="auto"/>
            <w:vAlign w:val="center"/>
          </w:tcPr>
          <w:p w14:paraId="16E0464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40.8</w:t>
            </w:r>
          </w:p>
        </w:tc>
        <w:tc>
          <w:tcPr>
            <w:tcW w:w="305" w:type="pct"/>
            <w:shd w:val="clear" w:color="auto" w:fill="auto"/>
            <w:vAlign w:val="center"/>
          </w:tcPr>
          <w:p w14:paraId="6A58108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7.10</w:t>
            </w:r>
          </w:p>
        </w:tc>
      </w:tr>
      <w:tr w14:paraId="3266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0" w:hRule="atLeast"/>
          <w:tblHeader/>
          <w:jc w:val="center"/>
        </w:trPr>
        <w:tc>
          <w:tcPr>
            <w:tcW w:w="231" w:type="pct"/>
            <w:vMerge w:val="restart"/>
            <w:shd w:val="clear" w:color="auto" w:fill="auto"/>
            <w:vAlign w:val="center"/>
          </w:tcPr>
          <w:p w14:paraId="7BB7F8D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玛131井区</w:t>
            </w:r>
          </w:p>
        </w:tc>
        <w:tc>
          <w:tcPr>
            <w:tcW w:w="1307" w:type="pct"/>
            <w:shd w:val="clear" w:color="auto" w:fill="auto"/>
            <w:vAlign w:val="center"/>
          </w:tcPr>
          <w:p w14:paraId="5CB0B3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MaHW1213井场</w:t>
            </w:r>
          </w:p>
        </w:tc>
        <w:tc>
          <w:tcPr>
            <w:tcW w:w="437" w:type="pct"/>
            <w:shd w:val="clear" w:color="auto" w:fill="auto"/>
            <w:vAlign w:val="center"/>
          </w:tcPr>
          <w:p w14:paraId="312BE68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w:t>
            </w:r>
          </w:p>
        </w:tc>
        <w:tc>
          <w:tcPr>
            <w:tcW w:w="350" w:type="pct"/>
            <w:shd w:val="clear" w:color="auto" w:fill="auto"/>
            <w:vAlign w:val="center"/>
          </w:tcPr>
          <w:p w14:paraId="74CF205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57</w:t>
            </w:r>
          </w:p>
        </w:tc>
        <w:tc>
          <w:tcPr>
            <w:tcW w:w="349" w:type="pct"/>
            <w:shd w:val="clear" w:color="auto" w:fill="auto"/>
            <w:vAlign w:val="center"/>
          </w:tcPr>
          <w:p w14:paraId="68B96EF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0.28</w:t>
            </w:r>
          </w:p>
        </w:tc>
        <w:tc>
          <w:tcPr>
            <w:tcW w:w="365" w:type="pct"/>
            <w:shd w:val="clear" w:color="auto" w:fill="auto"/>
            <w:vAlign w:val="center"/>
          </w:tcPr>
          <w:p w14:paraId="51034E3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19</w:t>
            </w:r>
          </w:p>
        </w:tc>
        <w:tc>
          <w:tcPr>
            <w:tcW w:w="396" w:type="pct"/>
            <w:shd w:val="clear" w:color="auto" w:fill="auto"/>
            <w:vAlign w:val="center"/>
          </w:tcPr>
          <w:p w14:paraId="1CF824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0.540</w:t>
            </w:r>
          </w:p>
        </w:tc>
        <w:tc>
          <w:tcPr>
            <w:tcW w:w="386" w:type="pct"/>
            <w:shd w:val="clear" w:color="auto" w:fill="auto"/>
            <w:vAlign w:val="center"/>
          </w:tcPr>
          <w:p w14:paraId="49842F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7.7</w:t>
            </w:r>
          </w:p>
        </w:tc>
        <w:tc>
          <w:tcPr>
            <w:tcW w:w="432" w:type="pct"/>
            <w:shd w:val="clear" w:color="auto" w:fill="auto"/>
            <w:vAlign w:val="center"/>
          </w:tcPr>
          <w:p w14:paraId="4FEE4F9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w:t>
            </w:r>
          </w:p>
        </w:tc>
        <w:tc>
          <w:tcPr>
            <w:tcW w:w="437" w:type="pct"/>
            <w:shd w:val="clear" w:color="auto" w:fill="auto"/>
            <w:vAlign w:val="center"/>
          </w:tcPr>
          <w:p w14:paraId="0E3BA39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6</w:t>
            </w:r>
          </w:p>
        </w:tc>
        <w:tc>
          <w:tcPr>
            <w:tcW w:w="305" w:type="pct"/>
            <w:shd w:val="clear" w:color="auto" w:fill="auto"/>
            <w:vAlign w:val="center"/>
          </w:tcPr>
          <w:p w14:paraId="619331C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r>
      <w:tr w14:paraId="67BA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5" w:hRule="atLeast"/>
          <w:tblHeader/>
          <w:jc w:val="center"/>
        </w:trPr>
        <w:tc>
          <w:tcPr>
            <w:tcW w:w="231" w:type="pct"/>
            <w:vMerge w:val="continue"/>
            <w:shd w:val="clear" w:color="auto" w:fill="auto"/>
            <w:vAlign w:val="center"/>
          </w:tcPr>
          <w:p w14:paraId="018C6C2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443C4FD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16#计量站</w:t>
            </w:r>
          </w:p>
        </w:tc>
        <w:tc>
          <w:tcPr>
            <w:tcW w:w="437" w:type="pct"/>
            <w:shd w:val="clear" w:color="auto" w:fill="auto"/>
            <w:vAlign w:val="center"/>
          </w:tcPr>
          <w:p w14:paraId="5623E60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21</w:t>
            </w:r>
          </w:p>
        </w:tc>
        <w:tc>
          <w:tcPr>
            <w:tcW w:w="350" w:type="pct"/>
            <w:shd w:val="clear" w:color="auto" w:fill="auto"/>
            <w:vAlign w:val="center"/>
          </w:tcPr>
          <w:p w14:paraId="01C6528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47</w:t>
            </w:r>
          </w:p>
        </w:tc>
        <w:tc>
          <w:tcPr>
            <w:tcW w:w="349" w:type="pct"/>
            <w:shd w:val="clear" w:color="auto" w:fill="auto"/>
            <w:vAlign w:val="center"/>
          </w:tcPr>
          <w:p w14:paraId="7C6DB6C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0.17</w:t>
            </w:r>
          </w:p>
        </w:tc>
        <w:tc>
          <w:tcPr>
            <w:tcW w:w="365" w:type="pct"/>
            <w:shd w:val="clear" w:color="auto" w:fill="auto"/>
            <w:vAlign w:val="center"/>
          </w:tcPr>
          <w:p w14:paraId="1618612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26</w:t>
            </w:r>
          </w:p>
        </w:tc>
        <w:tc>
          <w:tcPr>
            <w:tcW w:w="396" w:type="pct"/>
            <w:shd w:val="clear" w:color="auto" w:fill="auto"/>
            <w:vAlign w:val="center"/>
          </w:tcPr>
          <w:p w14:paraId="5909488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0.171</w:t>
            </w:r>
          </w:p>
        </w:tc>
        <w:tc>
          <w:tcPr>
            <w:tcW w:w="386" w:type="pct"/>
            <w:shd w:val="clear" w:color="auto" w:fill="auto"/>
            <w:vAlign w:val="center"/>
          </w:tcPr>
          <w:p w14:paraId="7A96D66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10.7</w:t>
            </w:r>
          </w:p>
        </w:tc>
        <w:tc>
          <w:tcPr>
            <w:tcW w:w="432" w:type="pct"/>
            <w:shd w:val="clear" w:color="auto" w:fill="auto"/>
            <w:vAlign w:val="center"/>
          </w:tcPr>
          <w:p w14:paraId="548099A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ND</w:t>
            </w:r>
          </w:p>
        </w:tc>
        <w:tc>
          <w:tcPr>
            <w:tcW w:w="437" w:type="pct"/>
            <w:shd w:val="clear" w:color="auto" w:fill="auto"/>
            <w:vAlign w:val="center"/>
          </w:tcPr>
          <w:p w14:paraId="4DF8D14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16</w:t>
            </w:r>
          </w:p>
        </w:tc>
        <w:tc>
          <w:tcPr>
            <w:tcW w:w="305" w:type="pct"/>
            <w:shd w:val="clear" w:color="auto" w:fill="auto"/>
            <w:vAlign w:val="center"/>
          </w:tcPr>
          <w:p w14:paraId="19978A4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r>
      <w:tr w14:paraId="1D63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90" w:hRule="atLeast"/>
          <w:tblHeader/>
          <w:jc w:val="center"/>
        </w:trPr>
        <w:tc>
          <w:tcPr>
            <w:tcW w:w="231" w:type="pct"/>
            <w:vMerge w:val="continue"/>
            <w:shd w:val="clear" w:color="auto" w:fill="auto"/>
            <w:vAlign w:val="center"/>
          </w:tcPr>
          <w:p w14:paraId="0E6E54C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3AA767B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MaHW1321井场</w:t>
            </w:r>
          </w:p>
        </w:tc>
        <w:tc>
          <w:tcPr>
            <w:tcW w:w="437" w:type="pct"/>
            <w:shd w:val="clear" w:color="auto" w:fill="auto"/>
            <w:vAlign w:val="center"/>
          </w:tcPr>
          <w:p w14:paraId="12CD58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15</w:t>
            </w:r>
          </w:p>
        </w:tc>
        <w:tc>
          <w:tcPr>
            <w:tcW w:w="350" w:type="pct"/>
            <w:shd w:val="clear" w:color="auto" w:fill="auto"/>
            <w:vAlign w:val="center"/>
          </w:tcPr>
          <w:p w14:paraId="1187F04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34</w:t>
            </w:r>
          </w:p>
        </w:tc>
        <w:tc>
          <w:tcPr>
            <w:tcW w:w="349" w:type="pct"/>
            <w:shd w:val="clear" w:color="auto" w:fill="auto"/>
            <w:vAlign w:val="center"/>
          </w:tcPr>
          <w:p w14:paraId="05F3E7D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0.15</w:t>
            </w:r>
          </w:p>
        </w:tc>
        <w:tc>
          <w:tcPr>
            <w:tcW w:w="365" w:type="pct"/>
            <w:shd w:val="clear" w:color="auto" w:fill="auto"/>
            <w:vAlign w:val="center"/>
          </w:tcPr>
          <w:p w14:paraId="05D3CF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28</w:t>
            </w:r>
          </w:p>
        </w:tc>
        <w:tc>
          <w:tcPr>
            <w:tcW w:w="396" w:type="pct"/>
            <w:shd w:val="clear" w:color="auto" w:fill="auto"/>
            <w:vAlign w:val="center"/>
          </w:tcPr>
          <w:p w14:paraId="06589D8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0.255</w:t>
            </w:r>
          </w:p>
        </w:tc>
        <w:tc>
          <w:tcPr>
            <w:tcW w:w="386" w:type="pct"/>
            <w:shd w:val="clear" w:color="auto" w:fill="auto"/>
            <w:vAlign w:val="center"/>
          </w:tcPr>
          <w:p w14:paraId="707BC4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11.6</w:t>
            </w:r>
          </w:p>
        </w:tc>
        <w:tc>
          <w:tcPr>
            <w:tcW w:w="432" w:type="pct"/>
            <w:shd w:val="clear" w:color="auto" w:fill="auto"/>
            <w:vAlign w:val="center"/>
          </w:tcPr>
          <w:p w14:paraId="53FE241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ND</w:t>
            </w:r>
          </w:p>
        </w:tc>
        <w:tc>
          <w:tcPr>
            <w:tcW w:w="437" w:type="pct"/>
            <w:shd w:val="clear" w:color="auto" w:fill="auto"/>
            <w:vAlign w:val="center"/>
          </w:tcPr>
          <w:p w14:paraId="01DA3BC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85</w:t>
            </w:r>
          </w:p>
        </w:tc>
        <w:tc>
          <w:tcPr>
            <w:tcW w:w="305" w:type="pct"/>
            <w:shd w:val="clear" w:color="auto" w:fill="auto"/>
            <w:vAlign w:val="center"/>
          </w:tcPr>
          <w:p w14:paraId="2ED8A0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r>
      <w:tr w14:paraId="2F11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restart"/>
            <w:shd w:val="clear" w:color="auto" w:fill="auto"/>
            <w:vAlign w:val="center"/>
          </w:tcPr>
          <w:p w14:paraId="4DE2F8F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玛18井区</w:t>
            </w:r>
          </w:p>
        </w:tc>
        <w:tc>
          <w:tcPr>
            <w:tcW w:w="1307" w:type="pct"/>
            <w:shd w:val="clear" w:color="auto" w:fill="auto"/>
            <w:vAlign w:val="center"/>
          </w:tcPr>
          <w:p w14:paraId="1E8472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MaHW6279井场</w:t>
            </w:r>
          </w:p>
        </w:tc>
        <w:tc>
          <w:tcPr>
            <w:tcW w:w="437" w:type="pct"/>
            <w:shd w:val="clear" w:color="auto" w:fill="auto"/>
            <w:vAlign w:val="center"/>
          </w:tcPr>
          <w:p w14:paraId="2058DA7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0D48D2B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51A3CFF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78FB019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2AE8EED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2BCF58C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4C517DD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4FC69C6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28</w:t>
            </w:r>
          </w:p>
        </w:tc>
        <w:tc>
          <w:tcPr>
            <w:tcW w:w="305" w:type="pct"/>
            <w:shd w:val="clear" w:color="auto" w:fill="auto"/>
            <w:vAlign w:val="center"/>
          </w:tcPr>
          <w:p w14:paraId="7E91E41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8.26</w:t>
            </w:r>
          </w:p>
        </w:tc>
      </w:tr>
      <w:tr w14:paraId="6773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6C27D6C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29EEC13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MaHW6279井场20m</w:t>
            </w:r>
          </w:p>
        </w:tc>
        <w:tc>
          <w:tcPr>
            <w:tcW w:w="437" w:type="pct"/>
            <w:shd w:val="clear" w:color="auto" w:fill="auto"/>
            <w:vAlign w:val="center"/>
          </w:tcPr>
          <w:p w14:paraId="58CFC2F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0181A36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16121A2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53A4ADA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2569C1B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033691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6C663A6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62995A9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21</w:t>
            </w:r>
          </w:p>
        </w:tc>
        <w:tc>
          <w:tcPr>
            <w:tcW w:w="305" w:type="pct"/>
            <w:shd w:val="clear" w:color="auto" w:fill="auto"/>
            <w:vAlign w:val="center"/>
          </w:tcPr>
          <w:p w14:paraId="00FB06D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7.99</w:t>
            </w:r>
          </w:p>
        </w:tc>
      </w:tr>
      <w:tr w14:paraId="0B9B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468E705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54D6ED8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MaHW6279井场30m</w:t>
            </w:r>
          </w:p>
        </w:tc>
        <w:tc>
          <w:tcPr>
            <w:tcW w:w="437" w:type="pct"/>
            <w:shd w:val="clear" w:color="auto" w:fill="auto"/>
            <w:vAlign w:val="center"/>
          </w:tcPr>
          <w:p w14:paraId="3F0C6C2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1D5455C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5B5828F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53AA64A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565463D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409CDF1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4826EC6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18EDDF8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32</w:t>
            </w:r>
          </w:p>
        </w:tc>
        <w:tc>
          <w:tcPr>
            <w:tcW w:w="305" w:type="pct"/>
            <w:shd w:val="clear" w:color="auto" w:fill="auto"/>
            <w:vAlign w:val="center"/>
          </w:tcPr>
          <w:p w14:paraId="720D2D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8.15</w:t>
            </w:r>
          </w:p>
        </w:tc>
      </w:tr>
      <w:tr w14:paraId="0615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67C275D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787A3EF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MaHW6279井场40m</w:t>
            </w:r>
          </w:p>
        </w:tc>
        <w:tc>
          <w:tcPr>
            <w:tcW w:w="437" w:type="pct"/>
            <w:shd w:val="clear" w:color="auto" w:fill="auto"/>
            <w:vAlign w:val="center"/>
          </w:tcPr>
          <w:p w14:paraId="0830F79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07BFBE8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1673626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50ABC6D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681F21D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7EDD434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1C23C3C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619FE8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32</w:t>
            </w:r>
          </w:p>
        </w:tc>
        <w:tc>
          <w:tcPr>
            <w:tcW w:w="305" w:type="pct"/>
            <w:shd w:val="clear" w:color="auto" w:fill="auto"/>
            <w:vAlign w:val="center"/>
          </w:tcPr>
          <w:p w14:paraId="068D891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8.29</w:t>
            </w:r>
          </w:p>
        </w:tc>
      </w:tr>
      <w:tr w14:paraId="4D0A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7CBCC30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6818010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MaHW6279井场20m</w:t>
            </w:r>
          </w:p>
        </w:tc>
        <w:tc>
          <w:tcPr>
            <w:tcW w:w="437" w:type="pct"/>
            <w:shd w:val="clear" w:color="auto" w:fill="auto"/>
            <w:vAlign w:val="center"/>
          </w:tcPr>
          <w:p w14:paraId="1E48EBC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2AAD232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47F533B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41EF3A4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3846094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0CCDE6C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4E57A3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7E6E5F5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51</w:t>
            </w:r>
          </w:p>
        </w:tc>
        <w:tc>
          <w:tcPr>
            <w:tcW w:w="305" w:type="pct"/>
            <w:shd w:val="clear" w:color="auto" w:fill="auto"/>
            <w:vAlign w:val="center"/>
          </w:tcPr>
          <w:p w14:paraId="5C4901D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8.50</w:t>
            </w:r>
          </w:p>
        </w:tc>
      </w:tr>
      <w:tr w14:paraId="57D7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59F896E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36E6B7A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27号计量站</w:t>
            </w:r>
          </w:p>
        </w:tc>
        <w:tc>
          <w:tcPr>
            <w:tcW w:w="437" w:type="pct"/>
            <w:shd w:val="clear" w:color="auto" w:fill="auto"/>
            <w:vAlign w:val="center"/>
          </w:tcPr>
          <w:p w14:paraId="2C02CD3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1E8A87D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292C120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30359D7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3F8A31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3B948E8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165BC1B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6EC72C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24</w:t>
            </w:r>
          </w:p>
        </w:tc>
        <w:tc>
          <w:tcPr>
            <w:tcW w:w="305" w:type="pct"/>
            <w:shd w:val="clear" w:color="auto" w:fill="auto"/>
            <w:vAlign w:val="center"/>
          </w:tcPr>
          <w:p w14:paraId="6E58CC5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8.08</w:t>
            </w:r>
          </w:p>
        </w:tc>
      </w:tr>
      <w:tr w14:paraId="4E90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1A404A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5CAEC7F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27号计量站20m</w:t>
            </w:r>
          </w:p>
        </w:tc>
        <w:tc>
          <w:tcPr>
            <w:tcW w:w="437" w:type="pct"/>
            <w:shd w:val="clear" w:color="auto" w:fill="auto"/>
            <w:vAlign w:val="center"/>
          </w:tcPr>
          <w:p w14:paraId="53942E7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44B05A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6E0DCB2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15C02A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416CAA3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13FCA9F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53DAC3C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4D01207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35</w:t>
            </w:r>
          </w:p>
        </w:tc>
        <w:tc>
          <w:tcPr>
            <w:tcW w:w="305" w:type="pct"/>
            <w:shd w:val="clear" w:color="auto" w:fill="auto"/>
            <w:vAlign w:val="center"/>
          </w:tcPr>
          <w:p w14:paraId="7A6B20C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8.23</w:t>
            </w:r>
          </w:p>
        </w:tc>
      </w:tr>
      <w:tr w14:paraId="02F4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09742D1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6BFE371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27号计量站30m</w:t>
            </w:r>
          </w:p>
        </w:tc>
        <w:tc>
          <w:tcPr>
            <w:tcW w:w="437" w:type="pct"/>
            <w:shd w:val="clear" w:color="auto" w:fill="auto"/>
            <w:vAlign w:val="center"/>
          </w:tcPr>
          <w:p w14:paraId="0B302B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14017E9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12A21D9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520BC3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774E2D9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563442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3D4458F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1DEFD60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26</w:t>
            </w:r>
          </w:p>
        </w:tc>
        <w:tc>
          <w:tcPr>
            <w:tcW w:w="305" w:type="pct"/>
            <w:shd w:val="clear" w:color="auto" w:fill="auto"/>
            <w:vAlign w:val="center"/>
          </w:tcPr>
          <w:p w14:paraId="5525C9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8.36</w:t>
            </w:r>
          </w:p>
        </w:tc>
      </w:tr>
      <w:tr w14:paraId="72CB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4A42A0A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365274C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27号计量站40m</w:t>
            </w:r>
          </w:p>
        </w:tc>
        <w:tc>
          <w:tcPr>
            <w:tcW w:w="437" w:type="pct"/>
            <w:shd w:val="clear" w:color="auto" w:fill="auto"/>
            <w:vAlign w:val="center"/>
          </w:tcPr>
          <w:p w14:paraId="6C63EDD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7F94BCA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193366F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2C37BA7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433D7C2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436671E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51A7C5C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5DA8869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27</w:t>
            </w:r>
          </w:p>
        </w:tc>
        <w:tc>
          <w:tcPr>
            <w:tcW w:w="305" w:type="pct"/>
            <w:shd w:val="clear" w:color="auto" w:fill="auto"/>
            <w:vAlign w:val="center"/>
          </w:tcPr>
          <w:p w14:paraId="4301E7A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8.51</w:t>
            </w:r>
          </w:p>
        </w:tc>
      </w:tr>
      <w:tr w14:paraId="5497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231" w:type="pct"/>
            <w:vMerge w:val="continue"/>
            <w:shd w:val="clear" w:color="auto" w:fill="auto"/>
            <w:vAlign w:val="center"/>
          </w:tcPr>
          <w:p w14:paraId="0D829D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307" w:type="pct"/>
            <w:shd w:val="clear" w:color="auto" w:fill="auto"/>
            <w:vAlign w:val="center"/>
          </w:tcPr>
          <w:p w14:paraId="5BE4E7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2"/>
                <w:sz w:val="21"/>
                <w:szCs w:val="21"/>
                <w:u w:val="none"/>
                <w:lang w:val="en-US" w:eastAsia="zh-CN" w:bidi="ar-SA"/>
              </w:rPr>
            </w:pPr>
            <w:r>
              <w:rPr>
                <w:rFonts w:hint="eastAsia" w:cs="Times New Roman"/>
                <w:b w:val="0"/>
                <w:bCs w:val="0"/>
                <w:i w:val="0"/>
                <w:iCs w:val="0"/>
                <w:color w:val="auto"/>
                <w:kern w:val="2"/>
                <w:sz w:val="21"/>
                <w:szCs w:val="21"/>
                <w:u w:val="none"/>
                <w:lang w:val="en-US" w:eastAsia="zh-CN" w:bidi="ar-SA"/>
              </w:rPr>
              <w:t>27号计量站50m</w:t>
            </w:r>
          </w:p>
        </w:tc>
        <w:tc>
          <w:tcPr>
            <w:tcW w:w="437" w:type="pct"/>
            <w:shd w:val="clear" w:color="auto" w:fill="auto"/>
            <w:vAlign w:val="center"/>
          </w:tcPr>
          <w:p w14:paraId="1B5B4B4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50" w:type="pct"/>
            <w:shd w:val="clear" w:color="auto" w:fill="auto"/>
            <w:vAlign w:val="center"/>
          </w:tcPr>
          <w:p w14:paraId="4D6EBEE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49" w:type="pct"/>
            <w:shd w:val="clear" w:color="auto" w:fill="auto"/>
            <w:vAlign w:val="center"/>
          </w:tcPr>
          <w:p w14:paraId="7984CF7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65" w:type="pct"/>
            <w:shd w:val="clear" w:color="auto" w:fill="auto"/>
            <w:vAlign w:val="center"/>
          </w:tcPr>
          <w:p w14:paraId="73E1FF5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96" w:type="pct"/>
            <w:shd w:val="clear" w:color="auto" w:fill="auto"/>
            <w:vAlign w:val="center"/>
          </w:tcPr>
          <w:p w14:paraId="7536577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86" w:type="pct"/>
            <w:shd w:val="clear" w:color="auto" w:fill="auto"/>
            <w:vAlign w:val="center"/>
          </w:tcPr>
          <w:p w14:paraId="4428C8E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2" w:type="pct"/>
            <w:shd w:val="clear" w:color="auto" w:fill="auto"/>
            <w:vAlign w:val="center"/>
          </w:tcPr>
          <w:p w14:paraId="2150D5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437" w:type="pct"/>
            <w:shd w:val="clear" w:color="auto" w:fill="auto"/>
            <w:vAlign w:val="center"/>
          </w:tcPr>
          <w:p w14:paraId="58ED21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47</w:t>
            </w:r>
          </w:p>
        </w:tc>
        <w:tc>
          <w:tcPr>
            <w:tcW w:w="305" w:type="pct"/>
            <w:shd w:val="clear" w:color="auto" w:fill="auto"/>
            <w:vAlign w:val="center"/>
          </w:tcPr>
          <w:p w14:paraId="08B228E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8.17</w:t>
            </w:r>
          </w:p>
        </w:tc>
      </w:tr>
      <w:tr w14:paraId="26EE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000" w:type="pct"/>
            <w:gridSpan w:val="11"/>
            <w:shd w:val="clear" w:color="auto" w:fill="auto"/>
            <w:vAlign w:val="center"/>
          </w:tcPr>
          <w:p w14:paraId="35ADA533">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cs="Times New Roman"/>
                <w:b w:val="0"/>
                <w:bCs w:val="0"/>
                <w:i w:val="0"/>
                <w:iCs w:val="0"/>
                <w:color w:val="auto"/>
                <w:kern w:val="0"/>
                <w:sz w:val="21"/>
                <w:szCs w:val="21"/>
                <w:u w:val="none"/>
                <w:lang w:val="en-US" w:eastAsia="zh-CN" w:bidi="ar"/>
              </w:rPr>
            </w:pPr>
            <w:r>
              <w:rPr>
                <w:rFonts w:hint="eastAsia" w:cs="Times New Roman"/>
                <w:color w:val="auto"/>
                <w:sz w:val="21"/>
                <w:szCs w:val="21"/>
                <w:lang w:val="en-US" w:eastAsia="zh-CN"/>
              </w:rPr>
              <w:t>执行标准：</w:t>
            </w:r>
            <w:r>
              <w:rPr>
                <w:color w:val="auto"/>
                <w:sz w:val="21"/>
                <w:szCs w:val="21"/>
              </w:rPr>
              <w:t>《土壤环境质量 建设用地土壤污染风险管控标准（试行）》（GB36600-2018）中第二类用地筛选值标准</w:t>
            </w:r>
            <w:r>
              <w:rPr>
                <w:rFonts w:hint="default" w:ascii="Times New Roman" w:hAnsi="Times New Roman" w:eastAsia="宋体" w:cs="Times New Roman"/>
                <w:b w:val="0"/>
                <w:bCs w:val="0"/>
                <w:i w:val="0"/>
                <w:iCs w:val="0"/>
                <w:color w:val="auto"/>
                <w:kern w:val="0"/>
                <w:sz w:val="21"/>
                <w:szCs w:val="21"/>
                <w:u w:val="none"/>
                <w:lang w:val="en-US" w:eastAsia="zh-CN" w:bidi="ar"/>
              </w:rPr>
              <w:t>标准值（mg/kg）</w:t>
            </w:r>
          </w:p>
        </w:tc>
      </w:tr>
    </w:tbl>
    <w:p w14:paraId="3524507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val="en-US" w:eastAsia="zh-CN"/>
        </w:rPr>
        <w:t>由以上监测数据可知，油区</w:t>
      </w:r>
      <w:r>
        <w:rPr>
          <w:rFonts w:ascii="Times New Roman" w:hAnsi="Times New Roman" w:eastAsia="宋体"/>
          <w:color w:val="auto"/>
          <w:sz w:val="24"/>
          <w:szCs w:val="24"/>
        </w:rPr>
        <w:t>现有工程井场、站场等建设用地土壤各监测因子的监测浓度均低于《土壤环境质量 建设用地土壤污染风险管控标准（试行）》（GB36600-2018）第二类用地的筛选值</w:t>
      </w:r>
      <w:r>
        <w:rPr>
          <w:rFonts w:hint="eastAsia" w:ascii="Times New Roman" w:hAnsi="Times New Roman" w:eastAsia="宋体"/>
          <w:color w:val="auto"/>
          <w:sz w:val="24"/>
          <w:szCs w:val="24"/>
          <w:lang w:eastAsia="zh-CN"/>
        </w:rPr>
        <w:t>。</w:t>
      </w:r>
    </w:p>
    <w:p w14:paraId="2B99ABAF">
      <w:pPr>
        <w:pStyle w:val="33"/>
        <w:bidi w:val="0"/>
        <w:rPr>
          <w:rFonts w:hint="default"/>
          <w:color w:val="auto"/>
          <w:lang w:val="en-US" w:eastAsia="zh-CN"/>
        </w:rPr>
      </w:pPr>
      <w:r>
        <w:rPr>
          <w:rFonts w:hint="eastAsia"/>
          <w:color w:val="auto"/>
          <w:lang w:val="en-US" w:eastAsia="zh-CN"/>
        </w:rPr>
        <w:t>7、环境风险</w:t>
      </w:r>
    </w:p>
    <w:p w14:paraId="0F85A13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eastAsia="zh-CN"/>
        </w:rPr>
      </w:pPr>
      <w:r>
        <w:rPr>
          <w:rFonts w:ascii="Times New Roman" w:hAnsi="Times New Roman" w:eastAsia="宋体"/>
          <w:color w:val="auto"/>
          <w:sz w:val="24"/>
          <w:szCs w:val="24"/>
        </w:rPr>
        <w:t>根据现场调查，</w:t>
      </w:r>
      <w:r>
        <w:rPr>
          <w:rFonts w:hint="eastAsia" w:ascii="Times New Roman" w:hAnsi="Times New Roman" w:eastAsia="宋体"/>
          <w:color w:val="auto"/>
          <w:sz w:val="24"/>
          <w:szCs w:val="24"/>
          <w:lang w:val="en-US" w:eastAsia="zh-CN"/>
        </w:rPr>
        <w:t>中国石油新疆油田分公司百口泉采油厂</w:t>
      </w:r>
      <w:r>
        <w:rPr>
          <w:rFonts w:ascii="Times New Roman" w:hAnsi="Times New Roman" w:eastAsia="宋体"/>
          <w:color w:val="auto"/>
          <w:sz w:val="24"/>
          <w:szCs w:val="24"/>
        </w:rPr>
        <w:t>已按照《环境影响评价技术导则 地下水环境》（HJ610-2016）及《环境影响评价技术导则</w:t>
      </w:r>
      <w:r>
        <w:rPr>
          <w:rFonts w:hint="eastAsia" w:ascii="Times New Roman" w:hAnsi="Times New Roman" w:eastAsia="宋体"/>
          <w:color w:val="auto"/>
          <w:sz w:val="24"/>
          <w:szCs w:val="24"/>
          <w:lang w:val="en-US" w:eastAsia="zh-CN"/>
        </w:rPr>
        <w:t xml:space="preserve"> </w:t>
      </w:r>
      <w:r>
        <w:rPr>
          <w:rFonts w:ascii="Times New Roman" w:hAnsi="Times New Roman" w:eastAsia="宋体"/>
          <w:color w:val="auto"/>
          <w:sz w:val="24"/>
          <w:szCs w:val="24"/>
        </w:rPr>
        <w:t>陆地石油天然气开发建设项目》（HJ349-2023）相关要求对现有各站场采取了分区防渗措施，罐区均设有围堰，池体等采用混凝土防渗池体，外输泵房等采用防渗地面；部分集输管线设压力监测设施，管线</w:t>
      </w:r>
      <w:r>
        <w:rPr>
          <w:rFonts w:hint="eastAsia" w:ascii="Times New Roman" w:hAnsi="Times New Roman" w:eastAsia="宋体"/>
          <w:color w:val="auto"/>
          <w:sz w:val="24"/>
          <w:szCs w:val="24"/>
          <w:lang w:val="en-US" w:eastAsia="zh-CN"/>
        </w:rPr>
        <w:t>穿越点</w:t>
      </w:r>
      <w:r>
        <w:rPr>
          <w:rFonts w:ascii="Times New Roman" w:hAnsi="Times New Roman" w:eastAsia="宋体"/>
          <w:color w:val="auto"/>
          <w:sz w:val="24"/>
          <w:szCs w:val="24"/>
        </w:rPr>
        <w:t>设套管和增加壁厚等</w:t>
      </w:r>
      <w:r>
        <w:rPr>
          <w:rFonts w:hint="eastAsia" w:ascii="Times New Roman" w:hAnsi="Times New Roman" w:eastAsia="宋体"/>
          <w:color w:val="auto"/>
          <w:sz w:val="24"/>
          <w:szCs w:val="24"/>
          <w:lang w:eastAsia="zh-CN"/>
        </w:rPr>
        <w:t>。</w:t>
      </w:r>
    </w:p>
    <w:p w14:paraId="7F02434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中国石油新疆油田分公司百口泉采油厂已</w:t>
      </w:r>
      <w:r>
        <w:rPr>
          <w:rFonts w:ascii="Times New Roman" w:hAnsi="Times New Roman" w:eastAsia="宋体"/>
          <w:color w:val="auto"/>
          <w:sz w:val="24"/>
          <w:szCs w:val="24"/>
          <w:lang w:val="en-US" w:eastAsia="zh-CN"/>
        </w:rPr>
        <w:t>编制</w:t>
      </w:r>
      <w:r>
        <w:rPr>
          <w:color w:val="auto"/>
        </w:rPr>
        <w:t>《</w:t>
      </w:r>
      <w:r>
        <w:rPr>
          <w:rFonts w:hint="eastAsia"/>
          <w:color w:val="auto"/>
          <w:lang w:val="en-US" w:eastAsia="zh-CN"/>
        </w:rPr>
        <w:t>新疆油田公司百口泉采油厂</w:t>
      </w:r>
      <w:r>
        <w:rPr>
          <w:color w:val="auto"/>
        </w:rPr>
        <w:t>突发环境事件</w:t>
      </w:r>
      <w:r>
        <w:rPr>
          <w:rFonts w:hint="eastAsia"/>
          <w:color w:val="auto"/>
          <w:lang w:val="en-US" w:eastAsia="zh-CN"/>
        </w:rPr>
        <w:t>专项</w:t>
      </w:r>
      <w:r>
        <w:rPr>
          <w:color w:val="auto"/>
        </w:rPr>
        <w:t>应急预案》，并在</w:t>
      </w:r>
      <w:r>
        <w:rPr>
          <w:rFonts w:hint="eastAsia"/>
          <w:color w:val="auto"/>
          <w:lang w:val="en-US" w:eastAsia="zh-CN"/>
        </w:rPr>
        <w:t>克拉玛依</w:t>
      </w:r>
      <w:r>
        <w:rPr>
          <w:color w:val="auto"/>
        </w:rPr>
        <w:t>市生态环境局</w:t>
      </w:r>
      <w:r>
        <w:rPr>
          <w:rFonts w:hint="eastAsia"/>
          <w:color w:val="auto"/>
          <w:lang w:val="en-US" w:eastAsia="zh-CN"/>
        </w:rPr>
        <w:t>乌尔禾区</w:t>
      </w:r>
      <w:r>
        <w:rPr>
          <w:color w:val="auto"/>
        </w:rPr>
        <w:t>分局备案（备案号：</w:t>
      </w:r>
      <w:r>
        <w:rPr>
          <w:rFonts w:hint="eastAsia"/>
          <w:color w:val="auto"/>
          <w:lang w:val="en-US" w:eastAsia="zh-CN"/>
        </w:rPr>
        <w:t>650205-2024-009-L</w:t>
      </w:r>
      <w:r>
        <w:rPr>
          <w:color w:val="auto"/>
        </w:rPr>
        <w:t>）和</w:t>
      </w:r>
      <w:r>
        <w:rPr>
          <w:rFonts w:hint="eastAsia"/>
          <w:color w:val="auto"/>
          <w:lang w:val="en-US" w:eastAsia="zh-CN"/>
        </w:rPr>
        <w:t>塔城地区生态环境局和布克赛尔蒙古自治县分局</w:t>
      </w:r>
      <w:r>
        <w:rPr>
          <w:color w:val="auto"/>
        </w:rPr>
        <w:t>备案（备案号：</w:t>
      </w:r>
      <w:r>
        <w:rPr>
          <w:rFonts w:hint="eastAsia"/>
          <w:color w:val="auto"/>
          <w:lang w:val="en-US" w:eastAsia="zh-CN"/>
        </w:rPr>
        <w:t>654226-2024-005</w:t>
      </w:r>
      <w:r>
        <w:rPr>
          <w:color w:val="auto"/>
        </w:rPr>
        <w:t>-L）。</w:t>
      </w:r>
      <w:r>
        <w:rPr>
          <w:rFonts w:ascii="Times New Roman" w:hAnsi="Times New Roman" w:eastAsia="宋体"/>
          <w:color w:val="auto"/>
          <w:sz w:val="24"/>
          <w:szCs w:val="24"/>
          <w:lang w:val="en-US" w:eastAsia="zh-CN"/>
        </w:rPr>
        <w:t>预案中对环境风险进行了分析，明确了应急组织机构及职责、预防与预警、应急处置、后期处置等内容，严格落实应急预案中提出的各项风险防范措施，尽可能降低环境风险事件发生概率。</w:t>
      </w:r>
    </w:p>
    <w:p w14:paraId="5F70BC79">
      <w:pPr>
        <w:pStyle w:val="6"/>
        <w:bidi w:val="0"/>
        <w:rPr>
          <w:rFonts w:hint="eastAsia"/>
          <w:color w:val="auto"/>
          <w:lang w:val="en-US" w:eastAsia="zh-CN"/>
        </w:rPr>
      </w:pPr>
      <w:r>
        <w:rPr>
          <w:rFonts w:hint="eastAsia"/>
          <w:color w:val="auto"/>
          <w:lang w:val="en-US" w:eastAsia="zh-CN"/>
        </w:rPr>
        <w:t>3.1.4.2评价井/预探井勘探期环境影响回顾</w:t>
      </w:r>
    </w:p>
    <w:p w14:paraId="73ADE904">
      <w:pPr>
        <w:pStyle w:val="33"/>
        <w:bidi w:val="0"/>
        <w:rPr>
          <w:rFonts w:hint="default"/>
          <w:color w:val="auto"/>
          <w:lang w:val="en-US" w:eastAsia="zh-CN"/>
        </w:rPr>
      </w:pPr>
      <w:r>
        <w:rPr>
          <w:rFonts w:hint="eastAsia"/>
          <w:color w:val="auto"/>
          <w:lang w:val="en-US" w:eastAsia="zh-CN"/>
        </w:rPr>
        <w:t>本工程10口评价井/预探井转产能井，其中5口井（玛61、百209H、百76、百79、百791）不在老区块开发范围内，属于老区块扩边开发及新区块开发；其余5口井（玛62、夏203、夏209、夏207H、赛探1）位于老区块开发范围内，属于老井利用接入集输管网。</w:t>
      </w:r>
    </w:p>
    <w:p w14:paraId="50C2B265">
      <w:pPr>
        <w:pStyle w:val="33"/>
        <w:bidi w:val="0"/>
        <w:rPr>
          <w:rFonts w:hint="default"/>
          <w:color w:val="auto"/>
          <w:lang w:val="en-US" w:eastAsia="zh-CN"/>
        </w:rPr>
      </w:pPr>
      <w:r>
        <w:rPr>
          <w:rFonts w:hint="eastAsia"/>
          <w:color w:val="auto"/>
          <w:lang w:val="en-US" w:eastAsia="zh-CN"/>
        </w:rPr>
        <w:t>（1）玛61井</w:t>
      </w:r>
    </w:p>
    <w:p w14:paraId="1F14B28B">
      <w:pPr>
        <w:pStyle w:val="33"/>
        <w:bidi w:val="0"/>
        <w:rPr>
          <w:rFonts w:hint="default"/>
          <w:color w:val="auto"/>
          <w:lang w:val="en-US" w:eastAsia="zh-CN"/>
        </w:rPr>
      </w:pPr>
      <w:r>
        <w:rPr>
          <w:rFonts w:hint="eastAsia"/>
          <w:color w:val="auto"/>
          <w:lang w:val="en-US" w:eastAsia="zh-CN"/>
        </w:rPr>
        <w:t>2023年11月中国石油新疆油田分公司勘探事业部委托南京国环科技股份有限公司开展了《玛61X井勘探钻探项目环境影响报告表》编制工作，2023年12月27取得塔城地区生态环境局批复（塔地环字</w:t>
      </w:r>
      <w:r>
        <w:rPr>
          <w:rFonts w:hint="default" w:ascii="Times New Roman" w:hAnsi="Times New Roman" w:eastAsia="宋体" w:cs="Times New Roman"/>
          <w:color w:val="auto"/>
          <w:lang w:val="en-US" w:eastAsia="zh-CN"/>
        </w:rPr>
        <w:t>〔2023〕266号</w:t>
      </w:r>
      <w:r>
        <w:rPr>
          <w:rFonts w:hint="eastAsia"/>
          <w:color w:val="auto"/>
          <w:lang w:val="en-US" w:eastAsia="zh-CN"/>
        </w:rPr>
        <w:t>）。根据调查，该井于2024年10月9日开钻，2024年11月22日完钻，目前正在进行自主竣工环保验收工作。</w:t>
      </w:r>
    </w:p>
    <w:p w14:paraId="484D6F8B">
      <w:pPr>
        <w:pStyle w:val="33"/>
        <w:bidi w:val="0"/>
        <w:rPr>
          <w:rFonts w:hint="default"/>
          <w:color w:val="auto"/>
          <w:lang w:val="en-US" w:eastAsia="zh-CN"/>
        </w:rPr>
      </w:pPr>
      <w:r>
        <w:rPr>
          <w:rFonts w:hint="eastAsia"/>
          <w:color w:val="auto"/>
          <w:lang w:val="en-US" w:eastAsia="zh-CN"/>
        </w:rPr>
        <w:t>（2）百209H井</w:t>
      </w:r>
    </w:p>
    <w:p w14:paraId="26A70848">
      <w:pPr>
        <w:pStyle w:val="33"/>
        <w:bidi w:val="0"/>
        <w:rPr>
          <w:rFonts w:hint="default"/>
          <w:color w:val="auto"/>
          <w:lang w:val="en-US" w:eastAsia="zh-CN"/>
        </w:rPr>
      </w:pPr>
      <w:r>
        <w:rPr>
          <w:rFonts w:hint="eastAsia"/>
          <w:color w:val="auto"/>
          <w:lang w:val="en-US" w:eastAsia="zh-CN"/>
        </w:rPr>
        <w:t>2024年2月中国石油新疆油田分公司开发公司委托中勘冶金勘察设计研究院有限责任公司开展了《百口泉油田百21井区三叠系油藏主力老区开发调整工程环境影响报告表》编制工作，2024年3月1日取得克拉玛依市生态环境局批复（克环函</w:t>
      </w: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24</w:t>
      </w:r>
      <w:r>
        <w:rPr>
          <w:rFonts w:hint="eastAsia"/>
          <w:color w:val="auto"/>
          <w:lang w:val="en-US" w:eastAsia="zh-CN"/>
        </w:rPr>
        <w:t>号）。根据调查，该井于2024年4月1日开钻，2024年7月1日完钻，目前正在进行自主竣工环保验收工作。</w:t>
      </w:r>
    </w:p>
    <w:p w14:paraId="0F200024">
      <w:pPr>
        <w:pStyle w:val="33"/>
        <w:bidi w:val="0"/>
        <w:rPr>
          <w:rFonts w:hint="default"/>
          <w:color w:val="auto"/>
          <w:lang w:val="en-US" w:eastAsia="zh-CN"/>
        </w:rPr>
      </w:pPr>
      <w:r>
        <w:rPr>
          <w:rFonts w:hint="eastAsia"/>
          <w:color w:val="auto"/>
          <w:lang w:val="en-US" w:eastAsia="zh-CN"/>
        </w:rPr>
        <w:t>（3）百76井</w:t>
      </w:r>
    </w:p>
    <w:p w14:paraId="11E7B69A">
      <w:pPr>
        <w:pStyle w:val="33"/>
        <w:bidi w:val="0"/>
        <w:rPr>
          <w:rFonts w:hint="default"/>
          <w:color w:val="auto"/>
          <w:lang w:val="en-US" w:eastAsia="zh-CN"/>
        </w:rPr>
      </w:pPr>
      <w:r>
        <w:rPr>
          <w:rFonts w:hint="eastAsia"/>
          <w:color w:val="auto"/>
          <w:lang w:val="en-US" w:eastAsia="zh-CN"/>
        </w:rPr>
        <w:t>根据调查，百76井于2004年9月24日开钻，2005年5月6日完钻。2005年5月-2008年4月前后经过射孔、压裂后显示为干层或水层；2025年6月对其进行压裂后见到良好效果，故对其进行开采。</w:t>
      </w:r>
    </w:p>
    <w:p w14:paraId="3C34F5C0">
      <w:pPr>
        <w:pStyle w:val="33"/>
        <w:bidi w:val="0"/>
        <w:rPr>
          <w:rFonts w:hint="default"/>
          <w:color w:val="auto"/>
          <w:lang w:val="en-US" w:eastAsia="zh-CN"/>
        </w:rPr>
      </w:pPr>
      <w:r>
        <w:rPr>
          <w:rFonts w:hint="eastAsia"/>
          <w:color w:val="auto"/>
          <w:lang w:val="en-US" w:eastAsia="zh-CN"/>
        </w:rPr>
        <w:t>（4）百79井</w:t>
      </w:r>
    </w:p>
    <w:p w14:paraId="540175A9">
      <w:pPr>
        <w:pStyle w:val="33"/>
        <w:bidi w:val="0"/>
        <w:rPr>
          <w:rFonts w:hint="default"/>
          <w:color w:val="auto"/>
          <w:lang w:val="en-US" w:eastAsia="zh-CN"/>
        </w:rPr>
      </w:pPr>
      <w:r>
        <w:rPr>
          <w:rFonts w:hint="eastAsia"/>
          <w:color w:val="auto"/>
          <w:lang w:val="en-US" w:eastAsia="zh-CN"/>
        </w:rPr>
        <w:t>2023年6月中国石油新疆油田分公司勘探事业部委托中勘冶金勘察设计研究院有限责任公司开展了《百79井、百80井勘探钻探项目环境影响报告表》编制工作，2023年7月7日取得克拉玛依市生态环境局批复（克环函</w:t>
      </w: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78</w:t>
      </w:r>
      <w:r>
        <w:rPr>
          <w:rFonts w:hint="eastAsia"/>
          <w:color w:val="auto"/>
          <w:lang w:val="en-US" w:eastAsia="zh-CN"/>
        </w:rPr>
        <w:t>号）。根据调查，该井于2023年9月16日开钻，2023年11月11日完钻，2024年9月7日完成自主竣工环保验收。</w:t>
      </w:r>
    </w:p>
    <w:p w14:paraId="232BCBB4">
      <w:pPr>
        <w:pStyle w:val="33"/>
        <w:bidi w:val="0"/>
        <w:rPr>
          <w:rFonts w:hint="default"/>
          <w:color w:val="auto"/>
          <w:lang w:val="en-US" w:eastAsia="zh-CN"/>
        </w:rPr>
      </w:pPr>
      <w:r>
        <w:rPr>
          <w:rFonts w:hint="eastAsia"/>
          <w:color w:val="auto"/>
          <w:lang w:val="en-US" w:eastAsia="zh-CN"/>
        </w:rPr>
        <w:t>（5）百791井</w:t>
      </w:r>
    </w:p>
    <w:p w14:paraId="29963E57">
      <w:pPr>
        <w:pStyle w:val="33"/>
        <w:bidi w:val="0"/>
        <w:rPr>
          <w:rFonts w:hint="default"/>
          <w:color w:val="auto"/>
          <w:lang w:val="en-US" w:eastAsia="zh-CN"/>
        </w:rPr>
      </w:pPr>
      <w:r>
        <w:rPr>
          <w:rFonts w:hint="eastAsia"/>
          <w:color w:val="auto"/>
          <w:lang w:val="en-US" w:eastAsia="zh-CN"/>
        </w:rPr>
        <w:t>2024年4月中国石油新疆油田分公司勘探事业部委托南京国环科技股份有限公司开展了《百791井勘探钻探项目环境影响报告表》编制工作，2023年5月2日取得克拉玛依市生态环境局批复（克环函</w:t>
      </w: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51</w:t>
      </w:r>
      <w:r>
        <w:rPr>
          <w:rFonts w:hint="eastAsia"/>
          <w:color w:val="auto"/>
          <w:lang w:val="en-US" w:eastAsia="zh-CN"/>
        </w:rPr>
        <w:t>号）。根据调查，该井于2024年6月25日开钻，2024年7月30日完钻，2025年6月30日完成自主竣工环保验收。</w:t>
      </w:r>
    </w:p>
    <w:p w14:paraId="2D47889E">
      <w:pPr>
        <w:pStyle w:val="33"/>
        <w:bidi w:val="0"/>
        <w:rPr>
          <w:rFonts w:hint="default"/>
          <w:color w:val="auto"/>
          <w:lang w:val="en-US" w:eastAsia="zh-CN"/>
        </w:rPr>
      </w:pPr>
      <w:r>
        <w:rPr>
          <w:rFonts w:hint="eastAsia"/>
          <w:color w:val="auto"/>
          <w:lang w:val="en-US" w:eastAsia="zh-CN"/>
        </w:rPr>
        <w:t>（6）玛62井</w:t>
      </w:r>
    </w:p>
    <w:p w14:paraId="52F21B21">
      <w:pPr>
        <w:pStyle w:val="33"/>
        <w:bidi w:val="0"/>
        <w:rPr>
          <w:rFonts w:hint="default"/>
          <w:color w:val="auto"/>
          <w:lang w:val="en-US" w:eastAsia="zh-CN"/>
        </w:rPr>
      </w:pPr>
      <w:r>
        <w:rPr>
          <w:rFonts w:hint="eastAsia"/>
          <w:color w:val="auto"/>
          <w:lang w:val="en-US" w:eastAsia="zh-CN"/>
        </w:rPr>
        <w:t>2024年9月中国石油新疆油田分公司勘探事业部委托南京国环科技股份有限公司开展了《玛62H井勘探钻探项目环境影响报告表》编制工作，2024年10月25日取得塔城地区生态环境局批复（塔地环审</w:t>
      </w: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171</w:t>
      </w:r>
      <w:r>
        <w:rPr>
          <w:rFonts w:hint="eastAsia"/>
          <w:color w:val="auto"/>
          <w:lang w:val="en-US" w:eastAsia="zh-CN"/>
        </w:rPr>
        <w:t>号）。根据调查，该井于2025年2月17日开钻，2025年4月9日完钻，目前正在进行自主竣工环保验收工作。</w:t>
      </w:r>
    </w:p>
    <w:p w14:paraId="0527F927">
      <w:pPr>
        <w:pStyle w:val="33"/>
        <w:bidi w:val="0"/>
        <w:rPr>
          <w:rFonts w:hint="default"/>
          <w:color w:val="auto"/>
          <w:lang w:val="en-US" w:eastAsia="zh-CN"/>
        </w:rPr>
      </w:pPr>
      <w:r>
        <w:rPr>
          <w:rFonts w:hint="eastAsia"/>
          <w:color w:val="auto"/>
          <w:lang w:val="en-US" w:eastAsia="zh-CN"/>
        </w:rPr>
        <w:t>（7）夏203、夏209、夏207H井</w:t>
      </w:r>
    </w:p>
    <w:p w14:paraId="71C143B9">
      <w:pPr>
        <w:pStyle w:val="33"/>
        <w:bidi w:val="0"/>
        <w:rPr>
          <w:rFonts w:hint="default"/>
          <w:color w:val="auto"/>
          <w:lang w:val="en-US" w:eastAsia="zh-CN"/>
        </w:rPr>
      </w:pPr>
      <w:r>
        <w:rPr>
          <w:rFonts w:hint="eastAsia"/>
          <w:color w:val="auto"/>
          <w:lang w:val="en-US" w:eastAsia="zh-CN"/>
        </w:rPr>
        <w:t>2021年8月中国石油新疆油田分公司开发公司委托南京国环科技股份有限公司开展了《玛北斜坡区夏72井区二叠系风城组油藏评价井工程环境影响报告表》编制工作，2021年9月14日取得塔城地区生态环境局批复（塔地环字</w:t>
      </w: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193</w:t>
      </w:r>
      <w:r>
        <w:rPr>
          <w:rFonts w:hint="default" w:ascii="Times New Roman" w:hAnsi="Times New Roman" w:eastAsia="宋体" w:cs="Times New Roman"/>
          <w:color w:val="auto"/>
          <w:lang w:val="en-US" w:eastAsia="zh-CN"/>
        </w:rPr>
        <w:t>号</w:t>
      </w:r>
      <w:r>
        <w:rPr>
          <w:rFonts w:hint="eastAsia"/>
          <w:color w:val="auto"/>
          <w:lang w:val="en-US" w:eastAsia="zh-CN"/>
        </w:rPr>
        <w:t>）。根据调查，夏203井于2021年9月23日开钻，2022年5月18日完钻，2022年11月11日完成第一批自主竣工环保验收工作；夏209井于2025年3月15日开钻，2025年5月3日完钻；夏207H井于2024年6月16日开钻，2024年11月9日完钻，目前正在进行自主竣工环保验收工作。</w:t>
      </w:r>
    </w:p>
    <w:p w14:paraId="4E611405">
      <w:pPr>
        <w:pStyle w:val="33"/>
        <w:bidi w:val="0"/>
        <w:rPr>
          <w:rFonts w:hint="default"/>
          <w:color w:val="auto"/>
          <w:lang w:val="en-US" w:eastAsia="zh-CN"/>
        </w:rPr>
      </w:pPr>
      <w:r>
        <w:rPr>
          <w:rFonts w:hint="eastAsia"/>
          <w:color w:val="auto"/>
          <w:lang w:val="en-US" w:eastAsia="zh-CN"/>
        </w:rPr>
        <w:t>（8）赛探1井</w:t>
      </w:r>
    </w:p>
    <w:p w14:paraId="120F3220">
      <w:pPr>
        <w:pStyle w:val="33"/>
        <w:bidi w:val="0"/>
        <w:rPr>
          <w:rFonts w:hint="default"/>
          <w:color w:val="auto"/>
          <w:lang w:val="en-US" w:eastAsia="zh-CN"/>
        </w:rPr>
      </w:pPr>
      <w:r>
        <w:rPr>
          <w:rFonts w:hint="eastAsia"/>
          <w:color w:val="auto"/>
          <w:lang w:val="en-US" w:eastAsia="zh-CN"/>
        </w:rPr>
        <w:t>2024年4月中国石油新疆油田分公司勘探事业部委托中勘冶金勘察设计研究院有限责任公司开展了《赛探1井勘探钻探项目环境影响报告表》编制工作，2025年5月28取得塔城地区生态环境局批复（塔地环审</w:t>
      </w: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81</w:t>
      </w:r>
      <w:r>
        <w:rPr>
          <w:rFonts w:hint="default" w:ascii="Times New Roman" w:hAnsi="Times New Roman" w:eastAsia="宋体" w:cs="Times New Roman"/>
          <w:color w:val="auto"/>
          <w:lang w:val="en-US" w:eastAsia="zh-CN"/>
        </w:rPr>
        <w:t>号</w:t>
      </w:r>
      <w:r>
        <w:rPr>
          <w:rFonts w:hint="eastAsia"/>
          <w:color w:val="auto"/>
          <w:lang w:val="en-US" w:eastAsia="zh-CN"/>
        </w:rPr>
        <w:t>）。根据调查，该井于2024年8月1日开钻，2025年3月8日完钻，目前正在进行自主竣工环保验收工作。</w:t>
      </w:r>
    </w:p>
    <w:p w14:paraId="79FA09BB">
      <w:pPr>
        <w:pStyle w:val="33"/>
        <w:bidi w:val="0"/>
        <w:rPr>
          <w:rFonts w:hint="eastAsia"/>
          <w:color w:val="auto"/>
          <w:lang w:val="en-US" w:eastAsia="zh-CN"/>
        </w:rPr>
      </w:pPr>
      <w:r>
        <w:rPr>
          <w:rFonts w:hint="eastAsia"/>
          <w:color w:val="auto"/>
          <w:lang w:val="en-US" w:eastAsia="zh-CN"/>
        </w:rPr>
        <w:t>评价井/预探井基本情况见表3.1-18，已验收井环境影响回顾见表3.1-19。</w:t>
      </w:r>
    </w:p>
    <w:p w14:paraId="6D0CF366">
      <w:pPr>
        <w:pStyle w:val="33"/>
        <w:bidi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EF868B2">
      <w:pPr>
        <w:pStyle w:val="43"/>
        <w:bidi w:val="0"/>
        <w:rPr>
          <w:rFonts w:hint="default"/>
          <w:color w:val="auto"/>
          <w:lang w:val="en-US" w:eastAsia="zh-CN"/>
        </w:rPr>
      </w:pPr>
      <w:r>
        <w:rPr>
          <w:rFonts w:hint="eastAsia"/>
          <w:color w:val="auto"/>
          <w:lang w:val="en-US" w:eastAsia="zh-CN"/>
        </w:rPr>
        <w:t>表3.1-18  评价井/预探井基本情况一览表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07"/>
        <w:gridCol w:w="945"/>
        <w:gridCol w:w="1229"/>
        <w:gridCol w:w="1259"/>
        <w:gridCol w:w="2055"/>
        <w:gridCol w:w="2670"/>
        <w:gridCol w:w="1590"/>
        <w:gridCol w:w="1620"/>
        <w:gridCol w:w="1106"/>
      </w:tblGrid>
      <w:tr w14:paraId="2E15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 w:type="pct"/>
            <w:vAlign w:val="center"/>
          </w:tcPr>
          <w:p w14:paraId="1871AB6A">
            <w:pPr>
              <w:pStyle w:val="34"/>
              <w:keepNext w:val="0"/>
              <w:keepLines w:val="0"/>
              <w:pageBreakBefore w:val="0"/>
              <w:widowControl/>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bCs/>
                <w:color w:val="auto"/>
                <w:sz w:val="21"/>
                <w:szCs w:val="21"/>
                <w:lang w:val="en-US" w:eastAsia="zh-CN"/>
              </w:rPr>
              <w:t>序号</w:t>
            </w:r>
          </w:p>
        </w:tc>
        <w:tc>
          <w:tcPr>
            <w:tcW w:w="355" w:type="pct"/>
            <w:vAlign w:val="center"/>
          </w:tcPr>
          <w:p w14:paraId="1DC8A568">
            <w:pPr>
              <w:pStyle w:val="34"/>
              <w:keepNext w:val="0"/>
              <w:keepLines w:val="0"/>
              <w:pageBreakBefore w:val="0"/>
              <w:widowControl/>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bCs/>
                <w:color w:val="auto"/>
                <w:sz w:val="21"/>
                <w:szCs w:val="21"/>
                <w:lang w:val="en-US" w:eastAsia="zh-CN"/>
              </w:rPr>
              <w:t>井号</w:t>
            </w:r>
          </w:p>
        </w:tc>
        <w:tc>
          <w:tcPr>
            <w:tcW w:w="333" w:type="pct"/>
            <w:vAlign w:val="center"/>
          </w:tcPr>
          <w:p w14:paraId="5559E679">
            <w:pPr>
              <w:pStyle w:val="34"/>
              <w:keepNext w:val="0"/>
              <w:keepLines w:val="0"/>
              <w:pageBreakBefore w:val="0"/>
              <w:widowControl/>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bCs/>
                <w:color w:val="auto"/>
                <w:sz w:val="21"/>
                <w:szCs w:val="21"/>
                <w:lang w:val="en-US" w:eastAsia="zh-CN"/>
              </w:rPr>
              <w:t>井别</w:t>
            </w:r>
          </w:p>
        </w:tc>
        <w:tc>
          <w:tcPr>
            <w:tcW w:w="434" w:type="pct"/>
            <w:vAlign w:val="center"/>
          </w:tcPr>
          <w:p w14:paraId="417EA4C0">
            <w:pPr>
              <w:pStyle w:val="34"/>
              <w:keepNext w:val="0"/>
              <w:keepLines w:val="0"/>
              <w:pageBreakBefore w:val="0"/>
              <w:widowControl/>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bCs/>
                <w:color w:val="auto"/>
                <w:sz w:val="21"/>
                <w:szCs w:val="21"/>
                <w:lang w:val="en-US" w:eastAsia="zh-CN"/>
              </w:rPr>
              <w:t>开钻时间</w:t>
            </w:r>
          </w:p>
        </w:tc>
        <w:tc>
          <w:tcPr>
            <w:tcW w:w="444" w:type="pct"/>
            <w:vAlign w:val="center"/>
          </w:tcPr>
          <w:p w14:paraId="5F2752F6">
            <w:pPr>
              <w:pStyle w:val="34"/>
              <w:keepNext w:val="0"/>
              <w:keepLines w:val="0"/>
              <w:pageBreakBefore w:val="0"/>
              <w:widowControl/>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bCs/>
                <w:color w:val="auto"/>
                <w:sz w:val="21"/>
                <w:szCs w:val="21"/>
                <w:lang w:val="en-US" w:eastAsia="zh-CN"/>
              </w:rPr>
              <w:t>完钻时间</w:t>
            </w:r>
          </w:p>
        </w:tc>
        <w:tc>
          <w:tcPr>
            <w:tcW w:w="725" w:type="pct"/>
            <w:vAlign w:val="center"/>
          </w:tcPr>
          <w:p w14:paraId="710CE703">
            <w:pPr>
              <w:pStyle w:val="34"/>
              <w:keepNext w:val="0"/>
              <w:keepLines w:val="0"/>
              <w:pageBreakBefore w:val="0"/>
              <w:widowControl/>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bCs/>
                <w:color w:val="auto"/>
                <w:sz w:val="21"/>
                <w:szCs w:val="21"/>
                <w:lang w:val="en-US" w:eastAsia="zh-CN"/>
              </w:rPr>
              <w:t>建设单位</w:t>
            </w:r>
          </w:p>
        </w:tc>
        <w:tc>
          <w:tcPr>
            <w:tcW w:w="942" w:type="pct"/>
            <w:vAlign w:val="center"/>
          </w:tcPr>
          <w:p w14:paraId="717CC61E">
            <w:pPr>
              <w:pStyle w:val="34"/>
              <w:keepNext w:val="0"/>
              <w:keepLines w:val="0"/>
              <w:pageBreakBefore w:val="0"/>
              <w:widowControl/>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bCs/>
                <w:color w:val="auto"/>
                <w:sz w:val="21"/>
                <w:szCs w:val="21"/>
                <w:lang w:val="en-US" w:eastAsia="zh-CN"/>
              </w:rPr>
              <w:t>环评名称</w:t>
            </w:r>
          </w:p>
        </w:tc>
        <w:tc>
          <w:tcPr>
            <w:tcW w:w="561" w:type="pct"/>
            <w:vAlign w:val="center"/>
          </w:tcPr>
          <w:p w14:paraId="600D47AC">
            <w:pPr>
              <w:pStyle w:val="34"/>
              <w:keepNext w:val="0"/>
              <w:keepLines w:val="0"/>
              <w:pageBreakBefore w:val="0"/>
              <w:widowControl/>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bCs/>
                <w:color w:val="auto"/>
                <w:sz w:val="21"/>
                <w:szCs w:val="21"/>
                <w:lang w:val="en-US" w:eastAsia="zh-CN"/>
              </w:rPr>
              <w:t>环评单位</w:t>
            </w:r>
          </w:p>
        </w:tc>
        <w:tc>
          <w:tcPr>
            <w:tcW w:w="571" w:type="pct"/>
            <w:vAlign w:val="center"/>
          </w:tcPr>
          <w:p w14:paraId="7078C33F">
            <w:pPr>
              <w:pStyle w:val="34"/>
              <w:keepNext w:val="0"/>
              <w:keepLines w:val="0"/>
              <w:pageBreakBefore w:val="0"/>
              <w:widowControl/>
              <w:kinsoku/>
              <w:wordWrap/>
              <w:overflowPunct/>
              <w:topLinePunct w:val="0"/>
              <w:autoSpaceDE/>
              <w:autoSpaceDN/>
              <w:bidi w:val="0"/>
              <w:adjustRightInd/>
              <w:snapToGrid/>
              <w:jc w:val="center"/>
              <w:textAlignment w:val="auto"/>
              <w:rPr>
                <w:rFonts w:hint="eastAsia"/>
                <w:b/>
                <w:bCs/>
                <w:color w:val="auto"/>
                <w:sz w:val="21"/>
                <w:szCs w:val="21"/>
                <w:lang w:val="en-US" w:eastAsia="zh-CN"/>
              </w:rPr>
            </w:pPr>
            <w:r>
              <w:rPr>
                <w:rFonts w:hint="eastAsia"/>
                <w:b/>
                <w:bCs/>
                <w:color w:val="auto"/>
                <w:sz w:val="21"/>
                <w:szCs w:val="21"/>
                <w:lang w:val="en-US" w:eastAsia="zh-CN"/>
              </w:rPr>
              <w:t>验收情况</w:t>
            </w:r>
          </w:p>
        </w:tc>
        <w:tc>
          <w:tcPr>
            <w:tcW w:w="390" w:type="pct"/>
            <w:vAlign w:val="center"/>
          </w:tcPr>
          <w:p w14:paraId="50DFBAC7">
            <w:pPr>
              <w:pStyle w:val="34"/>
              <w:keepNext w:val="0"/>
              <w:keepLines w:val="0"/>
              <w:pageBreakBefore w:val="0"/>
              <w:widowControl/>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bCs/>
                <w:color w:val="auto"/>
                <w:sz w:val="21"/>
                <w:szCs w:val="21"/>
                <w:lang w:val="en-US" w:eastAsia="zh-CN"/>
              </w:rPr>
              <w:t>所属井区</w:t>
            </w:r>
          </w:p>
        </w:tc>
      </w:tr>
      <w:tr w14:paraId="111C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58820227">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1</w:t>
            </w:r>
          </w:p>
        </w:tc>
        <w:tc>
          <w:tcPr>
            <w:tcW w:w="355" w:type="pct"/>
            <w:vAlign w:val="center"/>
          </w:tcPr>
          <w:p w14:paraId="61F7FAC8">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玛61</w:t>
            </w:r>
          </w:p>
        </w:tc>
        <w:tc>
          <w:tcPr>
            <w:tcW w:w="333" w:type="pct"/>
            <w:vAlign w:val="center"/>
          </w:tcPr>
          <w:p w14:paraId="598A606B">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预探井</w:t>
            </w:r>
          </w:p>
        </w:tc>
        <w:tc>
          <w:tcPr>
            <w:tcW w:w="434" w:type="pct"/>
            <w:vAlign w:val="center"/>
          </w:tcPr>
          <w:p w14:paraId="36E0A0A5">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2024/10/9</w:t>
            </w:r>
          </w:p>
        </w:tc>
        <w:tc>
          <w:tcPr>
            <w:tcW w:w="444" w:type="pct"/>
            <w:vAlign w:val="center"/>
          </w:tcPr>
          <w:p w14:paraId="1E108FBC">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2024/11/22</w:t>
            </w:r>
          </w:p>
        </w:tc>
        <w:tc>
          <w:tcPr>
            <w:tcW w:w="725" w:type="pct"/>
            <w:vAlign w:val="center"/>
          </w:tcPr>
          <w:p w14:paraId="0E758425">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中国石油新疆油田分公司勘探事业部</w:t>
            </w:r>
          </w:p>
        </w:tc>
        <w:tc>
          <w:tcPr>
            <w:tcW w:w="942" w:type="pct"/>
            <w:vAlign w:val="center"/>
          </w:tcPr>
          <w:p w14:paraId="3C070F16">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《玛61X井勘探钻探项目环境影响报告表》</w:t>
            </w:r>
          </w:p>
        </w:tc>
        <w:tc>
          <w:tcPr>
            <w:tcW w:w="561" w:type="pct"/>
            <w:vAlign w:val="center"/>
          </w:tcPr>
          <w:p w14:paraId="05D46601">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南京国环科技股份有限公司</w:t>
            </w:r>
          </w:p>
        </w:tc>
        <w:tc>
          <w:tcPr>
            <w:tcW w:w="571" w:type="pct"/>
            <w:vAlign w:val="center"/>
          </w:tcPr>
          <w:p w14:paraId="7A1AF841">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计划实施自主竣工环保验收</w:t>
            </w:r>
          </w:p>
        </w:tc>
        <w:tc>
          <w:tcPr>
            <w:tcW w:w="390" w:type="pct"/>
            <w:vAlign w:val="center"/>
          </w:tcPr>
          <w:p w14:paraId="1A170EEC">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夏72</w:t>
            </w:r>
          </w:p>
        </w:tc>
      </w:tr>
      <w:tr w14:paraId="1A67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20D47C6C">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355" w:type="pct"/>
            <w:vAlign w:val="center"/>
          </w:tcPr>
          <w:p w14:paraId="57CA7386">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百209H</w:t>
            </w:r>
          </w:p>
        </w:tc>
        <w:tc>
          <w:tcPr>
            <w:tcW w:w="333" w:type="pct"/>
            <w:vAlign w:val="center"/>
          </w:tcPr>
          <w:p w14:paraId="1575B47B">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评价井</w:t>
            </w:r>
          </w:p>
        </w:tc>
        <w:tc>
          <w:tcPr>
            <w:tcW w:w="434" w:type="pct"/>
            <w:vAlign w:val="center"/>
          </w:tcPr>
          <w:p w14:paraId="0DDA98FD">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2024/4/1</w:t>
            </w:r>
          </w:p>
        </w:tc>
        <w:tc>
          <w:tcPr>
            <w:tcW w:w="444" w:type="pct"/>
            <w:vAlign w:val="center"/>
          </w:tcPr>
          <w:p w14:paraId="15836386">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2024/7/1</w:t>
            </w:r>
          </w:p>
        </w:tc>
        <w:tc>
          <w:tcPr>
            <w:tcW w:w="725" w:type="pct"/>
            <w:vAlign w:val="center"/>
          </w:tcPr>
          <w:p w14:paraId="6D3D5353">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中国石油新疆油田分公司开发公司</w:t>
            </w:r>
          </w:p>
        </w:tc>
        <w:tc>
          <w:tcPr>
            <w:tcW w:w="942" w:type="pct"/>
            <w:vAlign w:val="center"/>
          </w:tcPr>
          <w:p w14:paraId="16E27E48">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《百口泉油田百21井区三叠系油藏主力老区开发调整工程环境影响报告表》</w:t>
            </w:r>
          </w:p>
        </w:tc>
        <w:tc>
          <w:tcPr>
            <w:tcW w:w="561" w:type="pct"/>
            <w:vAlign w:val="center"/>
          </w:tcPr>
          <w:p w14:paraId="7F86121C">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中勘冶金勘察设计研究院有限责任公司</w:t>
            </w:r>
          </w:p>
        </w:tc>
        <w:tc>
          <w:tcPr>
            <w:tcW w:w="571" w:type="pct"/>
            <w:vAlign w:val="center"/>
          </w:tcPr>
          <w:p w14:paraId="5C1F6167">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计划实施自主竣工环保验收</w:t>
            </w:r>
          </w:p>
        </w:tc>
        <w:tc>
          <w:tcPr>
            <w:tcW w:w="390" w:type="pct"/>
            <w:vAlign w:val="center"/>
          </w:tcPr>
          <w:p w14:paraId="63862816">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百厂探区</w:t>
            </w:r>
          </w:p>
        </w:tc>
      </w:tr>
      <w:tr w14:paraId="3996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411C18AB">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3</w:t>
            </w:r>
          </w:p>
        </w:tc>
        <w:tc>
          <w:tcPr>
            <w:tcW w:w="355" w:type="pct"/>
            <w:vAlign w:val="center"/>
          </w:tcPr>
          <w:p w14:paraId="5CCB6D20">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百76</w:t>
            </w:r>
          </w:p>
        </w:tc>
        <w:tc>
          <w:tcPr>
            <w:tcW w:w="333" w:type="pct"/>
            <w:vAlign w:val="center"/>
          </w:tcPr>
          <w:p w14:paraId="3F9CD3D6">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评价井</w:t>
            </w:r>
          </w:p>
        </w:tc>
        <w:tc>
          <w:tcPr>
            <w:tcW w:w="434" w:type="pct"/>
            <w:vAlign w:val="center"/>
          </w:tcPr>
          <w:p w14:paraId="6F084C3D">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2004/9/24</w:t>
            </w:r>
          </w:p>
        </w:tc>
        <w:tc>
          <w:tcPr>
            <w:tcW w:w="444" w:type="pct"/>
            <w:vAlign w:val="center"/>
          </w:tcPr>
          <w:p w14:paraId="308EE494">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2005/5/6</w:t>
            </w:r>
          </w:p>
        </w:tc>
        <w:tc>
          <w:tcPr>
            <w:tcW w:w="725" w:type="pct"/>
            <w:vMerge w:val="restart"/>
            <w:vAlign w:val="center"/>
          </w:tcPr>
          <w:p w14:paraId="13D7167C">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中国石油新疆油田分公司勘探事业部</w:t>
            </w:r>
          </w:p>
        </w:tc>
        <w:tc>
          <w:tcPr>
            <w:tcW w:w="2075" w:type="pct"/>
            <w:gridSpan w:val="3"/>
            <w:vAlign w:val="center"/>
          </w:tcPr>
          <w:p w14:paraId="0D61D6C0">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实施久远，当时未进行环保手续</w:t>
            </w:r>
          </w:p>
        </w:tc>
        <w:tc>
          <w:tcPr>
            <w:tcW w:w="390" w:type="pct"/>
            <w:vAlign w:val="center"/>
          </w:tcPr>
          <w:p w14:paraId="19422866">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百厂探区</w:t>
            </w:r>
          </w:p>
        </w:tc>
      </w:tr>
      <w:tr w14:paraId="77DA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390F5F35">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4</w:t>
            </w:r>
          </w:p>
        </w:tc>
        <w:tc>
          <w:tcPr>
            <w:tcW w:w="355" w:type="pct"/>
            <w:vAlign w:val="center"/>
          </w:tcPr>
          <w:p w14:paraId="1B4703FC">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百79</w:t>
            </w:r>
          </w:p>
        </w:tc>
        <w:tc>
          <w:tcPr>
            <w:tcW w:w="333" w:type="pct"/>
            <w:vAlign w:val="center"/>
          </w:tcPr>
          <w:p w14:paraId="44C722C0">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评价井</w:t>
            </w:r>
          </w:p>
        </w:tc>
        <w:tc>
          <w:tcPr>
            <w:tcW w:w="434" w:type="pct"/>
            <w:vAlign w:val="center"/>
          </w:tcPr>
          <w:p w14:paraId="78376165">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2023/9/16</w:t>
            </w:r>
          </w:p>
        </w:tc>
        <w:tc>
          <w:tcPr>
            <w:tcW w:w="444" w:type="pct"/>
            <w:vAlign w:val="center"/>
          </w:tcPr>
          <w:p w14:paraId="66376AAB">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2023/11/11</w:t>
            </w:r>
          </w:p>
        </w:tc>
        <w:tc>
          <w:tcPr>
            <w:tcW w:w="725" w:type="pct"/>
            <w:vMerge w:val="continue"/>
            <w:vAlign w:val="center"/>
          </w:tcPr>
          <w:p w14:paraId="44A065EB">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942" w:type="pct"/>
            <w:vAlign w:val="center"/>
          </w:tcPr>
          <w:p w14:paraId="1433168D">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《百79井、百80井勘探钻探项目环境影响报告表》</w:t>
            </w:r>
          </w:p>
        </w:tc>
        <w:tc>
          <w:tcPr>
            <w:tcW w:w="561" w:type="pct"/>
            <w:vAlign w:val="center"/>
          </w:tcPr>
          <w:p w14:paraId="237D13F2">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中勘冶金勘察设计研究院有限责任公司</w:t>
            </w:r>
          </w:p>
        </w:tc>
        <w:tc>
          <w:tcPr>
            <w:tcW w:w="571" w:type="pct"/>
            <w:vAlign w:val="center"/>
          </w:tcPr>
          <w:p w14:paraId="2275F1D4">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2024年9月7日完成自主竣工环保验收</w:t>
            </w:r>
          </w:p>
        </w:tc>
        <w:tc>
          <w:tcPr>
            <w:tcW w:w="390" w:type="pct"/>
            <w:vAlign w:val="center"/>
          </w:tcPr>
          <w:p w14:paraId="5D94FC55">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百厂探区</w:t>
            </w:r>
          </w:p>
        </w:tc>
      </w:tr>
      <w:tr w14:paraId="1C31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37AB9D2B">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355" w:type="pct"/>
            <w:vAlign w:val="center"/>
          </w:tcPr>
          <w:p w14:paraId="0F288967">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百791</w:t>
            </w:r>
          </w:p>
        </w:tc>
        <w:tc>
          <w:tcPr>
            <w:tcW w:w="333" w:type="pct"/>
            <w:vAlign w:val="center"/>
          </w:tcPr>
          <w:p w14:paraId="66930A4F">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评价井</w:t>
            </w:r>
          </w:p>
        </w:tc>
        <w:tc>
          <w:tcPr>
            <w:tcW w:w="434" w:type="pct"/>
            <w:vAlign w:val="center"/>
          </w:tcPr>
          <w:p w14:paraId="04336895">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2024/6/25</w:t>
            </w:r>
          </w:p>
        </w:tc>
        <w:tc>
          <w:tcPr>
            <w:tcW w:w="444" w:type="pct"/>
            <w:vAlign w:val="center"/>
          </w:tcPr>
          <w:p w14:paraId="3DF5284D">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2024/7/30</w:t>
            </w:r>
          </w:p>
        </w:tc>
        <w:tc>
          <w:tcPr>
            <w:tcW w:w="725" w:type="pct"/>
            <w:vMerge w:val="continue"/>
            <w:vAlign w:val="center"/>
          </w:tcPr>
          <w:p w14:paraId="3D02428E">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942" w:type="pct"/>
            <w:vAlign w:val="center"/>
          </w:tcPr>
          <w:p w14:paraId="04B93C26">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《百791井勘探钻探项目环境影响报告表》</w:t>
            </w:r>
          </w:p>
        </w:tc>
        <w:tc>
          <w:tcPr>
            <w:tcW w:w="561" w:type="pct"/>
            <w:vAlign w:val="center"/>
          </w:tcPr>
          <w:p w14:paraId="75B9FEF1">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南京国环科技股份有限公司</w:t>
            </w:r>
          </w:p>
        </w:tc>
        <w:tc>
          <w:tcPr>
            <w:tcW w:w="571" w:type="pct"/>
            <w:vAlign w:val="center"/>
          </w:tcPr>
          <w:p w14:paraId="417E919D">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2025年6月30日完成自主竣工环保验收</w:t>
            </w:r>
          </w:p>
        </w:tc>
        <w:tc>
          <w:tcPr>
            <w:tcW w:w="390" w:type="pct"/>
            <w:vAlign w:val="center"/>
          </w:tcPr>
          <w:p w14:paraId="637CC623">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百厂探区</w:t>
            </w:r>
          </w:p>
        </w:tc>
      </w:tr>
      <w:tr w14:paraId="4F7F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47E6EBE8">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6</w:t>
            </w:r>
          </w:p>
        </w:tc>
        <w:tc>
          <w:tcPr>
            <w:tcW w:w="355" w:type="pct"/>
            <w:vAlign w:val="center"/>
          </w:tcPr>
          <w:p w14:paraId="7F2C2EA2">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玛62</w:t>
            </w:r>
          </w:p>
        </w:tc>
        <w:tc>
          <w:tcPr>
            <w:tcW w:w="333" w:type="pct"/>
            <w:vAlign w:val="center"/>
          </w:tcPr>
          <w:p w14:paraId="4FD4CB3A">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预探井</w:t>
            </w:r>
          </w:p>
        </w:tc>
        <w:tc>
          <w:tcPr>
            <w:tcW w:w="434" w:type="pct"/>
            <w:vAlign w:val="center"/>
          </w:tcPr>
          <w:p w14:paraId="6B6812EE">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2025/2/17</w:t>
            </w:r>
          </w:p>
        </w:tc>
        <w:tc>
          <w:tcPr>
            <w:tcW w:w="444" w:type="pct"/>
            <w:vAlign w:val="center"/>
          </w:tcPr>
          <w:p w14:paraId="265467EB">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2025/4/9</w:t>
            </w:r>
          </w:p>
        </w:tc>
        <w:tc>
          <w:tcPr>
            <w:tcW w:w="725" w:type="pct"/>
            <w:vMerge w:val="continue"/>
            <w:vAlign w:val="center"/>
          </w:tcPr>
          <w:p w14:paraId="581644D5">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942" w:type="pct"/>
            <w:vAlign w:val="center"/>
          </w:tcPr>
          <w:p w14:paraId="34EAD68C">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《玛62H井勘探钻探项目环境影响报告表》</w:t>
            </w:r>
          </w:p>
        </w:tc>
        <w:tc>
          <w:tcPr>
            <w:tcW w:w="561" w:type="pct"/>
            <w:vAlign w:val="center"/>
          </w:tcPr>
          <w:p w14:paraId="64CA9CAD">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南京国环科技股份有限公司</w:t>
            </w:r>
          </w:p>
        </w:tc>
        <w:tc>
          <w:tcPr>
            <w:tcW w:w="571" w:type="pct"/>
            <w:vAlign w:val="center"/>
          </w:tcPr>
          <w:p w14:paraId="24346DDD">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计划实施自主竣工环保验收</w:t>
            </w:r>
          </w:p>
        </w:tc>
        <w:tc>
          <w:tcPr>
            <w:tcW w:w="390" w:type="pct"/>
            <w:vMerge w:val="restart"/>
            <w:vAlign w:val="center"/>
          </w:tcPr>
          <w:p w14:paraId="3B348320">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夏72</w:t>
            </w:r>
          </w:p>
        </w:tc>
      </w:tr>
      <w:tr w14:paraId="010D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7039701E">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7</w:t>
            </w:r>
          </w:p>
        </w:tc>
        <w:tc>
          <w:tcPr>
            <w:tcW w:w="355" w:type="pct"/>
            <w:vAlign w:val="center"/>
          </w:tcPr>
          <w:p w14:paraId="66E8ADE7">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夏203</w:t>
            </w:r>
          </w:p>
        </w:tc>
        <w:tc>
          <w:tcPr>
            <w:tcW w:w="333" w:type="pct"/>
            <w:vAlign w:val="center"/>
          </w:tcPr>
          <w:p w14:paraId="24910601">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评价井</w:t>
            </w:r>
          </w:p>
        </w:tc>
        <w:tc>
          <w:tcPr>
            <w:tcW w:w="434" w:type="pct"/>
            <w:vAlign w:val="center"/>
          </w:tcPr>
          <w:p w14:paraId="6929460C">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2021/9/23</w:t>
            </w:r>
          </w:p>
        </w:tc>
        <w:tc>
          <w:tcPr>
            <w:tcW w:w="444" w:type="pct"/>
            <w:vAlign w:val="center"/>
          </w:tcPr>
          <w:p w14:paraId="5EC13DB3">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2022/5/18</w:t>
            </w:r>
          </w:p>
        </w:tc>
        <w:tc>
          <w:tcPr>
            <w:tcW w:w="725" w:type="pct"/>
            <w:vMerge w:val="restart"/>
            <w:vAlign w:val="center"/>
          </w:tcPr>
          <w:p w14:paraId="76221A80">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中国石油新疆油田分公司开发公司</w:t>
            </w:r>
          </w:p>
        </w:tc>
        <w:tc>
          <w:tcPr>
            <w:tcW w:w="942" w:type="pct"/>
            <w:vMerge w:val="restart"/>
            <w:vAlign w:val="center"/>
          </w:tcPr>
          <w:p w14:paraId="0B1B4059">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《玛北斜坡区夏72井区二叠系风城组油藏评价井工程环境影响报告表》</w:t>
            </w:r>
          </w:p>
        </w:tc>
        <w:tc>
          <w:tcPr>
            <w:tcW w:w="561" w:type="pct"/>
            <w:vMerge w:val="restart"/>
            <w:vAlign w:val="center"/>
          </w:tcPr>
          <w:p w14:paraId="7F92A83D">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南京国环科技股份有限公司</w:t>
            </w:r>
          </w:p>
        </w:tc>
        <w:tc>
          <w:tcPr>
            <w:tcW w:w="571" w:type="pct"/>
            <w:vAlign w:val="center"/>
          </w:tcPr>
          <w:p w14:paraId="58E00164">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2022年11月11日完成第一批自主竣工环保验收</w:t>
            </w:r>
          </w:p>
        </w:tc>
        <w:tc>
          <w:tcPr>
            <w:tcW w:w="390" w:type="pct"/>
            <w:vMerge w:val="continue"/>
            <w:vAlign w:val="center"/>
          </w:tcPr>
          <w:p w14:paraId="00654639">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r>
      <w:tr w14:paraId="00F0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52FA0F2B">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355" w:type="pct"/>
            <w:vAlign w:val="center"/>
          </w:tcPr>
          <w:p w14:paraId="7C302252">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夏209</w:t>
            </w:r>
          </w:p>
        </w:tc>
        <w:tc>
          <w:tcPr>
            <w:tcW w:w="333" w:type="pct"/>
            <w:vAlign w:val="center"/>
          </w:tcPr>
          <w:p w14:paraId="1E2C2359">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评价井</w:t>
            </w:r>
          </w:p>
        </w:tc>
        <w:tc>
          <w:tcPr>
            <w:tcW w:w="434" w:type="pct"/>
            <w:vAlign w:val="center"/>
          </w:tcPr>
          <w:p w14:paraId="5346FF83">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2025/3/15</w:t>
            </w:r>
          </w:p>
        </w:tc>
        <w:tc>
          <w:tcPr>
            <w:tcW w:w="444" w:type="pct"/>
            <w:vAlign w:val="center"/>
          </w:tcPr>
          <w:p w14:paraId="7846DFE0">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2025/5/3</w:t>
            </w:r>
          </w:p>
        </w:tc>
        <w:tc>
          <w:tcPr>
            <w:tcW w:w="725" w:type="pct"/>
            <w:vMerge w:val="continue"/>
            <w:vAlign w:val="center"/>
          </w:tcPr>
          <w:p w14:paraId="32EB2F98">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942" w:type="pct"/>
            <w:vMerge w:val="continue"/>
            <w:vAlign w:val="center"/>
          </w:tcPr>
          <w:p w14:paraId="385AEFFA">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561" w:type="pct"/>
            <w:vMerge w:val="continue"/>
            <w:vAlign w:val="center"/>
          </w:tcPr>
          <w:p w14:paraId="30274D55">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571" w:type="pct"/>
            <w:vMerge w:val="restart"/>
            <w:vAlign w:val="center"/>
          </w:tcPr>
          <w:p w14:paraId="239EF683">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计划实施自主竣工环保验收</w:t>
            </w:r>
          </w:p>
        </w:tc>
        <w:tc>
          <w:tcPr>
            <w:tcW w:w="390" w:type="pct"/>
            <w:vMerge w:val="continue"/>
            <w:vAlign w:val="center"/>
          </w:tcPr>
          <w:p w14:paraId="79ABC8BC">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r>
      <w:tr w14:paraId="0842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070ABF24">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9</w:t>
            </w:r>
          </w:p>
        </w:tc>
        <w:tc>
          <w:tcPr>
            <w:tcW w:w="355" w:type="pct"/>
            <w:vAlign w:val="center"/>
          </w:tcPr>
          <w:p w14:paraId="1F46EA52">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夏207H</w:t>
            </w:r>
          </w:p>
        </w:tc>
        <w:tc>
          <w:tcPr>
            <w:tcW w:w="333" w:type="pct"/>
            <w:vAlign w:val="center"/>
          </w:tcPr>
          <w:p w14:paraId="62C3DDB7">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评价井</w:t>
            </w:r>
          </w:p>
        </w:tc>
        <w:tc>
          <w:tcPr>
            <w:tcW w:w="434" w:type="pct"/>
            <w:vAlign w:val="center"/>
          </w:tcPr>
          <w:p w14:paraId="7B10DD49">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2024/6/16</w:t>
            </w:r>
          </w:p>
        </w:tc>
        <w:tc>
          <w:tcPr>
            <w:tcW w:w="444" w:type="pct"/>
            <w:vAlign w:val="center"/>
          </w:tcPr>
          <w:p w14:paraId="6FB85D6A">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2024/11/9</w:t>
            </w:r>
          </w:p>
        </w:tc>
        <w:tc>
          <w:tcPr>
            <w:tcW w:w="725" w:type="pct"/>
            <w:vMerge w:val="continue"/>
            <w:vAlign w:val="center"/>
          </w:tcPr>
          <w:p w14:paraId="372B8E43">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942" w:type="pct"/>
            <w:vMerge w:val="continue"/>
            <w:vAlign w:val="center"/>
          </w:tcPr>
          <w:p w14:paraId="74192C83">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561" w:type="pct"/>
            <w:vMerge w:val="continue"/>
            <w:vAlign w:val="center"/>
          </w:tcPr>
          <w:p w14:paraId="40E1410E">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571" w:type="pct"/>
            <w:vMerge w:val="continue"/>
            <w:vAlign w:val="center"/>
          </w:tcPr>
          <w:p w14:paraId="2238C0EF">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c>
          <w:tcPr>
            <w:tcW w:w="390" w:type="pct"/>
            <w:vMerge w:val="continue"/>
            <w:vAlign w:val="center"/>
          </w:tcPr>
          <w:p w14:paraId="2DE73527">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p>
        </w:tc>
      </w:tr>
      <w:tr w14:paraId="4633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 w:type="pct"/>
            <w:vAlign w:val="center"/>
          </w:tcPr>
          <w:p w14:paraId="281A3D99">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355" w:type="pct"/>
            <w:vAlign w:val="center"/>
          </w:tcPr>
          <w:p w14:paraId="3AA4CAB7">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赛探1</w:t>
            </w:r>
          </w:p>
        </w:tc>
        <w:tc>
          <w:tcPr>
            <w:tcW w:w="333" w:type="pct"/>
            <w:vAlign w:val="center"/>
          </w:tcPr>
          <w:p w14:paraId="0CF44133">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预探井</w:t>
            </w:r>
          </w:p>
        </w:tc>
        <w:tc>
          <w:tcPr>
            <w:tcW w:w="434" w:type="pct"/>
            <w:vAlign w:val="center"/>
          </w:tcPr>
          <w:p w14:paraId="71DEAB17">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2024/8/1</w:t>
            </w:r>
          </w:p>
        </w:tc>
        <w:tc>
          <w:tcPr>
            <w:tcW w:w="444" w:type="pct"/>
            <w:vAlign w:val="center"/>
          </w:tcPr>
          <w:p w14:paraId="7CAF9A16">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2025/3/8</w:t>
            </w:r>
          </w:p>
        </w:tc>
        <w:tc>
          <w:tcPr>
            <w:tcW w:w="725" w:type="pct"/>
            <w:vAlign w:val="center"/>
          </w:tcPr>
          <w:p w14:paraId="6D9EB692">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中国石油新疆油田分公司勘探事业部</w:t>
            </w:r>
          </w:p>
        </w:tc>
        <w:tc>
          <w:tcPr>
            <w:tcW w:w="942" w:type="pct"/>
            <w:vAlign w:val="center"/>
          </w:tcPr>
          <w:p w14:paraId="5A0560F4">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《赛探1井勘探钻探项目环境影响报告表》</w:t>
            </w:r>
          </w:p>
        </w:tc>
        <w:tc>
          <w:tcPr>
            <w:tcW w:w="561" w:type="pct"/>
            <w:vAlign w:val="center"/>
          </w:tcPr>
          <w:p w14:paraId="3F7C5D11">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中勘冶金勘察设计研究院有限责任公司</w:t>
            </w:r>
          </w:p>
        </w:tc>
        <w:tc>
          <w:tcPr>
            <w:tcW w:w="571" w:type="pct"/>
            <w:vAlign w:val="center"/>
          </w:tcPr>
          <w:p w14:paraId="2CA1674C">
            <w:pPr>
              <w:pStyle w:val="34"/>
              <w:keepNext w:val="0"/>
              <w:keepLines w:val="0"/>
              <w:pageBreakBefore w:val="0"/>
              <w:widowControl/>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计划实施自主竣工环保验收</w:t>
            </w:r>
          </w:p>
        </w:tc>
        <w:tc>
          <w:tcPr>
            <w:tcW w:w="390" w:type="pct"/>
            <w:vAlign w:val="center"/>
          </w:tcPr>
          <w:p w14:paraId="7E402E7D">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艾湖1</w:t>
            </w:r>
          </w:p>
        </w:tc>
      </w:tr>
    </w:tbl>
    <w:p w14:paraId="1BBCB31D">
      <w:pPr>
        <w:pStyle w:val="33"/>
        <w:bidi w:val="0"/>
        <w:ind w:left="0" w:leftChars="0" w:firstLine="0" w:firstLineChars="0"/>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383E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val="0"/>
          <w:color w:val="auto"/>
          <w:sz w:val="21"/>
          <w:szCs w:val="21"/>
          <w:lang w:val="en-US" w:eastAsia="zh-CN"/>
        </w:rPr>
      </w:pPr>
      <w:r>
        <w:rPr>
          <w:rFonts w:hint="eastAsia" w:ascii="Times New Roman" w:hAnsi="Times New Roman" w:cs="Times New Roman"/>
          <w:b/>
          <w:bCs w:val="0"/>
          <w:color w:val="auto"/>
          <w:sz w:val="21"/>
          <w:szCs w:val="21"/>
          <w:lang w:val="en-US" w:eastAsia="zh-CN"/>
        </w:rPr>
        <w:t>表3.1-19  已验收井环境影响回顾</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00"/>
        <w:gridCol w:w="1276"/>
        <w:gridCol w:w="6243"/>
      </w:tblGrid>
      <w:tr w14:paraId="5BD3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586" w:type="pct"/>
            <w:tcBorders>
              <w:tl2br w:val="nil"/>
              <w:tr2bl w:val="nil"/>
            </w:tcBorders>
            <w:shd w:val="clear" w:color="auto" w:fill="auto"/>
            <w:noWrap/>
            <w:vAlign w:val="center"/>
          </w:tcPr>
          <w:p w14:paraId="4068225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井号</w:t>
            </w:r>
          </w:p>
        </w:tc>
        <w:tc>
          <w:tcPr>
            <w:tcW w:w="748" w:type="pct"/>
            <w:tcBorders>
              <w:tl2br w:val="nil"/>
              <w:tr2bl w:val="nil"/>
            </w:tcBorders>
            <w:shd w:val="clear" w:color="auto" w:fill="auto"/>
            <w:noWrap/>
            <w:vAlign w:val="center"/>
          </w:tcPr>
          <w:p w14:paraId="0C942E0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环境要素</w:t>
            </w:r>
          </w:p>
        </w:tc>
        <w:tc>
          <w:tcPr>
            <w:tcW w:w="3664" w:type="pct"/>
            <w:tcBorders>
              <w:tl2br w:val="nil"/>
              <w:tr2bl w:val="nil"/>
            </w:tcBorders>
            <w:shd w:val="clear" w:color="auto" w:fill="auto"/>
            <w:noWrap/>
            <w:vAlign w:val="center"/>
          </w:tcPr>
          <w:p w14:paraId="0EEE110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环境保护措施</w:t>
            </w:r>
          </w:p>
        </w:tc>
      </w:tr>
      <w:tr w14:paraId="039B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86" w:type="pct"/>
            <w:vMerge w:val="restart"/>
            <w:tcBorders>
              <w:tl2br w:val="nil"/>
              <w:tr2bl w:val="nil"/>
            </w:tcBorders>
            <w:shd w:val="clear" w:color="auto" w:fill="auto"/>
            <w:noWrap/>
            <w:vAlign w:val="center"/>
          </w:tcPr>
          <w:p w14:paraId="6472EB1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百79井</w:t>
            </w:r>
          </w:p>
        </w:tc>
        <w:tc>
          <w:tcPr>
            <w:tcW w:w="748" w:type="pct"/>
            <w:tcBorders>
              <w:tl2br w:val="nil"/>
              <w:tr2bl w:val="nil"/>
            </w:tcBorders>
            <w:shd w:val="clear" w:color="auto" w:fill="auto"/>
            <w:noWrap/>
            <w:vAlign w:val="center"/>
          </w:tcPr>
          <w:p w14:paraId="068B329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生态环境</w:t>
            </w:r>
          </w:p>
        </w:tc>
        <w:tc>
          <w:tcPr>
            <w:tcW w:w="3664" w:type="pct"/>
            <w:tcBorders>
              <w:tl2br w:val="nil"/>
              <w:tr2bl w:val="nil"/>
            </w:tcBorders>
            <w:shd w:val="clear" w:color="auto" w:fill="auto"/>
            <w:vAlign w:val="center"/>
          </w:tcPr>
          <w:p w14:paraId="590D834C">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项目建设划定了施工作业范围和车辆行驶路线，未随意开设便道、扩大占用、扰动地表，施工结束后对施工迹地进行了清理平整，植被自然恢复。</w:t>
            </w:r>
          </w:p>
        </w:tc>
      </w:tr>
      <w:tr w14:paraId="54FE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86" w:type="pct"/>
            <w:vMerge w:val="continue"/>
            <w:tcBorders>
              <w:tl2br w:val="nil"/>
              <w:tr2bl w:val="nil"/>
            </w:tcBorders>
            <w:shd w:val="clear" w:color="auto" w:fill="auto"/>
            <w:noWrap/>
            <w:vAlign w:val="center"/>
          </w:tcPr>
          <w:p w14:paraId="2A5C96D9">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3D26D31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废气</w:t>
            </w:r>
          </w:p>
        </w:tc>
        <w:tc>
          <w:tcPr>
            <w:tcW w:w="3664" w:type="pct"/>
            <w:tcBorders>
              <w:tl2br w:val="nil"/>
              <w:tr2bl w:val="nil"/>
            </w:tcBorders>
            <w:shd w:val="clear" w:color="auto" w:fill="auto"/>
            <w:vAlign w:val="center"/>
          </w:tcPr>
          <w:p w14:paraId="76529317">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废气主要为施工期扬尘、燃油机械废气、车辆尾气等。井场道路洒水抑尘，燃油机械和车辆选用符合国家标准的油品，大气污染物</w:t>
            </w:r>
            <w:r>
              <w:rPr>
                <w:rStyle w:val="52"/>
                <w:rFonts w:hint="eastAsia" w:ascii="Times New Roman" w:hAnsi="Times New Roman" w:cs="Times New Roman"/>
                <w:color w:val="auto"/>
                <w:lang w:val="en-US" w:eastAsia="zh-CN" w:bidi="ar"/>
              </w:rPr>
              <w:t>随着</w:t>
            </w:r>
            <w:r>
              <w:rPr>
                <w:rStyle w:val="52"/>
                <w:rFonts w:hint="default" w:ascii="Times New Roman" w:hAnsi="Times New Roman" w:cs="Times New Roman"/>
                <w:color w:val="auto"/>
                <w:lang w:val="en-US" w:eastAsia="zh-CN" w:bidi="ar"/>
              </w:rPr>
              <w:t>施工期的结束而停止。</w:t>
            </w:r>
          </w:p>
        </w:tc>
      </w:tr>
      <w:tr w14:paraId="519D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86" w:type="pct"/>
            <w:vMerge w:val="continue"/>
            <w:tcBorders>
              <w:tl2br w:val="nil"/>
              <w:tr2bl w:val="nil"/>
            </w:tcBorders>
            <w:shd w:val="clear" w:color="auto" w:fill="auto"/>
            <w:noWrap/>
            <w:vAlign w:val="center"/>
          </w:tcPr>
          <w:p w14:paraId="4A1F3485">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0FC98EA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废水</w:t>
            </w:r>
          </w:p>
        </w:tc>
        <w:tc>
          <w:tcPr>
            <w:tcW w:w="3664" w:type="pct"/>
            <w:tcBorders>
              <w:tl2br w:val="nil"/>
              <w:tr2bl w:val="nil"/>
            </w:tcBorders>
            <w:shd w:val="clear" w:color="auto" w:fill="auto"/>
            <w:vAlign w:val="center"/>
          </w:tcPr>
          <w:p w14:paraId="72207C3F">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钻井采用泥浆不落地工艺，泥浆循环使用，完井后剩余泥浆由专业公司回收；生活污水排入防渗池内，最终拉运至乌尔禾污水处理厂处理；试油期间采出液和井下作业废水进入井场方罐中，拉运至百口泉注输联合站处理。</w:t>
            </w:r>
          </w:p>
        </w:tc>
      </w:tr>
      <w:tr w14:paraId="107F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86" w:type="pct"/>
            <w:vMerge w:val="continue"/>
            <w:tcBorders>
              <w:tl2br w:val="nil"/>
              <w:tr2bl w:val="nil"/>
            </w:tcBorders>
            <w:shd w:val="clear" w:color="auto" w:fill="auto"/>
            <w:noWrap/>
            <w:vAlign w:val="center"/>
          </w:tcPr>
          <w:p w14:paraId="0816C160">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52E0C14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噪声</w:t>
            </w:r>
          </w:p>
        </w:tc>
        <w:tc>
          <w:tcPr>
            <w:tcW w:w="3664" w:type="pct"/>
            <w:tcBorders>
              <w:tl2br w:val="nil"/>
              <w:tr2bl w:val="nil"/>
            </w:tcBorders>
            <w:shd w:val="clear" w:color="auto" w:fill="auto"/>
            <w:vAlign w:val="center"/>
          </w:tcPr>
          <w:p w14:paraId="7D9D52F3">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项目周边</w:t>
            </w:r>
            <w:r>
              <w:rPr>
                <w:rStyle w:val="55"/>
                <w:rFonts w:hint="default" w:ascii="Times New Roman" w:hAnsi="Times New Roman" w:eastAsia="宋体" w:cs="Times New Roman"/>
                <w:color w:val="auto"/>
                <w:lang w:val="en-US" w:eastAsia="zh-CN" w:bidi="ar"/>
              </w:rPr>
              <w:t>200m</w:t>
            </w:r>
            <w:r>
              <w:rPr>
                <w:rStyle w:val="52"/>
                <w:rFonts w:hint="default" w:ascii="Times New Roman" w:hAnsi="Times New Roman" w:cs="Times New Roman"/>
                <w:color w:val="auto"/>
                <w:lang w:val="en-US" w:eastAsia="zh-CN" w:bidi="ar"/>
              </w:rPr>
              <w:t>范围内无声环境敏感目标，施工期噪声影响随施工的结束而消失。</w:t>
            </w:r>
          </w:p>
        </w:tc>
      </w:tr>
      <w:tr w14:paraId="31F9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86" w:type="pct"/>
            <w:vMerge w:val="continue"/>
            <w:tcBorders>
              <w:tl2br w:val="nil"/>
              <w:tr2bl w:val="nil"/>
            </w:tcBorders>
            <w:shd w:val="clear" w:color="auto" w:fill="auto"/>
            <w:noWrap/>
            <w:vAlign w:val="center"/>
          </w:tcPr>
          <w:p w14:paraId="5D9366D3">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4D2065C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固体废物</w:t>
            </w:r>
          </w:p>
        </w:tc>
        <w:tc>
          <w:tcPr>
            <w:tcW w:w="3664" w:type="pct"/>
            <w:tcBorders>
              <w:tl2br w:val="nil"/>
              <w:tr2bl w:val="nil"/>
            </w:tcBorders>
            <w:shd w:val="clear" w:color="auto" w:fill="auto"/>
            <w:vAlign w:val="center"/>
          </w:tcPr>
          <w:p w14:paraId="0C02F9C3">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钻井采用水基泥浆和泥浆不落地工艺，泥浆和岩屑经固控设备分离处理，泥浆循环使用，不可分离的废弃泥浆和水基岩屑委托新疆宇洲能源科技有限责任公司清运处置，经检测符合《油气田钻井固体废物综合利用污染物控制要求》（</w:t>
            </w:r>
            <w:r>
              <w:rPr>
                <w:rStyle w:val="55"/>
                <w:rFonts w:hint="default" w:ascii="Times New Roman" w:hAnsi="Times New Roman" w:eastAsia="宋体" w:cs="Times New Roman"/>
                <w:color w:val="auto"/>
                <w:lang w:val="en-US" w:eastAsia="zh-CN" w:bidi="ar"/>
              </w:rPr>
              <w:t>DB/T3997-2017</w:t>
            </w:r>
            <w:r>
              <w:rPr>
                <w:rStyle w:val="52"/>
                <w:rFonts w:hint="default" w:ascii="Times New Roman" w:hAnsi="Times New Roman" w:cs="Times New Roman"/>
                <w:color w:val="auto"/>
                <w:lang w:val="en-US" w:eastAsia="zh-CN" w:bidi="ar"/>
              </w:rPr>
              <w:t>）要求后综合利用；生活垃圾由克拉玛依鑫塔有限责任公司定期拉运至白碱滩垃圾中转站，最终清运至克拉玛依市生活垃圾填埋场。</w:t>
            </w:r>
          </w:p>
        </w:tc>
      </w:tr>
      <w:tr w14:paraId="4325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86" w:type="pct"/>
            <w:vMerge w:val="continue"/>
            <w:tcBorders>
              <w:tl2br w:val="nil"/>
              <w:tr2bl w:val="nil"/>
            </w:tcBorders>
            <w:shd w:val="clear" w:color="auto" w:fill="auto"/>
            <w:noWrap/>
            <w:vAlign w:val="center"/>
          </w:tcPr>
          <w:p w14:paraId="2B68839B">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4CA2709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环境风险</w:t>
            </w:r>
          </w:p>
        </w:tc>
        <w:tc>
          <w:tcPr>
            <w:tcW w:w="3664" w:type="pct"/>
            <w:tcBorders>
              <w:tl2br w:val="nil"/>
              <w:tr2bl w:val="nil"/>
            </w:tcBorders>
            <w:shd w:val="clear" w:color="auto" w:fill="auto"/>
            <w:vAlign w:val="center"/>
          </w:tcPr>
          <w:p w14:paraId="26CE34CF">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钻井期间施工单位配备井口防喷系统和消防设施，钻井过程中未发生井喷等环境污染事件。中国石油新疆油田分公司勘探事业部修编了突发环境事件应急预案并备案（备案号：</w:t>
            </w:r>
            <w:r>
              <w:rPr>
                <w:rStyle w:val="55"/>
                <w:rFonts w:hint="default" w:ascii="Times New Roman" w:hAnsi="Times New Roman" w:eastAsia="宋体" w:cs="Times New Roman"/>
                <w:color w:val="auto"/>
                <w:lang w:val="en-US" w:eastAsia="zh-CN" w:bidi="ar"/>
              </w:rPr>
              <w:t>650203-2023-031-L</w:t>
            </w:r>
            <w:r>
              <w:rPr>
                <w:rStyle w:val="52"/>
                <w:rFonts w:hint="default" w:ascii="Times New Roman" w:hAnsi="Times New Roman" w:cs="Times New Roman"/>
                <w:color w:val="auto"/>
                <w:lang w:val="en-US" w:eastAsia="zh-CN" w:bidi="ar"/>
              </w:rPr>
              <w:t>）。</w:t>
            </w:r>
          </w:p>
        </w:tc>
      </w:tr>
      <w:tr w14:paraId="1028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86" w:type="pct"/>
            <w:vMerge w:val="restart"/>
            <w:tcBorders>
              <w:tl2br w:val="nil"/>
              <w:tr2bl w:val="nil"/>
            </w:tcBorders>
            <w:shd w:val="clear" w:color="auto" w:fill="auto"/>
            <w:noWrap/>
            <w:vAlign w:val="center"/>
          </w:tcPr>
          <w:p w14:paraId="69BE69E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百791井</w:t>
            </w:r>
          </w:p>
        </w:tc>
        <w:tc>
          <w:tcPr>
            <w:tcW w:w="748" w:type="pct"/>
            <w:tcBorders>
              <w:tl2br w:val="nil"/>
              <w:tr2bl w:val="nil"/>
            </w:tcBorders>
            <w:shd w:val="clear" w:color="auto" w:fill="auto"/>
            <w:noWrap/>
            <w:vAlign w:val="center"/>
          </w:tcPr>
          <w:p w14:paraId="3FE4417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生态环境</w:t>
            </w:r>
          </w:p>
        </w:tc>
        <w:tc>
          <w:tcPr>
            <w:tcW w:w="3664" w:type="pct"/>
            <w:tcBorders>
              <w:tl2br w:val="nil"/>
              <w:tr2bl w:val="nil"/>
            </w:tcBorders>
            <w:shd w:val="clear" w:color="auto" w:fill="auto"/>
            <w:vAlign w:val="center"/>
          </w:tcPr>
          <w:p w14:paraId="4880C42F">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项目建设划定了施工作业范围和车辆行驶路线，未随意开设便道、扩大占用、扰动地表，施工结束后对施工迹地进行了清理平整，植被自然恢复。未发现捕猎野生动物、破坏野生动物巢穴的现象。</w:t>
            </w:r>
          </w:p>
        </w:tc>
      </w:tr>
      <w:tr w14:paraId="3018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86" w:type="pct"/>
            <w:vMerge w:val="continue"/>
            <w:tcBorders>
              <w:tl2br w:val="nil"/>
              <w:tr2bl w:val="nil"/>
            </w:tcBorders>
            <w:shd w:val="clear" w:color="auto" w:fill="auto"/>
            <w:noWrap/>
            <w:vAlign w:val="center"/>
          </w:tcPr>
          <w:p w14:paraId="4E51A362">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597D9D1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废气</w:t>
            </w:r>
          </w:p>
        </w:tc>
        <w:tc>
          <w:tcPr>
            <w:tcW w:w="3664" w:type="pct"/>
            <w:tcBorders>
              <w:tl2br w:val="nil"/>
              <w:tr2bl w:val="nil"/>
            </w:tcBorders>
            <w:shd w:val="clear" w:color="auto" w:fill="auto"/>
            <w:vAlign w:val="center"/>
          </w:tcPr>
          <w:p w14:paraId="429CDA91">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施工期间大气污染物主要为燃油机械废气、扬尘等。机械设备定期维护保养，使用符合国家质量标准的油品；施工车辆按规定路线行驶，物资运输加盖篷布；对大气环境的影响随施工的结束而消失。</w:t>
            </w:r>
          </w:p>
        </w:tc>
      </w:tr>
      <w:tr w14:paraId="44C7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86" w:type="pct"/>
            <w:vMerge w:val="continue"/>
            <w:tcBorders>
              <w:tl2br w:val="nil"/>
              <w:tr2bl w:val="nil"/>
            </w:tcBorders>
            <w:shd w:val="clear" w:color="auto" w:fill="auto"/>
            <w:noWrap/>
            <w:vAlign w:val="center"/>
          </w:tcPr>
          <w:p w14:paraId="5EBCAD4A">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2366391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废水</w:t>
            </w:r>
          </w:p>
        </w:tc>
        <w:tc>
          <w:tcPr>
            <w:tcW w:w="3664" w:type="pct"/>
            <w:tcBorders>
              <w:tl2br w:val="nil"/>
              <w:tr2bl w:val="nil"/>
            </w:tcBorders>
            <w:shd w:val="clear" w:color="auto" w:fill="auto"/>
            <w:vAlign w:val="center"/>
          </w:tcPr>
          <w:p w14:paraId="74F36B61">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钻井采用钻井液不落地工艺，钻井液循环利用，完井后回用于钻井液配置；钻井采用套管完井</w:t>
            </w:r>
            <w:r>
              <w:rPr>
                <w:rStyle w:val="55"/>
                <w:rFonts w:hint="default" w:ascii="Times New Roman" w:hAnsi="Times New Roman" w:eastAsia="宋体" w:cs="Times New Roman"/>
                <w:color w:val="auto"/>
                <w:lang w:val="en-US" w:eastAsia="zh-CN" w:bidi="ar"/>
              </w:rPr>
              <w:t>+</w:t>
            </w:r>
            <w:r>
              <w:rPr>
                <w:rStyle w:val="52"/>
                <w:rFonts w:hint="default" w:ascii="Times New Roman" w:hAnsi="Times New Roman" w:cs="Times New Roman"/>
                <w:color w:val="auto"/>
                <w:lang w:val="en-US" w:eastAsia="zh-CN" w:bidi="ar"/>
              </w:rPr>
              <w:t>水泥固井方式，对地下水层进行封堵隔离，保护地下水。施工期设有生活营地，生活污水经防渗收集池收集后委托克拉玛依市亨达服务有限公司清运。试油产生的废水由井口方罐收集后拉运至百口泉注输联合站压裂返排液处理装置处理，处理达标后回注油藏。</w:t>
            </w:r>
          </w:p>
        </w:tc>
      </w:tr>
      <w:tr w14:paraId="42B2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86" w:type="pct"/>
            <w:vMerge w:val="continue"/>
            <w:tcBorders>
              <w:tl2br w:val="nil"/>
              <w:tr2bl w:val="nil"/>
            </w:tcBorders>
            <w:shd w:val="clear" w:color="auto" w:fill="auto"/>
            <w:noWrap/>
            <w:vAlign w:val="center"/>
          </w:tcPr>
          <w:p w14:paraId="494E2108">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3E0D6FF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噪声</w:t>
            </w:r>
          </w:p>
        </w:tc>
        <w:tc>
          <w:tcPr>
            <w:tcW w:w="3664" w:type="pct"/>
            <w:tcBorders>
              <w:tl2br w:val="nil"/>
              <w:tr2bl w:val="nil"/>
            </w:tcBorders>
            <w:shd w:val="clear" w:color="auto" w:fill="auto"/>
            <w:vAlign w:val="center"/>
          </w:tcPr>
          <w:p w14:paraId="179169AB">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项目周边</w:t>
            </w:r>
            <w:r>
              <w:rPr>
                <w:rStyle w:val="55"/>
                <w:rFonts w:hint="default" w:ascii="Times New Roman" w:hAnsi="Times New Roman" w:eastAsia="宋体" w:cs="Times New Roman"/>
                <w:color w:val="auto"/>
                <w:lang w:val="en-US" w:eastAsia="zh-CN" w:bidi="ar"/>
              </w:rPr>
              <w:t>200m</w:t>
            </w:r>
            <w:r>
              <w:rPr>
                <w:rStyle w:val="52"/>
                <w:rFonts w:hint="default" w:ascii="Times New Roman" w:hAnsi="Times New Roman" w:cs="Times New Roman"/>
                <w:color w:val="auto"/>
                <w:lang w:val="en-US" w:eastAsia="zh-CN" w:bidi="ar"/>
              </w:rPr>
              <w:t>范围内无声环境敏感目标，施工期噪声影响随施工的结束而消失。</w:t>
            </w:r>
          </w:p>
        </w:tc>
      </w:tr>
      <w:tr w14:paraId="3675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86" w:type="pct"/>
            <w:vMerge w:val="continue"/>
            <w:tcBorders>
              <w:tl2br w:val="nil"/>
              <w:tr2bl w:val="nil"/>
            </w:tcBorders>
            <w:shd w:val="clear" w:color="auto" w:fill="auto"/>
            <w:noWrap/>
            <w:vAlign w:val="center"/>
          </w:tcPr>
          <w:p w14:paraId="7B08756A">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562A4F0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固体废物</w:t>
            </w:r>
          </w:p>
        </w:tc>
        <w:tc>
          <w:tcPr>
            <w:tcW w:w="3664" w:type="pct"/>
            <w:tcBorders>
              <w:tl2br w:val="nil"/>
              <w:tr2bl w:val="nil"/>
            </w:tcBorders>
            <w:shd w:val="clear" w:color="auto" w:fill="auto"/>
            <w:vAlign w:val="center"/>
          </w:tcPr>
          <w:p w14:paraId="448270B0">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钻井期采用水基钻井液，钻井采用钻井液不落地工艺，水基钻井岩屑暂存于岩屑专用储罐并由钻井单位委托新疆肖诺环保科技有限公司拉运处理，经克拉玛依市三达检测分析有限责任公司检测符合《油气田钻井固体废物综合利用污染物控制要求》（</w:t>
            </w:r>
            <w:r>
              <w:rPr>
                <w:rStyle w:val="55"/>
                <w:rFonts w:hint="default" w:ascii="Times New Roman" w:hAnsi="Times New Roman" w:eastAsia="宋体" w:cs="Times New Roman"/>
                <w:color w:val="auto"/>
                <w:lang w:val="en-US" w:eastAsia="zh-CN" w:bidi="ar"/>
              </w:rPr>
              <w:t>DB/T3997-2017</w:t>
            </w:r>
            <w:r>
              <w:rPr>
                <w:rStyle w:val="52"/>
                <w:rFonts w:hint="default" w:ascii="Times New Roman" w:hAnsi="Times New Roman" w:cs="Times New Roman"/>
                <w:color w:val="auto"/>
                <w:lang w:val="en-US" w:eastAsia="zh-CN" w:bidi="ar"/>
              </w:rPr>
              <w:t>）的标准；生活垃圾由垃圾箱收集后委托克拉玛依市鑫塔有限责任公司清运处理。</w:t>
            </w:r>
          </w:p>
        </w:tc>
      </w:tr>
      <w:tr w14:paraId="38C6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86" w:type="pct"/>
            <w:vMerge w:val="continue"/>
            <w:tcBorders>
              <w:tl2br w:val="nil"/>
              <w:tr2bl w:val="nil"/>
            </w:tcBorders>
            <w:shd w:val="clear" w:color="auto" w:fill="auto"/>
            <w:noWrap/>
            <w:vAlign w:val="center"/>
          </w:tcPr>
          <w:p w14:paraId="3D5C5C18">
            <w:pPr>
              <w:jc w:val="center"/>
              <w:rPr>
                <w:rFonts w:hint="default" w:ascii="Times New Roman" w:hAnsi="Times New Roman" w:eastAsia="宋体" w:cs="Times New Roman"/>
                <w:i w:val="0"/>
                <w:iCs w:val="0"/>
                <w:color w:val="auto"/>
                <w:sz w:val="22"/>
                <w:szCs w:val="22"/>
                <w:u w:val="none"/>
              </w:rPr>
            </w:pPr>
          </w:p>
        </w:tc>
        <w:tc>
          <w:tcPr>
            <w:tcW w:w="748" w:type="pct"/>
            <w:tcBorders>
              <w:tl2br w:val="nil"/>
              <w:tr2bl w:val="nil"/>
            </w:tcBorders>
            <w:shd w:val="clear" w:color="auto" w:fill="auto"/>
            <w:noWrap/>
            <w:vAlign w:val="center"/>
          </w:tcPr>
          <w:p w14:paraId="58F24FE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环境风险</w:t>
            </w:r>
          </w:p>
        </w:tc>
        <w:tc>
          <w:tcPr>
            <w:tcW w:w="3664" w:type="pct"/>
            <w:tcBorders>
              <w:tl2br w:val="nil"/>
              <w:tr2bl w:val="nil"/>
            </w:tcBorders>
            <w:shd w:val="clear" w:color="auto" w:fill="auto"/>
            <w:vAlign w:val="center"/>
          </w:tcPr>
          <w:p w14:paraId="6BE27551">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Style w:val="52"/>
                <w:rFonts w:hint="default" w:ascii="Times New Roman" w:hAnsi="Times New Roman" w:cs="Times New Roman"/>
                <w:color w:val="auto"/>
                <w:lang w:val="en-US" w:eastAsia="zh-CN" w:bidi="ar"/>
              </w:rPr>
              <w:t>钻井期间严格执行中国石油集团公司井控管理相关规定，未发生井喷、井漏和油气泄漏事件。建设单位已编制突发环境事件应急预案并已备案（备案编号</w:t>
            </w:r>
            <w:r>
              <w:rPr>
                <w:rStyle w:val="55"/>
                <w:rFonts w:hint="default" w:ascii="Times New Roman" w:hAnsi="Times New Roman" w:eastAsia="宋体" w:cs="Times New Roman"/>
                <w:color w:val="auto"/>
                <w:lang w:val="en-US" w:eastAsia="zh-CN" w:bidi="ar"/>
              </w:rPr>
              <w:t>650203-2023-031-L</w:t>
            </w:r>
            <w:r>
              <w:rPr>
                <w:rStyle w:val="52"/>
                <w:rFonts w:hint="default" w:ascii="Times New Roman" w:hAnsi="Times New Roman" w:cs="Times New Roman"/>
                <w:color w:val="auto"/>
                <w:lang w:val="en-US" w:eastAsia="zh-CN" w:bidi="ar"/>
              </w:rPr>
              <w:t>）。</w:t>
            </w:r>
          </w:p>
        </w:tc>
      </w:tr>
    </w:tbl>
    <w:p w14:paraId="3D9FBA0C">
      <w:pPr>
        <w:pStyle w:val="6"/>
        <w:bidi w:val="0"/>
        <w:rPr>
          <w:rFonts w:hint="default"/>
          <w:color w:val="auto"/>
          <w:lang w:val="en-US" w:eastAsia="zh-CN"/>
        </w:rPr>
      </w:pPr>
      <w:r>
        <w:rPr>
          <w:rFonts w:hint="eastAsia"/>
          <w:color w:val="auto"/>
          <w:lang w:val="en-US" w:eastAsia="zh-CN"/>
        </w:rPr>
        <w:t>3.1.4.3现有工程主要污染物排放情况</w:t>
      </w:r>
    </w:p>
    <w:p w14:paraId="4F5976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采取环保措施后，区域现有工程的废气可做到达标排放，采出水及措施返排液回注油层，生活污水综合利用不外排，固体废物得到合理处置，</w:t>
      </w:r>
      <w:r>
        <w:rPr>
          <w:rFonts w:hint="eastAsia" w:ascii="宋体" w:hAnsi="宋体" w:eastAsia="宋体" w:cs="宋体"/>
          <w:color w:val="auto"/>
          <w:sz w:val="24"/>
          <w:szCs w:val="28"/>
        </w:rPr>
        <w:t>“三废”排</w:t>
      </w:r>
      <w:r>
        <w:rPr>
          <w:color w:val="auto"/>
          <w:sz w:val="24"/>
          <w:szCs w:val="28"/>
        </w:rPr>
        <w:t>放统计见</w:t>
      </w:r>
      <w:r>
        <w:rPr>
          <w:rFonts w:hint="default"/>
          <w:color w:val="auto"/>
          <w:sz w:val="24"/>
          <w:szCs w:val="28"/>
          <w:lang w:val="en-US"/>
        </w:rPr>
        <w:fldChar w:fldCharType="begin"/>
      </w:r>
      <w:r>
        <w:rPr>
          <w:rFonts w:hint="default"/>
          <w:color w:val="auto"/>
          <w:sz w:val="24"/>
          <w:szCs w:val="28"/>
          <w:lang w:val="en-US"/>
        </w:rPr>
        <w:instrText xml:space="preserve"> REF _Ref4510 \h </w:instrText>
      </w:r>
      <w:r>
        <w:rPr>
          <w:rFonts w:hint="default"/>
          <w:color w:val="auto"/>
          <w:sz w:val="24"/>
          <w:szCs w:val="28"/>
          <w:lang w:val="en-US"/>
        </w:rPr>
        <w:fldChar w:fldCharType="separate"/>
      </w:r>
      <w:r>
        <w:rPr>
          <w:color w:val="auto"/>
          <w:sz w:val="24"/>
          <w:szCs w:val="28"/>
        </w:rPr>
        <w:t>表</w:t>
      </w:r>
      <w:r>
        <w:rPr>
          <w:color w:val="auto"/>
          <w:sz w:val="24"/>
          <w:szCs w:val="28"/>
        </w:rPr>
        <w:fldChar w:fldCharType="begin"/>
      </w:r>
      <w:r>
        <w:rPr>
          <w:color w:val="auto"/>
          <w:sz w:val="24"/>
          <w:szCs w:val="28"/>
        </w:rPr>
        <w:instrText xml:space="preserve"> STYLEREF 2 \s </w:instrText>
      </w:r>
      <w:r>
        <w:rPr>
          <w:color w:val="auto"/>
          <w:sz w:val="24"/>
          <w:szCs w:val="28"/>
        </w:rPr>
        <w:fldChar w:fldCharType="separate"/>
      </w:r>
      <w:r>
        <w:rPr>
          <w:color w:val="auto"/>
          <w:sz w:val="24"/>
          <w:szCs w:val="28"/>
        </w:rPr>
        <w:t>3.</w:t>
      </w:r>
      <w:r>
        <w:rPr>
          <w:rFonts w:hint="eastAsia"/>
          <w:color w:val="auto"/>
          <w:sz w:val="24"/>
          <w:szCs w:val="28"/>
          <w:lang w:val="en-US" w:eastAsia="zh-CN"/>
        </w:rPr>
        <w:t>1</w:t>
      </w:r>
      <w:r>
        <w:rPr>
          <w:color w:val="auto"/>
          <w:sz w:val="24"/>
          <w:szCs w:val="28"/>
        </w:rPr>
        <w:fldChar w:fldCharType="end"/>
      </w:r>
      <w:r>
        <w:rPr>
          <w:rFonts w:hint="eastAsia"/>
          <w:color w:val="auto"/>
          <w:sz w:val="24"/>
          <w:szCs w:val="28"/>
          <w:lang w:eastAsia="zh-CN"/>
        </w:rPr>
        <w:t>-</w:t>
      </w:r>
      <w:r>
        <w:rPr>
          <w:rFonts w:hint="eastAsia"/>
          <w:color w:val="auto"/>
          <w:sz w:val="24"/>
          <w:szCs w:val="28"/>
          <w:lang w:val="en-US" w:eastAsia="zh-CN"/>
        </w:rPr>
        <w:t>2</w:t>
      </w:r>
      <w:r>
        <w:rPr>
          <w:rFonts w:hint="default"/>
          <w:color w:val="auto"/>
          <w:sz w:val="24"/>
          <w:szCs w:val="28"/>
          <w:lang w:val="en-US"/>
        </w:rPr>
        <w:fldChar w:fldCharType="end"/>
      </w:r>
      <w:r>
        <w:rPr>
          <w:rFonts w:hint="eastAsia"/>
          <w:color w:val="auto"/>
          <w:sz w:val="24"/>
          <w:szCs w:val="28"/>
          <w:lang w:val="en-US" w:eastAsia="zh-CN"/>
        </w:rPr>
        <w:t>0</w:t>
      </w:r>
      <w:r>
        <w:rPr>
          <w:color w:val="auto"/>
          <w:sz w:val="24"/>
          <w:szCs w:val="28"/>
        </w:rPr>
        <w:t>。</w:t>
      </w:r>
    </w:p>
    <w:p w14:paraId="2946133A">
      <w:pPr>
        <w:pStyle w:val="43"/>
        <w:bidi w:val="0"/>
        <w:rPr>
          <w:rFonts w:cs="Times New Roman"/>
          <w:color w:val="auto"/>
        </w:rPr>
      </w:pPr>
      <w:bookmarkStart w:id="155" w:name="_Ref4510"/>
      <w:r>
        <w:rPr>
          <w:color w:val="auto"/>
        </w:rPr>
        <w:t>表</w:t>
      </w:r>
      <w:r>
        <w:rPr>
          <w:color w:val="auto"/>
        </w:rPr>
        <w:fldChar w:fldCharType="begin"/>
      </w:r>
      <w:r>
        <w:rPr>
          <w:color w:val="auto"/>
        </w:rPr>
        <w:instrText xml:space="preserve"> STYLEREF 2 \s </w:instrText>
      </w:r>
      <w:r>
        <w:rPr>
          <w:color w:val="auto"/>
        </w:rPr>
        <w:fldChar w:fldCharType="separate"/>
      </w:r>
      <w:r>
        <w:rPr>
          <w:color w:val="auto"/>
        </w:rPr>
        <w:t>3.</w:t>
      </w:r>
      <w:r>
        <w:rPr>
          <w:rFonts w:hint="eastAsia"/>
          <w:color w:val="auto"/>
          <w:lang w:val="en-US" w:eastAsia="zh-CN"/>
        </w:rPr>
        <w:t>1</w:t>
      </w:r>
      <w:r>
        <w:rPr>
          <w:color w:val="auto"/>
        </w:rPr>
        <w:fldChar w:fldCharType="end"/>
      </w:r>
      <w:r>
        <w:rPr>
          <w:rFonts w:hint="eastAsia"/>
          <w:color w:val="auto"/>
          <w:lang w:eastAsia="zh-CN"/>
        </w:rPr>
        <w:t>-</w:t>
      </w:r>
      <w:bookmarkEnd w:id="155"/>
      <w:r>
        <w:rPr>
          <w:rFonts w:hint="eastAsia"/>
          <w:color w:val="auto"/>
          <w:lang w:val="en-US" w:eastAsia="zh-CN"/>
        </w:rPr>
        <w:t>20</w:t>
      </w:r>
      <w:r>
        <w:rPr>
          <w:rFonts w:cs="Times New Roman"/>
          <w:color w:val="auto"/>
        </w:rPr>
        <w:t xml:space="preserve">  现有工程污染物排放情况一览表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814"/>
        <w:gridCol w:w="1183"/>
        <w:gridCol w:w="341"/>
        <w:gridCol w:w="2019"/>
        <w:gridCol w:w="1374"/>
        <w:gridCol w:w="1216"/>
        <w:gridCol w:w="1461"/>
      </w:tblGrid>
      <w:tr w14:paraId="58BA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jc w:val="center"/>
        </w:trPr>
        <w:tc>
          <w:tcPr>
            <w:tcW w:w="484" w:type="pct"/>
            <w:shd w:val="clear" w:color="auto" w:fill="auto"/>
            <w:vAlign w:val="center"/>
          </w:tcPr>
          <w:p w14:paraId="0B54F0E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106" w:type="pct"/>
            <w:gridSpan w:val="3"/>
            <w:shd w:val="clear" w:color="auto" w:fill="auto"/>
            <w:vAlign w:val="center"/>
          </w:tcPr>
          <w:p w14:paraId="362E80C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817" w:type="pct"/>
            <w:shd w:val="clear" w:color="auto" w:fill="auto"/>
            <w:vAlign w:val="center"/>
          </w:tcPr>
          <w:p w14:paraId="19CD709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723" w:type="pct"/>
            <w:shd w:val="clear" w:color="auto" w:fill="auto"/>
            <w:vAlign w:val="center"/>
          </w:tcPr>
          <w:p w14:paraId="309D9C2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削减量</w:t>
            </w:r>
          </w:p>
        </w:tc>
        <w:tc>
          <w:tcPr>
            <w:tcW w:w="868" w:type="pct"/>
            <w:shd w:val="clear" w:color="auto" w:fill="auto"/>
            <w:vAlign w:val="center"/>
          </w:tcPr>
          <w:p w14:paraId="67080FF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tc>
      </w:tr>
      <w:tr w14:paraId="0DBE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84" w:type="pct"/>
            <w:vMerge w:val="restart"/>
            <w:shd w:val="clear" w:color="auto" w:fill="auto"/>
            <w:vAlign w:val="center"/>
          </w:tcPr>
          <w:p w14:paraId="04060C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03" w:type="pct"/>
            <w:vMerge w:val="restart"/>
            <w:shd w:val="clear" w:color="auto" w:fill="auto"/>
            <w:vAlign w:val="center"/>
          </w:tcPr>
          <w:p w14:paraId="6801115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有组织</w:t>
            </w:r>
          </w:p>
        </w:tc>
        <w:tc>
          <w:tcPr>
            <w:tcW w:w="1403" w:type="pct"/>
            <w:gridSpan w:val="2"/>
            <w:shd w:val="clear" w:color="auto" w:fill="auto"/>
            <w:vAlign w:val="center"/>
          </w:tcPr>
          <w:p w14:paraId="04A250D9">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废气量（10</w:t>
            </w:r>
            <w:r>
              <w:rPr>
                <w:rFonts w:hint="default" w:ascii="Times New Roman" w:hAnsi="Times New Roman" w:eastAsia="宋体" w:cs="Times New Roman"/>
                <w:color w:val="auto"/>
                <w:sz w:val="21"/>
                <w:szCs w:val="21"/>
                <w:vertAlign w:val="superscript"/>
              </w:rPr>
              <w:t>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817" w:type="pct"/>
            <w:shd w:val="clear" w:color="auto" w:fill="auto"/>
            <w:vAlign w:val="center"/>
          </w:tcPr>
          <w:p w14:paraId="230BC5B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16643.1</w:t>
            </w:r>
          </w:p>
        </w:tc>
        <w:tc>
          <w:tcPr>
            <w:tcW w:w="723" w:type="pct"/>
            <w:shd w:val="clear" w:color="auto" w:fill="auto"/>
            <w:vAlign w:val="center"/>
          </w:tcPr>
          <w:p w14:paraId="1176D39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461" w:type="dxa"/>
            <w:shd w:val="clear" w:color="auto" w:fill="auto"/>
            <w:vAlign w:val="center"/>
          </w:tcPr>
          <w:p w14:paraId="2CC56C6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16643.1</w:t>
            </w:r>
          </w:p>
        </w:tc>
      </w:tr>
      <w:tr w14:paraId="71C4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3A3F146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03" w:type="pct"/>
            <w:vMerge w:val="continue"/>
            <w:shd w:val="clear" w:color="auto" w:fill="auto"/>
            <w:vAlign w:val="center"/>
          </w:tcPr>
          <w:p w14:paraId="5A54D8E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403" w:type="pct"/>
            <w:gridSpan w:val="2"/>
            <w:shd w:val="clear" w:color="auto" w:fill="auto"/>
            <w:vAlign w:val="center"/>
          </w:tcPr>
          <w:p w14:paraId="20E5000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颗粒物</w:t>
            </w:r>
            <w:r>
              <w:rPr>
                <w:rFonts w:hint="default" w:ascii="Times New Roman" w:hAnsi="Times New Roman" w:eastAsia="宋体" w:cs="Times New Roman"/>
                <w:color w:val="auto"/>
                <w:sz w:val="21"/>
                <w:szCs w:val="21"/>
              </w:rPr>
              <w:t>（t/a）</w:t>
            </w:r>
          </w:p>
        </w:tc>
        <w:tc>
          <w:tcPr>
            <w:tcW w:w="817" w:type="pct"/>
            <w:shd w:val="clear" w:color="auto" w:fill="auto"/>
            <w:vAlign w:val="center"/>
          </w:tcPr>
          <w:p w14:paraId="74B9A16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0.45</w:t>
            </w:r>
          </w:p>
        </w:tc>
        <w:tc>
          <w:tcPr>
            <w:tcW w:w="723" w:type="pct"/>
            <w:shd w:val="clear" w:color="auto" w:fill="auto"/>
            <w:vAlign w:val="center"/>
          </w:tcPr>
          <w:p w14:paraId="5335FA2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461" w:type="dxa"/>
            <w:shd w:val="clear" w:color="auto" w:fill="auto"/>
            <w:vAlign w:val="center"/>
          </w:tcPr>
          <w:p w14:paraId="6835521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0.45</w:t>
            </w:r>
          </w:p>
        </w:tc>
      </w:tr>
      <w:tr w14:paraId="0B90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1EB28AF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03" w:type="pct"/>
            <w:vMerge w:val="continue"/>
            <w:shd w:val="clear" w:color="auto" w:fill="auto"/>
            <w:vAlign w:val="center"/>
          </w:tcPr>
          <w:p w14:paraId="1F454EF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403" w:type="pct"/>
            <w:gridSpan w:val="2"/>
            <w:shd w:val="clear" w:color="auto" w:fill="auto"/>
            <w:vAlign w:val="center"/>
          </w:tcPr>
          <w:p w14:paraId="6A28046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（t/a）</w:t>
            </w:r>
          </w:p>
        </w:tc>
        <w:tc>
          <w:tcPr>
            <w:tcW w:w="817" w:type="pct"/>
            <w:shd w:val="clear" w:color="auto" w:fill="auto"/>
            <w:vAlign w:val="center"/>
          </w:tcPr>
          <w:p w14:paraId="1768711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0.33</w:t>
            </w:r>
          </w:p>
        </w:tc>
        <w:tc>
          <w:tcPr>
            <w:tcW w:w="723" w:type="pct"/>
            <w:shd w:val="clear" w:color="auto" w:fill="auto"/>
            <w:vAlign w:val="center"/>
          </w:tcPr>
          <w:p w14:paraId="35896E7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461" w:type="dxa"/>
            <w:shd w:val="clear" w:color="auto" w:fill="auto"/>
            <w:vAlign w:val="center"/>
          </w:tcPr>
          <w:p w14:paraId="424AC68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0.33</w:t>
            </w:r>
          </w:p>
        </w:tc>
      </w:tr>
      <w:tr w14:paraId="65A6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52AF3ED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03" w:type="pct"/>
            <w:vMerge w:val="continue"/>
            <w:shd w:val="clear" w:color="auto" w:fill="auto"/>
            <w:vAlign w:val="center"/>
          </w:tcPr>
          <w:p w14:paraId="6958D06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403" w:type="pct"/>
            <w:gridSpan w:val="2"/>
            <w:shd w:val="clear" w:color="auto" w:fill="auto"/>
            <w:vAlign w:val="center"/>
          </w:tcPr>
          <w:p w14:paraId="640612B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（t/a）</w:t>
            </w:r>
          </w:p>
        </w:tc>
        <w:tc>
          <w:tcPr>
            <w:tcW w:w="817" w:type="pct"/>
            <w:shd w:val="clear" w:color="auto" w:fill="auto"/>
            <w:vAlign w:val="center"/>
          </w:tcPr>
          <w:p w14:paraId="759A87F7">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8.54</w:t>
            </w:r>
          </w:p>
        </w:tc>
        <w:tc>
          <w:tcPr>
            <w:tcW w:w="723" w:type="pct"/>
            <w:shd w:val="clear" w:color="auto" w:fill="auto"/>
            <w:vAlign w:val="center"/>
          </w:tcPr>
          <w:p w14:paraId="79AA83D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461" w:type="dxa"/>
            <w:shd w:val="clear" w:color="auto" w:fill="auto"/>
            <w:vAlign w:val="center"/>
          </w:tcPr>
          <w:p w14:paraId="3EB1F1C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8.54</w:t>
            </w:r>
          </w:p>
        </w:tc>
      </w:tr>
      <w:tr w14:paraId="0EE1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5C1845B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03" w:type="pct"/>
            <w:shd w:val="clear" w:color="auto" w:fill="auto"/>
            <w:vAlign w:val="center"/>
          </w:tcPr>
          <w:p w14:paraId="03C4B8E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无组织</w:t>
            </w:r>
          </w:p>
        </w:tc>
        <w:tc>
          <w:tcPr>
            <w:tcW w:w="1403" w:type="pct"/>
            <w:gridSpan w:val="2"/>
            <w:shd w:val="clear" w:color="auto" w:fill="auto"/>
            <w:vAlign w:val="center"/>
          </w:tcPr>
          <w:p w14:paraId="51165D8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烃类（t/a）</w:t>
            </w:r>
          </w:p>
        </w:tc>
        <w:tc>
          <w:tcPr>
            <w:tcW w:w="817" w:type="pct"/>
            <w:shd w:val="clear" w:color="auto" w:fill="auto"/>
            <w:vAlign w:val="center"/>
          </w:tcPr>
          <w:p w14:paraId="621B933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16.44</w:t>
            </w:r>
          </w:p>
        </w:tc>
        <w:tc>
          <w:tcPr>
            <w:tcW w:w="723" w:type="pct"/>
            <w:shd w:val="clear" w:color="auto" w:fill="auto"/>
            <w:vAlign w:val="center"/>
          </w:tcPr>
          <w:p w14:paraId="3C7D339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461" w:type="dxa"/>
            <w:shd w:val="clear" w:color="auto" w:fill="auto"/>
            <w:vAlign w:val="center"/>
          </w:tcPr>
          <w:p w14:paraId="08014B8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16.44</w:t>
            </w:r>
          </w:p>
        </w:tc>
      </w:tr>
      <w:tr w14:paraId="564A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restart"/>
            <w:shd w:val="clear" w:color="auto" w:fill="auto"/>
            <w:vAlign w:val="center"/>
          </w:tcPr>
          <w:p w14:paraId="554E6E3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906" w:type="pct"/>
            <w:gridSpan w:val="2"/>
            <w:vMerge w:val="restart"/>
            <w:shd w:val="clear" w:color="auto" w:fill="auto"/>
            <w:vAlign w:val="center"/>
          </w:tcPr>
          <w:p w14:paraId="2FD46DB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采出水</w:t>
            </w:r>
          </w:p>
        </w:tc>
        <w:tc>
          <w:tcPr>
            <w:tcW w:w="1200" w:type="pct"/>
            <w:shd w:val="clear" w:color="auto" w:fill="auto"/>
            <w:vAlign w:val="center"/>
          </w:tcPr>
          <w:p w14:paraId="163E55D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水量（10</w:t>
            </w:r>
            <w:r>
              <w:rPr>
                <w:rFonts w:hint="default" w:ascii="Times New Roman" w:hAnsi="Times New Roman" w:eastAsia="宋体" w:cs="Times New Roman"/>
                <w:color w:val="auto"/>
                <w:sz w:val="21"/>
                <w:szCs w:val="21"/>
                <w:vertAlign w:val="superscript"/>
              </w:rPr>
              <w:t>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817" w:type="pct"/>
            <w:shd w:val="clear" w:color="auto" w:fill="auto"/>
            <w:vAlign w:val="center"/>
          </w:tcPr>
          <w:p w14:paraId="59CC14D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100.38</w:t>
            </w:r>
          </w:p>
        </w:tc>
        <w:tc>
          <w:tcPr>
            <w:tcW w:w="723" w:type="pct"/>
            <w:shd w:val="clear" w:color="auto" w:fill="auto"/>
            <w:vAlign w:val="center"/>
          </w:tcPr>
          <w:p w14:paraId="0D8AB722">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100.38</w:t>
            </w:r>
          </w:p>
        </w:tc>
        <w:tc>
          <w:tcPr>
            <w:tcW w:w="868" w:type="pct"/>
            <w:shd w:val="clear" w:color="auto" w:fill="auto"/>
            <w:vAlign w:val="center"/>
          </w:tcPr>
          <w:p w14:paraId="4A94D1E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r w14:paraId="1C0A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0C3E048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906" w:type="pct"/>
            <w:gridSpan w:val="2"/>
            <w:vMerge w:val="continue"/>
            <w:shd w:val="clear" w:color="auto" w:fill="auto"/>
            <w:vAlign w:val="center"/>
          </w:tcPr>
          <w:p w14:paraId="2B03334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00" w:type="pct"/>
            <w:shd w:val="clear" w:color="auto" w:fill="auto"/>
            <w:vAlign w:val="center"/>
          </w:tcPr>
          <w:p w14:paraId="22378DA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石油类（t/a）</w:t>
            </w:r>
          </w:p>
        </w:tc>
        <w:tc>
          <w:tcPr>
            <w:tcW w:w="817" w:type="pct"/>
            <w:shd w:val="clear" w:color="auto" w:fill="auto"/>
            <w:vAlign w:val="center"/>
          </w:tcPr>
          <w:p w14:paraId="1FEEA880">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100.38</w:t>
            </w:r>
          </w:p>
        </w:tc>
        <w:tc>
          <w:tcPr>
            <w:tcW w:w="723" w:type="pct"/>
            <w:shd w:val="clear" w:color="auto" w:fill="auto"/>
            <w:vAlign w:val="center"/>
          </w:tcPr>
          <w:p w14:paraId="1C51557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100.38</w:t>
            </w:r>
          </w:p>
        </w:tc>
        <w:tc>
          <w:tcPr>
            <w:tcW w:w="868" w:type="pct"/>
            <w:shd w:val="clear" w:color="auto" w:fill="auto"/>
            <w:vAlign w:val="center"/>
          </w:tcPr>
          <w:p w14:paraId="0E688D4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r w14:paraId="045A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29657E5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906" w:type="pct"/>
            <w:gridSpan w:val="2"/>
            <w:vMerge w:val="continue"/>
            <w:shd w:val="clear" w:color="auto" w:fill="auto"/>
            <w:vAlign w:val="center"/>
          </w:tcPr>
          <w:p w14:paraId="336D032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00" w:type="pct"/>
            <w:shd w:val="clear" w:color="auto" w:fill="auto"/>
            <w:vAlign w:val="center"/>
          </w:tcPr>
          <w:p w14:paraId="48308F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SS（t/a）</w:t>
            </w:r>
          </w:p>
        </w:tc>
        <w:tc>
          <w:tcPr>
            <w:tcW w:w="817" w:type="pct"/>
            <w:shd w:val="clear" w:color="auto" w:fill="auto"/>
            <w:vAlign w:val="center"/>
          </w:tcPr>
          <w:p w14:paraId="5372994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35.13</w:t>
            </w:r>
          </w:p>
        </w:tc>
        <w:tc>
          <w:tcPr>
            <w:tcW w:w="723" w:type="pct"/>
            <w:shd w:val="clear" w:color="auto" w:fill="auto"/>
            <w:vAlign w:val="center"/>
          </w:tcPr>
          <w:p w14:paraId="2C033925">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35.13</w:t>
            </w:r>
          </w:p>
        </w:tc>
        <w:tc>
          <w:tcPr>
            <w:tcW w:w="868" w:type="pct"/>
            <w:shd w:val="clear" w:color="auto" w:fill="auto"/>
            <w:vAlign w:val="center"/>
          </w:tcPr>
          <w:p w14:paraId="3719108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r w14:paraId="3933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333818C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906" w:type="pct"/>
            <w:gridSpan w:val="2"/>
            <w:vMerge w:val="restart"/>
            <w:shd w:val="clear" w:color="auto" w:fill="auto"/>
            <w:vAlign w:val="center"/>
          </w:tcPr>
          <w:p w14:paraId="724B5D4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井下作业废水</w:t>
            </w:r>
          </w:p>
        </w:tc>
        <w:tc>
          <w:tcPr>
            <w:tcW w:w="1200" w:type="pct"/>
            <w:shd w:val="clear" w:color="auto" w:fill="auto"/>
            <w:vAlign w:val="center"/>
          </w:tcPr>
          <w:p w14:paraId="0AB2DE4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水量（10</w:t>
            </w:r>
            <w:r>
              <w:rPr>
                <w:rFonts w:hint="default" w:ascii="Times New Roman" w:hAnsi="Times New Roman" w:eastAsia="宋体" w:cs="Times New Roman"/>
                <w:color w:val="auto"/>
                <w:sz w:val="21"/>
                <w:szCs w:val="21"/>
                <w:vertAlign w:val="superscript"/>
              </w:rPr>
              <w:t>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817" w:type="pct"/>
            <w:shd w:val="clear" w:color="auto" w:fill="auto"/>
            <w:vAlign w:val="center"/>
          </w:tcPr>
          <w:p w14:paraId="1D00BBD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5.236</w:t>
            </w:r>
          </w:p>
        </w:tc>
        <w:tc>
          <w:tcPr>
            <w:tcW w:w="723" w:type="pct"/>
            <w:shd w:val="clear" w:color="auto" w:fill="auto"/>
            <w:vAlign w:val="center"/>
          </w:tcPr>
          <w:p w14:paraId="7929A3F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5.236</w:t>
            </w:r>
          </w:p>
        </w:tc>
        <w:tc>
          <w:tcPr>
            <w:tcW w:w="868" w:type="pct"/>
            <w:shd w:val="clear" w:color="auto" w:fill="auto"/>
            <w:vAlign w:val="center"/>
          </w:tcPr>
          <w:p w14:paraId="7117F99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r w14:paraId="4EFE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20A665E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906" w:type="pct"/>
            <w:gridSpan w:val="2"/>
            <w:vMerge w:val="continue"/>
            <w:shd w:val="clear" w:color="auto" w:fill="auto"/>
            <w:vAlign w:val="center"/>
          </w:tcPr>
          <w:p w14:paraId="68A65BC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00" w:type="pct"/>
            <w:shd w:val="clear" w:color="auto" w:fill="auto"/>
            <w:vAlign w:val="center"/>
          </w:tcPr>
          <w:p w14:paraId="45EE145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石油类（t/a）</w:t>
            </w:r>
          </w:p>
        </w:tc>
        <w:tc>
          <w:tcPr>
            <w:tcW w:w="817" w:type="pct"/>
            <w:shd w:val="clear" w:color="auto" w:fill="auto"/>
            <w:vAlign w:val="center"/>
          </w:tcPr>
          <w:p w14:paraId="2BD1DC8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5.24</w:t>
            </w:r>
          </w:p>
        </w:tc>
        <w:tc>
          <w:tcPr>
            <w:tcW w:w="723" w:type="pct"/>
            <w:shd w:val="clear" w:color="auto" w:fill="auto"/>
            <w:vAlign w:val="center"/>
          </w:tcPr>
          <w:p w14:paraId="5E11D98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5.24</w:t>
            </w:r>
          </w:p>
        </w:tc>
        <w:tc>
          <w:tcPr>
            <w:tcW w:w="868" w:type="pct"/>
            <w:shd w:val="clear" w:color="auto" w:fill="auto"/>
            <w:vAlign w:val="center"/>
          </w:tcPr>
          <w:p w14:paraId="6132AF6D">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r w14:paraId="1A11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4DB5C33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906" w:type="pct"/>
            <w:gridSpan w:val="2"/>
            <w:vMerge w:val="continue"/>
            <w:shd w:val="clear" w:color="auto" w:fill="auto"/>
            <w:vAlign w:val="center"/>
          </w:tcPr>
          <w:p w14:paraId="3D7A25F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00" w:type="pct"/>
            <w:shd w:val="clear" w:color="auto" w:fill="auto"/>
            <w:vAlign w:val="center"/>
          </w:tcPr>
          <w:p w14:paraId="6BD6047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SS（t/a）</w:t>
            </w:r>
          </w:p>
        </w:tc>
        <w:tc>
          <w:tcPr>
            <w:tcW w:w="817" w:type="pct"/>
            <w:shd w:val="clear" w:color="auto" w:fill="auto"/>
            <w:vAlign w:val="center"/>
          </w:tcPr>
          <w:p w14:paraId="02B3FDD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1.83</w:t>
            </w:r>
          </w:p>
        </w:tc>
        <w:tc>
          <w:tcPr>
            <w:tcW w:w="723" w:type="pct"/>
            <w:shd w:val="clear" w:color="auto" w:fill="auto"/>
            <w:vAlign w:val="center"/>
          </w:tcPr>
          <w:p w14:paraId="31CD95B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1.83</w:t>
            </w:r>
          </w:p>
        </w:tc>
        <w:tc>
          <w:tcPr>
            <w:tcW w:w="1461" w:type="dxa"/>
            <w:shd w:val="clear" w:color="auto" w:fill="auto"/>
            <w:vAlign w:val="center"/>
          </w:tcPr>
          <w:p w14:paraId="5BB5CF19">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602E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restart"/>
            <w:shd w:val="clear" w:color="auto" w:fill="auto"/>
            <w:vAlign w:val="center"/>
          </w:tcPr>
          <w:p w14:paraId="173E8B0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2106" w:type="pct"/>
            <w:gridSpan w:val="3"/>
            <w:shd w:val="clear" w:color="auto" w:fill="auto"/>
            <w:vAlign w:val="center"/>
          </w:tcPr>
          <w:p w14:paraId="0AB8503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落地油（t/a）</w:t>
            </w:r>
          </w:p>
        </w:tc>
        <w:tc>
          <w:tcPr>
            <w:tcW w:w="817" w:type="pct"/>
            <w:shd w:val="clear" w:color="auto" w:fill="auto"/>
            <w:vAlign w:val="center"/>
          </w:tcPr>
          <w:p w14:paraId="1D6498B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7.48</w:t>
            </w:r>
          </w:p>
        </w:tc>
        <w:tc>
          <w:tcPr>
            <w:tcW w:w="723" w:type="pct"/>
            <w:shd w:val="clear" w:color="auto" w:fill="auto"/>
            <w:vAlign w:val="center"/>
          </w:tcPr>
          <w:p w14:paraId="33C72BE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7.48</w:t>
            </w:r>
          </w:p>
        </w:tc>
        <w:tc>
          <w:tcPr>
            <w:tcW w:w="1461" w:type="dxa"/>
            <w:shd w:val="clear" w:color="auto" w:fill="auto"/>
            <w:vAlign w:val="center"/>
          </w:tcPr>
          <w:p w14:paraId="265D5F6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r w14:paraId="72E8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67B201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2106" w:type="pct"/>
            <w:gridSpan w:val="3"/>
            <w:shd w:val="clear" w:color="auto" w:fill="auto"/>
            <w:vAlign w:val="center"/>
          </w:tcPr>
          <w:p w14:paraId="787D0F1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含油污泥（t/a）</w:t>
            </w:r>
          </w:p>
        </w:tc>
        <w:tc>
          <w:tcPr>
            <w:tcW w:w="817" w:type="pct"/>
            <w:shd w:val="clear" w:color="auto" w:fill="auto"/>
            <w:vAlign w:val="center"/>
          </w:tcPr>
          <w:p w14:paraId="0AFB675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735.6</w:t>
            </w:r>
          </w:p>
        </w:tc>
        <w:tc>
          <w:tcPr>
            <w:tcW w:w="723" w:type="pct"/>
            <w:shd w:val="clear" w:color="auto" w:fill="auto"/>
            <w:vAlign w:val="center"/>
          </w:tcPr>
          <w:p w14:paraId="6F56E865">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735.6</w:t>
            </w:r>
          </w:p>
        </w:tc>
        <w:tc>
          <w:tcPr>
            <w:tcW w:w="1461" w:type="dxa"/>
            <w:shd w:val="clear" w:color="auto" w:fill="auto"/>
            <w:vAlign w:val="center"/>
          </w:tcPr>
          <w:p w14:paraId="5F80AB2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r w14:paraId="5CA5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571D5C9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2106" w:type="pct"/>
            <w:gridSpan w:val="3"/>
            <w:shd w:val="clear" w:color="auto" w:fill="auto"/>
            <w:vAlign w:val="center"/>
          </w:tcPr>
          <w:p w14:paraId="0FB14741">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沾油废物</w:t>
            </w:r>
            <w:r>
              <w:rPr>
                <w:rFonts w:hint="default" w:ascii="Times New Roman" w:hAnsi="Times New Roman" w:eastAsia="宋体" w:cs="Times New Roman"/>
                <w:color w:val="auto"/>
                <w:sz w:val="21"/>
                <w:szCs w:val="21"/>
              </w:rPr>
              <w:t>（t/a）</w:t>
            </w:r>
          </w:p>
        </w:tc>
        <w:tc>
          <w:tcPr>
            <w:tcW w:w="817" w:type="pct"/>
            <w:shd w:val="clear" w:color="auto" w:fill="auto"/>
            <w:vAlign w:val="center"/>
          </w:tcPr>
          <w:p w14:paraId="69F5C84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9.8</w:t>
            </w:r>
          </w:p>
        </w:tc>
        <w:tc>
          <w:tcPr>
            <w:tcW w:w="723" w:type="pct"/>
            <w:shd w:val="clear" w:color="auto" w:fill="auto"/>
            <w:vAlign w:val="center"/>
          </w:tcPr>
          <w:p w14:paraId="1B876EF4">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9.8</w:t>
            </w:r>
          </w:p>
        </w:tc>
        <w:tc>
          <w:tcPr>
            <w:tcW w:w="1461" w:type="dxa"/>
            <w:shd w:val="clear" w:color="auto" w:fill="auto"/>
            <w:vAlign w:val="center"/>
          </w:tcPr>
          <w:p w14:paraId="30C342DB">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r w14:paraId="0339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484" w:type="pct"/>
            <w:vMerge w:val="continue"/>
            <w:shd w:val="clear" w:color="auto" w:fill="auto"/>
            <w:vAlign w:val="center"/>
          </w:tcPr>
          <w:p w14:paraId="5A4CD46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2106" w:type="pct"/>
            <w:gridSpan w:val="3"/>
            <w:shd w:val="clear" w:color="auto" w:fill="auto"/>
            <w:vAlign w:val="center"/>
          </w:tcPr>
          <w:p w14:paraId="0A2923F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生活垃圾（t/a）</w:t>
            </w:r>
          </w:p>
        </w:tc>
        <w:tc>
          <w:tcPr>
            <w:tcW w:w="817" w:type="pct"/>
            <w:shd w:val="clear" w:color="auto" w:fill="auto"/>
            <w:vAlign w:val="center"/>
          </w:tcPr>
          <w:p w14:paraId="1D7B382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14.85</w:t>
            </w:r>
          </w:p>
        </w:tc>
        <w:tc>
          <w:tcPr>
            <w:tcW w:w="723" w:type="pct"/>
            <w:shd w:val="clear" w:color="auto" w:fill="auto"/>
            <w:vAlign w:val="center"/>
          </w:tcPr>
          <w:p w14:paraId="39703C5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14.85</w:t>
            </w:r>
          </w:p>
        </w:tc>
        <w:tc>
          <w:tcPr>
            <w:tcW w:w="1461" w:type="dxa"/>
            <w:shd w:val="clear" w:color="auto" w:fill="auto"/>
            <w:vAlign w:val="center"/>
          </w:tcPr>
          <w:p w14:paraId="7B21062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bl>
    <w:p w14:paraId="1DEE59BF">
      <w:pPr>
        <w:pStyle w:val="5"/>
        <w:bidi w:val="0"/>
        <w:rPr>
          <w:rFonts w:hint="default"/>
          <w:color w:val="auto"/>
          <w:lang w:val="en-US" w:eastAsia="zh-CN"/>
        </w:rPr>
      </w:pPr>
      <w:r>
        <w:rPr>
          <w:rFonts w:hint="eastAsia"/>
          <w:color w:val="auto"/>
          <w:lang w:val="en-US" w:eastAsia="zh-CN"/>
        </w:rPr>
        <w:t>3.1.5退役工程环境影响回顾</w:t>
      </w:r>
    </w:p>
    <w:p w14:paraId="2A22792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color w:val="auto"/>
        </w:rPr>
        <w:t>根据调查，</w:t>
      </w:r>
      <w:r>
        <w:rPr>
          <w:rFonts w:hint="eastAsia"/>
          <w:color w:val="auto"/>
          <w:lang w:val="en-US" w:eastAsia="zh-CN"/>
        </w:rPr>
        <w:t>本工程涉及区块无退役井及退役站场。</w:t>
      </w:r>
    </w:p>
    <w:p w14:paraId="3292B588">
      <w:pPr>
        <w:pStyle w:val="5"/>
        <w:bidi w:val="0"/>
        <w:rPr>
          <w:rFonts w:hint="default"/>
          <w:color w:val="auto"/>
          <w:lang w:val="en-US" w:eastAsia="zh-CN"/>
        </w:rPr>
      </w:pPr>
      <w:r>
        <w:rPr>
          <w:rFonts w:hint="eastAsia"/>
          <w:color w:val="auto"/>
          <w:lang w:val="en-US" w:eastAsia="zh-CN"/>
        </w:rPr>
        <w:t>3.1.6现有工程环保措施及环评要求落实情况</w:t>
      </w:r>
    </w:p>
    <w:p w14:paraId="3E8A1743">
      <w:pPr>
        <w:pStyle w:val="6"/>
        <w:bidi w:val="0"/>
        <w:rPr>
          <w:rFonts w:hint="default"/>
          <w:color w:val="auto"/>
          <w:lang w:val="en-US" w:eastAsia="zh-CN"/>
        </w:rPr>
      </w:pPr>
      <w:r>
        <w:rPr>
          <w:rFonts w:hint="eastAsia"/>
          <w:color w:val="auto"/>
          <w:lang w:val="en-US" w:eastAsia="zh-CN"/>
        </w:rPr>
        <w:t>3.1.6.1现有工程环保措施落实情况</w:t>
      </w:r>
    </w:p>
    <w:p w14:paraId="192FE2A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区域现有工程采油井、注水井、集输场站均已投入运营，钻井阶段和道路、管线等地面工程建设阶段的污染物排放以及生态直接影响已不复存在，主要环境问题主要在原油开采集输处理等阶段。根据环评现场踏勘，并结合历年产建工程环评和竣工环保验收调查报告，本项目中现有工程的主要环保设施落实及运行情况见</w:t>
      </w:r>
      <w:r>
        <w:rPr>
          <w:rFonts w:hint="default" w:ascii="Times New Roman" w:hAnsi="Times New Roman" w:eastAsia="宋体"/>
          <w:color w:val="auto"/>
          <w:lang w:val="en-US" w:eastAsia="zh-CN"/>
        </w:rPr>
        <w:fldChar w:fldCharType="begin"/>
      </w:r>
      <w:r>
        <w:rPr>
          <w:rFonts w:hint="default" w:ascii="Times New Roman" w:hAnsi="Times New Roman" w:eastAsia="宋体"/>
          <w:color w:val="auto"/>
          <w:lang w:val="en-US" w:eastAsia="zh-CN"/>
        </w:rPr>
        <w:instrText xml:space="preserve"> REF _Ref10287 \h </w:instrText>
      </w:r>
      <w:r>
        <w:rPr>
          <w:rFonts w:hint="default" w:ascii="Times New Roman" w:hAnsi="Times New Roman" w:eastAsia="宋体"/>
          <w:color w:val="auto"/>
          <w:lang w:val="en-US" w:eastAsia="zh-CN"/>
        </w:rPr>
        <w:fldChar w:fldCharType="separate"/>
      </w:r>
      <w:r>
        <w:rPr>
          <w:rFonts w:hint="eastAsia" w:ascii="Times New Roman" w:hAnsi="Times New Roman" w:eastAsia="宋体"/>
          <w:color w:val="auto"/>
          <w:lang w:val="en-US" w:eastAsia="zh-CN"/>
        </w:rPr>
        <w:t>表3</w:t>
      </w:r>
      <w:r>
        <w:rPr>
          <w:rFonts w:hint="default" w:ascii="Times New Roman" w:hAnsi="Times New Roman" w:eastAsia="宋体"/>
          <w:color w:val="auto"/>
          <w:lang w:val="en-US" w:eastAsia="zh-CN"/>
        </w:rPr>
        <w:fldChar w:fldCharType="end"/>
      </w:r>
      <w:r>
        <w:rPr>
          <w:rFonts w:hint="eastAsia" w:ascii="Times New Roman" w:hAnsi="Times New Roman" w:eastAsia="宋体"/>
          <w:color w:val="auto"/>
          <w:lang w:val="en-US" w:eastAsia="zh-CN"/>
        </w:rPr>
        <w:t>.1-</w:t>
      </w:r>
      <w:r>
        <w:rPr>
          <w:rFonts w:hint="eastAsia"/>
          <w:color w:val="auto"/>
          <w:lang w:val="en-US" w:eastAsia="zh-CN"/>
        </w:rPr>
        <w:t>21</w:t>
      </w:r>
      <w:r>
        <w:rPr>
          <w:rFonts w:hint="eastAsia" w:ascii="Times New Roman" w:hAnsi="Times New Roman" w:eastAsia="宋体"/>
          <w:color w:val="auto"/>
          <w:lang w:val="en-US" w:eastAsia="zh-CN"/>
        </w:rPr>
        <w:t>。</w:t>
      </w:r>
    </w:p>
    <w:p w14:paraId="769E79C7">
      <w:pPr>
        <w:pStyle w:val="43"/>
        <w:bidi w:val="0"/>
        <w:rPr>
          <w:rFonts w:cs="Times New Roman"/>
          <w:color w:val="auto"/>
        </w:rPr>
      </w:pPr>
      <w:bookmarkStart w:id="156" w:name="_Ref10287"/>
      <w:r>
        <w:rPr>
          <w:color w:val="auto"/>
        </w:rPr>
        <w:t>表</w:t>
      </w:r>
      <w:bookmarkEnd w:id="156"/>
      <w:r>
        <w:rPr>
          <w:rFonts w:hint="eastAsia"/>
          <w:color w:val="auto"/>
          <w:lang w:val="en-US" w:eastAsia="zh-CN"/>
        </w:rPr>
        <w:t>3.1-21</w:t>
      </w:r>
      <w:r>
        <w:rPr>
          <w:rFonts w:cs="Times New Roman"/>
          <w:color w:val="auto"/>
        </w:rPr>
        <w:t xml:space="preserve">  区域现有工程主要环保设施落实及</w:t>
      </w:r>
      <w:r>
        <w:rPr>
          <w:rFonts w:hint="eastAsia" w:cs="Times New Roman"/>
          <w:color w:val="auto"/>
          <w:lang w:val="en-US" w:eastAsia="zh-CN"/>
        </w:rPr>
        <w:t>运营</w:t>
      </w:r>
      <w:r>
        <w:rPr>
          <w:rFonts w:cs="Times New Roman"/>
          <w:color w:val="auto"/>
        </w:rPr>
        <w:t>情况</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51" w:type="dxa"/>
          <w:bottom w:w="0" w:type="dxa"/>
          <w:right w:w="51" w:type="dxa"/>
        </w:tblCellMar>
      </w:tblPr>
      <w:tblGrid>
        <w:gridCol w:w="599"/>
        <w:gridCol w:w="1453"/>
        <w:gridCol w:w="934"/>
        <w:gridCol w:w="2944"/>
        <w:gridCol w:w="1125"/>
        <w:gridCol w:w="1353"/>
      </w:tblGrid>
      <w:tr w14:paraId="0DB4D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69" w:hRule="atLeast"/>
          <w:jc w:val="center"/>
        </w:trPr>
        <w:tc>
          <w:tcPr>
            <w:tcW w:w="356" w:type="pct"/>
            <w:shd w:val="clear" w:color="auto" w:fill="auto"/>
            <w:vAlign w:val="center"/>
          </w:tcPr>
          <w:p w14:paraId="0B15ADC1">
            <w:pPr>
              <w:pStyle w:val="34"/>
              <w:bidi w:val="0"/>
              <w:rPr>
                <w:rFonts w:hint="default"/>
                <w:b/>
                <w:bCs/>
                <w:color w:val="auto"/>
              </w:rPr>
            </w:pPr>
            <w:r>
              <w:rPr>
                <w:rFonts w:hint="default"/>
                <w:b/>
                <w:bCs/>
                <w:color w:val="auto"/>
              </w:rPr>
              <w:t>类别</w:t>
            </w:r>
          </w:p>
        </w:tc>
        <w:tc>
          <w:tcPr>
            <w:tcW w:w="864" w:type="pct"/>
            <w:shd w:val="clear" w:color="auto" w:fill="auto"/>
            <w:vAlign w:val="center"/>
          </w:tcPr>
          <w:p w14:paraId="669689B8">
            <w:pPr>
              <w:pStyle w:val="34"/>
              <w:bidi w:val="0"/>
              <w:rPr>
                <w:rFonts w:hint="default"/>
                <w:b/>
                <w:bCs/>
                <w:color w:val="auto"/>
              </w:rPr>
            </w:pPr>
            <w:r>
              <w:rPr>
                <w:rFonts w:hint="default"/>
                <w:b/>
                <w:bCs/>
                <w:color w:val="auto"/>
              </w:rPr>
              <w:t>位置</w:t>
            </w:r>
          </w:p>
        </w:tc>
        <w:tc>
          <w:tcPr>
            <w:tcW w:w="555" w:type="pct"/>
            <w:shd w:val="clear" w:color="auto" w:fill="auto"/>
            <w:vAlign w:val="center"/>
          </w:tcPr>
          <w:p w14:paraId="01D5BE35">
            <w:pPr>
              <w:pStyle w:val="34"/>
              <w:bidi w:val="0"/>
              <w:rPr>
                <w:rFonts w:hint="default"/>
                <w:b/>
                <w:bCs/>
                <w:color w:val="auto"/>
              </w:rPr>
            </w:pPr>
            <w:r>
              <w:rPr>
                <w:rFonts w:hint="default"/>
                <w:b/>
                <w:bCs/>
                <w:color w:val="auto"/>
              </w:rPr>
              <w:t>污染源或污染物</w:t>
            </w:r>
          </w:p>
        </w:tc>
        <w:tc>
          <w:tcPr>
            <w:tcW w:w="1750" w:type="pct"/>
            <w:shd w:val="clear" w:color="auto" w:fill="auto"/>
            <w:vAlign w:val="center"/>
          </w:tcPr>
          <w:p w14:paraId="333798C7">
            <w:pPr>
              <w:pStyle w:val="34"/>
              <w:bidi w:val="0"/>
              <w:rPr>
                <w:rFonts w:hint="default"/>
                <w:b/>
                <w:bCs/>
                <w:color w:val="auto"/>
              </w:rPr>
            </w:pPr>
            <w:r>
              <w:rPr>
                <w:rFonts w:hint="default"/>
                <w:b/>
                <w:bCs/>
                <w:color w:val="auto"/>
              </w:rPr>
              <w:t>实际防治措施</w:t>
            </w:r>
          </w:p>
        </w:tc>
        <w:tc>
          <w:tcPr>
            <w:tcW w:w="669" w:type="pct"/>
            <w:shd w:val="clear" w:color="auto" w:fill="auto"/>
            <w:vAlign w:val="center"/>
          </w:tcPr>
          <w:p w14:paraId="6B4ED635">
            <w:pPr>
              <w:pStyle w:val="34"/>
              <w:bidi w:val="0"/>
              <w:rPr>
                <w:rFonts w:hint="default"/>
                <w:b/>
                <w:bCs/>
                <w:color w:val="auto"/>
              </w:rPr>
            </w:pPr>
            <w:r>
              <w:rPr>
                <w:rFonts w:hint="default"/>
                <w:b/>
                <w:bCs/>
                <w:color w:val="auto"/>
              </w:rPr>
              <w:t>落实</w:t>
            </w:r>
          </w:p>
          <w:p w14:paraId="1E8282F1">
            <w:pPr>
              <w:pStyle w:val="34"/>
              <w:bidi w:val="0"/>
              <w:rPr>
                <w:rFonts w:hint="default"/>
                <w:b/>
                <w:bCs/>
                <w:color w:val="auto"/>
              </w:rPr>
            </w:pPr>
            <w:r>
              <w:rPr>
                <w:rFonts w:hint="default"/>
                <w:b/>
                <w:bCs/>
                <w:color w:val="auto"/>
              </w:rPr>
              <w:t>情况</w:t>
            </w:r>
          </w:p>
        </w:tc>
        <w:tc>
          <w:tcPr>
            <w:tcW w:w="804" w:type="pct"/>
            <w:shd w:val="clear" w:color="auto" w:fill="auto"/>
            <w:vAlign w:val="center"/>
          </w:tcPr>
          <w:p w14:paraId="66352B9A">
            <w:pPr>
              <w:pStyle w:val="34"/>
              <w:bidi w:val="0"/>
              <w:rPr>
                <w:rFonts w:hint="default"/>
                <w:b/>
                <w:bCs/>
                <w:color w:val="auto"/>
              </w:rPr>
            </w:pPr>
            <w:r>
              <w:rPr>
                <w:rFonts w:hint="eastAsia"/>
                <w:b/>
                <w:bCs/>
                <w:color w:val="auto"/>
                <w:lang w:val="en-US" w:eastAsia="zh-CN"/>
              </w:rPr>
              <w:t>运营</w:t>
            </w:r>
            <w:r>
              <w:rPr>
                <w:rFonts w:hint="default"/>
                <w:b/>
                <w:bCs/>
                <w:color w:val="auto"/>
              </w:rPr>
              <w:t>情况</w:t>
            </w:r>
          </w:p>
        </w:tc>
      </w:tr>
      <w:tr w14:paraId="2DE3C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restart"/>
            <w:shd w:val="clear" w:color="auto" w:fill="auto"/>
            <w:vAlign w:val="center"/>
          </w:tcPr>
          <w:p w14:paraId="25332864">
            <w:pPr>
              <w:pStyle w:val="34"/>
              <w:bidi w:val="0"/>
              <w:rPr>
                <w:rFonts w:hint="default"/>
                <w:color w:val="auto"/>
              </w:rPr>
            </w:pPr>
            <w:r>
              <w:rPr>
                <w:rFonts w:hint="default"/>
                <w:color w:val="auto"/>
              </w:rPr>
              <w:t>大气污染控制</w:t>
            </w:r>
          </w:p>
        </w:tc>
        <w:tc>
          <w:tcPr>
            <w:tcW w:w="864" w:type="pct"/>
            <w:shd w:val="clear" w:color="auto" w:fill="auto"/>
            <w:vAlign w:val="center"/>
          </w:tcPr>
          <w:p w14:paraId="0E3CBDE0">
            <w:pPr>
              <w:pStyle w:val="34"/>
              <w:bidi w:val="0"/>
              <w:rPr>
                <w:rFonts w:hint="default"/>
                <w:color w:val="auto"/>
              </w:rPr>
            </w:pPr>
            <w:r>
              <w:rPr>
                <w:rFonts w:hint="default"/>
                <w:color w:val="auto"/>
              </w:rPr>
              <w:t>各工艺环节、各站场储油罐</w:t>
            </w:r>
          </w:p>
        </w:tc>
        <w:tc>
          <w:tcPr>
            <w:tcW w:w="555" w:type="pct"/>
            <w:shd w:val="clear" w:color="auto" w:fill="auto"/>
            <w:vAlign w:val="center"/>
          </w:tcPr>
          <w:p w14:paraId="1941C811">
            <w:pPr>
              <w:pStyle w:val="34"/>
              <w:bidi w:val="0"/>
              <w:rPr>
                <w:rFonts w:hint="default"/>
                <w:color w:val="auto"/>
              </w:rPr>
            </w:pPr>
            <w:r>
              <w:rPr>
                <w:rFonts w:hint="default"/>
                <w:color w:val="auto"/>
              </w:rPr>
              <w:t>无组织</w:t>
            </w:r>
          </w:p>
          <w:p w14:paraId="26CE293E">
            <w:pPr>
              <w:pStyle w:val="34"/>
              <w:bidi w:val="0"/>
              <w:rPr>
                <w:rFonts w:hint="default"/>
                <w:color w:val="auto"/>
              </w:rPr>
            </w:pPr>
            <w:r>
              <w:rPr>
                <w:rFonts w:hint="default"/>
                <w:color w:val="auto"/>
              </w:rPr>
              <w:t>烃类</w:t>
            </w:r>
          </w:p>
        </w:tc>
        <w:tc>
          <w:tcPr>
            <w:tcW w:w="1750" w:type="pct"/>
            <w:shd w:val="clear" w:color="auto" w:fill="auto"/>
            <w:vAlign w:val="center"/>
          </w:tcPr>
          <w:p w14:paraId="54102A41">
            <w:pPr>
              <w:pStyle w:val="34"/>
              <w:bidi w:val="0"/>
              <w:rPr>
                <w:rFonts w:hint="default"/>
                <w:color w:val="auto"/>
              </w:rPr>
            </w:pPr>
            <w:r>
              <w:rPr>
                <w:rFonts w:hint="default"/>
                <w:color w:val="auto"/>
              </w:rPr>
              <w:t>大部分密闭输油工艺，个别井场由于集输站场缓建等原因暂时按照井场拉油运转</w:t>
            </w:r>
          </w:p>
        </w:tc>
        <w:tc>
          <w:tcPr>
            <w:tcW w:w="669" w:type="pct"/>
            <w:shd w:val="clear" w:color="auto" w:fill="auto"/>
            <w:vAlign w:val="center"/>
          </w:tcPr>
          <w:p w14:paraId="2AD15ACB">
            <w:pPr>
              <w:pStyle w:val="34"/>
              <w:bidi w:val="0"/>
              <w:rPr>
                <w:rFonts w:hint="default"/>
                <w:color w:val="auto"/>
              </w:rPr>
            </w:pPr>
            <w:r>
              <w:rPr>
                <w:rFonts w:hint="default"/>
                <w:color w:val="auto"/>
              </w:rPr>
              <w:t>基本落实</w:t>
            </w:r>
          </w:p>
        </w:tc>
        <w:tc>
          <w:tcPr>
            <w:tcW w:w="804" w:type="pct"/>
            <w:shd w:val="clear" w:color="auto" w:fill="auto"/>
            <w:vAlign w:val="center"/>
          </w:tcPr>
          <w:p w14:paraId="0D2E433C">
            <w:pPr>
              <w:pStyle w:val="34"/>
              <w:bidi w:val="0"/>
              <w:rPr>
                <w:rFonts w:hint="default"/>
                <w:color w:val="auto"/>
              </w:rPr>
            </w:pPr>
            <w:r>
              <w:rPr>
                <w:rFonts w:hint="default"/>
                <w:color w:val="auto"/>
              </w:rPr>
              <w:t>正常运转</w:t>
            </w:r>
          </w:p>
        </w:tc>
      </w:tr>
      <w:tr w14:paraId="2ADEF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2951C483">
            <w:pPr>
              <w:pStyle w:val="34"/>
              <w:bidi w:val="0"/>
              <w:rPr>
                <w:rFonts w:hint="default"/>
                <w:color w:val="auto"/>
              </w:rPr>
            </w:pPr>
          </w:p>
        </w:tc>
        <w:tc>
          <w:tcPr>
            <w:tcW w:w="864" w:type="pct"/>
            <w:shd w:val="clear" w:color="auto" w:fill="auto"/>
            <w:vAlign w:val="center"/>
          </w:tcPr>
          <w:p w14:paraId="2B6D2BD8">
            <w:pPr>
              <w:pStyle w:val="34"/>
              <w:bidi w:val="0"/>
              <w:rPr>
                <w:rFonts w:hint="default" w:eastAsia="宋体"/>
                <w:color w:val="auto"/>
                <w:lang w:val="en-US" w:eastAsia="zh-CN"/>
              </w:rPr>
            </w:pPr>
            <w:r>
              <w:rPr>
                <w:rFonts w:hint="default"/>
                <w:color w:val="auto"/>
              </w:rPr>
              <w:t>接转站、增压机组、</w:t>
            </w:r>
            <w:r>
              <w:rPr>
                <w:rFonts w:hint="eastAsia"/>
                <w:color w:val="auto"/>
                <w:lang w:val="en-US" w:eastAsia="zh-CN"/>
              </w:rPr>
              <w:t>转油站、百联站</w:t>
            </w:r>
          </w:p>
        </w:tc>
        <w:tc>
          <w:tcPr>
            <w:tcW w:w="555" w:type="pct"/>
            <w:shd w:val="clear" w:color="auto" w:fill="auto"/>
            <w:vAlign w:val="center"/>
          </w:tcPr>
          <w:p w14:paraId="1132E266">
            <w:pPr>
              <w:pStyle w:val="34"/>
              <w:bidi w:val="0"/>
              <w:rPr>
                <w:rFonts w:hint="default"/>
                <w:color w:val="auto"/>
              </w:rPr>
            </w:pPr>
            <w:r>
              <w:rPr>
                <w:rFonts w:hint="default"/>
                <w:color w:val="auto"/>
              </w:rPr>
              <w:t>加热炉</w:t>
            </w:r>
          </w:p>
          <w:p w14:paraId="47E8260A">
            <w:pPr>
              <w:pStyle w:val="34"/>
              <w:bidi w:val="0"/>
              <w:rPr>
                <w:rFonts w:hint="default"/>
                <w:color w:val="auto"/>
              </w:rPr>
            </w:pPr>
            <w:r>
              <w:rPr>
                <w:rFonts w:hint="default"/>
                <w:color w:val="auto"/>
              </w:rPr>
              <w:t>烟气</w:t>
            </w:r>
          </w:p>
        </w:tc>
        <w:tc>
          <w:tcPr>
            <w:tcW w:w="1750" w:type="pct"/>
            <w:shd w:val="clear" w:color="auto" w:fill="auto"/>
            <w:vAlign w:val="center"/>
          </w:tcPr>
          <w:p w14:paraId="3D374A1B">
            <w:pPr>
              <w:pStyle w:val="34"/>
              <w:bidi w:val="0"/>
              <w:rPr>
                <w:rFonts w:hint="default"/>
                <w:color w:val="auto"/>
              </w:rPr>
            </w:pPr>
            <w:r>
              <w:rPr>
                <w:rFonts w:hint="default"/>
                <w:color w:val="auto"/>
              </w:rPr>
              <w:t>设置≥8m排气筒，伴生气火炬燃烧装置</w:t>
            </w:r>
          </w:p>
        </w:tc>
        <w:tc>
          <w:tcPr>
            <w:tcW w:w="669" w:type="pct"/>
            <w:shd w:val="clear" w:color="auto" w:fill="auto"/>
            <w:vAlign w:val="center"/>
          </w:tcPr>
          <w:p w14:paraId="3F7A6162">
            <w:pPr>
              <w:pStyle w:val="34"/>
              <w:bidi w:val="0"/>
              <w:rPr>
                <w:rFonts w:hint="default" w:eastAsia="宋体"/>
                <w:color w:val="auto"/>
                <w:lang w:val="en-US" w:eastAsia="zh-CN"/>
              </w:rPr>
            </w:pPr>
            <w:r>
              <w:rPr>
                <w:rFonts w:hint="eastAsia"/>
                <w:color w:val="auto"/>
                <w:lang w:val="en-US" w:eastAsia="zh-CN"/>
              </w:rPr>
              <w:t>排气筒高度8m，伴生气火炬设置燃烧装置</w:t>
            </w:r>
          </w:p>
        </w:tc>
        <w:tc>
          <w:tcPr>
            <w:tcW w:w="804" w:type="pct"/>
            <w:shd w:val="clear" w:color="auto" w:fill="auto"/>
            <w:vAlign w:val="center"/>
          </w:tcPr>
          <w:p w14:paraId="506AACB4">
            <w:pPr>
              <w:pStyle w:val="34"/>
              <w:bidi w:val="0"/>
              <w:rPr>
                <w:rFonts w:hint="default"/>
                <w:color w:val="auto"/>
              </w:rPr>
            </w:pPr>
            <w:r>
              <w:rPr>
                <w:rFonts w:hint="default"/>
                <w:color w:val="auto"/>
              </w:rPr>
              <w:t>达标排放</w:t>
            </w:r>
          </w:p>
        </w:tc>
      </w:tr>
      <w:tr w14:paraId="2B5AA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31D6E5D5">
            <w:pPr>
              <w:pStyle w:val="34"/>
              <w:bidi w:val="0"/>
              <w:rPr>
                <w:rFonts w:hint="default"/>
                <w:color w:val="auto"/>
              </w:rPr>
            </w:pPr>
          </w:p>
        </w:tc>
        <w:tc>
          <w:tcPr>
            <w:tcW w:w="864" w:type="pct"/>
            <w:shd w:val="clear" w:color="auto" w:fill="auto"/>
            <w:vAlign w:val="center"/>
          </w:tcPr>
          <w:p w14:paraId="38BBC1C6">
            <w:pPr>
              <w:pStyle w:val="34"/>
              <w:bidi w:val="0"/>
              <w:rPr>
                <w:rFonts w:hint="default"/>
                <w:color w:val="auto"/>
              </w:rPr>
            </w:pPr>
            <w:r>
              <w:rPr>
                <w:rFonts w:hint="default"/>
                <w:color w:val="auto"/>
              </w:rPr>
              <w:t>井区道路</w:t>
            </w:r>
          </w:p>
        </w:tc>
        <w:tc>
          <w:tcPr>
            <w:tcW w:w="555" w:type="pct"/>
            <w:shd w:val="clear" w:color="auto" w:fill="auto"/>
            <w:vAlign w:val="center"/>
          </w:tcPr>
          <w:p w14:paraId="5E7AD38F">
            <w:pPr>
              <w:pStyle w:val="34"/>
              <w:bidi w:val="0"/>
              <w:rPr>
                <w:rFonts w:hint="default"/>
                <w:color w:val="auto"/>
              </w:rPr>
            </w:pPr>
            <w:r>
              <w:rPr>
                <w:rFonts w:hint="default"/>
                <w:color w:val="auto"/>
              </w:rPr>
              <w:t>扬尘</w:t>
            </w:r>
          </w:p>
        </w:tc>
        <w:tc>
          <w:tcPr>
            <w:tcW w:w="1750" w:type="pct"/>
            <w:shd w:val="clear" w:color="auto" w:fill="auto"/>
            <w:vAlign w:val="center"/>
          </w:tcPr>
          <w:p w14:paraId="2FD8437F">
            <w:pPr>
              <w:pStyle w:val="34"/>
              <w:bidi w:val="0"/>
              <w:rPr>
                <w:rFonts w:hint="default" w:eastAsia="宋体"/>
                <w:color w:val="auto"/>
                <w:lang w:val="en-US" w:eastAsia="zh-CN"/>
              </w:rPr>
            </w:pPr>
            <w:r>
              <w:rPr>
                <w:rFonts w:hint="eastAsia"/>
                <w:color w:val="auto"/>
                <w:lang w:val="en-US" w:eastAsia="zh-CN"/>
              </w:rPr>
              <w:t>降低车速，洒水降尘</w:t>
            </w:r>
          </w:p>
        </w:tc>
        <w:tc>
          <w:tcPr>
            <w:tcW w:w="669" w:type="pct"/>
            <w:shd w:val="clear" w:color="auto" w:fill="auto"/>
            <w:vAlign w:val="center"/>
          </w:tcPr>
          <w:p w14:paraId="3EC0582B">
            <w:pPr>
              <w:pStyle w:val="34"/>
              <w:bidi w:val="0"/>
              <w:rPr>
                <w:rFonts w:hint="default"/>
                <w:color w:val="auto"/>
              </w:rPr>
            </w:pPr>
            <w:r>
              <w:rPr>
                <w:rFonts w:hint="default"/>
                <w:color w:val="auto"/>
              </w:rPr>
              <w:t>落实</w:t>
            </w:r>
          </w:p>
        </w:tc>
        <w:tc>
          <w:tcPr>
            <w:tcW w:w="804" w:type="pct"/>
            <w:shd w:val="clear" w:color="auto" w:fill="auto"/>
            <w:vAlign w:val="center"/>
          </w:tcPr>
          <w:p w14:paraId="3D89E359">
            <w:pPr>
              <w:pStyle w:val="34"/>
              <w:bidi w:val="0"/>
              <w:rPr>
                <w:rFonts w:hint="default"/>
                <w:color w:val="auto"/>
              </w:rPr>
            </w:pPr>
            <w:r>
              <w:rPr>
                <w:rFonts w:hint="default"/>
                <w:color w:val="auto"/>
              </w:rPr>
              <w:t>基本落实</w:t>
            </w:r>
          </w:p>
        </w:tc>
      </w:tr>
      <w:tr w14:paraId="374BC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restart"/>
            <w:shd w:val="clear" w:color="auto" w:fill="auto"/>
            <w:vAlign w:val="center"/>
          </w:tcPr>
          <w:p w14:paraId="5B6D0C64">
            <w:pPr>
              <w:pStyle w:val="34"/>
              <w:bidi w:val="0"/>
              <w:rPr>
                <w:rFonts w:hint="default"/>
                <w:color w:val="auto"/>
              </w:rPr>
            </w:pPr>
            <w:r>
              <w:rPr>
                <w:rFonts w:hint="default"/>
                <w:color w:val="auto"/>
              </w:rPr>
              <w:t>水污染控制</w:t>
            </w:r>
          </w:p>
        </w:tc>
        <w:tc>
          <w:tcPr>
            <w:tcW w:w="864" w:type="pct"/>
            <w:shd w:val="clear" w:color="auto" w:fill="auto"/>
            <w:vAlign w:val="center"/>
          </w:tcPr>
          <w:p w14:paraId="75C3A18A">
            <w:pPr>
              <w:pStyle w:val="34"/>
              <w:bidi w:val="0"/>
              <w:rPr>
                <w:rFonts w:hint="eastAsia" w:eastAsia="宋体"/>
                <w:color w:val="auto"/>
                <w:lang w:eastAsia="zh-CN"/>
              </w:rPr>
            </w:pPr>
            <w:r>
              <w:rPr>
                <w:rFonts w:hint="eastAsia"/>
                <w:color w:val="auto"/>
                <w:lang w:val="en-US" w:eastAsia="zh-CN"/>
              </w:rPr>
              <w:t>生活基地</w:t>
            </w:r>
          </w:p>
        </w:tc>
        <w:tc>
          <w:tcPr>
            <w:tcW w:w="555" w:type="pct"/>
            <w:shd w:val="clear" w:color="auto" w:fill="auto"/>
            <w:vAlign w:val="center"/>
          </w:tcPr>
          <w:p w14:paraId="45B930A8">
            <w:pPr>
              <w:pStyle w:val="34"/>
              <w:bidi w:val="0"/>
              <w:rPr>
                <w:rFonts w:hint="default"/>
                <w:color w:val="auto"/>
              </w:rPr>
            </w:pPr>
            <w:r>
              <w:rPr>
                <w:rFonts w:hint="default"/>
                <w:color w:val="auto"/>
              </w:rPr>
              <w:t>生活污水</w:t>
            </w:r>
          </w:p>
        </w:tc>
        <w:tc>
          <w:tcPr>
            <w:tcW w:w="1750" w:type="pct"/>
            <w:shd w:val="clear" w:color="auto" w:fill="auto"/>
            <w:vAlign w:val="center"/>
          </w:tcPr>
          <w:p w14:paraId="4E4BCB5C">
            <w:pPr>
              <w:pStyle w:val="34"/>
              <w:bidi w:val="0"/>
              <w:rPr>
                <w:rFonts w:hint="default" w:eastAsia="宋体"/>
                <w:color w:val="auto"/>
                <w:lang w:val="en-US" w:eastAsia="zh-CN"/>
              </w:rPr>
            </w:pPr>
            <w:r>
              <w:rPr>
                <w:rFonts w:hint="default"/>
                <w:color w:val="auto"/>
              </w:rPr>
              <w:t>生活污水</w:t>
            </w:r>
            <w:r>
              <w:rPr>
                <w:rFonts w:hint="eastAsia"/>
                <w:color w:val="auto"/>
                <w:lang w:val="en-US" w:eastAsia="zh-CN"/>
              </w:rPr>
              <w:t>化粪池收集，定期拉运至乌尔禾区生活污水处理厂处理</w:t>
            </w:r>
          </w:p>
        </w:tc>
        <w:tc>
          <w:tcPr>
            <w:tcW w:w="669" w:type="pct"/>
            <w:shd w:val="clear" w:color="auto" w:fill="auto"/>
            <w:vAlign w:val="center"/>
          </w:tcPr>
          <w:p w14:paraId="4D7E166E">
            <w:pPr>
              <w:pStyle w:val="34"/>
              <w:bidi w:val="0"/>
              <w:rPr>
                <w:rFonts w:hint="default"/>
                <w:color w:val="auto"/>
              </w:rPr>
            </w:pPr>
            <w:r>
              <w:rPr>
                <w:rFonts w:hint="default"/>
                <w:color w:val="auto"/>
              </w:rPr>
              <w:t>落实</w:t>
            </w:r>
          </w:p>
        </w:tc>
        <w:tc>
          <w:tcPr>
            <w:tcW w:w="804" w:type="pct"/>
            <w:shd w:val="clear" w:color="auto" w:fill="auto"/>
            <w:vAlign w:val="center"/>
          </w:tcPr>
          <w:p w14:paraId="0C57767D">
            <w:pPr>
              <w:pStyle w:val="34"/>
              <w:bidi w:val="0"/>
              <w:rPr>
                <w:rFonts w:hint="default" w:eastAsia="宋体"/>
                <w:color w:val="auto"/>
                <w:lang w:val="en-US" w:eastAsia="zh-CN"/>
              </w:rPr>
            </w:pPr>
            <w:r>
              <w:rPr>
                <w:rFonts w:hint="eastAsia"/>
                <w:color w:val="auto"/>
                <w:lang w:val="en-US" w:eastAsia="zh-CN"/>
              </w:rPr>
              <w:t>按要求处置</w:t>
            </w:r>
          </w:p>
        </w:tc>
      </w:tr>
      <w:tr w14:paraId="3744B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68482DF7">
            <w:pPr>
              <w:pStyle w:val="34"/>
              <w:bidi w:val="0"/>
              <w:rPr>
                <w:rFonts w:hint="default"/>
                <w:color w:val="auto"/>
              </w:rPr>
            </w:pPr>
          </w:p>
        </w:tc>
        <w:tc>
          <w:tcPr>
            <w:tcW w:w="864" w:type="pct"/>
            <w:shd w:val="clear" w:color="auto" w:fill="auto"/>
            <w:vAlign w:val="center"/>
          </w:tcPr>
          <w:p w14:paraId="33A71289">
            <w:pPr>
              <w:pStyle w:val="34"/>
              <w:bidi w:val="0"/>
              <w:rPr>
                <w:rFonts w:hint="default"/>
                <w:color w:val="auto"/>
              </w:rPr>
            </w:pPr>
            <w:r>
              <w:rPr>
                <w:rFonts w:hint="default"/>
                <w:color w:val="auto"/>
              </w:rPr>
              <w:t>井场</w:t>
            </w:r>
          </w:p>
        </w:tc>
        <w:tc>
          <w:tcPr>
            <w:tcW w:w="555" w:type="pct"/>
            <w:shd w:val="clear" w:color="auto" w:fill="auto"/>
            <w:vAlign w:val="center"/>
          </w:tcPr>
          <w:p w14:paraId="569F3D0F">
            <w:pPr>
              <w:pStyle w:val="34"/>
              <w:bidi w:val="0"/>
              <w:rPr>
                <w:rFonts w:hint="default" w:eastAsia="宋体"/>
                <w:color w:val="auto"/>
                <w:lang w:val="en-US" w:eastAsia="zh-CN"/>
              </w:rPr>
            </w:pPr>
            <w:r>
              <w:rPr>
                <w:rFonts w:hint="eastAsia"/>
                <w:color w:val="auto"/>
                <w:lang w:val="en-US" w:eastAsia="zh-CN"/>
              </w:rPr>
              <w:t>井下作业废水</w:t>
            </w:r>
          </w:p>
        </w:tc>
        <w:tc>
          <w:tcPr>
            <w:tcW w:w="1750" w:type="pct"/>
            <w:shd w:val="clear" w:color="auto" w:fill="auto"/>
            <w:vAlign w:val="center"/>
          </w:tcPr>
          <w:p w14:paraId="6C72F194">
            <w:pPr>
              <w:pStyle w:val="34"/>
              <w:bidi w:val="0"/>
              <w:rPr>
                <w:rFonts w:hint="default"/>
                <w:color w:val="auto"/>
              </w:rPr>
            </w:pPr>
            <w:r>
              <w:rPr>
                <w:rFonts w:hint="eastAsia"/>
                <w:color w:val="auto"/>
                <w:lang w:val="en-US" w:eastAsia="zh-CN"/>
              </w:rPr>
              <w:t>依托百联站采出水处理系统</w:t>
            </w:r>
            <w:r>
              <w:rPr>
                <w:rFonts w:hint="default"/>
                <w:color w:val="auto"/>
              </w:rPr>
              <w:t>处理达标后回注油层</w:t>
            </w:r>
          </w:p>
        </w:tc>
        <w:tc>
          <w:tcPr>
            <w:tcW w:w="669" w:type="pct"/>
            <w:shd w:val="clear" w:color="auto" w:fill="auto"/>
            <w:vAlign w:val="center"/>
          </w:tcPr>
          <w:p w14:paraId="6A7CD327">
            <w:pPr>
              <w:pStyle w:val="34"/>
              <w:bidi w:val="0"/>
              <w:rPr>
                <w:rFonts w:hint="default"/>
                <w:color w:val="auto"/>
              </w:rPr>
            </w:pPr>
            <w:r>
              <w:rPr>
                <w:rFonts w:hint="default"/>
                <w:color w:val="auto"/>
              </w:rPr>
              <w:t>落实</w:t>
            </w:r>
          </w:p>
        </w:tc>
        <w:tc>
          <w:tcPr>
            <w:tcW w:w="804" w:type="pct"/>
            <w:shd w:val="clear" w:color="auto" w:fill="auto"/>
            <w:vAlign w:val="center"/>
          </w:tcPr>
          <w:p w14:paraId="4F08197E">
            <w:pPr>
              <w:pStyle w:val="34"/>
              <w:bidi w:val="0"/>
              <w:rPr>
                <w:rFonts w:hint="default"/>
                <w:color w:val="auto"/>
              </w:rPr>
            </w:pPr>
            <w:r>
              <w:rPr>
                <w:rFonts w:hint="default"/>
                <w:color w:val="auto"/>
              </w:rPr>
              <w:t>稳定运行、达标回注</w:t>
            </w:r>
          </w:p>
        </w:tc>
      </w:tr>
      <w:tr w14:paraId="4D193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149EFB2A">
            <w:pPr>
              <w:pStyle w:val="34"/>
              <w:bidi w:val="0"/>
              <w:rPr>
                <w:rFonts w:hint="default"/>
                <w:color w:val="auto"/>
              </w:rPr>
            </w:pPr>
          </w:p>
        </w:tc>
        <w:tc>
          <w:tcPr>
            <w:tcW w:w="864" w:type="pct"/>
            <w:shd w:val="clear" w:color="auto" w:fill="auto"/>
            <w:vAlign w:val="center"/>
          </w:tcPr>
          <w:p w14:paraId="0FE1CE2C">
            <w:pPr>
              <w:pStyle w:val="34"/>
              <w:bidi w:val="0"/>
              <w:rPr>
                <w:rFonts w:hint="eastAsia" w:eastAsia="宋体"/>
                <w:color w:val="auto"/>
                <w:lang w:eastAsia="zh-CN"/>
              </w:rPr>
            </w:pPr>
            <w:r>
              <w:rPr>
                <w:rFonts w:hint="eastAsia"/>
                <w:color w:val="auto"/>
                <w:lang w:val="en-US" w:eastAsia="zh-CN"/>
              </w:rPr>
              <w:t>百联站</w:t>
            </w:r>
          </w:p>
        </w:tc>
        <w:tc>
          <w:tcPr>
            <w:tcW w:w="555" w:type="pct"/>
            <w:shd w:val="clear" w:color="auto" w:fill="auto"/>
            <w:vAlign w:val="center"/>
          </w:tcPr>
          <w:p w14:paraId="213DD8C0">
            <w:pPr>
              <w:pStyle w:val="34"/>
              <w:bidi w:val="0"/>
              <w:rPr>
                <w:rFonts w:hint="default"/>
                <w:color w:val="auto"/>
              </w:rPr>
            </w:pPr>
            <w:r>
              <w:rPr>
                <w:rFonts w:hint="default"/>
                <w:color w:val="auto"/>
              </w:rPr>
              <w:t>油田采出水</w:t>
            </w:r>
          </w:p>
        </w:tc>
        <w:tc>
          <w:tcPr>
            <w:tcW w:w="1750" w:type="pct"/>
            <w:shd w:val="clear" w:color="auto" w:fill="auto"/>
            <w:vAlign w:val="center"/>
          </w:tcPr>
          <w:p w14:paraId="73C764CA">
            <w:pPr>
              <w:pStyle w:val="34"/>
              <w:bidi w:val="0"/>
              <w:rPr>
                <w:rFonts w:hint="default"/>
                <w:color w:val="auto"/>
              </w:rPr>
            </w:pPr>
            <w:r>
              <w:rPr>
                <w:rFonts w:hint="default"/>
                <w:color w:val="auto"/>
              </w:rPr>
              <w:t>沉降除油+一体化油田水处理装置</w:t>
            </w:r>
          </w:p>
        </w:tc>
        <w:tc>
          <w:tcPr>
            <w:tcW w:w="669" w:type="pct"/>
            <w:shd w:val="clear" w:color="auto" w:fill="auto"/>
            <w:vAlign w:val="center"/>
          </w:tcPr>
          <w:p w14:paraId="04B522AB">
            <w:pPr>
              <w:pStyle w:val="34"/>
              <w:bidi w:val="0"/>
              <w:rPr>
                <w:rFonts w:hint="default"/>
                <w:color w:val="auto"/>
              </w:rPr>
            </w:pPr>
            <w:r>
              <w:rPr>
                <w:rFonts w:hint="default"/>
                <w:color w:val="auto"/>
              </w:rPr>
              <w:t>落实</w:t>
            </w:r>
          </w:p>
        </w:tc>
        <w:tc>
          <w:tcPr>
            <w:tcW w:w="804" w:type="pct"/>
            <w:shd w:val="clear" w:color="auto" w:fill="auto"/>
            <w:vAlign w:val="center"/>
          </w:tcPr>
          <w:p w14:paraId="22DC4DE6">
            <w:pPr>
              <w:pStyle w:val="34"/>
              <w:bidi w:val="0"/>
              <w:rPr>
                <w:rFonts w:hint="default"/>
                <w:color w:val="auto"/>
              </w:rPr>
            </w:pPr>
            <w:r>
              <w:rPr>
                <w:rFonts w:hint="default"/>
                <w:color w:val="auto"/>
              </w:rPr>
              <w:t>稳定运行、达标回注</w:t>
            </w:r>
          </w:p>
        </w:tc>
      </w:tr>
      <w:tr w14:paraId="7B3A9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shd w:val="clear" w:color="auto" w:fill="auto"/>
            <w:vAlign w:val="center"/>
          </w:tcPr>
          <w:p w14:paraId="7673CED8">
            <w:pPr>
              <w:pStyle w:val="34"/>
              <w:bidi w:val="0"/>
              <w:rPr>
                <w:rFonts w:hint="default"/>
                <w:color w:val="auto"/>
              </w:rPr>
            </w:pPr>
            <w:r>
              <w:rPr>
                <w:rFonts w:hint="default"/>
                <w:color w:val="auto"/>
              </w:rPr>
              <w:t>噪声污染控制</w:t>
            </w:r>
          </w:p>
        </w:tc>
        <w:tc>
          <w:tcPr>
            <w:tcW w:w="864" w:type="pct"/>
            <w:shd w:val="clear" w:color="auto" w:fill="auto"/>
            <w:vAlign w:val="center"/>
          </w:tcPr>
          <w:p w14:paraId="2880AC4F">
            <w:pPr>
              <w:pStyle w:val="34"/>
              <w:bidi w:val="0"/>
              <w:rPr>
                <w:rFonts w:hint="default" w:eastAsia="宋体"/>
                <w:color w:val="auto"/>
                <w:lang w:val="en-US" w:eastAsia="zh-CN"/>
              </w:rPr>
            </w:pPr>
            <w:r>
              <w:rPr>
                <w:rFonts w:hint="default"/>
                <w:color w:val="auto"/>
              </w:rPr>
              <w:t>接转站、</w:t>
            </w:r>
            <w:r>
              <w:rPr>
                <w:rFonts w:hint="eastAsia"/>
                <w:color w:val="auto"/>
                <w:lang w:val="en-US" w:eastAsia="zh-CN"/>
              </w:rPr>
              <w:t>转油站</w:t>
            </w:r>
          </w:p>
        </w:tc>
        <w:tc>
          <w:tcPr>
            <w:tcW w:w="555" w:type="pct"/>
            <w:shd w:val="clear" w:color="auto" w:fill="auto"/>
            <w:vAlign w:val="center"/>
          </w:tcPr>
          <w:p w14:paraId="3F906E00">
            <w:pPr>
              <w:pStyle w:val="34"/>
              <w:bidi w:val="0"/>
              <w:rPr>
                <w:rFonts w:hint="default"/>
                <w:color w:val="auto"/>
              </w:rPr>
            </w:pPr>
            <w:r>
              <w:rPr>
                <w:rFonts w:hint="default"/>
                <w:color w:val="auto"/>
              </w:rPr>
              <w:t>输油泵、污油泵等各类泵</w:t>
            </w:r>
          </w:p>
        </w:tc>
        <w:tc>
          <w:tcPr>
            <w:tcW w:w="1750" w:type="pct"/>
            <w:shd w:val="clear" w:color="auto" w:fill="auto"/>
            <w:vAlign w:val="center"/>
          </w:tcPr>
          <w:p w14:paraId="21BBC0A7">
            <w:pPr>
              <w:pStyle w:val="34"/>
              <w:bidi w:val="0"/>
              <w:rPr>
                <w:rFonts w:hint="default"/>
                <w:color w:val="auto"/>
              </w:rPr>
            </w:pPr>
            <w:r>
              <w:rPr>
                <w:rFonts w:hint="default"/>
                <w:color w:val="auto"/>
              </w:rPr>
              <w:t>减振、隔音间、绿化等</w:t>
            </w:r>
          </w:p>
        </w:tc>
        <w:tc>
          <w:tcPr>
            <w:tcW w:w="669" w:type="pct"/>
            <w:shd w:val="clear" w:color="auto" w:fill="auto"/>
            <w:vAlign w:val="center"/>
          </w:tcPr>
          <w:p w14:paraId="2D5899DC">
            <w:pPr>
              <w:pStyle w:val="34"/>
              <w:bidi w:val="0"/>
              <w:rPr>
                <w:rFonts w:hint="default"/>
                <w:color w:val="auto"/>
              </w:rPr>
            </w:pPr>
            <w:r>
              <w:rPr>
                <w:rFonts w:hint="default"/>
                <w:color w:val="auto"/>
              </w:rPr>
              <w:t>落实</w:t>
            </w:r>
          </w:p>
        </w:tc>
        <w:tc>
          <w:tcPr>
            <w:tcW w:w="804" w:type="pct"/>
            <w:shd w:val="clear" w:color="auto" w:fill="auto"/>
            <w:vAlign w:val="center"/>
          </w:tcPr>
          <w:p w14:paraId="072694AA">
            <w:pPr>
              <w:pStyle w:val="34"/>
              <w:bidi w:val="0"/>
              <w:rPr>
                <w:rFonts w:hint="default"/>
                <w:color w:val="auto"/>
              </w:rPr>
            </w:pPr>
            <w:r>
              <w:rPr>
                <w:rFonts w:hint="default"/>
                <w:color w:val="auto"/>
              </w:rPr>
              <w:t>稳定运行</w:t>
            </w:r>
          </w:p>
        </w:tc>
      </w:tr>
      <w:tr w14:paraId="17C78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restart"/>
            <w:shd w:val="clear" w:color="auto" w:fill="auto"/>
            <w:vAlign w:val="center"/>
          </w:tcPr>
          <w:p w14:paraId="5EC83300">
            <w:pPr>
              <w:pStyle w:val="34"/>
              <w:bidi w:val="0"/>
              <w:rPr>
                <w:rFonts w:hint="default"/>
                <w:color w:val="auto"/>
              </w:rPr>
            </w:pPr>
            <w:r>
              <w:rPr>
                <w:rFonts w:hint="default"/>
                <w:color w:val="auto"/>
              </w:rPr>
              <w:t>固废污染控制</w:t>
            </w:r>
          </w:p>
        </w:tc>
        <w:tc>
          <w:tcPr>
            <w:tcW w:w="864" w:type="pct"/>
            <w:vMerge w:val="restart"/>
            <w:shd w:val="clear" w:color="auto" w:fill="auto"/>
            <w:vAlign w:val="center"/>
          </w:tcPr>
          <w:p w14:paraId="3BAF18FA">
            <w:pPr>
              <w:pStyle w:val="34"/>
              <w:bidi w:val="0"/>
              <w:rPr>
                <w:rFonts w:hint="default"/>
                <w:color w:val="auto"/>
              </w:rPr>
            </w:pPr>
            <w:r>
              <w:rPr>
                <w:rFonts w:hint="default"/>
                <w:color w:val="auto"/>
              </w:rPr>
              <w:t>各站场、井场</w:t>
            </w:r>
          </w:p>
        </w:tc>
        <w:tc>
          <w:tcPr>
            <w:tcW w:w="555" w:type="pct"/>
            <w:shd w:val="clear" w:color="auto" w:fill="auto"/>
            <w:vAlign w:val="center"/>
          </w:tcPr>
          <w:p w14:paraId="00A51794">
            <w:pPr>
              <w:pStyle w:val="34"/>
              <w:bidi w:val="0"/>
              <w:rPr>
                <w:rFonts w:hint="default" w:ascii="Times New Roman" w:hAnsi="Times New Roman" w:eastAsia="宋体" w:cs="Times New Roman"/>
                <w:color w:val="auto"/>
                <w:sz w:val="21"/>
                <w:szCs w:val="22"/>
                <w:lang w:val="en-US" w:eastAsia="zh-CN" w:bidi="ar-SA"/>
              </w:rPr>
            </w:pPr>
            <w:r>
              <w:rPr>
                <w:rFonts w:hint="default"/>
                <w:color w:val="auto"/>
              </w:rPr>
              <w:t>落地油</w:t>
            </w:r>
          </w:p>
        </w:tc>
        <w:tc>
          <w:tcPr>
            <w:tcW w:w="1750" w:type="pct"/>
            <w:shd w:val="clear" w:color="auto" w:fill="auto"/>
            <w:vAlign w:val="center"/>
          </w:tcPr>
          <w:p w14:paraId="0710483B">
            <w:pPr>
              <w:pStyle w:val="34"/>
              <w:bidi w:val="0"/>
              <w:rPr>
                <w:rFonts w:hint="default" w:ascii="Times New Roman" w:hAnsi="Times New Roman" w:eastAsia="宋体" w:cs="Times New Roman"/>
                <w:color w:val="auto"/>
                <w:sz w:val="21"/>
                <w:szCs w:val="22"/>
                <w:lang w:val="en-US" w:eastAsia="zh-CN" w:bidi="ar-SA"/>
              </w:rPr>
            </w:pPr>
            <w:r>
              <w:rPr>
                <w:rFonts w:hint="default"/>
                <w:color w:val="auto"/>
              </w:rPr>
              <w:t>带罐作业，作业时井场铺设防渗布</w:t>
            </w:r>
          </w:p>
        </w:tc>
        <w:tc>
          <w:tcPr>
            <w:tcW w:w="669" w:type="pct"/>
            <w:shd w:val="clear" w:color="auto" w:fill="auto"/>
            <w:vAlign w:val="center"/>
          </w:tcPr>
          <w:p w14:paraId="71C78C8A">
            <w:pPr>
              <w:pStyle w:val="34"/>
              <w:bidi w:val="0"/>
              <w:rPr>
                <w:rFonts w:hint="default" w:ascii="Times New Roman" w:hAnsi="Times New Roman" w:eastAsia="宋体" w:cs="Times New Roman"/>
                <w:color w:val="auto"/>
                <w:sz w:val="21"/>
                <w:szCs w:val="22"/>
                <w:lang w:val="en-US" w:eastAsia="zh-CN" w:bidi="ar-SA"/>
              </w:rPr>
            </w:pPr>
            <w:r>
              <w:rPr>
                <w:rFonts w:hint="default"/>
                <w:color w:val="auto"/>
              </w:rPr>
              <w:t>落实</w:t>
            </w:r>
          </w:p>
        </w:tc>
        <w:tc>
          <w:tcPr>
            <w:tcW w:w="804" w:type="pct"/>
            <w:shd w:val="clear" w:color="auto" w:fill="auto"/>
            <w:vAlign w:val="center"/>
          </w:tcPr>
          <w:p w14:paraId="32F39304">
            <w:pPr>
              <w:pStyle w:val="34"/>
              <w:bidi w:val="0"/>
              <w:rPr>
                <w:rFonts w:hint="default" w:ascii="Times New Roman" w:hAnsi="Times New Roman" w:eastAsia="宋体" w:cs="Times New Roman"/>
                <w:color w:val="auto"/>
                <w:sz w:val="21"/>
                <w:szCs w:val="22"/>
                <w:lang w:val="en-US" w:eastAsia="zh-CN" w:bidi="ar-SA"/>
              </w:rPr>
            </w:pPr>
            <w:r>
              <w:rPr>
                <w:rFonts w:hint="default"/>
                <w:color w:val="auto"/>
              </w:rPr>
              <w:t>回收率100%</w:t>
            </w:r>
          </w:p>
        </w:tc>
      </w:tr>
      <w:tr w14:paraId="60F55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3F107895">
            <w:pPr>
              <w:pStyle w:val="34"/>
              <w:bidi w:val="0"/>
              <w:rPr>
                <w:rFonts w:hint="default"/>
                <w:color w:val="auto"/>
              </w:rPr>
            </w:pPr>
          </w:p>
        </w:tc>
        <w:tc>
          <w:tcPr>
            <w:tcW w:w="864" w:type="pct"/>
            <w:vMerge w:val="continue"/>
            <w:shd w:val="clear" w:color="auto" w:fill="auto"/>
            <w:vAlign w:val="center"/>
          </w:tcPr>
          <w:p w14:paraId="197E6C4A">
            <w:pPr>
              <w:pStyle w:val="34"/>
              <w:bidi w:val="0"/>
              <w:rPr>
                <w:rFonts w:hint="default"/>
                <w:color w:val="auto"/>
              </w:rPr>
            </w:pPr>
          </w:p>
        </w:tc>
        <w:tc>
          <w:tcPr>
            <w:tcW w:w="555" w:type="pct"/>
            <w:shd w:val="clear" w:color="auto" w:fill="auto"/>
            <w:vAlign w:val="center"/>
          </w:tcPr>
          <w:p w14:paraId="7100D5E0">
            <w:pPr>
              <w:pStyle w:val="34"/>
              <w:bidi w:val="0"/>
              <w:rPr>
                <w:rFonts w:hint="default" w:ascii="Times New Roman" w:hAnsi="Times New Roman" w:eastAsia="宋体" w:cs="Times New Roman"/>
                <w:color w:val="auto"/>
                <w:sz w:val="21"/>
                <w:szCs w:val="22"/>
                <w:lang w:val="en-US" w:eastAsia="zh-CN" w:bidi="ar-SA"/>
              </w:rPr>
            </w:pPr>
            <w:r>
              <w:rPr>
                <w:rFonts w:hint="default"/>
                <w:color w:val="auto"/>
              </w:rPr>
              <w:t>油泥</w:t>
            </w:r>
          </w:p>
        </w:tc>
        <w:tc>
          <w:tcPr>
            <w:tcW w:w="1750" w:type="pct"/>
            <w:shd w:val="clear" w:color="auto" w:fill="auto"/>
            <w:vAlign w:val="center"/>
          </w:tcPr>
          <w:p w14:paraId="6EC6BE21">
            <w:pPr>
              <w:pStyle w:val="34"/>
              <w:bidi w:val="0"/>
              <w:rPr>
                <w:rFonts w:hint="default" w:ascii="Times New Roman" w:hAnsi="Times New Roman" w:eastAsia="宋体" w:cs="Times New Roman"/>
                <w:color w:val="auto"/>
                <w:sz w:val="21"/>
                <w:szCs w:val="22"/>
                <w:lang w:val="en-US" w:eastAsia="zh-CN" w:bidi="ar-SA"/>
              </w:rPr>
            </w:pPr>
            <w:r>
              <w:rPr>
                <w:rFonts w:hint="default"/>
                <w:color w:val="auto"/>
              </w:rPr>
              <w:t>送有危废处置资质单位处理</w:t>
            </w:r>
          </w:p>
        </w:tc>
        <w:tc>
          <w:tcPr>
            <w:tcW w:w="669" w:type="pct"/>
            <w:shd w:val="clear" w:color="auto" w:fill="auto"/>
            <w:vAlign w:val="center"/>
          </w:tcPr>
          <w:p w14:paraId="56895BFB">
            <w:pPr>
              <w:pStyle w:val="34"/>
              <w:bidi w:val="0"/>
              <w:rPr>
                <w:rFonts w:hint="default" w:ascii="Times New Roman" w:hAnsi="Times New Roman" w:eastAsia="宋体" w:cs="Times New Roman"/>
                <w:color w:val="auto"/>
                <w:sz w:val="21"/>
                <w:szCs w:val="22"/>
                <w:lang w:val="en-US" w:eastAsia="zh-CN" w:bidi="ar-SA"/>
              </w:rPr>
            </w:pPr>
            <w:r>
              <w:rPr>
                <w:rFonts w:hint="default"/>
                <w:color w:val="auto"/>
              </w:rPr>
              <w:t>落实</w:t>
            </w:r>
          </w:p>
        </w:tc>
        <w:tc>
          <w:tcPr>
            <w:tcW w:w="804" w:type="pct"/>
            <w:shd w:val="clear" w:color="auto" w:fill="auto"/>
            <w:vAlign w:val="center"/>
          </w:tcPr>
          <w:p w14:paraId="6BAB5506">
            <w:pPr>
              <w:pStyle w:val="34"/>
              <w:bidi w:val="0"/>
              <w:rPr>
                <w:rFonts w:hint="default" w:ascii="Times New Roman" w:hAnsi="Times New Roman" w:eastAsia="宋体" w:cs="Times New Roman"/>
                <w:color w:val="auto"/>
                <w:sz w:val="21"/>
                <w:szCs w:val="22"/>
                <w:lang w:val="en-US" w:eastAsia="zh-CN" w:bidi="ar-SA"/>
              </w:rPr>
            </w:pPr>
            <w:r>
              <w:rPr>
                <w:rFonts w:hint="default"/>
                <w:color w:val="auto"/>
              </w:rPr>
              <w:t>按要求处置</w:t>
            </w:r>
          </w:p>
        </w:tc>
      </w:tr>
      <w:tr w14:paraId="1A3B2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6C85BB6D">
            <w:pPr>
              <w:pStyle w:val="34"/>
              <w:bidi w:val="0"/>
              <w:rPr>
                <w:rFonts w:hint="default"/>
                <w:color w:val="auto"/>
              </w:rPr>
            </w:pPr>
          </w:p>
        </w:tc>
        <w:tc>
          <w:tcPr>
            <w:tcW w:w="864" w:type="pct"/>
            <w:vMerge w:val="continue"/>
            <w:shd w:val="clear" w:color="auto" w:fill="auto"/>
            <w:vAlign w:val="center"/>
          </w:tcPr>
          <w:p w14:paraId="4BFB1444">
            <w:pPr>
              <w:pStyle w:val="34"/>
              <w:bidi w:val="0"/>
              <w:rPr>
                <w:rFonts w:hint="default"/>
                <w:color w:val="auto"/>
              </w:rPr>
            </w:pPr>
          </w:p>
        </w:tc>
        <w:tc>
          <w:tcPr>
            <w:tcW w:w="555" w:type="pct"/>
            <w:shd w:val="clear" w:color="auto" w:fill="auto"/>
            <w:vAlign w:val="center"/>
          </w:tcPr>
          <w:p w14:paraId="477E4A40">
            <w:pPr>
              <w:pStyle w:val="34"/>
              <w:bidi w:val="0"/>
              <w:rPr>
                <w:rFonts w:hint="default" w:ascii="Times New Roman" w:hAnsi="Times New Roman" w:eastAsia="宋体" w:cs="Times New Roman"/>
                <w:color w:val="auto"/>
                <w:sz w:val="21"/>
                <w:szCs w:val="22"/>
                <w:lang w:val="en-US" w:eastAsia="zh-CN" w:bidi="ar-SA"/>
              </w:rPr>
            </w:pPr>
            <w:r>
              <w:rPr>
                <w:rFonts w:hint="default"/>
                <w:color w:val="auto"/>
              </w:rPr>
              <w:t>含油岩屑</w:t>
            </w:r>
          </w:p>
        </w:tc>
        <w:tc>
          <w:tcPr>
            <w:tcW w:w="1750" w:type="pct"/>
            <w:shd w:val="clear" w:color="auto" w:fill="auto"/>
            <w:vAlign w:val="center"/>
          </w:tcPr>
          <w:p w14:paraId="0FF4E34D">
            <w:pPr>
              <w:pStyle w:val="34"/>
              <w:bidi w:val="0"/>
              <w:rPr>
                <w:rFonts w:hint="default" w:ascii="Times New Roman" w:hAnsi="Times New Roman" w:eastAsia="宋体" w:cs="Times New Roman"/>
                <w:color w:val="auto"/>
                <w:sz w:val="21"/>
                <w:szCs w:val="22"/>
                <w:lang w:val="en-US" w:eastAsia="zh-CN" w:bidi="ar-SA"/>
              </w:rPr>
            </w:pPr>
            <w:r>
              <w:rPr>
                <w:rFonts w:hint="default"/>
                <w:color w:val="auto"/>
              </w:rPr>
              <w:t>送有危废处置资质单位处理</w:t>
            </w:r>
          </w:p>
        </w:tc>
        <w:tc>
          <w:tcPr>
            <w:tcW w:w="669" w:type="pct"/>
            <w:shd w:val="clear" w:color="auto" w:fill="auto"/>
            <w:vAlign w:val="center"/>
          </w:tcPr>
          <w:p w14:paraId="2D12079A">
            <w:pPr>
              <w:pStyle w:val="34"/>
              <w:bidi w:val="0"/>
              <w:rPr>
                <w:rFonts w:hint="default" w:ascii="Times New Roman" w:hAnsi="Times New Roman" w:eastAsia="宋体" w:cs="Times New Roman"/>
                <w:color w:val="auto"/>
                <w:sz w:val="21"/>
                <w:szCs w:val="22"/>
                <w:lang w:val="en-US" w:eastAsia="zh-CN" w:bidi="ar-SA"/>
              </w:rPr>
            </w:pPr>
            <w:r>
              <w:rPr>
                <w:rFonts w:hint="default"/>
                <w:color w:val="auto"/>
              </w:rPr>
              <w:t>落实</w:t>
            </w:r>
          </w:p>
        </w:tc>
        <w:tc>
          <w:tcPr>
            <w:tcW w:w="804" w:type="pct"/>
            <w:shd w:val="clear" w:color="auto" w:fill="auto"/>
            <w:vAlign w:val="center"/>
          </w:tcPr>
          <w:p w14:paraId="2D5D4FBC">
            <w:pPr>
              <w:pStyle w:val="34"/>
              <w:bidi w:val="0"/>
              <w:rPr>
                <w:rFonts w:hint="default" w:ascii="Times New Roman" w:hAnsi="Times New Roman" w:eastAsia="宋体" w:cs="Times New Roman"/>
                <w:color w:val="auto"/>
                <w:sz w:val="21"/>
                <w:szCs w:val="22"/>
                <w:lang w:val="en-US" w:eastAsia="zh-CN" w:bidi="ar-SA"/>
              </w:rPr>
            </w:pPr>
            <w:r>
              <w:rPr>
                <w:rFonts w:hint="default"/>
                <w:color w:val="auto"/>
              </w:rPr>
              <w:t>按要求处置</w:t>
            </w:r>
          </w:p>
        </w:tc>
      </w:tr>
      <w:tr w14:paraId="03F15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2403DFF7">
            <w:pPr>
              <w:pStyle w:val="34"/>
              <w:bidi w:val="0"/>
              <w:rPr>
                <w:rFonts w:hint="default"/>
                <w:color w:val="auto"/>
              </w:rPr>
            </w:pPr>
          </w:p>
        </w:tc>
        <w:tc>
          <w:tcPr>
            <w:tcW w:w="864" w:type="pct"/>
            <w:vMerge w:val="continue"/>
            <w:shd w:val="clear" w:color="auto" w:fill="auto"/>
            <w:vAlign w:val="center"/>
          </w:tcPr>
          <w:p w14:paraId="4D230021">
            <w:pPr>
              <w:pStyle w:val="34"/>
              <w:bidi w:val="0"/>
              <w:rPr>
                <w:rFonts w:hint="default"/>
                <w:color w:val="auto"/>
              </w:rPr>
            </w:pPr>
          </w:p>
        </w:tc>
        <w:tc>
          <w:tcPr>
            <w:tcW w:w="555" w:type="pct"/>
            <w:shd w:val="clear" w:color="auto" w:fill="auto"/>
            <w:vAlign w:val="center"/>
          </w:tcPr>
          <w:p w14:paraId="1ED71F4C">
            <w:pPr>
              <w:pStyle w:val="34"/>
              <w:bidi w:val="0"/>
              <w:rPr>
                <w:rFonts w:hint="default" w:ascii="Times New Roman" w:hAnsi="Times New Roman" w:eastAsia="宋体" w:cs="Times New Roman"/>
                <w:color w:val="auto"/>
                <w:sz w:val="21"/>
                <w:szCs w:val="22"/>
                <w:lang w:val="en-US" w:eastAsia="zh-CN" w:bidi="ar-SA"/>
              </w:rPr>
            </w:pPr>
            <w:r>
              <w:rPr>
                <w:rFonts w:hint="default"/>
                <w:color w:val="auto"/>
              </w:rPr>
              <w:t>钻井泥浆及岩屑</w:t>
            </w:r>
          </w:p>
        </w:tc>
        <w:tc>
          <w:tcPr>
            <w:tcW w:w="1750" w:type="pct"/>
            <w:shd w:val="clear" w:color="auto" w:fill="auto"/>
            <w:vAlign w:val="center"/>
          </w:tcPr>
          <w:p w14:paraId="61A771FB">
            <w:pPr>
              <w:pStyle w:val="34"/>
              <w:bidi w:val="0"/>
              <w:rPr>
                <w:rFonts w:hint="default" w:ascii="Times New Roman" w:hAnsi="Times New Roman" w:eastAsia="宋体" w:cs="Times New Roman"/>
                <w:color w:val="auto"/>
                <w:sz w:val="21"/>
                <w:szCs w:val="22"/>
                <w:lang w:val="en-US" w:eastAsia="zh-CN" w:bidi="ar-SA"/>
              </w:rPr>
            </w:pPr>
            <w:r>
              <w:rPr>
                <w:rFonts w:hint="default"/>
                <w:color w:val="auto"/>
              </w:rPr>
              <w:t>采用泥浆不落地工艺</w:t>
            </w:r>
          </w:p>
        </w:tc>
        <w:tc>
          <w:tcPr>
            <w:tcW w:w="669" w:type="pct"/>
            <w:shd w:val="clear" w:color="auto" w:fill="auto"/>
            <w:vAlign w:val="center"/>
          </w:tcPr>
          <w:p w14:paraId="41D2135A">
            <w:pPr>
              <w:pStyle w:val="34"/>
              <w:bidi w:val="0"/>
              <w:rPr>
                <w:rFonts w:hint="default" w:ascii="Times New Roman" w:hAnsi="Times New Roman" w:eastAsia="宋体" w:cs="Times New Roman"/>
                <w:color w:val="auto"/>
                <w:sz w:val="21"/>
                <w:szCs w:val="22"/>
                <w:lang w:val="en-US" w:eastAsia="zh-CN" w:bidi="ar-SA"/>
              </w:rPr>
            </w:pPr>
            <w:r>
              <w:rPr>
                <w:rFonts w:hint="default"/>
                <w:color w:val="auto"/>
              </w:rPr>
              <w:t>落实</w:t>
            </w:r>
          </w:p>
        </w:tc>
        <w:tc>
          <w:tcPr>
            <w:tcW w:w="804" w:type="pct"/>
            <w:shd w:val="clear" w:color="auto" w:fill="auto"/>
            <w:vAlign w:val="center"/>
          </w:tcPr>
          <w:p w14:paraId="2B87FB9A">
            <w:pPr>
              <w:pStyle w:val="34"/>
              <w:bidi w:val="0"/>
              <w:rPr>
                <w:rFonts w:hint="default" w:ascii="Times New Roman" w:hAnsi="Times New Roman" w:eastAsia="宋体" w:cs="Times New Roman"/>
                <w:color w:val="auto"/>
                <w:sz w:val="21"/>
                <w:szCs w:val="22"/>
                <w:lang w:val="en-US" w:eastAsia="zh-CN" w:bidi="ar-SA"/>
              </w:rPr>
            </w:pPr>
            <w:r>
              <w:rPr>
                <w:rFonts w:hint="default"/>
                <w:color w:val="auto"/>
              </w:rPr>
              <w:t>泥浆不落地工艺，废泥浆和岩屑交有能力单位处置</w:t>
            </w:r>
          </w:p>
        </w:tc>
      </w:tr>
      <w:tr w14:paraId="3B2B1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570FEAC6">
            <w:pPr>
              <w:pStyle w:val="34"/>
              <w:bidi w:val="0"/>
              <w:rPr>
                <w:rFonts w:hint="default"/>
                <w:color w:val="auto"/>
              </w:rPr>
            </w:pPr>
          </w:p>
        </w:tc>
        <w:tc>
          <w:tcPr>
            <w:tcW w:w="864" w:type="pct"/>
            <w:vMerge w:val="continue"/>
            <w:shd w:val="clear" w:color="auto" w:fill="auto"/>
            <w:vAlign w:val="center"/>
          </w:tcPr>
          <w:p w14:paraId="458ECA39">
            <w:pPr>
              <w:pStyle w:val="34"/>
              <w:bidi w:val="0"/>
              <w:rPr>
                <w:rFonts w:hint="default"/>
                <w:color w:val="auto"/>
              </w:rPr>
            </w:pPr>
          </w:p>
        </w:tc>
        <w:tc>
          <w:tcPr>
            <w:tcW w:w="555" w:type="pct"/>
            <w:shd w:val="clear" w:color="auto" w:fill="auto"/>
            <w:vAlign w:val="center"/>
          </w:tcPr>
          <w:p w14:paraId="7F8FC129">
            <w:pPr>
              <w:pStyle w:val="34"/>
              <w:bidi w:val="0"/>
              <w:rPr>
                <w:rFonts w:hint="default" w:ascii="Times New Roman" w:hAnsi="Times New Roman" w:eastAsia="宋体" w:cs="Times New Roman"/>
                <w:color w:val="auto"/>
                <w:sz w:val="21"/>
                <w:szCs w:val="22"/>
                <w:lang w:val="en-US" w:eastAsia="zh-CN" w:bidi="ar-SA"/>
              </w:rPr>
            </w:pPr>
            <w:r>
              <w:rPr>
                <w:rFonts w:hint="eastAsia" w:cs="Times New Roman"/>
                <w:color w:val="auto"/>
                <w:sz w:val="21"/>
                <w:szCs w:val="22"/>
                <w:lang w:val="en-US" w:eastAsia="zh-CN" w:bidi="ar-SA"/>
              </w:rPr>
              <w:t>沾油废物</w:t>
            </w:r>
          </w:p>
        </w:tc>
        <w:tc>
          <w:tcPr>
            <w:tcW w:w="1750" w:type="pct"/>
            <w:shd w:val="clear" w:color="auto" w:fill="auto"/>
            <w:vAlign w:val="center"/>
          </w:tcPr>
          <w:p w14:paraId="07B4E778">
            <w:pPr>
              <w:pStyle w:val="34"/>
              <w:bidi w:val="0"/>
              <w:rPr>
                <w:rFonts w:hint="default" w:ascii="Times New Roman" w:hAnsi="Times New Roman" w:eastAsia="宋体" w:cs="Times New Roman"/>
                <w:color w:val="auto"/>
                <w:sz w:val="21"/>
                <w:szCs w:val="22"/>
                <w:lang w:val="en-US" w:eastAsia="zh-CN" w:bidi="ar-SA"/>
              </w:rPr>
            </w:pPr>
            <w:r>
              <w:rPr>
                <w:rFonts w:hint="eastAsia" w:cs="Times New Roman"/>
                <w:color w:val="auto"/>
                <w:sz w:val="21"/>
                <w:szCs w:val="22"/>
                <w:lang w:val="en-US" w:eastAsia="zh-CN" w:bidi="ar-SA"/>
              </w:rPr>
              <w:t>危险废物储存点暂存，定期交由有资质的单位处置</w:t>
            </w:r>
          </w:p>
        </w:tc>
        <w:tc>
          <w:tcPr>
            <w:tcW w:w="669" w:type="pct"/>
            <w:shd w:val="clear" w:color="auto" w:fill="auto"/>
            <w:vAlign w:val="center"/>
          </w:tcPr>
          <w:p w14:paraId="29796583">
            <w:pPr>
              <w:pStyle w:val="34"/>
              <w:bidi w:val="0"/>
              <w:rPr>
                <w:rFonts w:hint="default" w:ascii="Times New Roman" w:hAnsi="Times New Roman" w:eastAsia="宋体" w:cs="Times New Roman"/>
                <w:color w:val="auto"/>
                <w:sz w:val="21"/>
                <w:szCs w:val="22"/>
                <w:lang w:val="en-US" w:eastAsia="zh-CN" w:bidi="ar-SA"/>
              </w:rPr>
            </w:pPr>
            <w:r>
              <w:rPr>
                <w:rFonts w:hint="default"/>
                <w:color w:val="auto"/>
              </w:rPr>
              <w:t>落实</w:t>
            </w:r>
          </w:p>
        </w:tc>
        <w:tc>
          <w:tcPr>
            <w:tcW w:w="804" w:type="pct"/>
            <w:shd w:val="clear" w:color="auto" w:fill="auto"/>
            <w:vAlign w:val="center"/>
          </w:tcPr>
          <w:p w14:paraId="335945FA">
            <w:pPr>
              <w:pStyle w:val="34"/>
              <w:bidi w:val="0"/>
              <w:rPr>
                <w:rFonts w:hint="default" w:ascii="Times New Roman" w:hAnsi="Times New Roman" w:eastAsia="宋体" w:cs="Times New Roman"/>
                <w:color w:val="auto"/>
                <w:sz w:val="21"/>
                <w:szCs w:val="22"/>
                <w:lang w:val="en-US" w:eastAsia="zh-CN" w:bidi="ar-SA"/>
              </w:rPr>
            </w:pPr>
            <w:r>
              <w:rPr>
                <w:rFonts w:hint="default"/>
                <w:color w:val="auto"/>
              </w:rPr>
              <w:t>按要求处置</w:t>
            </w:r>
          </w:p>
        </w:tc>
      </w:tr>
      <w:tr w14:paraId="5538B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1D6EE7AD">
            <w:pPr>
              <w:pStyle w:val="34"/>
              <w:bidi w:val="0"/>
              <w:rPr>
                <w:rFonts w:hint="default"/>
                <w:color w:val="auto"/>
              </w:rPr>
            </w:pPr>
          </w:p>
        </w:tc>
        <w:tc>
          <w:tcPr>
            <w:tcW w:w="864" w:type="pct"/>
            <w:vMerge w:val="continue"/>
            <w:shd w:val="clear" w:color="auto" w:fill="auto"/>
            <w:vAlign w:val="center"/>
          </w:tcPr>
          <w:p w14:paraId="51C32467">
            <w:pPr>
              <w:pStyle w:val="34"/>
              <w:bidi w:val="0"/>
              <w:rPr>
                <w:rFonts w:hint="default"/>
                <w:color w:val="auto"/>
              </w:rPr>
            </w:pPr>
          </w:p>
        </w:tc>
        <w:tc>
          <w:tcPr>
            <w:tcW w:w="555" w:type="pct"/>
            <w:shd w:val="clear" w:color="auto" w:fill="auto"/>
            <w:vAlign w:val="center"/>
          </w:tcPr>
          <w:p w14:paraId="090104CD">
            <w:pPr>
              <w:pStyle w:val="34"/>
              <w:bidi w:val="0"/>
              <w:rPr>
                <w:rFonts w:hint="default" w:ascii="Times New Roman" w:hAnsi="Times New Roman" w:eastAsia="宋体" w:cs="Times New Roman"/>
                <w:color w:val="auto"/>
                <w:sz w:val="21"/>
                <w:szCs w:val="22"/>
                <w:lang w:val="en-US" w:eastAsia="zh-CN" w:bidi="ar-SA"/>
              </w:rPr>
            </w:pPr>
            <w:r>
              <w:rPr>
                <w:rFonts w:hint="default"/>
                <w:color w:val="auto"/>
              </w:rPr>
              <w:t>生活垃圾</w:t>
            </w:r>
          </w:p>
        </w:tc>
        <w:tc>
          <w:tcPr>
            <w:tcW w:w="1750" w:type="pct"/>
            <w:shd w:val="clear" w:color="auto" w:fill="auto"/>
            <w:vAlign w:val="center"/>
          </w:tcPr>
          <w:p w14:paraId="446B6CAB">
            <w:pPr>
              <w:pStyle w:val="34"/>
              <w:bidi w:val="0"/>
              <w:rPr>
                <w:rFonts w:hint="eastAsia" w:ascii="Times New Roman" w:hAnsi="Times New Roman" w:eastAsia="宋体" w:cs="Times New Roman"/>
                <w:color w:val="auto"/>
                <w:sz w:val="21"/>
                <w:szCs w:val="22"/>
                <w:lang w:val="en-US" w:eastAsia="zh-CN" w:bidi="ar-SA"/>
              </w:rPr>
            </w:pPr>
            <w:r>
              <w:rPr>
                <w:rFonts w:hint="default"/>
                <w:color w:val="auto"/>
              </w:rPr>
              <w:t>生活垃圾收集</w:t>
            </w:r>
            <w:r>
              <w:rPr>
                <w:rFonts w:hint="eastAsia"/>
                <w:color w:val="auto"/>
                <w:lang w:val="en-US" w:eastAsia="zh-CN"/>
              </w:rPr>
              <w:t>箱</w:t>
            </w:r>
          </w:p>
        </w:tc>
        <w:tc>
          <w:tcPr>
            <w:tcW w:w="669" w:type="pct"/>
            <w:shd w:val="clear" w:color="auto" w:fill="auto"/>
            <w:vAlign w:val="center"/>
          </w:tcPr>
          <w:p w14:paraId="7486481C">
            <w:pPr>
              <w:pStyle w:val="34"/>
              <w:bidi w:val="0"/>
              <w:rPr>
                <w:rFonts w:hint="default" w:ascii="Times New Roman" w:hAnsi="Times New Roman" w:eastAsia="宋体" w:cs="Times New Roman"/>
                <w:color w:val="auto"/>
                <w:sz w:val="21"/>
                <w:szCs w:val="22"/>
                <w:lang w:val="en-US" w:eastAsia="zh-CN" w:bidi="ar-SA"/>
              </w:rPr>
            </w:pPr>
            <w:r>
              <w:rPr>
                <w:rFonts w:hint="eastAsia" w:eastAsia="宋体"/>
                <w:color w:val="auto"/>
                <w:lang w:val="en-US" w:eastAsia="zh-CN"/>
              </w:rPr>
              <w:t>生活垃圾收集箱</w:t>
            </w:r>
          </w:p>
        </w:tc>
        <w:tc>
          <w:tcPr>
            <w:tcW w:w="804" w:type="pct"/>
            <w:shd w:val="clear" w:color="auto" w:fill="auto"/>
            <w:vAlign w:val="center"/>
          </w:tcPr>
          <w:p w14:paraId="23F585E0">
            <w:pPr>
              <w:pStyle w:val="34"/>
              <w:bidi w:val="0"/>
              <w:rPr>
                <w:rFonts w:hint="default" w:ascii="Times New Roman" w:hAnsi="Times New Roman" w:eastAsia="宋体" w:cs="Times New Roman"/>
                <w:color w:val="auto"/>
                <w:sz w:val="21"/>
                <w:szCs w:val="22"/>
                <w:lang w:val="en-US" w:eastAsia="zh-CN" w:bidi="ar-SA"/>
              </w:rPr>
            </w:pPr>
            <w:r>
              <w:rPr>
                <w:rFonts w:hint="default"/>
                <w:color w:val="auto"/>
              </w:rPr>
              <w:t>落实</w:t>
            </w:r>
          </w:p>
        </w:tc>
      </w:tr>
      <w:tr w14:paraId="181BC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restart"/>
            <w:shd w:val="clear" w:color="auto" w:fill="auto"/>
            <w:vAlign w:val="center"/>
          </w:tcPr>
          <w:p w14:paraId="5C4E0324">
            <w:pPr>
              <w:pStyle w:val="34"/>
              <w:bidi w:val="0"/>
              <w:rPr>
                <w:rFonts w:hint="default"/>
                <w:color w:val="auto"/>
              </w:rPr>
            </w:pPr>
            <w:r>
              <w:rPr>
                <w:rFonts w:hint="default"/>
                <w:color w:val="auto"/>
              </w:rPr>
              <w:t>生态</w:t>
            </w:r>
          </w:p>
          <w:p w14:paraId="7472ABCD">
            <w:pPr>
              <w:pStyle w:val="34"/>
              <w:bidi w:val="0"/>
              <w:rPr>
                <w:rFonts w:hint="default"/>
                <w:color w:val="auto"/>
              </w:rPr>
            </w:pPr>
            <w:r>
              <w:rPr>
                <w:rFonts w:hint="default"/>
                <w:color w:val="auto"/>
              </w:rPr>
              <w:t>环境</w:t>
            </w:r>
          </w:p>
        </w:tc>
        <w:tc>
          <w:tcPr>
            <w:tcW w:w="864" w:type="pct"/>
            <w:shd w:val="clear" w:color="auto" w:fill="auto"/>
            <w:vAlign w:val="center"/>
          </w:tcPr>
          <w:p w14:paraId="17CAD7C4">
            <w:pPr>
              <w:pStyle w:val="34"/>
              <w:bidi w:val="0"/>
              <w:rPr>
                <w:rFonts w:hint="default"/>
                <w:color w:val="auto"/>
              </w:rPr>
            </w:pPr>
            <w:r>
              <w:rPr>
                <w:rFonts w:hint="default"/>
                <w:color w:val="auto"/>
              </w:rPr>
              <w:t>输油</w:t>
            </w:r>
            <w:r>
              <w:rPr>
                <w:rFonts w:hint="eastAsia"/>
                <w:color w:val="auto"/>
                <w:lang w:eastAsia="zh-CN"/>
              </w:rPr>
              <w:t>、</w:t>
            </w:r>
            <w:r>
              <w:rPr>
                <w:rFonts w:hint="default"/>
                <w:color w:val="auto"/>
              </w:rPr>
              <w:t>道路、站场</w:t>
            </w:r>
          </w:p>
        </w:tc>
        <w:tc>
          <w:tcPr>
            <w:tcW w:w="555" w:type="pct"/>
            <w:shd w:val="clear" w:color="auto" w:fill="auto"/>
            <w:vAlign w:val="center"/>
          </w:tcPr>
          <w:p w14:paraId="6C56AA06">
            <w:pPr>
              <w:pStyle w:val="34"/>
              <w:bidi w:val="0"/>
              <w:rPr>
                <w:rFonts w:hint="default"/>
                <w:color w:val="auto"/>
              </w:rPr>
            </w:pPr>
            <w:r>
              <w:rPr>
                <w:rFonts w:hint="default"/>
                <w:color w:val="auto"/>
              </w:rPr>
              <w:t>临时占地</w:t>
            </w:r>
          </w:p>
        </w:tc>
        <w:tc>
          <w:tcPr>
            <w:tcW w:w="1750" w:type="pct"/>
            <w:shd w:val="clear" w:color="auto" w:fill="auto"/>
            <w:vAlign w:val="center"/>
          </w:tcPr>
          <w:p w14:paraId="683BA6DB">
            <w:pPr>
              <w:pStyle w:val="34"/>
              <w:bidi w:val="0"/>
              <w:rPr>
                <w:rFonts w:hint="default"/>
                <w:color w:val="auto"/>
              </w:rPr>
            </w:pPr>
            <w:r>
              <w:rPr>
                <w:rFonts w:hint="default"/>
                <w:color w:val="auto"/>
              </w:rPr>
              <w:t>平整土地、恢复植被，种草</w:t>
            </w:r>
          </w:p>
        </w:tc>
        <w:tc>
          <w:tcPr>
            <w:tcW w:w="1473" w:type="pct"/>
            <w:gridSpan w:val="2"/>
            <w:shd w:val="clear" w:color="auto" w:fill="auto"/>
            <w:vAlign w:val="center"/>
          </w:tcPr>
          <w:p w14:paraId="2C3C685B">
            <w:pPr>
              <w:pStyle w:val="34"/>
              <w:bidi w:val="0"/>
              <w:rPr>
                <w:rFonts w:hint="default"/>
                <w:color w:val="auto"/>
              </w:rPr>
            </w:pPr>
            <w:r>
              <w:rPr>
                <w:rFonts w:hint="default"/>
                <w:color w:val="auto"/>
              </w:rPr>
              <w:t>落实，植被恢复处于起步阶段。</w:t>
            </w:r>
          </w:p>
        </w:tc>
      </w:tr>
      <w:tr w14:paraId="57C51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778C20A6">
            <w:pPr>
              <w:pStyle w:val="34"/>
              <w:bidi w:val="0"/>
              <w:rPr>
                <w:rFonts w:hint="default"/>
                <w:color w:val="auto"/>
              </w:rPr>
            </w:pPr>
          </w:p>
        </w:tc>
        <w:tc>
          <w:tcPr>
            <w:tcW w:w="864" w:type="pct"/>
            <w:shd w:val="clear" w:color="auto" w:fill="auto"/>
            <w:vAlign w:val="center"/>
          </w:tcPr>
          <w:p w14:paraId="7B7B3BCF">
            <w:pPr>
              <w:pStyle w:val="34"/>
              <w:bidi w:val="0"/>
              <w:rPr>
                <w:rFonts w:hint="default"/>
                <w:color w:val="auto"/>
              </w:rPr>
            </w:pPr>
            <w:r>
              <w:rPr>
                <w:rFonts w:hint="default"/>
                <w:color w:val="auto"/>
              </w:rPr>
              <w:t>站场、道路</w:t>
            </w:r>
          </w:p>
        </w:tc>
        <w:tc>
          <w:tcPr>
            <w:tcW w:w="555" w:type="pct"/>
            <w:shd w:val="clear" w:color="auto" w:fill="auto"/>
            <w:vAlign w:val="center"/>
          </w:tcPr>
          <w:p w14:paraId="3449FABD">
            <w:pPr>
              <w:pStyle w:val="34"/>
              <w:bidi w:val="0"/>
              <w:rPr>
                <w:rFonts w:hint="default"/>
                <w:color w:val="auto"/>
              </w:rPr>
            </w:pPr>
            <w:r>
              <w:rPr>
                <w:rFonts w:hint="default"/>
                <w:color w:val="auto"/>
              </w:rPr>
              <w:t>永久占地</w:t>
            </w:r>
          </w:p>
        </w:tc>
        <w:tc>
          <w:tcPr>
            <w:tcW w:w="1750" w:type="pct"/>
            <w:shd w:val="clear" w:color="auto" w:fill="auto"/>
            <w:vAlign w:val="center"/>
          </w:tcPr>
          <w:p w14:paraId="6E9400E5">
            <w:pPr>
              <w:pStyle w:val="34"/>
              <w:bidi w:val="0"/>
              <w:rPr>
                <w:rFonts w:hint="default"/>
                <w:color w:val="auto"/>
              </w:rPr>
            </w:pPr>
            <w:r>
              <w:rPr>
                <w:rFonts w:hint="default"/>
                <w:color w:val="auto"/>
              </w:rPr>
              <w:t>补偿</w:t>
            </w:r>
          </w:p>
        </w:tc>
        <w:tc>
          <w:tcPr>
            <w:tcW w:w="1473" w:type="pct"/>
            <w:gridSpan w:val="2"/>
            <w:shd w:val="clear" w:color="auto" w:fill="auto"/>
            <w:vAlign w:val="center"/>
          </w:tcPr>
          <w:p w14:paraId="1AF9DFB8">
            <w:pPr>
              <w:pStyle w:val="34"/>
              <w:bidi w:val="0"/>
              <w:rPr>
                <w:rFonts w:hint="default"/>
                <w:color w:val="auto"/>
              </w:rPr>
            </w:pPr>
            <w:r>
              <w:rPr>
                <w:rFonts w:hint="default"/>
                <w:color w:val="auto"/>
              </w:rPr>
              <w:t>已落实</w:t>
            </w:r>
          </w:p>
        </w:tc>
      </w:tr>
      <w:tr w14:paraId="48591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69" w:hRule="atLeast"/>
          <w:jc w:val="center"/>
        </w:trPr>
        <w:tc>
          <w:tcPr>
            <w:tcW w:w="356" w:type="pct"/>
            <w:vMerge w:val="continue"/>
            <w:shd w:val="clear" w:color="auto" w:fill="auto"/>
            <w:vAlign w:val="center"/>
          </w:tcPr>
          <w:p w14:paraId="1BD3C16A">
            <w:pPr>
              <w:pStyle w:val="34"/>
              <w:bidi w:val="0"/>
              <w:rPr>
                <w:rFonts w:hint="default"/>
                <w:color w:val="auto"/>
              </w:rPr>
            </w:pPr>
          </w:p>
        </w:tc>
        <w:tc>
          <w:tcPr>
            <w:tcW w:w="864" w:type="pct"/>
            <w:shd w:val="clear" w:color="auto" w:fill="auto"/>
            <w:vAlign w:val="center"/>
          </w:tcPr>
          <w:p w14:paraId="69D50C0F">
            <w:pPr>
              <w:pStyle w:val="34"/>
              <w:bidi w:val="0"/>
              <w:rPr>
                <w:rFonts w:hint="default"/>
                <w:color w:val="auto"/>
              </w:rPr>
            </w:pPr>
            <w:r>
              <w:rPr>
                <w:rFonts w:hint="default"/>
                <w:color w:val="auto"/>
              </w:rPr>
              <w:t>站场周围</w:t>
            </w:r>
          </w:p>
          <w:p w14:paraId="1E505A9B">
            <w:pPr>
              <w:pStyle w:val="34"/>
              <w:bidi w:val="0"/>
              <w:rPr>
                <w:rFonts w:hint="default"/>
                <w:color w:val="auto"/>
              </w:rPr>
            </w:pPr>
            <w:r>
              <w:rPr>
                <w:rFonts w:hint="default"/>
                <w:color w:val="auto"/>
              </w:rPr>
              <w:t>道路两侧</w:t>
            </w:r>
          </w:p>
        </w:tc>
        <w:tc>
          <w:tcPr>
            <w:tcW w:w="555" w:type="pct"/>
            <w:shd w:val="clear" w:color="auto" w:fill="auto"/>
            <w:vAlign w:val="center"/>
          </w:tcPr>
          <w:p w14:paraId="446A21B4">
            <w:pPr>
              <w:pStyle w:val="34"/>
              <w:bidi w:val="0"/>
              <w:rPr>
                <w:rFonts w:hint="default"/>
                <w:color w:val="auto"/>
              </w:rPr>
            </w:pPr>
            <w:r>
              <w:rPr>
                <w:rFonts w:hint="default"/>
                <w:color w:val="auto"/>
              </w:rPr>
              <w:t>/</w:t>
            </w:r>
          </w:p>
        </w:tc>
        <w:tc>
          <w:tcPr>
            <w:tcW w:w="1750" w:type="pct"/>
            <w:shd w:val="clear" w:color="auto" w:fill="auto"/>
            <w:vAlign w:val="center"/>
          </w:tcPr>
          <w:p w14:paraId="3F65EE53">
            <w:pPr>
              <w:pStyle w:val="34"/>
              <w:bidi w:val="0"/>
              <w:rPr>
                <w:rFonts w:hint="default"/>
                <w:color w:val="auto"/>
              </w:rPr>
            </w:pPr>
            <w:r>
              <w:rPr>
                <w:rFonts w:hint="default"/>
                <w:color w:val="auto"/>
              </w:rPr>
              <w:t>绿化</w:t>
            </w:r>
          </w:p>
        </w:tc>
        <w:tc>
          <w:tcPr>
            <w:tcW w:w="1473" w:type="pct"/>
            <w:gridSpan w:val="2"/>
            <w:shd w:val="clear" w:color="auto" w:fill="auto"/>
            <w:vAlign w:val="center"/>
          </w:tcPr>
          <w:p w14:paraId="791799DE">
            <w:pPr>
              <w:pStyle w:val="34"/>
              <w:bidi w:val="0"/>
              <w:rPr>
                <w:rFonts w:hint="default"/>
                <w:color w:val="auto"/>
              </w:rPr>
            </w:pPr>
            <w:r>
              <w:rPr>
                <w:rFonts w:hint="default"/>
                <w:color w:val="auto"/>
              </w:rPr>
              <w:t>已落实</w:t>
            </w:r>
          </w:p>
        </w:tc>
      </w:tr>
    </w:tbl>
    <w:p w14:paraId="1DFCB84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根据现场调查及与环保验收单位进行咨询，除部分井区未完全落实密闭集输外，现有工程各项环保措施大部分落实到位，环境管理及风险应急预案制定较为完善；生态保护与恢复措施基本按环评要求逐步实施，现有工程对环境的影响轻微，基本未改变井区范围内生态环境现状。</w:t>
      </w:r>
    </w:p>
    <w:p w14:paraId="6F9D7494">
      <w:pPr>
        <w:pStyle w:val="6"/>
        <w:bidi w:val="0"/>
        <w:rPr>
          <w:rFonts w:hint="default"/>
          <w:color w:val="auto"/>
          <w:lang w:val="en-US" w:eastAsia="zh-CN"/>
        </w:rPr>
      </w:pPr>
      <w:r>
        <w:rPr>
          <w:rFonts w:hint="eastAsia"/>
          <w:color w:val="auto"/>
          <w:lang w:val="en-US" w:eastAsia="zh-CN"/>
        </w:rPr>
        <w:t>3.1.6.2企业现有风险防范措施调查</w:t>
      </w:r>
    </w:p>
    <w:p w14:paraId="67E3FBEE">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中国石油新疆油田分公司百口泉采油厂于2024年6月编制完成了突发环境事件专项应急预案及编制说明、环境风险评估报告、环境应急物资调查报告，并于2024年7月4日在新疆维吾尔自治区克拉玛依市生态环境局乌尔禾区分局和新疆维吾尔自治区塔城地区生态环境局和布克赛尔蒙古自治县分局进行了备案。</w:t>
      </w:r>
    </w:p>
    <w:p w14:paraId="050AD97E">
      <w:pPr>
        <w:pStyle w:val="6"/>
        <w:bidi w:val="0"/>
        <w:rPr>
          <w:rFonts w:hint="default"/>
          <w:color w:val="auto"/>
          <w:lang w:val="en-US" w:eastAsia="zh-CN"/>
        </w:rPr>
      </w:pPr>
      <w:r>
        <w:rPr>
          <w:rFonts w:hint="eastAsia"/>
          <w:color w:val="auto"/>
          <w:lang w:val="en-US" w:eastAsia="zh-CN"/>
        </w:rPr>
        <w:t>3.1.6.3环境管理落实情况调查</w:t>
      </w:r>
    </w:p>
    <w:p w14:paraId="650DD2C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百口泉采油厂建立了较为完善的环境管理机构及各项管理制度，贯彻执行了国家和地方环境保护法律法规和政策，在油田建设和运营过程中环保措施的落实和有效运行、生态恢复、环境风险防范等方面起到了决定性的作用。</w:t>
      </w:r>
    </w:p>
    <w:p w14:paraId="5F6325D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（1）环境管理相关内容履行情况</w:t>
      </w:r>
    </w:p>
    <w:p w14:paraId="2D2210F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①现有工程履行了相应的环保手续，开展了环境影响评价、环保验收工作；</w:t>
      </w:r>
    </w:p>
    <w:p w14:paraId="6457BF2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②按照工程环保设计以及环评提出的环保要求，落实了环保设施建设，严格执行“三同时”制度；</w:t>
      </w:r>
    </w:p>
    <w:p w14:paraId="015A5D6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③制定了生态恢复方案、应急预案，并按照方案内容进行了落实；</w:t>
      </w:r>
    </w:p>
    <w:p w14:paraId="11CC644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④检验环保工程效果和运行状况，建立记录档案，并针对存在的环保问题进行调查，及时协调相关部门予以解决；</w:t>
      </w:r>
    </w:p>
    <w:p w14:paraId="419C89B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⑤建立了危险废物管理台账，填制了转运联单，危险废物得到了妥善处理；</w:t>
      </w:r>
    </w:p>
    <w:p w14:paraId="27F792E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⑥对企业职工定期开展环保政策、环保设施运行维护等培训，提高员工环保意识和环境管理水平。</w:t>
      </w:r>
    </w:p>
    <w:p w14:paraId="29D584F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（2）排污许可执行情况</w:t>
      </w:r>
    </w:p>
    <w:p w14:paraId="59F4A22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①自行监测</w:t>
      </w:r>
    </w:p>
    <w:p w14:paraId="018E022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百口泉采油厂统一部署制定了监测计划，主要包括采出水、烟道气、VOCs、噪声、土壤和地下水等内容。</w:t>
      </w:r>
    </w:p>
    <w:p w14:paraId="4E1E6E0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②排污登记</w:t>
      </w:r>
    </w:p>
    <w:p w14:paraId="1C29F83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按照排污许可证管理办法要求，按所在地区分别办理排污许可登记管理，并取得了排污登记回执。</w:t>
      </w:r>
    </w:p>
    <w:p w14:paraId="7F64D763">
      <w:pPr>
        <w:pStyle w:val="5"/>
        <w:bidi w:val="0"/>
        <w:rPr>
          <w:rFonts w:hint="default"/>
          <w:color w:val="auto"/>
          <w:lang w:val="en-US" w:eastAsia="zh-CN"/>
        </w:rPr>
      </w:pPr>
      <w:r>
        <w:rPr>
          <w:rFonts w:hint="eastAsia"/>
          <w:color w:val="auto"/>
          <w:lang w:val="en-US" w:eastAsia="zh-CN"/>
        </w:rPr>
        <w:t>3.1.7现有工程主要环境问题及“以新带老”措施</w:t>
      </w:r>
    </w:p>
    <w:p w14:paraId="4E1632A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根据现场踏勘，区域现有工程生产废水、生活污水、固体废物、加热炉烟气及噪声的处理措施基本落实，废气全部达标排放，废水全部综合利用不外排，站场厂界噪声达标排放，固废均得到合理处置。</w:t>
      </w:r>
    </w:p>
    <w:p w14:paraId="4806781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现有工程制定了环境风险应急预案并配备各种风险防范措施进行预防，并建立健全的企业应急机制，提高企业预防和有效应对突发环境污染事件的能力，保障企业职工与社会公众生命健康和财产安全，建设单位已编制了《</w:t>
      </w:r>
      <w:r>
        <w:rPr>
          <w:rFonts w:hint="eastAsia" w:ascii="Times New Roman" w:hAnsi="Times New Roman" w:eastAsia="宋体"/>
          <w:color w:val="auto"/>
          <w:sz w:val="24"/>
          <w:szCs w:val="24"/>
          <w:lang w:val="en-US" w:eastAsia="zh-CN"/>
        </w:rPr>
        <w:t>新疆油田公司百口泉采油厂</w:t>
      </w:r>
      <w:r>
        <w:rPr>
          <w:rFonts w:ascii="Times New Roman" w:hAnsi="Times New Roman" w:eastAsia="宋体"/>
          <w:color w:val="auto"/>
          <w:sz w:val="24"/>
          <w:szCs w:val="24"/>
        </w:rPr>
        <w:t>突发环境事件</w:t>
      </w:r>
      <w:r>
        <w:rPr>
          <w:rFonts w:hint="eastAsia" w:ascii="Times New Roman" w:hAnsi="Times New Roman" w:eastAsia="宋体"/>
          <w:color w:val="auto"/>
          <w:sz w:val="24"/>
          <w:szCs w:val="24"/>
          <w:lang w:val="en-US" w:eastAsia="zh-CN"/>
        </w:rPr>
        <w:t>专项</w:t>
      </w:r>
      <w:r>
        <w:rPr>
          <w:rFonts w:ascii="Times New Roman" w:hAnsi="Times New Roman" w:eastAsia="宋体"/>
          <w:color w:val="auto"/>
          <w:sz w:val="24"/>
          <w:szCs w:val="24"/>
        </w:rPr>
        <w:t>应急预案》，最新版已更新至2024年。</w:t>
      </w:r>
    </w:p>
    <w:p w14:paraId="331DCC6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eastAsia="zh-Hans"/>
        </w:rPr>
        <w:t>根据现场踏勘及竣工环保验收文件，已建设完成的井，井场无遗留的环境问题。未完成</w:t>
      </w:r>
      <w:r>
        <w:rPr>
          <w:rFonts w:hint="default" w:ascii="Times New Roman" w:hAnsi="Times New Roman" w:eastAsia="宋体"/>
          <w:color w:val="auto"/>
          <w:sz w:val="24"/>
          <w:szCs w:val="24"/>
          <w:lang w:val="en-US" w:eastAsia="zh-CN"/>
        </w:rPr>
        <w:t>竣工环保验收</w:t>
      </w:r>
      <w:r>
        <w:rPr>
          <w:rFonts w:hint="default" w:ascii="Times New Roman" w:hAnsi="Times New Roman" w:eastAsia="宋体"/>
          <w:color w:val="auto"/>
          <w:sz w:val="24"/>
          <w:szCs w:val="24"/>
          <w:lang w:eastAsia="zh-Hans"/>
        </w:rPr>
        <w:t>的评价</w:t>
      </w:r>
      <w:r>
        <w:rPr>
          <w:rFonts w:hint="default" w:ascii="Times New Roman" w:hAnsi="Times New Roman" w:eastAsia="宋体"/>
          <w:color w:val="auto"/>
          <w:sz w:val="24"/>
          <w:szCs w:val="24"/>
          <w:lang w:val="en-US" w:eastAsia="zh-CN"/>
        </w:rPr>
        <w:t>/预探</w:t>
      </w:r>
      <w:r>
        <w:rPr>
          <w:rFonts w:hint="default" w:ascii="Times New Roman" w:hAnsi="Times New Roman" w:eastAsia="宋体"/>
          <w:color w:val="auto"/>
          <w:sz w:val="24"/>
          <w:szCs w:val="24"/>
          <w:lang w:eastAsia="zh-Hans"/>
        </w:rPr>
        <w:t>井，须严格落实环评文件及批复中的各项环保措施，以减少对环境的不利影响</w:t>
      </w:r>
      <w:r>
        <w:rPr>
          <w:rFonts w:hint="eastAsia" w:ascii="Times New Roman" w:hAnsi="Times New Roman" w:eastAsia="宋体"/>
          <w:color w:val="auto"/>
          <w:sz w:val="24"/>
          <w:szCs w:val="24"/>
          <w:lang w:val="en-US" w:eastAsia="zh-CN"/>
        </w:rPr>
        <w:t>并尽快落实竣工环境保护验收工作。</w:t>
      </w:r>
      <w:r>
        <w:rPr>
          <w:rFonts w:hint="eastAsia"/>
          <w:color w:val="auto"/>
          <w:sz w:val="24"/>
          <w:szCs w:val="24"/>
          <w:lang w:val="en-US" w:eastAsia="zh-CN"/>
        </w:rPr>
        <w:t>现有工程存在的环保问题及“以新带老”措施情况见表3.1-22。</w:t>
      </w:r>
    </w:p>
    <w:p w14:paraId="3944E45A">
      <w:pPr>
        <w:pStyle w:val="43"/>
        <w:bidi w:val="0"/>
        <w:rPr>
          <w:rFonts w:cs="Times New Roman"/>
          <w:color w:val="auto"/>
        </w:rPr>
      </w:pPr>
      <w:bookmarkStart w:id="157" w:name="_Ref28248"/>
      <w:r>
        <w:rPr>
          <w:color w:val="auto"/>
        </w:rPr>
        <w:t>表</w:t>
      </w:r>
      <w:r>
        <w:rPr>
          <w:color w:val="auto"/>
        </w:rPr>
        <w:fldChar w:fldCharType="begin"/>
      </w:r>
      <w:r>
        <w:rPr>
          <w:color w:val="auto"/>
        </w:rPr>
        <w:instrText xml:space="preserve"> STYLEREF 2 \s </w:instrText>
      </w:r>
      <w:r>
        <w:rPr>
          <w:color w:val="auto"/>
        </w:rPr>
        <w:fldChar w:fldCharType="separate"/>
      </w:r>
      <w:r>
        <w:rPr>
          <w:color w:val="auto"/>
        </w:rPr>
        <w:t>3.</w:t>
      </w:r>
      <w:r>
        <w:rPr>
          <w:rFonts w:hint="eastAsia"/>
          <w:color w:val="auto"/>
          <w:lang w:val="en-US" w:eastAsia="zh-CN"/>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rFonts w:hint="eastAsia"/>
          <w:color w:val="auto"/>
          <w:lang w:val="en-US" w:eastAsia="zh-CN"/>
        </w:rPr>
        <w:t>22</w:t>
      </w:r>
      <w:r>
        <w:rPr>
          <w:color w:val="auto"/>
        </w:rPr>
        <w:fldChar w:fldCharType="end"/>
      </w:r>
      <w:bookmarkEnd w:id="157"/>
      <w:r>
        <w:rPr>
          <w:rFonts w:cs="Times New Roman"/>
          <w:color w:val="auto"/>
        </w:rPr>
        <w:t xml:space="preserve">  现有工程存在的环保问题及“以新带老”措施</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59"/>
        <w:gridCol w:w="2053"/>
        <w:gridCol w:w="3917"/>
        <w:gridCol w:w="1774"/>
      </w:tblGrid>
      <w:tr w14:paraId="5AD7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14:paraId="146617BF">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21" w:type="pct"/>
            <w:tcBorders>
              <w:top w:val="single" w:color="auto" w:sz="4" w:space="0"/>
              <w:left w:val="single" w:color="auto" w:sz="4" w:space="0"/>
              <w:bottom w:val="single" w:color="auto" w:sz="4" w:space="0"/>
              <w:right w:val="single" w:color="auto" w:sz="4" w:space="0"/>
            </w:tcBorders>
            <w:shd w:val="clear" w:color="auto" w:fill="auto"/>
            <w:vAlign w:val="center"/>
          </w:tcPr>
          <w:p w14:paraId="27F75291">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存在的主要环保问题</w:t>
            </w:r>
          </w:p>
        </w:tc>
        <w:tc>
          <w:tcPr>
            <w:tcW w:w="2330" w:type="pct"/>
            <w:tcBorders>
              <w:top w:val="single" w:color="auto" w:sz="4" w:space="0"/>
              <w:left w:val="single" w:color="auto" w:sz="4" w:space="0"/>
              <w:bottom w:val="single" w:color="auto" w:sz="4" w:space="0"/>
              <w:right w:val="single" w:color="auto" w:sz="4" w:space="0"/>
            </w:tcBorders>
            <w:shd w:val="clear" w:color="auto" w:fill="auto"/>
            <w:vAlign w:val="center"/>
          </w:tcPr>
          <w:p w14:paraId="27C8B30D">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评价提出的“以新带老”措施</w:t>
            </w:r>
          </w:p>
        </w:tc>
        <w:tc>
          <w:tcPr>
            <w:tcW w:w="1055" w:type="pct"/>
            <w:tcBorders>
              <w:top w:val="single" w:color="auto" w:sz="4" w:space="0"/>
              <w:left w:val="single" w:color="auto" w:sz="4" w:space="0"/>
              <w:bottom w:val="single" w:color="auto" w:sz="4" w:space="0"/>
              <w:right w:val="single" w:color="auto" w:sz="4" w:space="0"/>
            </w:tcBorders>
            <w:shd w:val="clear" w:color="auto" w:fill="auto"/>
            <w:vAlign w:val="center"/>
          </w:tcPr>
          <w:p w14:paraId="65B5080C">
            <w:pPr>
              <w:pStyle w:val="42"/>
              <w:keepNext w:val="0"/>
              <w:keepLines w:val="0"/>
              <w:pageBreakBefore w:val="0"/>
              <w:widowControl w:val="0"/>
              <w:kinsoku/>
              <w:wordWrap/>
              <w:overflowPunct/>
              <w:topLinePunct w:val="0"/>
              <w:bidi w:val="0"/>
              <w:snapToGrid w:val="0"/>
              <w:spacing w:line="300" w:lineRule="exact"/>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整改</w:t>
            </w:r>
            <w:r>
              <w:rPr>
                <w:rFonts w:hint="eastAsia" w:ascii="Times New Roman" w:hAnsi="Times New Roman" w:eastAsia="宋体" w:cs="Times New Roman"/>
                <w:b/>
                <w:bCs/>
                <w:color w:val="auto"/>
                <w:sz w:val="21"/>
                <w:szCs w:val="21"/>
                <w:lang w:val="en-US" w:eastAsia="zh-CN"/>
              </w:rPr>
              <w:t>情况</w:t>
            </w:r>
          </w:p>
        </w:tc>
      </w:tr>
      <w:tr w14:paraId="3AEA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14:paraId="060025D8">
            <w:pPr>
              <w:pStyle w:val="42"/>
              <w:keepNext w:val="0"/>
              <w:keepLines w:val="0"/>
              <w:pageBreakBefore w:val="0"/>
              <w:widowControl w:val="0"/>
              <w:kinsoku/>
              <w:wordWrap/>
              <w:overflowPunct/>
              <w:topLinePunct w:val="0"/>
              <w:bidi w:val="0"/>
              <w:snapToGrid w:val="0"/>
              <w:spacing w:line="300" w:lineRule="exac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1221" w:type="pct"/>
            <w:tcBorders>
              <w:top w:val="single" w:color="auto" w:sz="4" w:space="0"/>
              <w:left w:val="single" w:color="auto" w:sz="4" w:space="0"/>
              <w:bottom w:val="single" w:color="auto" w:sz="4" w:space="0"/>
              <w:right w:val="single" w:color="auto" w:sz="4" w:space="0"/>
            </w:tcBorders>
            <w:shd w:val="clear" w:color="auto" w:fill="auto"/>
            <w:vAlign w:val="center"/>
          </w:tcPr>
          <w:p w14:paraId="3250F0CA">
            <w:pPr>
              <w:pStyle w:val="42"/>
              <w:keepNext w:val="0"/>
              <w:keepLines w:val="0"/>
              <w:pageBreakBefore w:val="0"/>
              <w:widowControl w:val="0"/>
              <w:kinsoku/>
              <w:wordWrap/>
              <w:overflowPunct/>
              <w:topLinePunct w:val="0"/>
              <w:bidi w:val="0"/>
              <w:snapToGrid w:val="0"/>
              <w:spacing w:line="300" w:lineRule="exac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330" w:type="pct"/>
            <w:tcBorders>
              <w:top w:val="single" w:color="auto" w:sz="4" w:space="0"/>
              <w:left w:val="single" w:color="auto" w:sz="4" w:space="0"/>
              <w:bottom w:val="single" w:color="auto" w:sz="4" w:space="0"/>
              <w:right w:val="single" w:color="auto" w:sz="4" w:space="0"/>
            </w:tcBorders>
            <w:shd w:val="clear" w:color="auto" w:fill="auto"/>
            <w:vAlign w:val="center"/>
          </w:tcPr>
          <w:p w14:paraId="6806D17A">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赛探1井暂未进行竣工环保验收</w:t>
            </w:r>
          </w:p>
        </w:tc>
        <w:tc>
          <w:tcPr>
            <w:tcW w:w="1055" w:type="pct"/>
            <w:vMerge w:val="restart"/>
            <w:tcBorders>
              <w:top w:val="single" w:color="auto" w:sz="4" w:space="0"/>
              <w:left w:val="single" w:color="auto" w:sz="4" w:space="0"/>
              <w:right w:val="single" w:color="auto" w:sz="4" w:space="0"/>
            </w:tcBorders>
            <w:shd w:val="clear" w:color="auto" w:fill="auto"/>
            <w:vAlign w:val="center"/>
          </w:tcPr>
          <w:p w14:paraId="55F69E4E">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在本项目建成验收前进行验收</w:t>
            </w:r>
          </w:p>
        </w:tc>
      </w:tr>
      <w:tr w14:paraId="6330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14:paraId="570400F4">
            <w:pPr>
              <w:pStyle w:val="42"/>
              <w:keepNext w:val="0"/>
              <w:keepLines w:val="0"/>
              <w:pageBreakBefore w:val="0"/>
              <w:widowControl w:val="0"/>
              <w:kinsoku/>
              <w:wordWrap/>
              <w:overflowPunct/>
              <w:topLinePunct w:val="0"/>
              <w:bidi w:val="0"/>
              <w:snapToGrid w:val="0"/>
              <w:spacing w:line="300" w:lineRule="exac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p>
        </w:tc>
        <w:tc>
          <w:tcPr>
            <w:tcW w:w="1221" w:type="pct"/>
            <w:tcBorders>
              <w:top w:val="single" w:color="auto" w:sz="4" w:space="0"/>
              <w:left w:val="single" w:color="auto" w:sz="4" w:space="0"/>
              <w:bottom w:val="single" w:color="auto" w:sz="4" w:space="0"/>
              <w:right w:val="single" w:color="auto" w:sz="4" w:space="0"/>
            </w:tcBorders>
            <w:shd w:val="clear" w:color="auto" w:fill="auto"/>
            <w:vAlign w:val="center"/>
          </w:tcPr>
          <w:p w14:paraId="0FD7D283">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330" w:type="pct"/>
            <w:tcBorders>
              <w:top w:val="single" w:color="auto" w:sz="4" w:space="0"/>
              <w:left w:val="single" w:color="auto" w:sz="4" w:space="0"/>
              <w:bottom w:val="single" w:color="auto" w:sz="4" w:space="0"/>
              <w:right w:val="single" w:color="auto" w:sz="4" w:space="0"/>
            </w:tcBorders>
            <w:shd w:val="clear" w:color="auto" w:fill="auto"/>
            <w:vAlign w:val="center"/>
          </w:tcPr>
          <w:p w14:paraId="10BDAB7A">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玛61井暂未进行竣工环保验收</w:t>
            </w:r>
          </w:p>
        </w:tc>
        <w:tc>
          <w:tcPr>
            <w:tcW w:w="1055" w:type="pct"/>
            <w:vMerge w:val="continue"/>
            <w:tcBorders>
              <w:left w:val="single" w:color="auto" w:sz="4" w:space="0"/>
              <w:right w:val="single" w:color="auto" w:sz="4" w:space="0"/>
            </w:tcBorders>
            <w:shd w:val="clear" w:color="auto" w:fill="auto"/>
            <w:vAlign w:val="center"/>
          </w:tcPr>
          <w:p w14:paraId="5302F485">
            <w:pPr>
              <w:pStyle w:val="42"/>
              <w:keepNext w:val="0"/>
              <w:keepLines w:val="0"/>
              <w:pageBreakBefore w:val="0"/>
              <w:widowControl w:val="0"/>
              <w:kinsoku/>
              <w:wordWrap/>
              <w:overflowPunct/>
              <w:topLinePunct w:val="0"/>
              <w:bidi w:val="0"/>
              <w:snapToGrid w:val="0"/>
              <w:spacing w:line="300" w:lineRule="exact"/>
              <w:rPr>
                <w:rFonts w:hint="eastAsia" w:ascii="Times New Roman" w:hAnsi="Times New Roman" w:eastAsia="宋体" w:cs="Times New Roman"/>
                <w:b w:val="0"/>
                <w:bCs w:val="0"/>
                <w:color w:val="auto"/>
                <w:sz w:val="21"/>
                <w:szCs w:val="21"/>
                <w:lang w:val="en-US" w:eastAsia="zh-CN"/>
              </w:rPr>
            </w:pPr>
          </w:p>
        </w:tc>
      </w:tr>
      <w:tr w14:paraId="24A5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14:paraId="437C6500">
            <w:pPr>
              <w:pStyle w:val="42"/>
              <w:keepNext w:val="0"/>
              <w:keepLines w:val="0"/>
              <w:pageBreakBefore w:val="0"/>
              <w:widowControl w:val="0"/>
              <w:kinsoku/>
              <w:wordWrap/>
              <w:overflowPunct/>
              <w:topLinePunct w:val="0"/>
              <w:bidi w:val="0"/>
              <w:snapToGrid w:val="0"/>
              <w:spacing w:line="300" w:lineRule="exac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w:t>
            </w:r>
          </w:p>
        </w:tc>
        <w:tc>
          <w:tcPr>
            <w:tcW w:w="1221" w:type="pct"/>
            <w:tcBorders>
              <w:top w:val="single" w:color="auto" w:sz="4" w:space="0"/>
              <w:left w:val="single" w:color="auto" w:sz="4" w:space="0"/>
              <w:bottom w:val="single" w:color="auto" w:sz="4" w:space="0"/>
              <w:right w:val="single" w:color="auto" w:sz="4" w:space="0"/>
            </w:tcBorders>
            <w:shd w:val="clear" w:color="auto" w:fill="auto"/>
            <w:vAlign w:val="center"/>
          </w:tcPr>
          <w:p w14:paraId="761F9CA6">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330" w:type="pct"/>
            <w:tcBorders>
              <w:top w:val="single" w:color="auto" w:sz="4" w:space="0"/>
              <w:left w:val="single" w:color="auto" w:sz="4" w:space="0"/>
              <w:bottom w:val="single" w:color="auto" w:sz="4" w:space="0"/>
              <w:right w:val="single" w:color="auto" w:sz="4" w:space="0"/>
            </w:tcBorders>
            <w:shd w:val="clear" w:color="auto" w:fill="auto"/>
            <w:vAlign w:val="center"/>
          </w:tcPr>
          <w:p w14:paraId="02AB4444">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玛62井暂未进行竣工环保验收</w:t>
            </w:r>
          </w:p>
        </w:tc>
        <w:tc>
          <w:tcPr>
            <w:tcW w:w="1055" w:type="pct"/>
            <w:vMerge w:val="continue"/>
            <w:tcBorders>
              <w:left w:val="single" w:color="auto" w:sz="4" w:space="0"/>
              <w:right w:val="single" w:color="auto" w:sz="4" w:space="0"/>
            </w:tcBorders>
            <w:shd w:val="clear" w:color="auto" w:fill="auto"/>
            <w:vAlign w:val="center"/>
          </w:tcPr>
          <w:p w14:paraId="628FAACD">
            <w:pPr>
              <w:pStyle w:val="42"/>
              <w:keepNext w:val="0"/>
              <w:keepLines w:val="0"/>
              <w:pageBreakBefore w:val="0"/>
              <w:widowControl w:val="0"/>
              <w:kinsoku/>
              <w:wordWrap/>
              <w:overflowPunct/>
              <w:topLinePunct w:val="0"/>
              <w:bidi w:val="0"/>
              <w:snapToGrid w:val="0"/>
              <w:spacing w:line="300" w:lineRule="exact"/>
              <w:rPr>
                <w:rFonts w:hint="eastAsia" w:ascii="Times New Roman" w:hAnsi="Times New Roman" w:eastAsia="宋体" w:cs="Times New Roman"/>
                <w:b w:val="0"/>
                <w:bCs w:val="0"/>
                <w:color w:val="auto"/>
                <w:sz w:val="21"/>
                <w:szCs w:val="21"/>
                <w:lang w:val="en-US" w:eastAsia="zh-CN"/>
              </w:rPr>
            </w:pPr>
          </w:p>
        </w:tc>
      </w:tr>
      <w:tr w14:paraId="7398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14:paraId="62FDB736">
            <w:pPr>
              <w:pStyle w:val="42"/>
              <w:keepNext w:val="0"/>
              <w:keepLines w:val="0"/>
              <w:pageBreakBefore w:val="0"/>
              <w:widowControl w:val="0"/>
              <w:kinsoku/>
              <w:wordWrap/>
              <w:overflowPunct/>
              <w:topLinePunct w:val="0"/>
              <w:bidi w:val="0"/>
              <w:snapToGrid w:val="0"/>
              <w:spacing w:line="300" w:lineRule="exac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1221" w:type="pct"/>
            <w:tcBorders>
              <w:top w:val="single" w:color="auto" w:sz="4" w:space="0"/>
              <w:left w:val="single" w:color="auto" w:sz="4" w:space="0"/>
              <w:bottom w:val="single" w:color="auto" w:sz="4" w:space="0"/>
              <w:right w:val="single" w:color="auto" w:sz="4" w:space="0"/>
            </w:tcBorders>
            <w:shd w:val="clear" w:color="auto" w:fill="auto"/>
            <w:vAlign w:val="center"/>
          </w:tcPr>
          <w:p w14:paraId="0731531A">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330" w:type="pct"/>
            <w:tcBorders>
              <w:top w:val="single" w:color="auto" w:sz="4" w:space="0"/>
              <w:left w:val="single" w:color="auto" w:sz="4" w:space="0"/>
              <w:bottom w:val="single" w:color="auto" w:sz="4" w:space="0"/>
              <w:right w:val="single" w:color="auto" w:sz="4" w:space="0"/>
            </w:tcBorders>
            <w:shd w:val="clear" w:color="auto" w:fill="auto"/>
            <w:vAlign w:val="center"/>
          </w:tcPr>
          <w:p w14:paraId="68F83E59">
            <w:pPr>
              <w:pStyle w:val="42"/>
              <w:keepNext w:val="0"/>
              <w:keepLines w:val="0"/>
              <w:pageBreakBefore w:val="0"/>
              <w:widowControl w:val="0"/>
              <w:kinsoku/>
              <w:wordWrap/>
              <w:overflowPunct/>
              <w:topLinePunct w:val="0"/>
              <w:bidi w:val="0"/>
              <w:snapToGrid w:val="0"/>
              <w:spacing w:line="300" w:lineRule="exac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夏209、夏207H井暂未进行竣工环保验收</w:t>
            </w:r>
          </w:p>
        </w:tc>
        <w:tc>
          <w:tcPr>
            <w:tcW w:w="1055" w:type="pct"/>
            <w:vMerge w:val="continue"/>
            <w:tcBorders>
              <w:left w:val="single" w:color="auto" w:sz="4" w:space="0"/>
              <w:bottom w:val="single" w:color="auto" w:sz="4" w:space="0"/>
              <w:right w:val="single" w:color="auto" w:sz="4" w:space="0"/>
            </w:tcBorders>
            <w:shd w:val="clear" w:color="auto" w:fill="auto"/>
            <w:vAlign w:val="center"/>
          </w:tcPr>
          <w:p w14:paraId="3E5E1180">
            <w:pPr>
              <w:pStyle w:val="42"/>
              <w:keepNext w:val="0"/>
              <w:keepLines w:val="0"/>
              <w:pageBreakBefore w:val="0"/>
              <w:widowControl w:val="0"/>
              <w:kinsoku/>
              <w:wordWrap/>
              <w:overflowPunct/>
              <w:topLinePunct w:val="0"/>
              <w:bidi w:val="0"/>
              <w:snapToGrid w:val="0"/>
              <w:spacing w:line="300" w:lineRule="exact"/>
              <w:rPr>
                <w:rFonts w:hint="eastAsia" w:ascii="Times New Roman" w:hAnsi="Times New Roman" w:eastAsia="宋体" w:cs="Times New Roman"/>
                <w:b w:val="0"/>
                <w:bCs w:val="0"/>
                <w:color w:val="auto"/>
                <w:sz w:val="21"/>
                <w:szCs w:val="21"/>
                <w:lang w:val="en-US" w:eastAsia="zh-CN"/>
              </w:rPr>
            </w:pPr>
          </w:p>
        </w:tc>
      </w:tr>
    </w:tbl>
    <w:p w14:paraId="7A315C4A">
      <w:pPr>
        <w:pStyle w:val="2"/>
        <w:bidi w:val="0"/>
        <w:rPr>
          <w:rFonts w:hint="default"/>
          <w:color w:val="auto"/>
          <w:lang w:val="en-US" w:eastAsia="zh-CN"/>
        </w:rPr>
      </w:pPr>
      <w:bookmarkStart w:id="158" w:name="_Toc15489"/>
      <w:r>
        <w:rPr>
          <w:rFonts w:hint="eastAsia"/>
          <w:color w:val="auto"/>
          <w:lang w:val="en-US" w:eastAsia="zh-CN"/>
        </w:rPr>
        <w:t>3.2工程概况</w:t>
      </w:r>
      <w:bookmarkEnd w:id="158"/>
    </w:p>
    <w:p w14:paraId="157A2249">
      <w:pPr>
        <w:pStyle w:val="5"/>
        <w:bidi w:val="0"/>
        <w:rPr>
          <w:rFonts w:hint="default"/>
          <w:color w:val="auto"/>
          <w:lang w:val="en-US" w:eastAsia="zh-CN"/>
        </w:rPr>
      </w:pPr>
      <w:r>
        <w:rPr>
          <w:rFonts w:hint="eastAsia"/>
          <w:color w:val="auto"/>
          <w:lang w:val="en-US" w:eastAsia="zh-CN"/>
        </w:rPr>
        <w:t>3.2.1项目基本情况</w:t>
      </w:r>
    </w:p>
    <w:p w14:paraId="57BE988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项目名称：百口泉采油厂单罐井治理工程</w:t>
      </w:r>
    </w:p>
    <w:p w14:paraId="08DFA90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建设单位：中国石油新疆油田分公司百口泉采油厂</w:t>
      </w:r>
    </w:p>
    <w:p w14:paraId="63042A9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项目性质：改扩建</w:t>
      </w:r>
    </w:p>
    <w:p w14:paraId="72CEAE7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行业类别：B0711陆地石油开采</w:t>
      </w:r>
    </w:p>
    <w:p w14:paraId="7B8FCBA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建设地点：新疆维吾尔自治区克拉玛依市乌尔禾区和塔城地区和布克赛尔蒙古自治县</w:t>
      </w:r>
    </w:p>
    <w:p w14:paraId="48847F6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产能规模：原油</w:t>
      </w:r>
      <w:r>
        <w:rPr>
          <w:rFonts w:hint="eastAsia"/>
          <w:color w:val="auto"/>
          <w:sz w:val="24"/>
          <w:szCs w:val="24"/>
          <w:lang w:val="en-US" w:eastAsia="zh-CN"/>
        </w:rPr>
        <w:t>7.72</w:t>
      </w:r>
      <w:r>
        <w:rPr>
          <w:rFonts w:ascii="Times New Roman" w:hAnsi="Times New Roman" w:eastAsia="宋体"/>
          <w:color w:val="auto"/>
          <w:sz w:val="24"/>
          <w:szCs w:val="24"/>
        </w:rPr>
        <w:t>×10</w:t>
      </w:r>
      <w:r>
        <w:rPr>
          <w:rFonts w:ascii="Times New Roman" w:hAnsi="Times New Roman" w:eastAsia="宋体"/>
          <w:color w:val="auto"/>
          <w:sz w:val="24"/>
          <w:szCs w:val="24"/>
          <w:vertAlign w:val="superscript"/>
        </w:rPr>
        <w:t>4</w:t>
      </w:r>
      <w:r>
        <w:rPr>
          <w:rFonts w:ascii="Times New Roman" w:hAnsi="Times New Roman" w:eastAsia="宋体"/>
          <w:color w:val="auto"/>
          <w:sz w:val="24"/>
          <w:szCs w:val="24"/>
        </w:rPr>
        <w:t>t/a</w:t>
      </w:r>
    </w:p>
    <w:p w14:paraId="22D1819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ascii="Times New Roman" w:hAnsi="Times New Roman" w:eastAsia="宋体"/>
          <w:color w:val="auto"/>
          <w:sz w:val="24"/>
          <w:szCs w:val="24"/>
        </w:rPr>
        <w:t>总投资：总投资</w:t>
      </w:r>
      <w:r>
        <w:rPr>
          <w:rFonts w:hint="eastAsia" w:ascii="Times New Roman" w:hAnsi="Times New Roman" w:eastAsia="宋体"/>
          <w:color w:val="auto"/>
          <w:sz w:val="24"/>
          <w:szCs w:val="24"/>
          <w:lang w:val="en-US" w:eastAsia="zh-CN"/>
        </w:rPr>
        <w:t>492.16</w:t>
      </w:r>
      <w:r>
        <w:rPr>
          <w:rFonts w:ascii="Times New Roman" w:hAnsi="Times New Roman" w:eastAsia="宋体"/>
          <w:color w:val="auto"/>
          <w:sz w:val="24"/>
          <w:szCs w:val="24"/>
        </w:rPr>
        <w:t>万元，环保投资</w:t>
      </w:r>
      <w:r>
        <w:rPr>
          <w:rFonts w:hint="eastAsia"/>
          <w:color w:val="auto"/>
          <w:sz w:val="24"/>
          <w:szCs w:val="24"/>
          <w:lang w:val="en-US" w:eastAsia="zh-CN"/>
        </w:rPr>
        <w:t>76</w:t>
      </w:r>
      <w:r>
        <w:rPr>
          <w:rFonts w:ascii="Times New Roman" w:hAnsi="Times New Roman" w:eastAsia="宋体"/>
          <w:color w:val="auto"/>
          <w:sz w:val="24"/>
          <w:szCs w:val="24"/>
        </w:rPr>
        <w:t>万元，占总投资的</w:t>
      </w:r>
      <w:r>
        <w:rPr>
          <w:rFonts w:hint="eastAsia"/>
          <w:color w:val="auto"/>
          <w:sz w:val="24"/>
          <w:szCs w:val="24"/>
          <w:lang w:val="en-US" w:eastAsia="zh-CN"/>
        </w:rPr>
        <w:t>15.4</w:t>
      </w:r>
      <w:r>
        <w:rPr>
          <w:rFonts w:ascii="Times New Roman" w:hAnsi="Times New Roman" w:eastAsia="宋体"/>
          <w:color w:val="auto"/>
          <w:sz w:val="24"/>
          <w:szCs w:val="24"/>
        </w:rPr>
        <w:t>%</w:t>
      </w:r>
      <w:r>
        <w:rPr>
          <w:rFonts w:hint="eastAsia" w:ascii="Times New Roman" w:hAnsi="Times New Roman" w:eastAsia="宋体"/>
          <w:color w:val="auto"/>
          <w:sz w:val="24"/>
          <w:szCs w:val="24"/>
          <w:lang w:eastAsia="zh-CN"/>
        </w:rPr>
        <w:t>。</w:t>
      </w:r>
    </w:p>
    <w:p w14:paraId="2BC7A9B1">
      <w:pPr>
        <w:pStyle w:val="5"/>
        <w:bidi w:val="0"/>
        <w:rPr>
          <w:rFonts w:hint="default"/>
          <w:color w:val="auto"/>
          <w:lang w:val="en-US" w:eastAsia="zh-CN"/>
        </w:rPr>
      </w:pPr>
      <w:r>
        <w:rPr>
          <w:rFonts w:hint="eastAsia"/>
          <w:color w:val="auto"/>
          <w:lang w:val="en-US" w:eastAsia="zh-CN"/>
        </w:rPr>
        <w:t>3.2.2建设内容及规模</w:t>
      </w:r>
    </w:p>
    <w:p w14:paraId="6F7494A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val="en-US" w:eastAsia="zh-CN"/>
        </w:rPr>
      </w:pPr>
      <w:r>
        <w:rPr>
          <w:rFonts w:hint="eastAsia" w:eastAsia="宋体"/>
          <w:color w:val="auto"/>
          <w:sz w:val="24"/>
          <w:szCs w:val="24"/>
          <w:lang w:val="en-US" w:eastAsia="zh-CN"/>
        </w:rPr>
        <w:t>本工程主要建设内容为：①部署</w:t>
      </w:r>
      <w:r>
        <w:rPr>
          <w:rFonts w:hint="eastAsia"/>
          <w:color w:val="auto"/>
          <w:sz w:val="24"/>
          <w:szCs w:val="24"/>
          <w:lang w:val="en-US" w:eastAsia="zh-CN"/>
        </w:rPr>
        <w:t>10</w:t>
      </w:r>
      <w:r>
        <w:rPr>
          <w:rFonts w:hint="eastAsia" w:eastAsia="宋体"/>
          <w:color w:val="auto"/>
          <w:sz w:val="24"/>
          <w:szCs w:val="24"/>
          <w:lang w:val="en-US" w:eastAsia="zh-CN"/>
        </w:rPr>
        <w:t>口采油井（均为评价</w:t>
      </w:r>
      <w:r>
        <w:rPr>
          <w:rFonts w:hint="eastAsia"/>
          <w:color w:val="auto"/>
          <w:sz w:val="24"/>
          <w:szCs w:val="24"/>
          <w:lang w:val="en-US" w:eastAsia="zh-CN"/>
        </w:rPr>
        <w:t>/预探</w:t>
      </w:r>
      <w:r>
        <w:rPr>
          <w:rFonts w:hint="eastAsia" w:eastAsia="宋体"/>
          <w:color w:val="auto"/>
          <w:sz w:val="24"/>
          <w:szCs w:val="24"/>
          <w:lang w:val="en-US" w:eastAsia="zh-CN"/>
        </w:rPr>
        <w:t>井转产能井），并对区域内已投产的</w:t>
      </w:r>
      <w:r>
        <w:rPr>
          <w:rFonts w:hint="eastAsia"/>
          <w:color w:val="auto"/>
          <w:sz w:val="24"/>
          <w:szCs w:val="24"/>
          <w:lang w:val="en-US" w:eastAsia="zh-CN"/>
        </w:rPr>
        <w:t>8</w:t>
      </w:r>
      <w:r>
        <w:rPr>
          <w:rFonts w:hint="eastAsia" w:eastAsia="宋体"/>
          <w:color w:val="auto"/>
          <w:sz w:val="24"/>
          <w:szCs w:val="24"/>
          <w:lang w:val="en-US" w:eastAsia="zh-CN"/>
        </w:rPr>
        <w:t>口产能井进行密闭集输改造；②新建单井</w:t>
      </w:r>
      <w:r>
        <w:rPr>
          <w:rFonts w:hint="eastAsia"/>
          <w:color w:val="auto"/>
          <w:sz w:val="24"/>
          <w:szCs w:val="24"/>
          <w:lang w:val="en-US" w:eastAsia="zh-CN"/>
        </w:rPr>
        <w:t>集油</w:t>
      </w:r>
      <w:r>
        <w:rPr>
          <w:rFonts w:hint="eastAsia" w:eastAsia="宋体"/>
          <w:color w:val="auto"/>
          <w:sz w:val="24"/>
          <w:szCs w:val="24"/>
          <w:lang w:val="en-US" w:eastAsia="zh-CN"/>
        </w:rPr>
        <w:t>管线</w:t>
      </w:r>
      <w:r>
        <w:rPr>
          <w:rFonts w:hint="eastAsia"/>
          <w:color w:val="auto"/>
          <w:sz w:val="24"/>
          <w:szCs w:val="24"/>
          <w:lang w:val="en-US" w:eastAsia="zh-CN"/>
        </w:rPr>
        <w:t>20.71</w:t>
      </w:r>
      <w:r>
        <w:rPr>
          <w:rFonts w:hint="default" w:eastAsia="宋体"/>
          <w:color w:val="auto"/>
          <w:sz w:val="24"/>
          <w:szCs w:val="24"/>
          <w:lang w:val="en-US" w:eastAsia="zh-CN"/>
        </w:rPr>
        <w:t>km</w:t>
      </w:r>
      <w:r>
        <w:rPr>
          <w:rFonts w:hint="eastAsia" w:eastAsia="宋体"/>
          <w:color w:val="auto"/>
          <w:sz w:val="24"/>
          <w:szCs w:val="24"/>
          <w:lang w:val="en-US" w:eastAsia="zh-CN"/>
        </w:rPr>
        <w:t>（其中乌尔禾区内</w:t>
      </w:r>
      <w:r>
        <w:rPr>
          <w:rFonts w:hint="eastAsia"/>
          <w:color w:val="auto"/>
          <w:sz w:val="24"/>
          <w:szCs w:val="24"/>
          <w:lang w:val="en-US" w:eastAsia="zh-CN"/>
        </w:rPr>
        <w:t>7.92</w:t>
      </w:r>
      <w:r>
        <w:rPr>
          <w:rFonts w:hint="default" w:eastAsia="宋体"/>
          <w:color w:val="auto"/>
          <w:sz w:val="24"/>
          <w:szCs w:val="24"/>
          <w:lang w:val="en-US" w:eastAsia="zh-CN"/>
        </w:rPr>
        <w:t>km</w:t>
      </w:r>
      <w:r>
        <w:rPr>
          <w:rFonts w:hint="eastAsia" w:eastAsia="宋体"/>
          <w:color w:val="auto"/>
          <w:sz w:val="24"/>
          <w:szCs w:val="24"/>
          <w:lang w:val="en-US" w:eastAsia="zh-CN"/>
        </w:rPr>
        <w:t>，和布克赛尔蒙古自治县内</w:t>
      </w:r>
      <w:r>
        <w:rPr>
          <w:rFonts w:hint="eastAsia"/>
          <w:color w:val="auto"/>
          <w:sz w:val="24"/>
          <w:szCs w:val="24"/>
          <w:lang w:val="en-US" w:eastAsia="zh-CN"/>
        </w:rPr>
        <w:t>12.79</w:t>
      </w:r>
      <w:r>
        <w:rPr>
          <w:rFonts w:hint="default" w:eastAsia="宋体"/>
          <w:color w:val="auto"/>
          <w:sz w:val="24"/>
          <w:szCs w:val="24"/>
          <w:lang w:val="en-US" w:eastAsia="zh-CN"/>
        </w:rPr>
        <w:t>km</w:t>
      </w:r>
      <w:r>
        <w:rPr>
          <w:rFonts w:hint="eastAsia" w:eastAsia="宋体"/>
          <w:color w:val="auto"/>
          <w:sz w:val="24"/>
          <w:szCs w:val="24"/>
          <w:lang w:val="en-US" w:eastAsia="zh-CN"/>
        </w:rPr>
        <w:t>）；③配套建设供配电、通信、消防、道路、仪表自动化、防腐等辅助工程。项目建成后，新增</w:t>
      </w:r>
      <w:r>
        <w:rPr>
          <w:rFonts w:hint="eastAsia"/>
          <w:color w:val="auto"/>
          <w:sz w:val="24"/>
          <w:szCs w:val="24"/>
          <w:lang w:val="en-US" w:eastAsia="zh-CN"/>
        </w:rPr>
        <w:t>原油</w:t>
      </w:r>
      <w:r>
        <w:rPr>
          <w:rFonts w:hint="eastAsia" w:eastAsia="宋体"/>
          <w:color w:val="auto"/>
          <w:sz w:val="24"/>
          <w:szCs w:val="24"/>
          <w:lang w:val="en-US" w:eastAsia="zh-CN"/>
        </w:rPr>
        <w:t>产能</w:t>
      </w:r>
      <w:r>
        <w:rPr>
          <w:rFonts w:hint="eastAsia"/>
          <w:color w:val="auto"/>
          <w:sz w:val="24"/>
          <w:szCs w:val="24"/>
          <w:lang w:val="en-US" w:eastAsia="zh-CN"/>
        </w:rPr>
        <w:t>7.72</w:t>
      </w:r>
      <w:r>
        <w:rPr>
          <w:rFonts w:hint="default" w:eastAsia="宋体"/>
          <w:color w:val="auto"/>
          <w:sz w:val="24"/>
          <w:szCs w:val="24"/>
          <w:lang w:val="en-US" w:eastAsia="zh-CN"/>
        </w:rPr>
        <w:t>×10</w:t>
      </w:r>
      <w:r>
        <w:rPr>
          <w:rFonts w:hint="default" w:eastAsia="宋体"/>
          <w:color w:val="auto"/>
          <w:sz w:val="24"/>
          <w:szCs w:val="24"/>
          <w:vertAlign w:val="superscript"/>
          <w:lang w:val="en-US" w:eastAsia="zh-CN"/>
        </w:rPr>
        <w:t>4</w:t>
      </w:r>
      <w:r>
        <w:rPr>
          <w:rFonts w:hint="default" w:eastAsia="宋体"/>
          <w:color w:val="auto"/>
          <w:sz w:val="24"/>
          <w:szCs w:val="24"/>
          <w:lang w:val="en-US" w:eastAsia="zh-CN"/>
        </w:rPr>
        <w:t>t/a</w:t>
      </w:r>
      <w:r>
        <w:rPr>
          <w:rFonts w:hint="eastAsia" w:eastAsia="宋体"/>
          <w:color w:val="auto"/>
          <w:sz w:val="24"/>
          <w:szCs w:val="24"/>
          <w:lang w:val="en-US" w:eastAsia="zh-CN"/>
        </w:rPr>
        <w:t>。实施井号情况见表3.2-1。</w:t>
      </w:r>
    </w:p>
    <w:p w14:paraId="3F72EB8E">
      <w:pPr>
        <w:pStyle w:val="43"/>
        <w:bidi w:val="0"/>
        <w:rPr>
          <w:rFonts w:hint="default"/>
          <w:color w:val="auto"/>
          <w:lang w:val="en-US" w:eastAsia="zh-CN"/>
        </w:rPr>
      </w:pPr>
      <w:r>
        <w:rPr>
          <w:rFonts w:hint="eastAsia"/>
          <w:color w:val="auto"/>
          <w:lang w:val="en-US" w:eastAsia="zh-CN"/>
        </w:rPr>
        <w:t>表3.2-1  实施井号情况一览表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519"/>
        <w:gridCol w:w="1410"/>
        <w:gridCol w:w="1710"/>
        <w:gridCol w:w="2608"/>
      </w:tblGrid>
      <w:tr w14:paraId="262A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14:paraId="2F3853C0">
            <w:pPr>
              <w:bidi w:val="0"/>
              <w:jc w:val="center"/>
              <w:rPr>
                <w:rFonts w:hint="default"/>
                <w:b/>
                <w:bCs/>
                <w:color w:val="auto"/>
                <w:vertAlign w:val="baseline"/>
                <w:lang w:val="en-US" w:eastAsia="zh-CN"/>
              </w:rPr>
            </w:pPr>
            <w:r>
              <w:rPr>
                <w:rFonts w:hint="eastAsia"/>
                <w:b/>
                <w:bCs/>
                <w:color w:val="auto"/>
                <w:vertAlign w:val="baseline"/>
                <w:lang w:val="en-US" w:eastAsia="zh-CN"/>
              </w:rPr>
              <w:t>作业区</w:t>
            </w:r>
          </w:p>
        </w:tc>
        <w:tc>
          <w:tcPr>
            <w:tcW w:w="1519" w:type="dxa"/>
            <w:vAlign w:val="center"/>
          </w:tcPr>
          <w:p w14:paraId="019277AC">
            <w:pPr>
              <w:bidi w:val="0"/>
              <w:jc w:val="center"/>
              <w:rPr>
                <w:rFonts w:hint="default"/>
                <w:b/>
                <w:bCs/>
                <w:color w:val="auto"/>
                <w:vertAlign w:val="baseline"/>
                <w:lang w:val="en-US" w:eastAsia="zh-CN"/>
              </w:rPr>
            </w:pPr>
            <w:r>
              <w:rPr>
                <w:rFonts w:hint="eastAsia"/>
                <w:b/>
                <w:bCs/>
                <w:color w:val="auto"/>
                <w:vertAlign w:val="baseline"/>
                <w:lang w:val="en-US" w:eastAsia="zh-CN"/>
              </w:rPr>
              <w:t>总井数</w:t>
            </w:r>
          </w:p>
        </w:tc>
        <w:tc>
          <w:tcPr>
            <w:tcW w:w="1410" w:type="dxa"/>
            <w:vAlign w:val="center"/>
          </w:tcPr>
          <w:p w14:paraId="534FEEEB">
            <w:pPr>
              <w:bidi w:val="0"/>
              <w:jc w:val="center"/>
              <w:rPr>
                <w:rFonts w:hint="default"/>
                <w:b/>
                <w:bCs/>
                <w:color w:val="auto"/>
                <w:vertAlign w:val="baseline"/>
                <w:lang w:val="en-US" w:eastAsia="zh-CN"/>
              </w:rPr>
            </w:pPr>
            <w:r>
              <w:rPr>
                <w:rFonts w:hint="eastAsia"/>
                <w:b/>
                <w:bCs/>
                <w:color w:val="auto"/>
                <w:vertAlign w:val="baseline"/>
                <w:lang w:val="en-US" w:eastAsia="zh-CN"/>
              </w:rPr>
              <w:t>类别</w:t>
            </w:r>
          </w:p>
        </w:tc>
        <w:tc>
          <w:tcPr>
            <w:tcW w:w="1710" w:type="dxa"/>
            <w:vAlign w:val="center"/>
          </w:tcPr>
          <w:p w14:paraId="1B941786">
            <w:pPr>
              <w:bidi w:val="0"/>
              <w:jc w:val="center"/>
              <w:rPr>
                <w:rFonts w:hint="default"/>
                <w:b/>
                <w:bCs/>
                <w:color w:val="auto"/>
                <w:vertAlign w:val="baseline"/>
                <w:lang w:val="en-US" w:eastAsia="zh-CN"/>
              </w:rPr>
            </w:pPr>
            <w:r>
              <w:rPr>
                <w:rFonts w:hint="eastAsia"/>
                <w:b/>
                <w:bCs/>
                <w:color w:val="auto"/>
                <w:vertAlign w:val="baseline"/>
                <w:lang w:val="en-US" w:eastAsia="zh-CN"/>
              </w:rPr>
              <w:t>克拉玛依市乌尔禾区井号</w:t>
            </w:r>
          </w:p>
        </w:tc>
        <w:tc>
          <w:tcPr>
            <w:tcW w:w="2608" w:type="dxa"/>
            <w:vAlign w:val="center"/>
          </w:tcPr>
          <w:p w14:paraId="1B346A41">
            <w:pPr>
              <w:bidi w:val="0"/>
              <w:jc w:val="center"/>
              <w:rPr>
                <w:rFonts w:hint="default"/>
                <w:b/>
                <w:bCs/>
                <w:color w:val="auto"/>
                <w:vertAlign w:val="baseline"/>
                <w:lang w:val="en-US" w:eastAsia="zh-CN"/>
              </w:rPr>
            </w:pPr>
            <w:r>
              <w:rPr>
                <w:rFonts w:hint="eastAsia"/>
                <w:b/>
                <w:bCs/>
                <w:color w:val="auto"/>
                <w:vertAlign w:val="baseline"/>
                <w:lang w:val="en-US" w:eastAsia="zh-CN"/>
              </w:rPr>
              <w:t>塔城地区和布克赛尔蒙古自治县井号</w:t>
            </w:r>
          </w:p>
        </w:tc>
      </w:tr>
      <w:tr w14:paraId="6E14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14:paraId="6925956F">
            <w:pPr>
              <w:bidi w:val="0"/>
              <w:jc w:val="center"/>
              <w:rPr>
                <w:rFonts w:hint="default"/>
                <w:color w:val="auto"/>
                <w:vertAlign w:val="baseline"/>
                <w:lang w:val="en-US" w:eastAsia="zh-CN"/>
              </w:rPr>
            </w:pPr>
            <w:r>
              <w:rPr>
                <w:rFonts w:hint="eastAsia"/>
                <w:color w:val="auto"/>
                <w:vertAlign w:val="baseline"/>
                <w:lang w:val="en-US" w:eastAsia="zh-CN"/>
              </w:rPr>
              <w:t>百21采油作业区</w:t>
            </w:r>
          </w:p>
        </w:tc>
        <w:tc>
          <w:tcPr>
            <w:tcW w:w="1519" w:type="dxa"/>
            <w:vAlign w:val="center"/>
          </w:tcPr>
          <w:p w14:paraId="03968756">
            <w:pPr>
              <w:bidi w:val="0"/>
              <w:jc w:val="center"/>
              <w:rPr>
                <w:rFonts w:hint="default"/>
                <w:color w:val="auto"/>
                <w:vertAlign w:val="baseline"/>
                <w:lang w:val="en-US" w:eastAsia="zh-CN"/>
              </w:rPr>
            </w:pPr>
            <w:r>
              <w:rPr>
                <w:rFonts w:hint="eastAsia"/>
                <w:color w:val="auto"/>
                <w:vertAlign w:val="baseline"/>
                <w:lang w:val="en-US" w:eastAsia="zh-CN"/>
              </w:rPr>
              <w:t>4口</w:t>
            </w:r>
          </w:p>
        </w:tc>
        <w:tc>
          <w:tcPr>
            <w:tcW w:w="1410" w:type="dxa"/>
            <w:vAlign w:val="center"/>
          </w:tcPr>
          <w:p w14:paraId="1937D04B">
            <w:pPr>
              <w:bidi w:val="0"/>
              <w:jc w:val="center"/>
              <w:rPr>
                <w:rFonts w:hint="default"/>
                <w:color w:val="auto"/>
                <w:vertAlign w:val="baseline"/>
                <w:lang w:val="en-US" w:eastAsia="zh-CN"/>
              </w:rPr>
            </w:pPr>
            <w:r>
              <w:rPr>
                <w:rFonts w:hint="eastAsia"/>
                <w:color w:val="auto"/>
                <w:vertAlign w:val="baseline"/>
                <w:lang w:val="en-US" w:eastAsia="zh-CN"/>
              </w:rPr>
              <w:t>4口评价井/探井转产能</w:t>
            </w:r>
          </w:p>
        </w:tc>
        <w:tc>
          <w:tcPr>
            <w:tcW w:w="1710" w:type="dxa"/>
            <w:vAlign w:val="center"/>
          </w:tcPr>
          <w:p w14:paraId="0489FC40">
            <w:pPr>
              <w:bidi w:val="0"/>
              <w:jc w:val="center"/>
              <w:rPr>
                <w:rFonts w:hint="default"/>
                <w:color w:val="auto"/>
                <w:vertAlign w:val="baseline"/>
                <w:lang w:val="en-US" w:eastAsia="zh-CN"/>
              </w:rPr>
            </w:pPr>
            <w:r>
              <w:rPr>
                <w:rFonts w:hint="eastAsia"/>
                <w:color w:val="auto"/>
                <w:vertAlign w:val="baseline"/>
                <w:lang w:val="en-US" w:eastAsia="zh-CN"/>
              </w:rPr>
              <w:t>百209H、百79、百791、百76</w:t>
            </w:r>
          </w:p>
        </w:tc>
        <w:tc>
          <w:tcPr>
            <w:tcW w:w="2608" w:type="dxa"/>
            <w:vAlign w:val="center"/>
          </w:tcPr>
          <w:p w14:paraId="0784D45B">
            <w:pPr>
              <w:bidi w:val="0"/>
              <w:jc w:val="center"/>
              <w:rPr>
                <w:rFonts w:hint="default"/>
                <w:color w:val="auto"/>
                <w:vertAlign w:val="baseline"/>
                <w:lang w:val="en-US" w:eastAsia="zh-CN"/>
              </w:rPr>
            </w:pPr>
            <w:r>
              <w:rPr>
                <w:rFonts w:hint="eastAsia"/>
                <w:color w:val="auto"/>
                <w:vertAlign w:val="baseline"/>
                <w:lang w:val="en-US" w:eastAsia="zh-CN"/>
              </w:rPr>
              <w:t>/</w:t>
            </w:r>
          </w:p>
        </w:tc>
      </w:tr>
      <w:tr w14:paraId="01A4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14:paraId="2C01F253">
            <w:pPr>
              <w:bidi w:val="0"/>
              <w:jc w:val="center"/>
              <w:rPr>
                <w:rFonts w:hint="default"/>
                <w:color w:val="auto"/>
                <w:vertAlign w:val="baseline"/>
                <w:lang w:val="en-US" w:eastAsia="zh-CN"/>
              </w:rPr>
            </w:pPr>
            <w:r>
              <w:rPr>
                <w:rFonts w:hint="eastAsia"/>
                <w:color w:val="auto"/>
                <w:vertAlign w:val="baseline"/>
                <w:lang w:val="en-US" w:eastAsia="zh-CN"/>
              </w:rPr>
              <w:t>玛湖第一采油作业区</w:t>
            </w:r>
          </w:p>
        </w:tc>
        <w:tc>
          <w:tcPr>
            <w:tcW w:w="1519" w:type="dxa"/>
            <w:vAlign w:val="center"/>
          </w:tcPr>
          <w:p w14:paraId="64877F20">
            <w:pPr>
              <w:bidi w:val="0"/>
              <w:jc w:val="center"/>
              <w:rPr>
                <w:rFonts w:hint="default"/>
                <w:color w:val="auto"/>
                <w:vertAlign w:val="baseline"/>
                <w:lang w:val="en-US" w:eastAsia="zh-CN"/>
              </w:rPr>
            </w:pPr>
            <w:r>
              <w:rPr>
                <w:rFonts w:hint="eastAsia"/>
                <w:color w:val="auto"/>
                <w:vertAlign w:val="baseline"/>
                <w:lang w:val="en-US" w:eastAsia="zh-CN"/>
              </w:rPr>
              <w:t>3口</w:t>
            </w:r>
          </w:p>
        </w:tc>
        <w:tc>
          <w:tcPr>
            <w:tcW w:w="1410" w:type="dxa"/>
            <w:vAlign w:val="center"/>
          </w:tcPr>
          <w:p w14:paraId="03013B24">
            <w:pPr>
              <w:bidi w:val="0"/>
              <w:jc w:val="center"/>
              <w:rPr>
                <w:rFonts w:hint="default"/>
                <w:color w:val="auto"/>
                <w:vertAlign w:val="baseline"/>
                <w:lang w:val="en-US" w:eastAsia="zh-CN"/>
              </w:rPr>
            </w:pPr>
            <w:r>
              <w:rPr>
                <w:rFonts w:hint="eastAsia"/>
                <w:color w:val="auto"/>
                <w:vertAlign w:val="baseline"/>
                <w:lang w:val="en-US" w:eastAsia="zh-CN"/>
              </w:rPr>
              <w:t>3口产能井进密闭</w:t>
            </w:r>
          </w:p>
        </w:tc>
        <w:tc>
          <w:tcPr>
            <w:tcW w:w="1710" w:type="dxa"/>
            <w:vAlign w:val="center"/>
          </w:tcPr>
          <w:p w14:paraId="7B9021C4">
            <w:pPr>
              <w:bidi w:val="0"/>
              <w:jc w:val="center"/>
              <w:rPr>
                <w:rFonts w:hint="default"/>
                <w:color w:val="auto"/>
                <w:vertAlign w:val="baseline"/>
                <w:lang w:val="en-US" w:eastAsia="zh-CN"/>
              </w:rPr>
            </w:pPr>
            <w:r>
              <w:rPr>
                <w:rFonts w:hint="eastAsia"/>
                <w:color w:val="auto"/>
                <w:vertAlign w:val="baseline"/>
                <w:lang w:val="en-US" w:eastAsia="zh-CN"/>
              </w:rPr>
              <w:t>/</w:t>
            </w:r>
          </w:p>
        </w:tc>
        <w:tc>
          <w:tcPr>
            <w:tcW w:w="2608" w:type="dxa"/>
            <w:vAlign w:val="center"/>
          </w:tcPr>
          <w:p w14:paraId="3B30778A">
            <w:pPr>
              <w:bidi w:val="0"/>
              <w:jc w:val="center"/>
              <w:rPr>
                <w:rFonts w:hint="default"/>
                <w:color w:val="auto"/>
                <w:vertAlign w:val="baseline"/>
                <w:lang w:val="en-US" w:eastAsia="zh-CN"/>
              </w:rPr>
            </w:pPr>
            <w:r>
              <w:rPr>
                <w:rFonts w:hint="eastAsia"/>
                <w:color w:val="auto"/>
                <w:vertAlign w:val="baseline"/>
                <w:lang w:val="en-US" w:eastAsia="zh-CN"/>
              </w:rPr>
              <w:t>Ma20023_H、Ma20024_H、DM2721</w:t>
            </w:r>
          </w:p>
        </w:tc>
      </w:tr>
      <w:tr w14:paraId="2BDB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restart"/>
            <w:vAlign w:val="center"/>
          </w:tcPr>
          <w:p w14:paraId="66452AAA">
            <w:pPr>
              <w:bidi w:val="0"/>
              <w:jc w:val="center"/>
              <w:rPr>
                <w:rFonts w:hint="default"/>
                <w:color w:val="auto"/>
                <w:vertAlign w:val="baseline"/>
                <w:lang w:val="en-US" w:eastAsia="zh-CN"/>
              </w:rPr>
            </w:pPr>
            <w:r>
              <w:rPr>
                <w:rFonts w:hint="eastAsia"/>
                <w:color w:val="auto"/>
                <w:vertAlign w:val="baseline"/>
                <w:lang w:val="en-US" w:eastAsia="zh-CN"/>
              </w:rPr>
              <w:t>玛湖第二采油作业区</w:t>
            </w:r>
          </w:p>
        </w:tc>
        <w:tc>
          <w:tcPr>
            <w:tcW w:w="1519" w:type="dxa"/>
            <w:vAlign w:val="center"/>
          </w:tcPr>
          <w:p w14:paraId="058F1336">
            <w:pPr>
              <w:bidi w:val="0"/>
              <w:jc w:val="center"/>
              <w:rPr>
                <w:rFonts w:hint="default"/>
                <w:color w:val="auto"/>
                <w:vertAlign w:val="baseline"/>
                <w:lang w:val="en-US" w:eastAsia="zh-CN"/>
              </w:rPr>
            </w:pPr>
            <w:r>
              <w:rPr>
                <w:rFonts w:hint="eastAsia"/>
                <w:color w:val="auto"/>
                <w:vertAlign w:val="baseline"/>
                <w:lang w:val="en-US" w:eastAsia="zh-CN"/>
              </w:rPr>
              <w:t>5口</w:t>
            </w:r>
          </w:p>
        </w:tc>
        <w:tc>
          <w:tcPr>
            <w:tcW w:w="1410" w:type="dxa"/>
            <w:vAlign w:val="center"/>
          </w:tcPr>
          <w:p w14:paraId="051347BD">
            <w:pPr>
              <w:bidi w:val="0"/>
              <w:jc w:val="center"/>
              <w:rPr>
                <w:rFonts w:hint="default"/>
                <w:color w:val="auto"/>
                <w:vertAlign w:val="baseline"/>
                <w:lang w:val="en-US" w:eastAsia="zh-CN"/>
              </w:rPr>
            </w:pPr>
            <w:r>
              <w:rPr>
                <w:rFonts w:hint="eastAsia"/>
                <w:color w:val="auto"/>
                <w:vertAlign w:val="baseline"/>
                <w:lang w:val="en-US" w:eastAsia="zh-CN"/>
              </w:rPr>
              <w:t>5口评价井/探井转产能</w:t>
            </w:r>
          </w:p>
        </w:tc>
        <w:tc>
          <w:tcPr>
            <w:tcW w:w="1710" w:type="dxa"/>
            <w:vAlign w:val="center"/>
          </w:tcPr>
          <w:p w14:paraId="6352B3B3">
            <w:pPr>
              <w:bidi w:val="0"/>
              <w:jc w:val="center"/>
              <w:rPr>
                <w:rFonts w:hint="default"/>
                <w:color w:val="auto"/>
                <w:vertAlign w:val="baseline"/>
                <w:lang w:val="en-US" w:eastAsia="zh-CN"/>
              </w:rPr>
            </w:pPr>
            <w:r>
              <w:rPr>
                <w:rFonts w:hint="eastAsia"/>
                <w:color w:val="auto"/>
                <w:vertAlign w:val="baseline"/>
                <w:lang w:val="en-US" w:eastAsia="zh-CN"/>
              </w:rPr>
              <w:t>/</w:t>
            </w:r>
          </w:p>
        </w:tc>
        <w:tc>
          <w:tcPr>
            <w:tcW w:w="2608" w:type="dxa"/>
            <w:vAlign w:val="center"/>
          </w:tcPr>
          <w:p w14:paraId="3D072972">
            <w:pPr>
              <w:bidi w:val="0"/>
              <w:jc w:val="center"/>
              <w:rPr>
                <w:rFonts w:hint="default"/>
                <w:color w:val="auto"/>
                <w:vertAlign w:val="baseline"/>
                <w:lang w:val="en-US" w:eastAsia="zh-CN"/>
              </w:rPr>
            </w:pPr>
            <w:r>
              <w:rPr>
                <w:rFonts w:hint="eastAsia"/>
                <w:color w:val="auto"/>
                <w:vertAlign w:val="baseline"/>
                <w:lang w:val="en-US" w:eastAsia="zh-CN"/>
              </w:rPr>
              <w:t>玛62、夏203、玛61、夏209、夏207H</w:t>
            </w:r>
          </w:p>
        </w:tc>
      </w:tr>
      <w:tr w14:paraId="1604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continue"/>
            <w:vAlign w:val="center"/>
          </w:tcPr>
          <w:p w14:paraId="450DE81E">
            <w:pPr>
              <w:bidi w:val="0"/>
              <w:jc w:val="center"/>
              <w:rPr>
                <w:rFonts w:hint="default"/>
                <w:color w:val="auto"/>
                <w:vertAlign w:val="baseline"/>
                <w:lang w:val="en-US" w:eastAsia="zh-CN"/>
              </w:rPr>
            </w:pPr>
          </w:p>
        </w:tc>
        <w:tc>
          <w:tcPr>
            <w:tcW w:w="1519" w:type="dxa"/>
            <w:vAlign w:val="center"/>
          </w:tcPr>
          <w:p w14:paraId="35144329">
            <w:pPr>
              <w:bidi w:val="0"/>
              <w:jc w:val="center"/>
              <w:rPr>
                <w:rFonts w:hint="default"/>
                <w:color w:val="auto"/>
                <w:vertAlign w:val="baseline"/>
                <w:lang w:val="en-US" w:eastAsia="zh-CN"/>
              </w:rPr>
            </w:pPr>
            <w:r>
              <w:rPr>
                <w:rFonts w:hint="eastAsia"/>
                <w:color w:val="auto"/>
                <w:vertAlign w:val="baseline"/>
                <w:lang w:val="en-US" w:eastAsia="zh-CN"/>
              </w:rPr>
              <w:t>5口</w:t>
            </w:r>
          </w:p>
        </w:tc>
        <w:tc>
          <w:tcPr>
            <w:tcW w:w="1410" w:type="dxa"/>
            <w:vAlign w:val="center"/>
          </w:tcPr>
          <w:p w14:paraId="174ACEAD">
            <w:pPr>
              <w:bidi w:val="0"/>
              <w:jc w:val="center"/>
              <w:rPr>
                <w:rFonts w:hint="default"/>
                <w:color w:val="auto"/>
                <w:vertAlign w:val="baseline"/>
                <w:lang w:val="en-US" w:eastAsia="zh-CN"/>
              </w:rPr>
            </w:pPr>
            <w:r>
              <w:rPr>
                <w:rFonts w:hint="eastAsia"/>
                <w:color w:val="auto"/>
                <w:vertAlign w:val="baseline"/>
                <w:lang w:val="en-US" w:eastAsia="zh-CN"/>
              </w:rPr>
              <w:t>5口产能井进密闭</w:t>
            </w:r>
          </w:p>
        </w:tc>
        <w:tc>
          <w:tcPr>
            <w:tcW w:w="1710" w:type="dxa"/>
            <w:vAlign w:val="center"/>
          </w:tcPr>
          <w:p w14:paraId="000AEBA8">
            <w:pPr>
              <w:bidi w:val="0"/>
              <w:jc w:val="center"/>
              <w:rPr>
                <w:rFonts w:hint="default"/>
                <w:color w:val="auto"/>
                <w:vertAlign w:val="baseline"/>
                <w:lang w:val="en-US" w:eastAsia="zh-CN"/>
              </w:rPr>
            </w:pPr>
            <w:r>
              <w:rPr>
                <w:rFonts w:hint="eastAsia"/>
                <w:color w:val="auto"/>
                <w:vertAlign w:val="baseline"/>
                <w:lang w:val="en-US" w:eastAsia="zh-CN"/>
              </w:rPr>
              <w:t>/</w:t>
            </w:r>
          </w:p>
        </w:tc>
        <w:tc>
          <w:tcPr>
            <w:tcW w:w="2608" w:type="dxa"/>
            <w:vAlign w:val="center"/>
          </w:tcPr>
          <w:p w14:paraId="42423FDA">
            <w:pPr>
              <w:bidi w:val="0"/>
              <w:jc w:val="center"/>
              <w:rPr>
                <w:rFonts w:hint="default"/>
                <w:color w:val="auto"/>
                <w:vertAlign w:val="baseline"/>
                <w:lang w:val="en-US" w:eastAsia="zh-CN"/>
              </w:rPr>
            </w:pPr>
            <w:r>
              <w:rPr>
                <w:rFonts w:hint="eastAsia"/>
                <w:color w:val="auto"/>
                <w:vertAlign w:val="baseline"/>
                <w:lang w:val="en-US" w:eastAsia="zh-CN"/>
              </w:rPr>
              <w:t>夏91_H、夏92_H、夏724、XHW7202、夏202</w:t>
            </w:r>
          </w:p>
        </w:tc>
      </w:tr>
      <w:tr w14:paraId="4F4A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14:paraId="139A5328">
            <w:pPr>
              <w:bidi w:val="0"/>
              <w:jc w:val="center"/>
              <w:rPr>
                <w:rFonts w:hint="default"/>
                <w:color w:val="auto"/>
                <w:vertAlign w:val="baseline"/>
                <w:lang w:val="en-US" w:eastAsia="zh-CN"/>
              </w:rPr>
            </w:pPr>
            <w:r>
              <w:rPr>
                <w:rFonts w:hint="eastAsia"/>
                <w:color w:val="auto"/>
                <w:vertAlign w:val="baseline"/>
                <w:lang w:val="en-US" w:eastAsia="zh-CN"/>
              </w:rPr>
              <w:t>玛湖第三采油作业区</w:t>
            </w:r>
          </w:p>
        </w:tc>
        <w:tc>
          <w:tcPr>
            <w:tcW w:w="1519" w:type="dxa"/>
            <w:vAlign w:val="center"/>
          </w:tcPr>
          <w:p w14:paraId="08E7B08B">
            <w:pPr>
              <w:bidi w:val="0"/>
              <w:jc w:val="center"/>
              <w:rPr>
                <w:rFonts w:hint="default"/>
                <w:color w:val="auto"/>
                <w:vertAlign w:val="baseline"/>
                <w:lang w:val="en-US" w:eastAsia="zh-CN"/>
              </w:rPr>
            </w:pPr>
            <w:r>
              <w:rPr>
                <w:rFonts w:hint="eastAsia"/>
                <w:color w:val="auto"/>
                <w:vertAlign w:val="baseline"/>
                <w:lang w:val="en-US" w:eastAsia="zh-CN"/>
              </w:rPr>
              <w:t>1口</w:t>
            </w:r>
          </w:p>
        </w:tc>
        <w:tc>
          <w:tcPr>
            <w:tcW w:w="1410" w:type="dxa"/>
            <w:vAlign w:val="center"/>
          </w:tcPr>
          <w:p w14:paraId="6A75063D">
            <w:pPr>
              <w:bidi w:val="0"/>
              <w:jc w:val="center"/>
              <w:rPr>
                <w:rFonts w:hint="default"/>
                <w:color w:val="auto"/>
                <w:vertAlign w:val="baseline"/>
                <w:lang w:val="en-US" w:eastAsia="zh-CN"/>
              </w:rPr>
            </w:pPr>
            <w:r>
              <w:rPr>
                <w:rFonts w:hint="eastAsia"/>
                <w:color w:val="auto"/>
                <w:vertAlign w:val="baseline"/>
                <w:lang w:val="en-US" w:eastAsia="zh-CN"/>
              </w:rPr>
              <w:t>1口探井转产能</w:t>
            </w:r>
          </w:p>
        </w:tc>
        <w:tc>
          <w:tcPr>
            <w:tcW w:w="1710" w:type="dxa"/>
            <w:vAlign w:val="center"/>
          </w:tcPr>
          <w:p w14:paraId="76DBA848">
            <w:pPr>
              <w:bidi w:val="0"/>
              <w:jc w:val="center"/>
              <w:rPr>
                <w:rFonts w:hint="default"/>
                <w:color w:val="auto"/>
                <w:vertAlign w:val="baseline"/>
                <w:lang w:val="en-US" w:eastAsia="zh-CN"/>
              </w:rPr>
            </w:pPr>
            <w:r>
              <w:rPr>
                <w:rFonts w:hint="eastAsia"/>
                <w:color w:val="auto"/>
                <w:vertAlign w:val="baseline"/>
                <w:lang w:val="en-US" w:eastAsia="zh-CN"/>
              </w:rPr>
              <w:t>/</w:t>
            </w:r>
          </w:p>
        </w:tc>
        <w:tc>
          <w:tcPr>
            <w:tcW w:w="2608" w:type="dxa"/>
            <w:vAlign w:val="center"/>
          </w:tcPr>
          <w:p w14:paraId="51BE7F59">
            <w:pPr>
              <w:bidi w:val="0"/>
              <w:jc w:val="center"/>
              <w:rPr>
                <w:rFonts w:hint="default"/>
                <w:color w:val="auto"/>
                <w:vertAlign w:val="baseline"/>
                <w:lang w:val="en-US" w:eastAsia="zh-CN"/>
              </w:rPr>
            </w:pPr>
            <w:r>
              <w:rPr>
                <w:rFonts w:hint="eastAsia"/>
                <w:color w:val="auto"/>
                <w:vertAlign w:val="baseline"/>
                <w:lang w:val="en-US" w:eastAsia="zh-CN"/>
              </w:rPr>
              <w:t>赛探1</w:t>
            </w:r>
          </w:p>
        </w:tc>
      </w:tr>
      <w:tr w14:paraId="36A8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14:paraId="06D65756">
            <w:pPr>
              <w:bidi w:val="0"/>
              <w:jc w:val="center"/>
              <w:rPr>
                <w:rFonts w:hint="default"/>
                <w:color w:val="auto"/>
                <w:vertAlign w:val="baseline"/>
                <w:lang w:val="en-US" w:eastAsia="zh-CN"/>
              </w:rPr>
            </w:pPr>
            <w:r>
              <w:rPr>
                <w:rFonts w:hint="eastAsia"/>
                <w:color w:val="auto"/>
                <w:vertAlign w:val="baseline"/>
                <w:lang w:val="en-US" w:eastAsia="zh-CN"/>
              </w:rPr>
              <w:t>合计</w:t>
            </w:r>
          </w:p>
        </w:tc>
        <w:tc>
          <w:tcPr>
            <w:tcW w:w="1519" w:type="dxa"/>
            <w:vAlign w:val="center"/>
          </w:tcPr>
          <w:p w14:paraId="2DFAA36F">
            <w:pPr>
              <w:bidi w:val="0"/>
              <w:jc w:val="center"/>
              <w:rPr>
                <w:rFonts w:hint="default"/>
                <w:color w:val="auto"/>
                <w:vertAlign w:val="baseline"/>
                <w:lang w:val="en-US" w:eastAsia="zh-CN"/>
              </w:rPr>
            </w:pPr>
            <w:r>
              <w:rPr>
                <w:rFonts w:hint="eastAsia"/>
                <w:color w:val="auto"/>
                <w:vertAlign w:val="baseline"/>
                <w:lang w:val="en-US" w:eastAsia="zh-CN"/>
              </w:rPr>
              <w:t>18口</w:t>
            </w:r>
          </w:p>
        </w:tc>
        <w:tc>
          <w:tcPr>
            <w:tcW w:w="1410" w:type="dxa"/>
            <w:vAlign w:val="center"/>
          </w:tcPr>
          <w:p w14:paraId="7F3E76DA">
            <w:pPr>
              <w:bidi w:val="0"/>
              <w:jc w:val="center"/>
              <w:rPr>
                <w:rFonts w:hint="default"/>
                <w:color w:val="auto"/>
                <w:vertAlign w:val="baseline"/>
                <w:lang w:val="en-US" w:eastAsia="zh-CN"/>
              </w:rPr>
            </w:pPr>
            <w:r>
              <w:rPr>
                <w:rFonts w:hint="eastAsia"/>
                <w:color w:val="auto"/>
                <w:vertAlign w:val="baseline"/>
                <w:lang w:val="en-US" w:eastAsia="zh-CN"/>
              </w:rPr>
              <w:t>/</w:t>
            </w:r>
          </w:p>
        </w:tc>
        <w:tc>
          <w:tcPr>
            <w:tcW w:w="1710" w:type="dxa"/>
            <w:vAlign w:val="center"/>
          </w:tcPr>
          <w:p w14:paraId="0FF95695">
            <w:pPr>
              <w:bidi w:val="0"/>
              <w:jc w:val="center"/>
              <w:rPr>
                <w:rFonts w:hint="default"/>
                <w:color w:val="auto"/>
                <w:vertAlign w:val="baseline"/>
                <w:lang w:val="en-US" w:eastAsia="zh-CN"/>
              </w:rPr>
            </w:pPr>
            <w:r>
              <w:rPr>
                <w:rFonts w:hint="eastAsia"/>
                <w:color w:val="auto"/>
                <w:vertAlign w:val="baseline"/>
                <w:lang w:val="en-US" w:eastAsia="zh-CN"/>
              </w:rPr>
              <w:t>/</w:t>
            </w:r>
          </w:p>
        </w:tc>
        <w:tc>
          <w:tcPr>
            <w:tcW w:w="2608" w:type="dxa"/>
            <w:vAlign w:val="center"/>
          </w:tcPr>
          <w:p w14:paraId="33742DAC">
            <w:pPr>
              <w:bidi w:val="0"/>
              <w:jc w:val="center"/>
              <w:rPr>
                <w:rFonts w:hint="default"/>
                <w:color w:val="auto"/>
                <w:vertAlign w:val="baseline"/>
                <w:lang w:val="en-US" w:eastAsia="zh-CN"/>
              </w:rPr>
            </w:pPr>
            <w:r>
              <w:rPr>
                <w:rFonts w:hint="eastAsia"/>
                <w:color w:val="auto"/>
                <w:vertAlign w:val="baseline"/>
                <w:lang w:val="en-US" w:eastAsia="zh-CN"/>
              </w:rPr>
              <w:t>/</w:t>
            </w:r>
          </w:p>
        </w:tc>
      </w:tr>
      <w:tr w14:paraId="4BA8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9" w:type="dxa"/>
            <w:gridSpan w:val="5"/>
            <w:vAlign w:val="center"/>
          </w:tcPr>
          <w:p w14:paraId="1AA1000D">
            <w:pPr>
              <w:bidi w:val="0"/>
              <w:jc w:val="both"/>
              <w:rPr>
                <w:rFonts w:hint="default"/>
                <w:color w:val="auto"/>
                <w:vertAlign w:val="baseline"/>
                <w:lang w:val="en-US" w:eastAsia="zh-CN"/>
              </w:rPr>
            </w:pPr>
            <w:r>
              <w:rPr>
                <w:rFonts w:hint="eastAsia"/>
                <w:color w:val="auto"/>
                <w:vertAlign w:val="baseline"/>
                <w:lang w:val="en-US" w:eastAsia="zh-CN"/>
              </w:rPr>
              <w:t>备注：10口评价井/预探井转产能，8口产能井单罐改密闭集输</w:t>
            </w:r>
          </w:p>
        </w:tc>
      </w:tr>
    </w:tbl>
    <w:p w14:paraId="076B25CA">
      <w:pPr>
        <w:pStyle w:val="5"/>
        <w:bidi w:val="0"/>
        <w:rPr>
          <w:rFonts w:hint="default"/>
          <w:color w:val="auto"/>
          <w:lang w:val="en-US" w:eastAsia="zh-CN"/>
        </w:rPr>
      </w:pPr>
      <w:r>
        <w:rPr>
          <w:rFonts w:hint="eastAsia"/>
          <w:color w:val="auto"/>
          <w:lang w:val="en-US" w:eastAsia="zh-CN"/>
        </w:rPr>
        <w:t>3.2.3工程组成</w:t>
      </w:r>
    </w:p>
    <w:p w14:paraId="24A1095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主要工程组成情况见表3.2-2。</w:t>
      </w:r>
    </w:p>
    <w:p w14:paraId="60C24114">
      <w:pPr>
        <w:pStyle w:val="43"/>
        <w:bidi w:val="0"/>
        <w:rPr>
          <w:rFonts w:hint="default"/>
          <w:color w:val="auto"/>
          <w:lang w:eastAsia="zh-CN"/>
        </w:rPr>
      </w:pPr>
      <w:r>
        <w:rPr>
          <w:rFonts w:hint="default"/>
          <w:color w:val="auto"/>
        </w:rPr>
        <w:t>表</w:t>
      </w:r>
      <w:r>
        <w:rPr>
          <w:rFonts w:hint="default"/>
          <w:color w:val="auto"/>
          <w:lang w:val="en-US" w:eastAsia="zh-CN"/>
        </w:rPr>
        <w:t>3</w:t>
      </w:r>
      <w:r>
        <w:rPr>
          <w:rFonts w:hint="default"/>
          <w:color w:val="auto"/>
        </w:rPr>
        <w:t>.2-</w:t>
      </w:r>
      <w:r>
        <w:rPr>
          <w:rFonts w:hint="eastAsia"/>
          <w:color w:val="auto"/>
          <w:lang w:val="en-US" w:eastAsia="zh-CN"/>
        </w:rPr>
        <w:t>2</w:t>
      </w:r>
      <w:r>
        <w:rPr>
          <w:rFonts w:hint="default"/>
          <w:color w:val="auto"/>
        </w:rPr>
        <w:t xml:space="preserve"> </w:t>
      </w:r>
      <w:r>
        <w:rPr>
          <w:rFonts w:hint="default"/>
          <w:color w:val="auto"/>
          <w:lang w:val="en-US" w:eastAsia="zh-CN"/>
        </w:rPr>
        <w:t xml:space="preserve"> </w:t>
      </w:r>
      <w:r>
        <w:rPr>
          <w:rFonts w:hint="default"/>
          <w:color w:val="auto"/>
        </w:rPr>
        <w:t>主要工程组成</w:t>
      </w:r>
      <w:r>
        <w:rPr>
          <w:rFonts w:hint="default"/>
          <w:color w:val="auto"/>
          <w:lang w:eastAsia="zh-CN"/>
        </w:rPr>
        <w:t>一览表</w:t>
      </w:r>
    </w:p>
    <w:tbl>
      <w:tblPr>
        <w:tblStyle w:val="27"/>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57" w:type="dxa"/>
          <w:bottom w:w="0" w:type="dxa"/>
          <w:right w:w="57" w:type="dxa"/>
        </w:tblCellMar>
      </w:tblPr>
      <w:tblGrid>
        <w:gridCol w:w="694"/>
        <w:gridCol w:w="605"/>
        <w:gridCol w:w="530"/>
        <w:gridCol w:w="1438"/>
        <w:gridCol w:w="4530"/>
        <w:gridCol w:w="620"/>
      </w:tblGrid>
      <w:tr w14:paraId="678B92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tcBorders>
              <w:tl2br w:val="nil"/>
              <w:tr2bl w:val="nil"/>
            </w:tcBorders>
            <w:noWrap w:val="0"/>
            <w:vAlign w:val="center"/>
          </w:tcPr>
          <w:p w14:paraId="6CDF95BF">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674" w:type="pct"/>
            <w:gridSpan w:val="2"/>
            <w:tcBorders>
              <w:tl2br w:val="nil"/>
              <w:tr2bl w:val="nil"/>
            </w:tcBorders>
            <w:noWrap w:val="0"/>
            <w:vAlign w:val="center"/>
          </w:tcPr>
          <w:p w14:paraId="7FF1810A">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854" w:type="pct"/>
            <w:tcBorders>
              <w:tl2br w:val="nil"/>
              <w:tr2bl w:val="nil"/>
            </w:tcBorders>
            <w:noWrap w:val="0"/>
            <w:vAlign w:val="center"/>
          </w:tcPr>
          <w:p w14:paraId="2BCC6FA8">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工程量</w:t>
            </w:r>
          </w:p>
        </w:tc>
        <w:tc>
          <w:tcPr>
            <w:tcW w:w="2690" w:type="pct"/>
            <w:tcBorders>
              <w:tl2br w:val="nil"/>
              <w:tr2bl w:val="nil"/>
            </w:tcBorders>
            <w:noWrap w:val="0"/>
            <w:vAlign w:val="center"/>
          </w:tcPr>
          <w:p w14:paraId="7C5D1E88">
            <w:pPr>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建设内容</w:t>
            </w:r>
          </w:p>
        </w:tc>
        <w:tc>
          <w:tcPr>
            <w:tcW w:w="368" w:type="pct"/>
            <w:tcBorders>
              <w:tl2br w:val="nil"/>
              <w:tr2bl w:val="nil"/>
            </w:tcBorders>
            <w:noWrap w:val="0"/>
            <w:vAlign w:val="center"/>
          </w:tcPr>
          <w:p w14:paraId="14D2CBD2">
            <w:pPr>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备注</w:t>
            </w:r>
          </w:p>
        </w:tc>
      </w:tr>
      <w:tr w14:paraId="69F006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restart"/>
            <w:tcBorders>
              <w:tl2br w:val="nil"/>
              <w:tr2bl w:val="nil"/>
            </w:tcBorders>
            <w:noWrap w:val="0"/>
            <w:vAlign w:val="center"/>
          </w:tcPr>
          <w:p w14:paraId="724D2491">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老井利用</w:t>
            </w:r>
          </w:p>
        </w:tc>
        <w:tc>
          <w:tcPr>
            <w:tcW w:w="674" w:type="pct"/>
            <w:gridSpan w:val="2"/>
            <w:tcBorders>
              <w:tl2br w:val="nil"/>
              <w:tr2bl w:val="nil"/>
            </w:tcBorders>
            <w:noWrap w:val="0"/>
            <w:vAlign w:val="center"/>
          </w:tcPr>
          <w:p w14:paraId="619FDC65">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评价/预探井转产能</w:t>
            </w:r>
          </w:p>
        </w:tc>
        <w:tc>
          <w:tcPr>
            <w:tcW w:w="854" w:type="pct"/>
            <w:tcBorders>
              <w:tl2br w:val="nil"/>
              <w:tr2bl w:val="nil"/>
            </w:tcBorders>
            <w:noWrap w:val="0"/>
            <w:vAlign w:val="center"/>
          </w:tcPr>
          <w:p w14:paraId="641F5868">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10口</w:t>
            </w:r>
          </w:p>
        </w:tc>
        <w:tc>
          <w:tcPr>
            <w:tcW w:w="2690" w:type="pct"/>
            <w:tcBorders>
              <w:tl2br w:val="nil"/>
              <w:tr2bl w:val="nil"/>
            </w:tcBorders>
            <w:noWrap w:val="0"/>
            <w:vAlign w:val="center"/>
          </w:tcPr>
          <w:p w14:paraId="53400640">
            <w:pPr>
              <w:snapToGrid w:val="0"/>
              <w:jc w:val="both"/>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评价井/预探井转产能井10口，新增产能</w:t>
            </w:r>
            <w:r>
              <w:rPr>
                <w:rFonts w:hint="eastAsia" w:cs="Times New Roman"/>
                <w:b w:val="0"/>
                <w:bCs w:val="0"/>
                <w:color w:val="auto"/>
                <w:szCs w:val="21"/>
                <w:lang w:val="en-US" w:eastAsia="zh-CN"/>
              </w:rPr>
              <w:t>7.72</w:t>
            </w:r>
            <w:r>
              <w:rPr>
                <w:rFonts w:hint="default" w:ascii="Arial" w:hAnsi="Arial" w:eastAsia="宋体" w:cs="Arial"/>
                <w:b w:val="0"/>
                <w:bCs w:val="0"/>
                <w:color w:val="auto"/>
                <w:szCs w:val="21"/>
                <w:lang w:val="en-US" w:eastAsia="zh-CN"/>
              </w:rPr>
              <w:t>×</w:t>
            </w:r>
            <w:r>
              <w:rPr>
                <w:rFonts w:hint="eastAsia" w:ascii="Times New Roman" w:hAnsi="Times New Roman" w:eastAsia="宋体" w:cs="Times New Roman"/>
                <w:b w:val="0"/>
                <w:bCs w:val="0"/>
                <w:color w:val="auto"/>
                <w:szCs w:val="21"/>
                <w:lang w:val="en-US" w:eastAsia="zh-CN"/>
              </w:rPr>
              <w:t>10</w:t>
            </w:r>
            <w:r>
              <w:rPr>
                <w:rFonts w:hint="eastAsia" w:ascii="Times New Roman" w:hAnsi="Times New Roman" w:eastAsia="宋体" w:cs="Times New Roman"/>
                <w:b w:val="0"/>
                <w:bCs w:val="0"/>
                <w:color w:val="auto"/>
                <w:szCs w:val="21"/>
                <w:vertAlign w:val="superscript"/>
                <w:lang w:val="en-US" w:eastAsia="zh-CN"/>
              </w:rPr>
              <w:t>4</w:t>
            </w:r>
            <w:r>
              <w:rPr>
                <w:rFonts w:hint="eastAsia" w:ascii="Times New Roman" w:hAnsi="Times New Roman" w:eastAsia="宋体" w:cs="Times New Roman"/>
                <w:b w:val="0"/>
                <w:bCs w:val="0"/>
                <w:color w:val="auto"/>
                <w:szCs w:val="21"/>
                <w:lang w:val="en-US" w:eastAsia="zh-CN"/>
              </w:rPr>
              <w:t>t/a</w:t>
            </w:r>
          </w:p>
        </w:tc>
        <w:tc>
          <w:tcPr>
            <w:tcW w:w="368" w:type="pct"/>
            <w:tcBorders>
              <w:tl2br w:val="nil"/>
              <w:tr2bl w:val="nil"/>
            </w:tcBorders>
            <w:noWrap w:val="0"/>
            <w:vAlign w:val="center"/>
          </w:tcPr>
          <w:p w14:paraId="0D962559">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利用</w:t>
            </w:r>
          </w:p>
        </w:tc>
      </w:tr>
      <w:tr w14:paraId="693D4F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9E027CA">
            <w:pPr>
              <w:snapToGrid w:val="0"/>
              <w:jc w:val="center"/>
              <w:rPr>
                <w:rFonts w:hint="default" w:ascii="Times New Roman" w:hAnsi="Times New Roman" w:eastAsia="宋体" w:cs="Times New Roman"/>
                <w:b w:val="0"/>
                <w:bCs w:val="0"/>
                <w:color w:val="auto"/>
                <w:szCs w:val="21"/>
              </w:rPr>
            </w:pPr>
          </w:p>
        </w:tc>
        <w:tc>
          <w:tcPr>
            <w:tcW w:w="674" w:type="pct"/>
            <w:gridSpan w:val="2"/>
            <w:tcBorders>
              <w:tl2br w:val="nil"/>
              <w:tr2bl w:val="nil"/>
            </w:tcBorders>
            <w:noWrap w:val="0"/>
            <w:vAlign w:val="center"/>
          </w:tcPr>
          <w:p w14:paraId="60547A76">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产能井进密闭</w:t>
            </w:r>
          </w:p>
        </w:tc>
        <w:tc>
          <w:tcPr>
            <w:tcW w:w="854" w:type="pct"/>
            <w:tcBorders>
              <w:tl2br w:val="nil"/>
              <w:tr2bl w:val="nil"/>
            </w:tcBorders>
            <w:noWrap w:val="0"/>
            <w:vAlign w:val="center"/>
          </w:tcPr>
          <w:p w14:paraId="5236AB06">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8口</w:t>
            </w:r>
          </w:p>
        </w:tc>
        <w:tc>
          <w:tcPr>
            <w:tcW w:w="2690" w:type="pct"/>
            <w:tcBorders>
              <w:tl2br w:val="nil"/>
              <w:tr2bl w:val="nil"/>
            </w:tcBorders>
            <w:noWrap w:val="0"/>
            <w:vAlign w:val="center"/>
          </w:tcPr>
          <w:p w14:paraId="164AECAC">
            <w:pPr>
              <w:snapToGrid w:val="0"/>
              <w:jc w:val="both"/>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单罐拉油产能井进密闭8口</w:t>
            </w:r>
          </w:p>
        </w:tc>
        <w:tc>
          <w:tcPr>
            <w:tcW w:w="368" w:type="pct"/>
            <w:tcBorders>
              <w:tl2br w:val="nil"/>
              <w:tr2bl w:val="nil"/>
            </w:tcBorders>
            <w:noWrap w:val="0"/>
            <w:vAlign w:val="center"/>
          </w:tcPr>
          <w:p w14:paraId="3AA1CCB3">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利用</w:t>
            </w:r>
          </w:p>
        </w:tc>
      </w:tr>
      <w:tr w14:paraId="040270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restart"/>
            <w:tcBorders>
              <w:tl2br w:val="nil"/>
              <w:tr2bl w:val="nil"/>
            </w:tcBorders>
            <w:noWrap w:val="0"/>
            <w:vAlign w:val="center"/>
          </w:tcPr>
          <w:p w14:paraId="3B80E859">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地面工程</w:t>
            </w:r>
          </w:p>
        </w:tc>
        <w:tc>
          <w:tcPr>
            <w:tcW w:w="674" w:type="pct"/>
            <w:gridSpan w:val="2"/>
            <w:tcBorders>
              <w:tl2br w:val="nil"/>
              <w:tr2bl w:val="nil"/>
            </w:tcBorders>
            <w:noWrap w:val="0"/>
            <w:vAlign w:val="center"/>
          </w:tcPr>
          <w:p w14:paraId="1598C26C">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采油井口装置</w:t>
            </w:r>
          </w:p>
        </w:tc>
        <w:tc>
          <w:tcPr>
            <w:tcW w:w="854" w:type="pct"/>
            <w:tcBorders>
              <w:tl2br w:val="nil"/>
              <w:tr2bl w:val="nil"/>
            </w:tcBorders>
            <w:noWrap w:val="0"/>
            <w:vAlign w:val="center"/>
          </w:tcPr>
          <w:p w14:paraId="6E82C08B">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10</w:t>
            </w:r>
          </w:p>
        </w:tc>
        <w:tc>
          <w:tcPr>
            <w:tcW w:w="2690" w:type="pct"/>
            <w:tcBorders>
              <w:tl2br w:val="nil"/>
              <w:tr2bl w:val="nil"/>
            </w:tcBorders>
            <w:noWrap w:val="0"/>
            <w:vAlign w:val="center"/>
          </w:tcPr>
          <w:p w14:paraId="5BCC14E8">
            <w:pPr>
              <w:snapToGrid w:val="0"/>
              <w:jc w:val="both"/>
              <w:rPr>
                <w:rFonts w:hint="default" w:ascii="Times New Roman" w:hAnsi="Times New Roman" w:eastAsia="宋体" w:cs="Times New Roman"/>
                <w:b w:val="0"/>
                <w:bCs w:val="0"/>
                <w:color w:val="auto"/>
                <w:szCs w:val="21"/>
                <w:lang w:eastAsia="zh-CN"/>
              </w:rPr>
            </w:pPr>
            <w:r>
              <w:rPr>
                <w:rFonts w:hint="default" w:ascii="Times New Roman" w:hAnsi="Times New Roman" w:eastAsia="宋体" w:cs="Times New Roman"/>
                <w:color w:val="auto"/>
                <w:szCs w:val="21"/>
                <w:lang w:eastAsia="zh-CN"/>
              </w:rPr>
              <w:t>采油井口采用</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lang w:eastAsia="zh-CN"/>
              </w:rPr>
              <w:t>型抽油机，配套电机</w:t>
            </w:r>
            <w:r>
              <w:rPr>
                <w:rFonts w:hint="default" w:ascii="Times New Roman" w:hAnsi="Times New Roman" w:eastAsia="宋体" w:cs="Times New Roman"/>
                <w:color w:val="auto"/>
                <w:szCs w:val="21"/>
                <w:lang w:val="en-US" w:eastAsia="zh-CN"/>
              </w:rPr>
              <w:t>22</w:t>
            </w:r>
            <w:r>
              <w:rPr>
                <w:rFonts w:hint="default" w:ascii="Times New Roman" w:hAnsi="Times New Roman" w:eastAsia="宋体" w:cs="Times New Roman"/>
                <w:color w:val="auto"/>
                <w:szCs w:val="21"/>
                <w:lang w:eastAsia="zh-CN"/>
              </w:rPr>
              <w:t>kW。井口设保温盒，保温盒内设0.25kW防爆电加热器，压力表置于保温盒内，设置清蜡和热洗接口，同时设置安全标志牌</w:t>
            </w:r>
          </w:p>
        </w:tc>
        <w:tc>
          <w:tcPr>
            <w:tcW w:w="368" w:type="pct"/>
            <w:tcBorders>
              <w:tl2br w:val="nil"/>
              <w:tr2bl w:val="nil"/>
            </w:tcBorders>
            <w:noWrap w:val="0"/>
            <w:vAlign w:val="center"/>
          </w:tcPr>
          <w:p w14:paraId="1B5DE9CC">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新建</w:t>
            </w:r>
          </w:p>
        </w:tc>
      </w:tr>
      <w:tr w14:paraId="73CB40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5975F52">
            <w:pPr>
              <w:snapToGrid w:val="0"/>
              <w:jc w:val="center"/>
              <w:rPr>
                <w:rFonts w:hint="default" w:ascii="Times New Roman" w:hAnsi="Times New Roman" w:eastAsia="宋体" w:cs="Times New Roman"/>
                <w:b w:val="0"/>
                <w:bCs w:val="0"/>
                <w:color w:val="auto"/>
                <w:szCs w:val="21"/>
              </w:rPr>
            </w:pPr>
          </w:p>
        </w:tc>
        <w:tc>
          <w:tcPr>
            <w:tcW w:w="674" w:type="pct"/>
            <w:gridSpan w:val="2"/>
            <w:vMerge w:val="restart"/>
            <w:tcBorders>
              <w:tl2br w:val="nil"/>
              <w:tr2bl w:val="nil"/>
            </w:tcBorders>
            <w:noWrap w:val="0"/>
            <w:vAlign w:val="center"/>
          </w:tcPr>
          <w:p w14:paraId="69AB8091">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单井集油管线</w:t>
            </w:r>
          </w:p>
        </w:tc>
        <w:tc>
          <w:tcPr>
            <w:tcW w:w="854" w:type="pct"/>
            <w:tcBorders>
              <w:tl2br w:val="nil"/>
              <w:tr2bl w:val="nil"/>
            </w:tcBorders>
            <w:noWrap w:val="0"/>
            <w:vAlign w:val="center"/>
          </w:tcPr>
          <w:p w14:paraId="35AC895A">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0.68km</w:t>
            </w:r>
          </w:p>
        </w:tc>
        <w:tc>
          <w:tcPr>
            <w:tcW w:w="2690" w:type="pct"/>
            <w:tcBorders>
              <w:tl2br w:val="nil"/>
              <w:tr2bl w:val="nil"/>
            </w:tcBorders>
            <w:noWrap w:val="0"/>
            <w:vAlign w:val="center"/>
          </w:tcPr>
          <w:p w14:paraId="57602A74">
            <w:pPr>
              <w:snapToGrid w:val="0"/>
              <w:jc w:val="both"/>
              <w:rPr>
                <w:rFonts w:hint="default" w:ascii="Times New Roman" w:hAnsi="Times New Roman" w:eastAsia="宋体" w:cs="Times New Roman"/>
                <w:b w:val="0"/>
                <w:bCs w:val="0"/>
                <w:color w:val="auto"/>
                <w:szCs w:val="21"/>
                <w:lang w:eastAsia="zh-CN"/>
              </w:rPr>
            </w:pPr>
            <w:r>
              <w:rPr>
                <w:rFonts w:hint="default" w:ascii="Times New Roman" w:hAnsi="Times New Roman" w:eastAsia="宋体" w:cs="Times New Roman"/>
                <w:color w:val="auto"/>
                <w:szCs w:val="21"/>
                <w:highlight w:val="none"/>
                <w:lang w:val="en-US" w:eastAsia="zh-CN"/>
              </w:rPr>
              <w:t>DN50 PN2.5MPa，</w:t>
            </w:r>
            <w:r>
              <w:rPr>
                <w:rFonts w:hint="eastAsia" w:ascii="Times New Roman" w:hAnsi="Times New Roman" w:eastAsia="宋体" w:cs="Times New Roman"/>
                <w:color w:val="auto"/>
                <w:szCs w:val="21"/>
                <w:highlight w:val="none"/>
                <w:lang w:val="en-US" w:eastAsia="zh-CN"/>
              </w:rPr>
              <w:t>无缝钢管</w:t>
            </w:r>
          </w:p>
        </w:tc>
        <w:tc>
          <w:tcPr>
            <w:tcW w:w="368" w:type="pct"/>
            <w:tcBorders>
              <w:tl2br w:val="nil"/>
              <w:tr2bl w:val="nil"/>
            </w:tcBorders>
            <w:noWrap w:val="0"/>
            <w:vAlign w:val="center"/>
          </w:tcPr>
          <w:p w14:paraId="2E7A9040">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新建</w:t>
            </w:r>
          </w:p>
        </w:tc>
      </w:tr>
      <w:tr w14:paraId="4E59A6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0CAB6028">
            <w:pPr>
              <w:snapToGrid w:val="0"/>
              <w:jc w:val="center"/>
              <w:rPr>
                <w:rFonts w:hint="default" w:ascii="Times New Roman" w:hAnsi="Times New Roman" w:eastAsia="宋体" w:cs="Times New Roman"/>
                <w:b w:val="0"/>
                <w:bCs w:val="0"/>
                <w:color w:val="auto"/>
                <w:szCs w:val="21"/>
              </w:rPr>
            </w:pPr>
          </w:p>
        </w:tc>
        <w:tc>
          <w:tcPr>
            <w:tcW w:w="674" w:type="pct"/>
            <w:gridSpan w:val="2"/>
            <w:vMerge w:val="continue"/>
            <w:tcBorders>
              <w:tl2br w:val="nil"/>
              <w:tr2bl w:val="nil"/>
            </w:tcBorders>
            <w:noWrap w:val="0"/>
            <w:vAlign w:val="center"/>
          </w:tcPr>
          <w:p w14:paraId="15BA776E">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noWrap w:val="0"/>
            <w:vAlign w:val="center"/>
          </w:tcPr>
          <w:p w14:paraId="6E4F10EA">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5.78km</w:t>
            </w:r>
          </w:p>
        </w:tc>
        <w:tc>
          <w:tcPr>
            <w:tcW w:w="2690" w:type="pct"/>
            <w:tcBorders>
              <w:tl2br w:val="nil"/>
              <w:tr2bl w:val="nil"/>
            </w:tcBorders>
            <w:noWrap w:val="0"/>
            <w:vAlign w:val="center"/>
          </w:tcPr>
          <w:p w14:paraId="5B76B75B">
            <w:pPr>
              <w:snapToGrid w:val="0"/>
              <w:jc w:val="both"/>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zCs w:val="21"/>
                <w:highlight w:val="none"/>
                <w:lang w:val="en-US" w:eastAsia="zh-CN"/>
              </w:rPr>
              <w:t>DN50 PN2.5MPa，</w:t>
            </w:r>
            <w:r>
              <w:rPr>
                <w:rFonts w:hint="eastAsia" w:ascii="Times New Roman" w:hAnsi="Times New Roman" w:eastAsia="宋体" w:cs="Times New Roman"/>
                <w:color w:val="auto"/>
                <w:szCs w:val="21"/>
                <w:highlight w:val="none"/>
                <w:lang w:val="en-US" w:eastAsia="zh-CN"/>
              </w:rPr>
              <w:t>柔性复合管</w:t>
            </w:r>
          </w:p>
        </w:tc>
        <w:tc>
          <w:tcPr>
            <w:tcW w:w="368" w:type="pct"/>
            <w:tcBorders>
              <w:tl2br w:val="nil"/>
              <w:tr2bl w:val="nil"/>
            </w:tcBorders>
            <w:noWrap w:val="0"/>
            <w:vAlign w:val="center"/>
          </w:tcPr>
          <w:p w14:paraId="787937B9">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新建</w:t>
            </w:r>
          </w:p>
        </w:tc>
      </w:tr>
      <w:tr w14:paraId="03FA4C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7B0037BC">
            <w:pPr>
              <w:snapToGrid w:val="0"/>
              <w:jc w:val="center"/>
              <w:rPr>
                <w:rFonts w:hint="default" w:ascii="Times New Roman" w:hAnsi="Times New Roman" w:eastAsia="宋体" w:cs="Times New Roman"/>
                <w:b w:val="0"/>
                <w:bCs w:val="0"/>
                <w:color w:val="auto"/>
                <w:szCs w:val="21"/>
              </w:rPr>
            </w:pPr>
          </w:p>
        </w:tc>
        <w:tc>
          <w:tcPr>
            <w:tcW w:w="674" w:type="pct"/>
            <w:gridSpan w:val="2"/>
            <w:vMerge w:val="continue"/>
            <w:tcBorders>
              <w:tl2br w:val="nil"/>
              <w:tr2bl w:val="nil"/>
            </w:tcBorders>
            <w:noWrap w:val="0"/>
            <w:vAlign w:val="center"/>
          </w:tcPr>
          <w:p w14:paraId="6D94D5BD">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noWrap w:val="0"/>
            <w:vAlign w:val="center"/>
          </w:tcPr>
          <w:p w14:paraId="303AB5C6">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3.95km</w:t>
            </w:r>
          </w:p>
        </w:tc>
        <w:tc>
          <w:tcPr>
            <w:tcW w:w="2690" w:type="pct"/>
            <w:tcBorders>
              <w:tl2br w:val="nil"/>
              <w:tr2bl w:val="nil"/>
            </w:tcBorders>
            <w:noWrap w:val="0"/>
            <w:vAlign w:val="center"/>
          </w:tcPr>
          <w:p w14:paraId="6D6AE9F2">
            <w:pPr>
              <w:snapToGrid w:val="0"/>
              <w:jc w:val="both"/>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zCs w:val="21"/>
                <w:highlight w:val="none"/>
                <w:lang w:val="en-US" w:eastAsia="zh-CN"/>
              </w:rPr>
              <w:t>DN</w:t>
            </w:r>
            <w:r>
              <w:rPr>
                <w:rFonts w:hint="eastAsia" w:ascii="Times New Roman" w:hAnsi="Times New Roman" w:eastAsia="宋体" w:cs="Times New Roman"/>
                <w:color w:val="auto"/>
                <w:szCs w:val="21"/>
                <w:highlight w:val="none"/>
                <w:lang w:val="en-US" w:eastAsia="zh-CN"/>
              </w:rPr>
              <w:t>65</w:t>
            </w:r>
            <w:r>
              <w:rPr>
                <w:rFonts w:hint="default" w:ascii="Times New Roman" w:hAnsi="Times New Roman" w:eastAsia="宋体" w:cs="Times New Roman"/>
                <w:color w:val="auto"/>
                <w:szCs w:val="21"/>
                <w:highlight w:val="none"/>
                <w:lang w:val="en-US" w:eastAsia="zh-CN"/>
              </w:rPr>
              <w:t xml:space="preserve"> PN2.5MPa，</w:t>
            </w:r>
            <w:r>
              <w:rPr>
                <w:rFonts w:hint="eastAsia" w:ascii="Times New Roman" w:hAnsi="Times New Roman" w:eastAsia="宋体" w:cs="Times New Roman"/>
                <w:color w:val="auto"/>
                <w:szCs w:val="21"/>
                <w:highlight w:val="none"/>
                <w:lang w:val="en-US" w:eastAsia="zh-CN"/>
              </w:rPr>
              <w:t>柔性复合管</w:t>
            </w:r>
          </w:p>
        </w:tc>
        <w:tc>
          <w:tcPr>
            <w:tcW w:w="368" w:type="pct"/>
            <w:tcBorders>
              <w:tl2br w:val="nil"/>
              <w:tr2bl w:val="nil"/>
            </w:tcBorders>
            <w:noWrap w:val="0"/>
            <w:vAlign w:val="center"/>
          </w:tcPr>
          <w:p w14:paraId="6B7AB39D">
            <w:pPr>
              <w:snapToGrid w:val="0"/>
              <w:jc w:val="center"/>
              <w:rPr>
                <w:rFonts w:hint="default"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val="en-US" w:eastAsia="zh-CN"/>
              </w:rPr>
              <w:t>新建</w:t>
            </w:r>
          </w:p>
        </w:tc>
      </w:tr>
      <w:tr w14:paraId="3E33FD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12DD07E6">
            <w:pPr>
              <w:snapToGrid w:val="0"/>
              <w:jc w:val="center"/>
              <w:rPr>
                <w:rFonts w:hint="default" w:ascii="Times New Roman" w:hAnsi="Times New Roman" w:eastAsia="宋体" w:cs="Times New Roman"/>
                <w:b w:val="0"/>
                <w:bCs w:val="0"/>
                <w:color w:val="auto"/>
                <w:szCs w:val="21"/>
              </w:rPr>
            </w:pPr>
          </w:p>
        </w:tc>
        <w:tc>
          <w:tcPr>
            <w:tcW w:w="674" w:type="pct"/>
            <w:gridSpan w:val="2"/>
            <w:vMerge w:val="continue"/>
            <w:tcBorders>
              <w:tl2br w:val="nil"/>
              <w:tr2bl w:val="nil"/>
            </w:tcBorders>
            <w:noWrap w:val="0"/>
            <w:vAlign w:val="center"/>
          </w:tcPr>
          <w:p w14:paraId="0AD5904B">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noWrap w:val="0"/>
            <w:vAlign w:val="center"/>
          </w:tcPr>
          <w:p w14:paraId="49EC10FF">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2.49km</w:t>
            </w:r>
          </w:p>
        </w:tc>
        <w:tc>
          <w:tcPr>
            <w:tcW w:w="2690" w:type="pct"/>
            <w:tcBorders>
              <w:tl2br w:val="nil"/>
              <w:tr2bl w:val="nil"/>
            </w:tcBorders>
            <w:shd w:val="clear" w:color="auto" w:fill="auto"/>
            <w:noWrap w:val="0"/>
            <w:vAlign w:val="center"/>
          </w:tcPr>
          <w:p w14:paraId="27D07AED">
            <w:pPr>
              <w:snapToGrid w:val="0"/>
              <w:jc w:val="both"/>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Cs w:val="21"/>
                <w:highlight w:val="none"/>
                <w:lang w:val="en-US" w:eastAsia="zh-CN"/>
              </w:rPr>
              <w:t>DN</w:t>
            </w:r>
            <w:r>
              <w:rPr>
                <w:rFonts w:hint="eastAsia"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lang w:val="en-US" w:eastAsia="zh-CN"/>
              </w:rPr>
              <w:t>0 PN2.5MPa，</w:t>
            </w:r>
            <w:r>
              <w:rPr>
                <w:rFonts w:hint="eastAsia" w:ascii="Times New Roman" w:hAnsi="Times New Roman" w:eastAsia="宋体" w:cs="Times New Roman"/>
                <w:color w:val="auto"/>
                <w:szCs w:val="21"/>
                <w:highlight w:val="none"/>
                <w:lang w:val="en-US" w:eastAsia="zh-CN"/>
              </w:rPr>
              <w:t>玻璃钢管</w:t>
            </w:r>
          </w:p>
        </w:tc>
        <w:tc>
          <w:tcPr>
            <w:tcW w:w="368" w:type="pct"/>
            <w:tcBorders>
              <w:tl2br w:val="nil"/>
              <w:tr2bl w:val="nil"/>
            </w:tcBorders>
            <w:noWrap w:val="0"/>
            <w:vAlign w:val="center"/>
          </w:tcPr>
          <w:p w14:paraId="4248CE27">
            <w:pPr>
              <w:snapToGrid w:val="0"/>
              <w:jc w:val="center"/>
              <w:rPr>
                <w:rFonts w:hint="default"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val="en-US" w:eastAsia="zh-CN"/>
              </w:rPr>
              <w:t>新建</w:t>
            </w:r>
          </w:p>
        </w:tc>
      </w:tr>
      <w:tr w14:paraId="160A7B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F7873E0">
            <w:pPr>
              <w:snapToGrid w:val="0"/>
              <w:jc w:val="center"/>
              <w:rPr>
                <w:rFonts w:hint="default" w:ascii="Times New Roman" w:hAnsi="Times New Roman" w:eastAsia="宋体" w:cs="Times New Roman"/>
                <w:b w:val="0"/>
                <w:bCs w:val="0"/>
                <w:color w:val="auto"/>
                <w:szCs w:val="21"/>
              </w:rPr>
            </w:pPr>
          </w:p>
        </w:tc>
        <w:tc>
          <w:tcPr>
            <w:tcW w:w="674" w:type="pct"/>
            <w:gridSpan w:val="2"/>
            <w:vMerge w:val="continue"/>
            <w:tcBorders>
              <w:tl2br w:val="nil"/>
              <w:tr2bl w:val="nil"/>
            </w:tcBorders>
            <w:noWrap w:val="0"/>
            <w:vAlign w:val="center"/>
          </w:tcPr>
          <w:p w14:paraId="6FBE8F62">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noWrap w:val="0"/>
            <w:vAlign w:val="center"/>
          </w:tcPr>
          <w:p w14:paraId="3EFC772C">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2.71km</w:t>
            </w:r>
          </w:p>
        </w:tc>
        <w:tc>
          <w:tcPr>
            <w:tcW w:w="2690" w:type="pct"/>
            <w:tcBorders>
              <w:tl2br w:val="nil"/>
              <w:tr2bl w:val="nil"/>
            </w:tcBorders>
            <w:shd w:val="clear" w:color="auto" w:fill="auto"/>
            <w:noWrap w:val="0"/>
            <w:vAlign w:val="center"/>
          </w:tcPr>
          <w:p w14:paraId="27BEF66E">
            <w:pPr>
              <w:snapToGrid w:val="0"/>
              <w:jc w:val="both"/>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Cs w:val="21"/>
                <w:highlight w:val="none"/>
                <w:lang w:val="en-US" w:eastAsia="zh-CN"/>
              </w:rPr>
              <w:t>DN</w:t>
            </w:r>
            <w:r>
              <w:rPr>
                <w:rFonts w:hint="eastAsia"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lang w:val="en-US" w:eastAsia="zh-CN"/>
              </w:rPr>
              <w:t>0 PN2.5MPa，</w:t>
            </w:r>
            <w:r>
              <w:rPr>
                <w:rFonts w:hint="eastAsia" w:ascii="Times New Roman" w:hAnsi="Times New Roman" w:eastAsia="宋体" w:cs="Times New Roman"/>
                <w:color w:val="auto"/>
                <w:szCs w:val="21"/>
                <w:highlight w:val="none"/>
                <w:lang w:val="en-US" w:eastAsia="zh-CN"/>
              </w:rPr>
              <w:t>柔性复合管</w:t>
            </w:r>
          </w:p>
        </w:tc>
        <w:tc>
          <w:tcPr>
            <w:tcW w:w="368" w:type="pct"/>
            <w:tcBorders>
              <w:tl2br w:val="nil"/>
              <w:tr2bl w:val="nil"/>
            </w:tcBorders>
            <w:noWrap w:val="0"/>
            <w:vAlign w:val="center"/>
          </w:tcPr>
          <w:p w14:paraId="737DEC37">
            <w:pPr>
              <w:snapToGrid w:val="0"/>
              <w:jc w:val="center"/>
              <w:rPr>
                <w:rFonts w:hint="default"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val="en-US" w:eastAsia="zh-CN"/>
              </w:rPr>
              <w:t>新建</w:t>
            </w:r>
          </w:p>
        </w:tc>
      </w:tr>
      <w:tr w14:paraId="3DFA92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01235DE7">
            <w:pPr>
              <w:snapToGrid w:val="0"/>
              <w:jc w:val="center"/>
              <w:rPr>
                <w:rFonts w:hint="default" w:ascii="Times New Roman" w:hAnsi="Times New Roman" w:eastAsia="宋体" w:cs="Times New Roman"/>
                <w:b w:val="0"/>
                <w:bCs w:val="0"/>
                <w:color w:val="auto"/>
                <w:szCs w:val="21"/>
              </w:rPr>
            </w:pPr>
          </w:p>
        </w:tc>
        <w:tc>
          <w:tcPr>
            <w:tcW w:w="674" w:type="pct"/>
            <w:gridSpan w:val="2"/>
            <w:vMerge w:val="continue"/>
            <w:tcBorders>
              <w:tl2br w:val="nil"/>
              <w:tr2bl w:val="nil"/>
            </w:tcBorders>
            <w:noWrap w:val="0"/>
            <w:vAlign w:val="center"/>
          </w:tcPr>
          <w:p w14:paraId="4B269816">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noWrap w:val="0"/>
            <w:vAlign w:val="center"/>
          </w:tcPr>
          <w:p w14:paraId="40A868F1">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5.1km</w:t>
            </w:r>
          </w:p>
        </w:tc>
        <w:tc>
          <w:tcPr>
            <w:tcW w:w="2690" w:type="pct"/>
            <w:tcBorders>
              <w:tl2br w:val="nil"/>
              <w:tr2bl w:val="nil"/>
            </w:tcBorders>
            <w:shd w:val="clear" w:color="auto" w:fill="auto"/>
            <w:noWrap w:val="0"/>
            <w:vAlign w:val="center"/>
          </w:tcPr>
          <w:p w14:paraId="2F290860">
            <w:pPr>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DN</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50 PN</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.5MPa，</w:t>
            </w:r>
            <w:r>
              <w:rPr>
                <w:rFonts w:hint="eastAsia" w:ascii="Times New Roman" w:hAnsi="Times New Roman" w:eastAsia="宋体" w:cs="Times New Roman"/>
                <w:color w:val="auto"/>
                <w:szCs w:val="21"/>
                <w:highlight w:val="none"/>
                <w:lang w:val="en-US" w:eastAsia="zh-CN"/>
              </w:rPr>
              <w:t>玻璃钢管</w:t>
            </w:r>
          </w:p>
        </w:tc>
        <w:tc>
          <w:tcPr>
            <w:tcW w:w="368" w:type="pct"/>
            <w:tcBorders>
              <w:tl2br w:val="nil"/>
              <w:tr2bl w:val="nil"/>
            </w:tcBorders>
            <w:noWrap w:val="0"/>
            <w:vAlign w:val="center"/>
          </w:tcPr>
          <w:p w14:paraId="12431475">
            <w:pPr>
              <w:snapToGrid w:val="0"/>
              <w:jc w:val="center"/>
              <w:rPr>
                <w:rFonts w:hint="default"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val="en-US" w:eastAsia="zh-CN"/>
              </w:rPr>
              <w:t>新建</w:t>
            </w:r>
          </w:p>
        </w:tc>
      </w:tr>
      <w:tr w14:paraId="7F9ED0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4F79C56D">
            <w:pPr>
              <w:snapToGrid w:val="0"/>
              <w:jc w:val="center"/>
              <w:rPr>
                <w:rFonts w:hint="default" w:ascii="Times New Roman" w:hAnsi="Times New Roman" w:eastAsia="宋体" w:cs="Times New Roman"/>
                <w:b w:val="0"/>
                <w:bCs w:val="0"/>
                <w:color w:val="auto"/>
                <w:szCs w:val="21"/>
              </w:rPr>
            </w:pPr>
          </w:p>
        </w:tc>
        <w:tc>
          <w:tcPr>
            <w:tcW w:w="674" w:type="pct"/>
            <w:gridSpan w:val="2"/>
            <w:tcBorders>
              <w:tl2br w:val="nil"/>
              <w:tr2bl w:val="nil"/>
            </w:tcBorders>
            <w:noWrap w:val="0"/>
            <w:vAlign w:val="center"/>
          </w:tcPr>
          <w:p w14:paraId="557A4C56">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阀池</w:t>
            </w:r>
          </w:p>
        </w:tc>
        <w:tc>
          <w:tcPr>
            <w:tcW w:w="854" w:type="pct"/>
            <w:tcBorders>
              <w:tl2br w:val="nil"/>
              <w:tr2bl w:val="nil"/>
            </w:tcBorders>
            <w:noWrap w:val="0"/>
            <w:vAlign w:val="center"/>
          </w:tcPr>
          <w:p w14:paraId="5C3EAA01">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3座</w:t>
            </w:r>
          </w:p>
        </w:tc>
        <w:tc>
          <w:tcPr>
            <w:tcW w:w="2690" w:type="pct"/>
            <w:tcBorders>
              <w:tl2br w:val="nil"/>
              <w:tr2bl w:val="nil"/>
            </w:tcBorders>
            <w:shd w:val="clear" w:color="auto" w:fill="auto"/>
            <w:noWrap w:val="0"/>
            <w:vAlign w:val="center"/>
          </w:tcPr>
          <w:p w14:paraId="5FB1088A">
            <w:pPr>
              <w:snapToGrid w:val="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百79井管线沿线建设阀池3座</w:t>
            </w:r>
          </w:p>
        </w:tc>
        <w:tc>
          <w:tcPr>
            <w:tcW w:w="368" w:type="pct"/>
            <w:tcBorders>
              <w:tl2br w:val="nil"/>
              <w:tr2bl w:val="nil"/>
            </w:tcBorders>
            <w:noWrap w:val="0"/>
            <w:vAlign w:val="center"/>
          </w:tcPr>
          <w:p w14:paraId="6C862FEF">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新建</w:t>
            </w:r>
          </w:p>
        </w:tc>
      </w:tr>
      <w:tr w14:paraId="4FC686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tcBorders>
              <w:tl2br w:val="nil"/>
              <w:tr2bl w:val="nil"/>
            </w:tcBorders>
            <w:noWrap w:val="0"/>
            <w:vAlign w:val="center"/>
          </w:tcPr>
          <w:p w14:paraId="14BD631B">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辅助工程</w:t>
            </w:r>
          </w:p>
        </w:tc>
        <w:tc>
          <w:tcPr>
            <w:tcW w:w="1528" w:type="pct"/>
            <w:gridSpan w:val="3"/>
            <w:tcBorders>
              <w:tl2br w:val="nil"/>
              <w:tr2bl w:val="nil"/>
            </w:tcBorders>
            <w:noWrap w:val="0"/>
            <w:vAlign w:val="center"/>
          </w:tcPr>
          <w:p w14:paraId="2E96CB53">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道路工程</w:t>
            </w:r>
          </w:p>
        </w:tc>
        <w:tc>
          <w:tcPr>
            <w:tcW w:w="2690" w:type="pct"/>
            <w:tcBorders>
              <w:tl2br w:val="nil"/>
              <w:tr2bl w:val="nil"/>
            </w:tcBorders>
            <w:shd w:val="clear" w:color="auto" w:fill="auto"/>
            <w:noWrap w:val="0"/>
            <w:vAlign w:val="center"/>
          </w:tcPr>
          <w:p w14:paraId="76A0BBDE">
            <w:pPr>
              <w:snapToGrid w:val="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不新建道路，全部利用油区已有道路</w:t>
            </w:r>
          </w:p>
        </w:tc>
        <w:tc>
          <w:tcPr>
            <w:tcW w:w="368" w:type="pct"/>
            <w:tcBorders>
              <w:tl2br w:val="nil"/>
              <w:tr2bl w:val="nil"/>
            </w:tcBorders>
            <w:noWrap w:val="0"/>
            <w:vAlign w:val="center"/>
          </w:tcPr>
          <w:p w14:paraId="2A7B0247">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0A1DF9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restart"/>
            <w:tcBorders>
              <w:tl2br w:val="nil"/>
              <w:tr2bl w:val="nil"/>
            </w:tcBorders>
            <w:noWrap w:val="0"/>
            <w:vAlign w:val="center"/>
          </w:tcPr>
          <w:p w14:paraId="54A9FC48">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公用工程</w:t>
            </w:r>
          </w:p>
        </w:tc>
        <w:tc>
          <w:tcPr>
            <w:tcW w:w="1528" w:type="pct"/>
            <w:gridSpan w:val="3"/>
            <w:tcBorders>
              <w:tl2br w:val="nil"/>
              <w:tr2bl w:val="nil"/>
            </w:tcBorders>
            <w:noWrap w:val="0"/>
            <w:vAlign w:val="center"/>
          </w:tcPr>
          <w:p w14:paraId="79C158EF">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供电工程</w:t>
            </w:r>
          </w:p>
        </w:tc>
        <w:tc>
          <w:tcPr>
            <w:tcW w:w="2690" w:type="pct"/>
            <w:tcBorders>
              <w:tl2br w:val="nil"/>
              <w:tr2bl w:val="nil"/>
            </w:tcBorders>
            <w:shd w:val="clear" w:color="auto" w:fill="auto"/>
            <w:noWrap w:val="0"/>
            <w:vAlign w:val="center"/>
          </w:tcPr>
          <w:p w14:paraId="45585F88">
            <w:pPr>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运营期采油井电力负荷为二级负荷，电源就近引自油区已建10kV架空线路</w:t>
            </w:r>
          </w:p>
        </w:tc>
        <w:tc>
          <w:tcPr>
            <w:tcW w:w="368" w:type="pct"/>
            <w:tcBorders>
              <w:tl2br w:val="nil"/>
              <w:tr2bl w:val="nil"/>
            </w:tcBorders>
            <w:noWrap w:val="0"/>
            <w:vAlign w:val="center"/>
          </w:tcPr>
          <w:p w14:paraId="4184FD91">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依托</w:t>
            </w:r>
          </w:p>
        </w:tc>
      </w:tr>
      <w:tr w14:paraId="5CA37D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36794F9">
            <w:pPr>
              <w:snapToGrid w:val="0"/>
              <w:jc w:val="center"/>
              <w:rPr>
                <w:rFonts w:hint="default" w:ascii="Times New Roman" w:hAnsi="Times New Roman" w:eastAsia="宋体" w:cs="Times New Roman"/>
                <w:b w:val="0"/>
                <w:bCs w:val="0"/>
                <w:color w:val="auto"/>
                <w:szCs w:val="21"/>
              </w:rPr>
            </w:pPr>
          </w:p>
        </w:tc>
        <w:tc>
          <w:tcPr>
            <w:tcW w:w="1528" w:type="pct"/>
            <w:gridSpan w:val="3"/>
            <w:tcBorders>
              <w:tl2br w:val="nil"/>
              <w:tr2bl w:val="nil"/>
            </w:tcBorders>
            <w:noWrap w:val="0"/>
            <w:vAlign w:val="center"/>
          </w:tcPr>
          <w:p w14:paraId="0E60E360">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供水工程</w:t>
            </w:r>
          </w:p>
        </w:tc>
        <w:tc>
          <w:tcPr>
            <w:tcW w:w="2690" w:type="pct"/>
            <w:tcBorders>
              <w:tl2br w:val="nil"/>
              <w:tr2bl w:val="nil"/>
            </w:tcBorders>
            <w:shd w:val="clear" w:color="auto" w:fill="auto"/>
            <w:noWrap w:val="0"/>
            <w:vAlign w:val="center"/>
          </w:tcPr>
          <w:p w14:paraId="6F0342E4">
            <w:pPr>
              <w:snapToGrid w:val="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施工期管道试压用水和运营期井下作业用水均从乌尔禾城区拉运</w:t>
            </w:r>
          </w:p>
        </w:tc>
        <w:tc>
          <w:tcPr>
            <w:tcW w:w="368" w:type="pct"/>
            <w:tcBorders>
              <w:tl2br w:val="nil"/>
              <w:tr2bl w:val="nil"/>
            </w:tcBorders>
            <w:noWrap w:val="0"/>
            <w:vAlign w:val="center"/>
          </w:tcPr>
          <w:p w14:paraId="4B2C93A7">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4AF402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515322C9">
            <w:pPr>
              <w:snapToGrid w:val="0"/>
              <w:jc w:val="center"/>
              <w:rPr>
                <w:rFonts w:hint="default" w:ascii="Times New Roman" w:hAnsi="Times New Roman" w:eastAsia="宋体" w:cs="Times New Roman"/>
                <w:b w:val="0"/>
                <w:bCs w:val="0"/>
                <w:color w:val="auto"/>
                <w:szCs w:val="21"/>
              </w:rPr>
            </w:pPr>
          </w:p>
        </w:tc>
        <w:tc>
          <w:tcPr>
            <w:tcW w:w="1528" w:type="pct"/>
            <w:gridSpan w:val="3"/>
            <w:tcBorders>
              <w:tl2br w:val="nil"/>
              <w:tr2bl w:val="nil"/>
            </w:tcBorders>
            <w:noWrap w:val="0"/>
            <w:vAlign w:val="center"/>
          </w:tcPr>
          <w:p w14:paraId="72B28026">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供气工程</w:t>
            </w:r>
          </w:p>
        </w:tc>
        <w:tc>
          <w:tcPr>
            <w:tcW w:w="2690" w:type="pct"/>
            <w:tcBorders>
              <w:tl2br w:val="nil"/>
              <w:tr2bl w:val="nil"/>
            </w:tcBorders>
            <w:shd w:val="clear" w:color="auto" w:fill="auto"/>
            <w:noWrap w:val="0"/>
            <w:vAlign w:val="center"/>
          </w:tcPr>
          <w:p w14:paraId="252C0EBB">
            <w:pPr>
              <w:pStyle w:val="42"/>
              <w:keepNext w:val="0"/>
              <w:keepLines w:val="0"/>
              <w:pageBreakBefore w:val="0"/>
              <w:kinsoku/>
              <w:wordWrap/>
              <w:overflowPunct/>
              <w:topLinePunct w:val="0"/>
              <w:bidi w:val="0"/>
              <w:spacing w:beforeAutospacing="0" w:afterAutospacing="0" w:line="300" w:lineRule="exact"/>
              <w:ind w:firstLine="0" w:firstLineChars="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lang w:val="en-US" w:eastAsia="zh-CN"/>
              </w:rPr>
              <w:t>运营</w:t>
            </w:r>
            <w:r>
              <w:rPr>
                <w:rFonts w:hint="default" w:ascii="Times New Roman" w:hAnsi="Times New Roman" w:eastAsia="宋体" w:cs="Times New Roman"/>
                <w:color w:val="auto"/>
                <w:sz w:val="21"/>
                <w:szCs w:val="21"/>
              </w:rPr>
              <w:t>期不涉及新增用气设备</w:t>
            </w:r>
          </w:p>
        </w:tc>
        <w:tc>
          <w:tcPr>
            <w:tcW w:w="368" w:type="pct"/>
            <w:tcBorders>
              <w:tl2br w:val="nil"/>
              <w:tr2bl w:val="nil"/>
            </w:tcBorders>
            <w:noWrap w:val="0"/>
            <w:vAlign w:val="center"/>
          </w:tcPr>
          <w:p w14:paraId="69010B6F">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1DA644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217157C">
            <w:pPr>
              <w:snapToGrid w:val="0"/>
              <w:jc w:val="center"/>
              <w:rPr>
                <w:rFonts w:hint="default" w:ascii="Times New Roman" w:hAnsi="Times New Roman" w:eastAsia="宋体" w:cs="Times New Roman"/>
                <w:b w:val="0"/>
                <w:bCs w:val="0"/>
                <w:color w:val="auto"/>
                <w:szCs w:val="21"/>
              </w:rPr>
            </w:pPr>
          </w:p>
        </w:tc>
        <w:tc>
          <w:tcPr>
            <w:tcW w:w="1528" w:type="pct"/>
            <w:gridSpan w:val="3"/>
            <w:tcBorders>
              <w:tl2br w:val="nil"/>
              <w:tr2bl w:val="nil"/>
            </w:tcBorders>
            <w:noWrap w:val="0"/>
            <w:vAlign w:val="center"/>
          </w:tcPr>
          <w:p w14:paraId="27EFA9EE">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供热工程</w:t>
            </w:r>
          </w:p>
        </w:tc>
        <w:tc>
          <w:tcPr>
            <w:tcW w:w="2690" w:type="pct"/>
            <w:tcBorders>
              <w:tl2br w:val="nil"/>
              <w:tr2bl w:val="nil"/>
            </w:tcBorders>
            <w:shd w:val="clear" w:color="auto" w:fill="auto"/>
            <w:noWrap w:val="0"/>
            <w:vAlign w:val="center"/>
          </w:tcPr>
          <w:p w14:paraId="51B20603">
            <w:pPr>
              <w:pStyle w:val="42"/>
              <w:keepNext w:val="0"/>
              <w:keepLines w:val="0"/>
              <w:pageBreakBefore w:val="0"/>
              <w:kinsoku/>
              <w:wordWrap/>
              <w:overflowPunct/>
              <w:topLinePunct w:val="0"/>
              <w:bidi w:val="0"/>
              <w:spacing w:beforeAutospacing="0" w:afterAutospacing="0" w:line="300" w:lineRule="exact"/>
              <w:ind w:firstLine="0" w:firstLineChars="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lang w:val="en-US" w:eastAsia="zh-CN"/>
              </w:rPr>
              <w:t>运营</w:t>
            </w:r>
            <w:r>
              <w:rPr>
                <w:rFonts w:hint="default" w:ascii="Times New Roman" w:hAnsi="Times New Roman" w:eastAsia="宋体" w:cs="Times New Roman"/>
                <w:color w:val="auto"/>
                <w:sz w:val="21"/>
                <w:szCs w:val="21"/>
              </w:rPr>
              <w:t>期不涉及新增用热设备</w:t>
            </w:r>
          </w:p>
        </w:tc>
        <w:tc>
          <w:tcPr>
            <w:tcW w:w="368" w:type="pct"/>
            <w:tcBorders>
              <w:tl2br w:val="nil"/>
              <w:tr2bl w:val="nil"/>
            </w:tcBorders>
            <w:noWrap w:val="0"/>
            <w:vAlign w:val="center"/>
          </w:tcPr>
          <w:p w14:paraId="5DFAE797">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416DDA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86D1A39">
            <w:pPr>
              <w:snapToGrid w:val="0"/>
              <w:jc w:val="center"/>
              <w:rPr>
                <w:rFonts w:hint="default" w:ascii="Times New Roman" w:hAnsi="Times New Roman" w:eastAsia="宋体" w:cs="Times New Roman"/>
                <w:b w:val="0"/>
                <w:bCs w:val="0"/>
                <w:color w:val="auto"/>
                <w:szCs w:val="21"/>
              </w:rPr>
            </w:pPr>
          </w:p>
        </w:tc>
        <w:tc>
          <w:tcPr>
            <w:tcW w:w="1528" w:type="pct"/>
            <w:gridSpan w:val="3"/>
            <w:tcBorders>
              <w:tl2br w:val="nil"/>
              <w:tr2bl w:val="nil"/>
            </w:tcBorders>
            <w:noWrap w:val="0"/>
            <w:vAlign w:val="center"/>
          </w:tcPr>
          <w:p w14:paraId="38A3B2A8">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通信工程</w:t>
            </w:r>
          </w:p>
        </w:tc>
        <w:tc>
          <w:tcPr>
            <w:tcW w:w="2690" w:type="pct"/>
            <w:tcBorders>
              <w:tl2br w:val="nil"/>
              <w:tr2bl w:val="nil"/>
            </w:tcBorders>
            <w:shd w:val="clear" w:color="auto" w:fill="auto"/>
            <w:noWrap w:val="0"/>
            <w:vAlign w:val="center"/>
          </w:tcPr>
          <w:p w14:paraId="06587B8F">
            <w:pPr>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rPr>
              <w:t>井场无线仪表及现场控制器(井场RTU)及监控摄像机，负责对现场温度、压力、液位等工艺参数、抽油机运行状态以及油区监控视频进行实时采集、处理及上传，并接受厂级生产调度中心的远程控制</w:t>
            </w:r>
          </w:p>
        </w:tc>
        <w:tc>
          <w:tcPr>
            <w:tcW w:w="368" w:type="pct"/>
            <w:tcBorders>
              <w:tl2br w:val="nil"/>
              <w:tr2bl w:val="nil"/>
            </w:tcBorders>
            <w:noWrap w:val="0"/>
            <w:vAlign w:val="center"/>
          </w:tcPr>
          <w:p w14:paraId="0EBF8FFD">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新建</w:t>
            </w:r>
          </w:p>
        </w:tc>
      </w:tr>
      <w:tr w14:paraId="16510A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3C65B096">
            <w:pPr>
              <w:snapToGrid w:val="0"/>
              <w:jc w:val="center"/>
              <w:rPr>
                <w:rFonts w:hint="default" w:ascii="Times New Roman" w:hAnsi="Times New Roman" w:eastAsia="宋体" w:cs="Times New Roman"/>
                <w:b w:val="0"/>
                <w:bCs w:val="0"/>
                <w:color w:val="auto"/>
                <w:szCs w:val="21"/>
              </w:rPr>
            </w:pPr>
          </w:p>
        </w:tc>
        <w:tc>
          <w:tcPr>
            <w:tcW w:w="1528" w:type="pct"/>
            <w:gridSpan w:val="3"/>
            <w:tcBorders>
              <w:tl2br w:val="nil"/>
              <w:tr2bl w:val="nil"/>
            </w:tcBorders>
            <w:noWrap w:val="0"/>
            <w:vAlign w:val="center"/>
          </w:tcPr>
          <w:p w14:paraId="573852E7">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消防工程</w:t>
            </w:r>
          </w:p>
        </w:tc>
        <w:tc>
          <w:tcPr>
            <w:tcW w:w="2690" w:type="pct"/>
            <w:tcBorders>
              <w:tl2br w:val="nil"/>
              <w:tr2bl w:val="nil"/>
            </w:tcBorders>
            <w:shd w:val="clear" w:color="auto" w:fill="auto"/>
            <w:noWrap w:val="0"/>
            <w:vAlign w:val="center"/>
          </w:tcPr>
          <w:p w14:paraId="75644F45">
            <w:pPr>
              <w:snapToGrid w:val="0"/>
              <w:jc w:val="both"/>
              <w:rPr>
                <w:rFonts w:hint="default" w:ascii="Times New Roman" w:hAnsi="Times New Roman" w:eastAsia="宋体" w:cs="Times New Roman"/>
                <w:color w:val="auto"/>
                <w:szCs w:val="21"/>
                <w:highlight w:val="none"/>
                <w:lang w:val="en-US" w:eastAsia="zh-CN"/>
              </w:rPr>
            </w:pPr>
            <w:r>
              <w:rPr>
                <w:rFonts w:hint="eastAsia"/>
                <w:color w:val="auto"/>
                <w:spacing w:val="-4"/>
              </w:rPr>
              <w:t>依托力量为应急抢险救援中心消防五大队，位于乌尔禾区百口泉采油厂</w:t>
            </w:r>
          </w:p>
        </w:tc>
        <w:tc>
          <w:tcPr>
            <w:tcW w:w="368" w:type="pct"/>
            <w:tcBorders>
              <w:tl2br w:val="nil"/>
              <w:tr2bl w:val="nil"/>
            </w:tcBorders>
            <w:noWrap w:val="0"/>
            <w:vAlign w:val="center"/>
          </w:tcPr>
          <w:p w14:paraId="59FB55DE">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依托</w:t>
            </w:r>
          </w:p>
        </w:tc>
      </w:tr>
      <w:tr w14:paraId="166A92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restart"/>
            <w:tcBorders>
              <w:tl2br w:val="nil"/>
              <w:tr2bl w:val="nil"/>
            </w:tcBorders>
            <w:noWrap w:val="0"/>
            <w:vAlign w:val="center"/>
          </w:tcPr>
          <w:p w14:paraId="1E2F13AE">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环保工程</w:t>
            </w:r>
          </w:p>
        </w:tc>
        <w:tc>
          <w:tcPr>
            <w:tcW w:w="359" w:type="pct"/>
            <w:vMerge w:val="restart"/>
            <w:tcBorders>
              <w:right w:val="single" w:color="auto" w:sz="4" w:space="0"/>
              <w:tl2br w:val="nil"/>
              <w:tr2bl w:val="nil"/>
            </w:tcBorders>
            <w:noWrap w:val="0"/>
            <w:vAlign w:val="center"/>
          </w:tcPr>
          <w:p w14:paraId="7ECE43CA">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废气</w:t>
            </w:r>
          </w:p>
        </w:tc>
        <w:tc>
          <w:tcPr>
            <w:tcW w:w="314" w:type="pct"/>
            <w:vMerge w:val="restart"/>
            <w:tcBorders>
              <w:left w:val="single" w:color="auto" w:sz="4" w:space="0"/>
              <w:tl2br w:val="nil"/>
              <w:tr2bl w:val="nil"/>
            </w:tcBorders>
            <w:noWrap w:val="0"/>
            <w:vAlign w:val="center"/>
          </w:tcPr>
          <w:p w14:paraId="50FF7945">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施工期</w:t>
            </w:r>
          </w:p>
        </w:tc>
        <w:tc>
          <w:tcPr>
            <w:tcW w:w="854" w:type="pct"/>
            <w:tcBorders>
              <w:tl2br w:val="nil"/>
              <w:tr2bl w:val="nil"/>
            </w:tcBorders>
            <w:shd w:val="clear" w:color="auto" w:fill="auto"/>
            <w:noWrap w:val="0"/>
            <w:vAlign w:val="center"/>
          </w:tcPr>
          <w:p w14:paraId="611715B1">
            <w:pPr>
              <w:snapToGrid w:val="0"/>
              <w:jc w:val="center"/>
              <w:rPr>
                <w:rFonts w:hint="eastAsia" w:ascii="Times New Roman" w:hAnsi="Times New Roman" w:eastAsia="宋体" w:cs="Times New Roman"/>
                <w:color w:val="auto"/>
                <w:sz w:val="21"/>
                <w:szCs w:val="21"/>
                <w:lang w:val="en-US" w:eastAsia="zh-CN" w:bidi="ar-SA"/>
              </w:rPr>
            </w:pPr>
            <w:r>
              <w:rPr>
                <w:rFonts w:cs="Times New Roman"/>
                <w:color w:val="auto"/>
              </w:rPr>
              <w:t>施工扬尘</w:t>
            </w:r>
          </w:p>
        </w:tc>
        <w:tc>
          <w:tcPr>
            <w:tcW w:w="2690" w:type="pct"/>
            <w:tcBorders>
              <w:tl2br w:val="nil"/>
              <w:tr2bl w:val="nil"/>
            </w:tcBorders>
            <w:shd w:val="clear" w:color="auto" w:fill="auto"/>
            <w:noWrap w:val="0"/>
            <w:vAlign w:val="center"/>
          </w:tcPr>
          <w:p w14:paraId="19634B96">
            <w:pPr>
              <w:jc w:val="both"/>
              <w:rPr>
                <w:rFonts w:hint="default" w:ascii="Times New Roman" w:hAnsi="Times New Roman" w:eastAsia="宋体" w:cs="Times New Roman"/>
                <w:b w:val="0"/>
                <w:bCs w:val="0"/>
                <w:color w:val="auto"/>
                <w:sz w:val="21"/>
                <w:szCs w:val="21"/>
                <w:lang w:val="en-US" w:eastAsia="zh-CN" w:bidi="ar-SA"/>
              </w:rPr>
            </w:pPr>
            <w:r>
              <w:rPr>
                <w:rFonts w:cs="Times New Roman"/>
                <w:color w:val="auto"/>
              </w:rPr>
              <w:t>材料及临时土方采用防尘布覆盖，逸散性材料运输用</w:t>
            </w:r>
            <w:r>
              <w:rPr>
                <w:rFonts w:hint="eastAsia" w:cs="Times New Roman"/>
                <w:color w:val="auto"/>
                <w:lang w:val="en-US" w:eastAsia="zh-CN"/>
              </w:rPr>
              <w:t>篷布</w:t>
            </w:r>
            <w:r>
              <w:rPr>
                <w:rFonts w:cs="Times New Roman"/>
                <w:color w:val="auto"/>
              </w:rPr>
              <w:t>遮盖</w:t>
            </w:r>
          </w:p>
        </w:tc>
        <w:tc>
          <w:tcPr>
            <w:tcW w:w="368" w:type="pct"/>
            <w:tcBorders>
              <w:tl2br w:val="nil"/>
              <w:tr2bl w:val="nil"/>
            </w:tcBorders>
            <w:noWrap w:val="0"/>
            <w:vAlign w:val="center"/>
          </w:tcPr>
          <w:p w14:paraId="731337B0">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59872F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70BD1241">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1ADF3349">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53E4DE64">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shd w:val="clear" w:color="auto" w:fill="auto"/>
            <w:noWrap w:val="0"/>
            <w:vAlign w:val="center"/>
          </w:tcPr>
          <w:p w14:paraId="161B8621">
            <w:pPr>
              <w:snapToGrid w:val="0"/>
              <w:jc w:val="center"/>
              <w:rPr>
                <w:rFonts w:hint="eastAsia" w:ascii="Times New Roman" w:hAnsi="Times New Roman" w:eastAsia="宋体" w:cs="Times New Roman"/>
                <w:color w:val="auto"/>
                <w:sz w:val="21"/>
                <w:szCs w:val="21"/>
                <w:lang w:val="en-US" w:eastAsia="zh-CN" w:bidi="ar-SA"/>
              </w:rPr>
            </w:pPr>
            <w:r>
              <w:rPr>
                <w:rFonts w:cs="Times New Roman"/>
                <w:color w:val="auto"/>
              </w:rPr>
              <w:t>柴油发电机燃油燃烧废气</w:t>
            </w:r>
          </w:p>
        </w:tc>
        <w:tc>
          <w:tcPr>
            <w:tcW w:w="2690" w:type="pct"/>
            <w:tcBorders>
              <w:tl2br w:val="nil"/>
              <w:tr2bl w:val="nil"/>
            </w:tcBorders>
            <w:shd w:val="clear" w:color="auto" w:fill="auto"/>
            <w:noWrap w:val="0"/>
            <w:vAlign w:val="center"/>
          </w:tcPr>
          <w:p w14:paraId="68BFB882">
            <w:pPr>
              <w:jc w:val="both"/>
              <w:rPr>
                <w:rFonts w:hint="default" w:ascii="Times New Roman" w:hAnsi="Times New Roman" w:eastAsia="宋体" w:cs="Times New Roman"/>
                <w:b w:val="0"/>
                <w:bCs w:val="0"/>
                <w:color w:val="auto"/>
                <w:sz w:val="21"/>
                <w:szCs w:val="21"/>
                <w:lang w:val="en-US" w:eastAsia="zh-CN" w:bidi="ar-SA"/>
              </w:rPr>
            </w:pPr>
            <w:r>
              <w:rPr>
                <w:rFonts w:cs="Times New Roman"/>
                <w:color w:val="auto"/>
              </w:rPr>
              <w:t>采用高效设备，定期维护，采用符合国家标准的柴油，并添加柴油助燃剂等措施</w:t>
            </w:r>
          </w:p>
        </w:tc>
        <w:tc>
          <w:tcPr>
            <w:tcW w:w="368" w:type="pct"/>
            <w:tcBorders>
              <w:tl2br w:val="nil"/>
              <w:tr2bl w:val="nil"/>
            </w:tcBorders>
            <w:noWrap w:val="0"/>
            <w:vAlign w:val="center"/>
          </w:tcPr>
          <w:p w14:paraId="7572F230">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5ED06D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62065C0F">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64172436">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03493B77">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shd w:val="clear" w:color="auto" w:fill="auto"/>
            <w:noWrap w:val="0"/>
            <w:vAlign w:val="center"/>
          </w:tcPr>
          <w:p w14:paraId="1C623D82">
            <w:pPr>
              <w:snapToGrid w:val="0"/>
              <w:jc w:val="center"/>
              <w:rPr>
                <w:rFonts w:hint="eastAsia" w:ascii="Times New Roman" w:hAnsi="Times New Roman" w:eastAsia="宋体" w:cs="Times New Roman"/>
                <w:color w:val="auto"/>
                <w:sz w:val="21"/>
                <w:szCs w:val="21"/>
                <w:lang w:val="en-US" w:eastAsia="zh-CN" w:bidi="ar-SA"/>
              </w:rPr>
            </w:pPr>
            <w:r>
              <w:rPr>
                <w:rFonts w:cs="Times New Roman"/>
                <w:color w:val="auto"/>
              </w:rPr>
              <w:t>车辆尾气</w:t>
            </w:r>
          </w:p>
        </w:tc>
        <w:tc>
          <w:tcPr>
            <w:tcW w:w="2690" w:type="pct"/>
            <w:tcBorders>
              <w:tl2br w:val="nil"/>
              <w:tr2bl w:val="nil"/>
            </w:tcBorders>
            <w:shd w:val="clear" w:color="auto" w:fill="auto"/>
            <w:noWrap w:val="0"/>
            <w:vAlign w:val="center"/>
          </w:tcPr>
          <w:p w14:paraId="1B8D5823">
            <w:pPr>
              <w:jc w:val="both"/>
              <w:rPr>
                <w:rFonts w:hint="default" w:ascii="Times New Roman" w:hAnsi="Times New Roman" w:eastAsia="宋体" w:cs="Times New Roman"/>
                <w:b w:val="0"/>
                <w:bCs w:val="0"/>
                <w:color w:val="auto"/>
                <w:sz w:val="21"/>
                <w:szCs w:val="21"/>
                <w:lang w:val="en-US" w:eastAsia="zh-CN" w:bidi="ar-SA"/>
              </w:rPr>
            </w:pPr>
            <w:r>
              <w:rPr>
                <w:rFonts w:cs="Times New Roman"/>
                <w:color w:val="auto"/>
              </w:rPr>
              <w:t>使用国家合格燃油，间断不连续排放</w:t>
            </w:r>
          </w:p>
        </w:tc>
        <w:tc>
          <w:tcPr>
            <w:tcW w:w="368" w:type="pct"/>
            <w:tcBorders>
              <w:tl2br w:val="nil"/>
              <w:tr2bl w:val="nil"/>
            </w:tcBorders>
            <w:noWrap w:val="0"/>
            <w:vAlign w:val="center"/>
          </w:tcPr>
          <w:p w14:paraId="52B46249">
            <w:pPr>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w:t>
            </w:r>
          </w:p>
        </w:tc>
      </w:tr>
      <w:tr w14:paraId="0C20AC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A8DC7B1">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48E41054">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04B5EF0D">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shd w:val="clear" w:color="auto" w:fill="auto"/>
            <w:noWrap w:val="0"/>
            <w:vAlign w:val="center"/>
          </w:tcPr>
          <w:p w14:paraId="0AB70788">
            <w:pPr>
              <w:snapToGrid w:val="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管道焊接、防腐废气</w:t>
            </w:r>
          </w:p>
        </w:tc>
        <w:tc>
          <w:tcPr>
            <w:tcW w:w="2690" w:type="pct"/>
            <w:tcBorders>
              <w:tl2br w:val="nil"/>
              <w:tr2bl w:val="nil"/>
            </w:tcBorders>
            <w:shd w:val="clear" w:color="auto" w:fill="auto"/>
            <w:noWrap w:val="0"/>
            <w:vAlign w:val="center"/>
          </w:tcPr>
          <w:p w14:paraId="11EF8A11">
            <w:pPr>
              <w:bidi w:val="0"/>
              <w:rPr>
                <w:rFonts w:hint="default" w:ascii="Times New Roman" w:hAnsi="Times New Roman" w:eastAsia="宋体" w:cs="Times New Roman"/>
                <w:b w:val="0"/>
                <w:bCs w:val="0"/>
                <w:color w:val="auto"/>
                <w:szCs w:val="21"/>
                <w:lang w:val="en-US" w:eastAsia="zh-CN" w:bidi="ar-SA"/>
              </w:rPr>
            </w:pPr>
            <w:r>
              <w:rPr>
                <w:rFonts w:hint="default"/>
                <w:color w:val="auto"/>
                <w:lang w:val="zh-CN" w:eastAsia="zh-CN"/>
              </w:rPr>
              <w:t>焊条使用国家合格产品</w:t>
            </w:r>
            <w:r>
              <w:rPr>
                <w:rFonts w:hint="eastAsia"/>
                <w:color w:val="auto"/>
                <w:lang w:val="zh-CN" w:eastAsia="zh-CN"/>
              </w:rPr>
              <w:t>；</w:t>
            </w:r>
            <w:r>
              <w:rPr>
                <w:rFonts w:hint="eastAsia"/>
                <w:color w:val="auto"/>
                <w:lang w:val="en-US" w:eastAsia="zh-CN"/>
              </w:rPr>
              <w:t>缩短施工时间，使用环保型防腐材料和先进的快速防腐工艺</w:t>
            </w:r>
          </w:p>
        </w:tc>
        <w:tc>
          <w:tcPr>
            <w:tcW w:w="368" w:type="pct"/>
            <w:tcBorders>
              <w:tl2br w:val="nil"/>
              <w:tr2bl w:val="nil"/>
            </w:tcBorders>
            <w:noWrap w:val="0"/>
            <w:vAlign w:val="center"/>
          </w:tcPr>
          <w:p w14:paraId="4520D8B4">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79F38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0DB96468">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57CD8448">
            <w:pPr>
              <w:snapToGrid w:val="0"/>
              <w:jc w:val="center"/>
              <w:rPr>
                <w:rFonts w:hint="default" w:ascii="Times New Roman" w:hAnsi="Times New Roman" w:eastAsia="宋体" w:cs="Times New Roman"/>
                <w:b w:val="0"/>
                <w:bCs w:val="0"/>
                <w:color w:val="auto"/>
                <w:szCs w:val="21"/>
              </w:rPr>
            </w:pPr>
          </w:p>
        </w:tc>
        <w:tc>
          <w:tcPr>
            <w:tcW w:w="314" w:type="pct"/>
            <w:tcBorders>
              <w:left w:val="single" w:color="auto" w:sz="4" w:space="0"/>
              <w:tl2br w:val="nil"/>
              <w:tr2bl w:val="nil"/>
            </w:tcBorders>
            <w:noWrap w:val="0"/>
            <w:vAlign w:val="center"/>
          </w:tcPr>
          <w:p w14:paraId="0D4C0FBD">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运营期</w:t>
            </w:r>
          </w:p>
        </w:tc>
        <w:tc>
          <w:tcPr>
            <w:tcW w:w="854" w:type="pct"/>
            <w:tcBorders>
              <w:tl2br w:val="nil"/>
              <w:tr2bl w:val="nil"/>
            </w:tcBorders>
            <w:shd w:val="clear" w:color="auto" w:fill="auto"/>
            <w:noWrap w:val="0"/>
            <w:vAlign w:val="center"/>
          </w:tcPr>
          <w:p w14:paraId="08BAFF9E">
            <w:pPr>
              <w:snapToGrid w:val="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Cs w:val="21"/>
                <w:lang w:val="en-US" w:eastAsia="zh-CN"/>
              </w:rPr>
              <w:t>油气集输</w:t>
            </w:r>
          </w:p>
        </w:tc>
        <w:tc>
          <w:tcPr>
            <w:tcW w:w="2690" w:type="pct"/>
            <w:tcBorders>
              <w:tl2br w:val="nil"/>
              <w:tr2bl w:val="nil"/>
            </w:tcBorders>
            <w:shd w:val="clear" w:color="auto" w:fill="auto"/>
            <w:noWrap w:val="0"/>
            <w:vAlign w:val="center"/>
          </w:tcPr>
          <w:p w14:paraId="7D16A2D4">
            <w:pPr>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Cs w:val="21"/>
                <w:lang w:val="en-US" w:eastAsia="zh-CN"/>
              </w:rPr>
              <w:t>项目采用密闭集输工艺，集输过程无组织排放，加强巡检及设备的维护、检修</w:t>
            </w:r>
          </w:p>
        </w:tc>
        <w:tc>
          <w:tcPr>
            <w:tcW w:w="368" w:type="pct"/>
            <w:tcBorders>
              <w:tl2br w:val="nil"/>
              <w:tr2bl w:val="nil"/>
            </w:tcBorders>
            <w:noWrap w:val="0"/>
            <w:vAlign w:val="center"/>
          </w:tcPr>
          <w:p w14:paraId="0469D998">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421F23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572C1B88">
            <w:pPr>
              <w:snapToGrid w:val="0"/>
              <w:jc w:val="center"/>
              <w:rPr>
                <w:rFonts w:hint="default" w:ascii="Times New Roman" w:hAnsi="Times New Roman" w:eastAsia="宋体" w:cs="Times New Roman"/>
                <w:b w:val="0"/>
                <w:bCs w:val="0"/>
                <w:color w:val="auto"/>
                <w:szCs w:val="21"/>
              </w:rPr>
            </w:pPr>
          </w:p>
        </w:tc>
        <w:tc>
          <w:tcPr>
            <w:tcW w:w="359" w:type="pct"/>
            <w:vMerge w:val="restart"/>
            <w:tcBorders>
              <w:right w:val="single" w:color="auto" w:sz="4" w:space="0"/>
              <w:tl2br w:val="nil"/>
              <w:tr2bl w:val="nil"/>
            </w:tcBorders>
            <w:noWrap w:val="0"/>
            <w:vAlign w:val="center"/>
          </w:tcPr>
          <w:p w14:paraId="3A9ECD0C">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废水</w:t>
            </w:r>
          </w:p>
        </w:tc>
        <w:tc>
          <w:tcPr>
            <w:tcW w:w="314" w:type="pct"/>
            <w:vMerge w:val="restart"/>
            <w:tcBorders>
              <w:left w:val="single" w:color="auto" w:sz="4" w:space="0"/>
              <w:tl2br w:val="nil"/>
              <w:tr2bl w:val="nil"/>
            </w:tcBorders>
            <w:noWrap w:val="0"/>
            <w:vAlign w:val="center"/>
          </w:tcPr>
          <w:p w14:paraId="02994F15">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施工期</w:t>
            </w:r>
          </w:p>
        </w:tc>
        <w:tc>
          <w:tcPr>
            <w:tcW w:w="854" w:type="pct"/>
            <w:tcBorders>
              <w:tl2br w:val="nil"/>
              <w:tr2bl w:val="nil"/>
            </w:tcBorders>
            <w:shd w:val="clear" w:color="auto" w:fill="auto"/>
            <w:noWrap w:val="0"/>
            <w:vAlign w:val="center"/>
          </w:tcPr>
          <w:p w14:paraId="28EC99E9">
            <w:pPr>
              <w:snapToGrid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管道试压废水</w:t>
            </w:r>
          </w:p>
        </w:tc>
        <w:tc>
          <w:tcPr>
            <w:tcW w:w="2690" w:type="pct"/>
            <w:tcBorders>
              <w:tl2br w:val="nil"/>
              <w:tr2bl w:val="nil"/>
            </w:tcBorders>
            <w:shd w:val="clear" w:color="auto" w:fill="auto"/>
            <w:noWrap w:val="0"/>
            <w:vAlign w:val="center"/>
          </w:tcPr>
          <w:p w14:paraId="191E139E">
            <w:pPr>
              <w:snapToGrid w:val="0"/>
              <w:jc w:val="both"/>
              <w:rPr>
                <w:rFonts w:hint="default" w:ascii="Times New Roman" w:hAnsi="Times New Roman" w:eastAsia="宋体" w:cs="Times New Roman"/>
                <w:color w:val="auto"/>
                <w:sz w:val="21"/>
                <w:szCs w:val="21"/>
                <w:lang w:val="en-US" w:eastAsia="zh-CN" w:bidi="ar-SA"/>
              </w:rPr>
            </w:pPr>
            <w:r>
              <w:rPr>
                <w:rFonts w:cs="Times New Roman"/>
                <w:color w:val="auto"/>
              </w:rPr>
              <w:t>采用中性洁净水，试压结束后</w:t>
            </w:r>
            <w:r>
              <w:rPr>
                <w:rFonts w:hint="eastAsia" w:cs="Times New Roman"/>
                <w:color w:val="auto"/>
                <w:lang w:val="en-US" w:eastAsia="zh-CN"/>
              </w:rPr>
              <w:t>输至百口泉注输联合站采出水处理系统</w:t>
            </w:r>
          </w:p>
        </w:tc>
        <w:tc>
          <w:tcPr>
            <w:tcW w:w="368" w:type="pct"/>
            <w:tcBorders>
              <w:tl2br w:val="nil"/>
              <w:tr2bl w:val="nil"/>
            </w:tcBorders>
            <w:noWrap w:val="0"/>
            <w:vAlign w:val="center"/>
          </w:tcPr>
          <w:p w14:paraId="00BEA317">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依托</w:t>
            </w:r>
          </w:p>
        </w:tc>
      </w:tr>
      <w:tr w14:paraId="15DB1D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55ADE67A">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2D7D5089">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253C205B">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noWrap w:val="0"/>
            <w:vAlign w:val="center"/>
          </w:tcPr>
          <w:p w14:paraId="1AB96D67">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生活污水</w:t>
            </w:r>
          </w:p>
        </w:tc>
        <w:tc>
          <w:tcPr>
            <w:tcW w:w="2690" w:type="pct"/>
            <w:tcBorders>
              <w:tl2br w:val="nil"/>
              <w:tr2bl w:val="nil"/>
            </w:tcBorders>
            <w:shd w:val="clear" w:color="auto" w:fill="auto"/>
            <w:noWrap w:val="0"/>
            <w:vAlign w:val="center"/>
          </w:tcPr>
          <w:p w14:paraId="2126E4B7">
            <w:pPr>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施工人员不在施工现场设置施工营地，施工人员在百口泉采油厂建设</w:t>
            </w:r>
            <w:r>
              <w:rPr>
                <w:rFonts w:hint="eastAsia" w:cs="Times New Roman"/>
                <w:color w:val="auto"/>
                <w:szCs w:val="21"/>
                <w:highlight w:val="none"/>
                <w:lang w:val="en-US" w:eastAsia="zh-CN"/>
              </w:rPr>
              <w:t>的</w:t>
            </w:r>
            <w:r>
              <w:rPr>
                <w:rFonts w:hint="default" w:ascii="Times New Roman" w:hAnsi="Times New Roman" w:eastAsia="宋体" w:cs="Times New Roman"/>
                <w:color w:val="auto"/>
                <w:szCs w:val="21"/>
                <w:highlight w:val="none"/>
                <w:lang w:val="en-US" w:eastAsia="zh-CN"/>
              </w:rPr>
              <w:t>生活基地，生活污水依托生活基地内既有设施，最终由乌尔禾区生活污水处理厂处理</w:t>
            </w:r>
          </w:p>
        </w:tc>
        <w:tc>
          <w:tcPr>
            <w:tcW w:w="368" w:type="pct"/>
            <w:tcBorders>
              <w:tl2br w:val="nil"/>
              <w:tr2bl w:val="nil"/>
            </w:tcBorders>
            <w:noWrap w:val="0"/>
            <w:vAlign w:val="center"/>
          </w:tcPr>
          <w:p w14:paraId="4C128F2D">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依托</w:t>
            </w:r>
          </w:p>
        </w:tc>
      </w:tr>
      <w:tr w14:paraId="622B1A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5A36EEAF">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0F4A0FEE">
            <w:pPr>
              <w:snapToGrid w:val="0"/>
              <w:jc w:val="center"/>
              <w:rPr>
                <w:rFonts w:hint="default" w:ascii="Times New Roman" w:hAnsi="Times New Roman" w:eastAsia="宋体" w:cs="Times New Roman"/>
                <w:b w:val="0"/>
                <w:bCs w:val="0"/>
                <w:color w:val="auto"/>
                <w:szCs w:val="21"/>
              </w:rPr>
            </w:pPr>
          </w:p>
        </w:tc>
        <w:tc>
          <w:tcPr>
            <w:tcW w:w="314" w:type="pct"/>
            <w:vMerge w:val="restart"/>
            <w:tcBorders>
              <w:left w:val="single" w:color="auto" w:sz="4" w:space="0"/>
              <w:tl2br w:val="nil"/>
              <w:tr2bl w:val="nil"/>
            </w:tcBorders>
            <w:noWrap w:val="0"/>
            <w:vAlign w:val="center"/>
          </w:tcPr>
          <w:p w14:paraId="288BF17C">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运营期</w:t>
            </w:r>
          </w:p>
        </w:tc>
        <w:tc>
          <w:tcPr>
            <w:tcW w:w="854" w:type="pct"/>
            <w:tcBorders>
              <w:tl2br w:val="nil"/>
              <w:tr2bl w:val="nil"/>
            </w:tcBorders>
            <w:shd w:val="clear" w:color="auto" w:fill="auto"/>
            <w:noWrap w:val="0"/>
            <w:vAlign w:val="center"/>
          </w:tcPr>
          <w:p w14:paraId="722CDFD3">
            <w:pPr>
              <w:snapToGrid w:val="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Cs w:val="21"/>
                <w:lang w:val="en-US" w:eastAsia="zh-CN"/>
              </w:rPr>
              <w:t>井下作业废水</w:t>
            </w:r>
            <w:r>
              <w:rPr>
                <w:rFonts w:hint="eastAsia" w:ascii="Times New Roman" w:hAnsi="Times New Roman" w:eastAsia="宋体" w:cs="Times New Roman"/>
                <w:color w:val="auto"/>
                <w:szCs w:val="21"/>
                <w:lang w:val="en-US" w:eastAsia="zh-CN"/>
              </w:rPr>
              <w:t>（洗井废水、压裂废水及修井废液）</w:t>
            </w:r>
          </w:p>
        </w:tc>
        <w:tc>
          <w:tcPr>
            <w:tcW w:w="2690" w:type="pct"/>
            <w:tcBorders>
              <w:tl2br w:val="nil"/>
              <w:tr2bl w:val="nil"/>
            </w:tcBorders>
            <w:shd w:val="clear" w:color="auto" w:fill="auto"/>
            <w:noWrap w:val="0"/>
            <w:vAlign w:val="center"/>
          </w:tcPr>
          <w:p w14:paraId="50BEFE8D">
            <w:pPr>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Cs w:val="21"/>
                <w:lang w:val="en-US" w:eastAsia="zh-CN"/>
              </w:rPr>
              <w:t>作业单位自带回收罐回收作业废水，拉运至</w:t>
            </w:r>
            <w:r>
              <w:rPr>
                <w:rFonts w:hint="eastAsia" w:ascii="Times New Roman" w:hAnsi="Times New Roman" w:eastAsia="宋体" w:cs="Times New Roman"/>
                <w:color w:val="auto"/>
                <w:szCs w:val="21"/>
                <w:lang w:val="en-US" w:eastAsia="zh-CN"/>
              </w:rPr>
              <w:t>百口泉注输联合站采出</w:t>
            </w:r>
            <w:r>
              <w:rPr>
                <w:rFonts w:hint="default" w:ascii="Times New Roman" w:hAnsi="Times New Roman" w:eastAsia="宋体" w:cs="Times New Roman"/>
                <w:color w:val="auto"/>
                <w:szCs w:val="21"/>
                <w:lang w:val="en-US" w:eastAsia="zh-CN"/>
              </w:rPr>
              <w:t>水处理系统处理达标后回注</w:t>
            </w:r>
          </w:p>
        </w:tc>
        <w:tc>
          <w:tcPr>
            <w:tcW w:w="368" w:type="pct"/>
            <w:tcBorders>
              <w:tl2br w:val="nil"/>
              <w:tr2bl w:val="nil"/>
            </w:tcBorders>
            <w:noWrap w:val="0"/>
            <w:vAlign w:val="center"/>
          </w:tcPr>
          <w:p w14:paraId="13E2AF6B">
            <w:pPr>
              <w:snapToGrid w:val="0"/>
              <w:jc w:val="center"/>
              <w:rPr>
                <w:rFonts w:hint="default"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val="en-US" w:eastAsia="zh-CN"/>
              </w:rPr>
              <w:t>依托</w:t>
            </w:r>
          </w:p>
        </w:tc>
      </w:tr>
      <w:tr w14:paraId="0789A7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1900C12D">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2288E01F">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40D4094C">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shd w:val="clear" w:color="auto" w:fill="auto"/>
            <w:noWrap w:val="0"/>
            <w:vAlign w:val="center"/>
          </w:tcPr>
          <w:p w14:paraId="0A81A57F">
            <w:pPr>
              <w:snapToGrid w:val="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Cs w:val="21"/>
                <w:lang w:val="en-US" w:eastAsia="zh-CN"/>
              </w:rPr>
              <w:t>采出水</w:t>
            </w:r>
          </w:p>
        </w:tc>
        <w:tc>
          <w:tcPr>
            <w:tcW w:w="2690" w:type="pct"/>
            <w:tcBorders>
              <w:tl2br w:val="nil"/>
              <w:tr2bl w:val="nil"/>
            </w:tcBorders>
            <w:shd w:val="clear" w:color="auto" w:fill="auto"/>
            <w:noWrap w:val="0"/>
            <w:vAlign w:val="center"/>
          </w:tcPr>
          <w:p w14:paraId="0F325EE3">
            <w:pPr>
              <w:snapToGrid w:val="0"/>
              <w:jc w:val="both"/>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经管线密闭集输至百口泉注输联合站采出</w:t>
            </w:r>
            <w:r>
              <w:rPr>
                <w:rFonts w:hint="default" w:ascii="Times New Roman" w:hAnsi="Times New Roman" w:eastAsia="宋体" w:cs="Times New Roman"/>
                <w:color w:val="auto"/>
                <w:szCs w:val="21"/>
                <w:lang w:val="en-US" w:eastAsia="zh-CN"/>
              </w:rPr>
              <w:t>水处理系统处理达标后回注</w:t>
            </w:r>
          </w:p>
        </w:tc>
        <w:tc>
          <w:tcPr>
            <w:tcW w:w="368" w:type="pct"/>
            <w:tcBorders>
              <w:tl2br w:val="nil"/>
              <w:tr2bl w:val="nil"/>
            </w:tcBorders>
            <w:noWrap w:val="0"/>
            <w:vAlign w:val="center"/>
          </w:tcPr>
          <w:p w14:paraId="10FB5190">
            <w:pPr>
              <w:snapToGrid w:val="0"/>
              <w:jc w:val="center"/>
              <w:rPr>
                <w:rFonts w:hint="default"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val="en-US" w:eastAsia="zh-CN"/>
              </w:rPr>
              <w:t>依托</w:t>
            </w:r>
          </w:p>
        </w:tc>
      </w:tr>
      <w:tr w14:paraId="5F47AC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68DBC941">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2938710A">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4C1A8F27">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shd w:val="clear" w:color="auto" w:fill="auto"/>
            <w:noWrap w:val="0"/>
            <w:vAlign w:val="center"/>
          </w:tcPr>
          <w:p w14:paraId="01F89537">
            <w:pPr>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Cs w:val="21"/>
                <w:lang w:val="en-US" w:eastAsia="zh-CN"/>
              </w:rPr>
              <w:t>生活污水</w:t>
            </w:r>
          </w:p>
        </w:tc>
        <w:tc>
          <w:tcPr>
            <w:tcW w:w="2690" w:type="pct"/>
            <w:tcBorders>
              <w:tl2br w:val="nil"/>
              <w:tr2bl w:val="nil"/>
            </w:tcBorders>
            <w:shd w:val="clear" w:color="auto" w:fill="auto"/>
            <w:noWrap w:val="0"/>
            <w:vAlign w:val="center"/>
          </w:tcPr>
          <w:p w14:paraId="5FD3D339">
            <w:pPr>
              <w:snapToGrid w:val="0"/>
              <w:jc w:val="both"/>
              <w:rPr>
                <w:rFonts w:hint="eastAsia" w:ascii="Times New Roman" w:hAnsi="Times New Roman" w:eastAsia="宋体" w:cs="Times New Roman"/>
                <w:color w:val="auto"/>
                <w:sz w:val="21"/>
                <w:szCs w:val="21"/>
                <w:lang w:val="en-US" w:eastAsia="zh-CN" w:bidi="ar-SA"/>
              </w:rPr>
            </w:pPr>
            <w:r>
              <w:rPr>
                <w:rFonts w:hint="eastAsia" w:cs="Times New Roman"/>
                <w:color w:val="auto"/>
                <w:szCs w:val="21"/>
                <w:lang w:val="en-US" w:eastAsia="zh-CN"/>
              </w:rPr>
              <w:t>本工程</w:t>
            </w:r>
            <w:r>
              <w:rPr>
                <w:rFonts w:hint="default" w:ascii="Times New Roman" w:hAnsi="Times New Roman" w:eastAsia="宋体" w:cs="Times New Roman"/>
                <w:color w:val="auto"/>
                <w:szCs w:val="21"/>
                <w:lang w:val="en-US" w:eastAsia="zh-CN"/>
              </w:rPr>
              <w:t>运营期不新增工作人员，在</w:t>
            </w:r>
            <w:r>
              <w:rPr>
                <w:rFonts w:hint="eastAsia" w:ascii="Times New Roman" w:hAnsi="Times New Roman" w:eastAsia="宋体" w:cs="Times New Roman"/>
                <w:color w:val="auto"/>
                <w:szCs w:val="21"/>
                <w:lang w:val="en-US" w:eastAsia="zh-CN"/>
              </w:rPr>
              <w:t>百口泉采油厂</w:t>
            </w:r>
            <w:r>
              <w:rPr>
                <w:rFonts w:hint="default" w:ascii="Times New Roman" w:hAnsi="Times New Roman" w:eastAsia="宋体" w:cs="Times New Roman"/>
                <w:color w:val="auto"/>
                <w:szCs w:val="21"/>
                <w:lang w:val="en-US" w:eastAsia="zh-CN"/>
              </w:rPr>
              <w:t>作业区已有人员中调配，不新增生活污水</w:t>
            </w:r>
          </w:p>
        </w:tc>
        <w:tc>
          <w:tcPr>
            <w:tcW w:w="368" w:type="pct"/>
            <w:tcBorders>
              <w:tl2br w:val="nil"/>
              <w:tr2bl w:val="nil"/>
            </w:tcBorders>
            <w:noWrap w:val="0"/>
            <w:vAlign w:val="center"/>
          </w:tcPr>
          <w:p w14:paraId="530F72D0">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41FEA4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3F95BC84">
            <w:pPr>
              <w:snapToGrid w:val="0"/>
              <w:jc w:val="center"/>
              <w:rPr>
                <w:rFonts w:hint="default" w:ascii="Times New Roman" w:hAnsi="Times New Roman" w:eastAsia="宋体" w:cs="Times New Roman"/>
                <w:b w:val="0"/>
                <w:bCs w:val="0"/>
                <w:color w:val="auto"/>
                <w:szCs w:val="21"/>
              </w:rPr>
            </w:pPr>
          </w:p>
        </w:tc>
        <w:tc>
          <w:tcPr>
            <w:tcW w:w="359" w:type="pct"/>
            <w:vMerge w:val="restart"/>
            <w:tcBorders>
              <w:right w:val="single" w:color="auto" w:sz="4" w:space="0"/>
              <w:tl2br w:val="nil"/>
              <w:tr2bl w:val="nil"/>
            </w:tcBorders>
            <w:noWrap w:val="0"/>
            <w:vAlign w:val="center"/>
          </w:tcPr>
          <w:p w14:paraId="70FC4141">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噪声</w:t>
            </w:r>
          </w:p>
        </w:tc>
        <w:tc>
          <w:tcPr>
            <w:tcW w:w="314" w:type="pct"/>
            <w:tcBorders>
              <w:left w:val="single" w:color="auto" w:sz="4" w:space="0"/>
              <w:tl2br w:val="nil"/>
              <w:tr2bl w:val="nil"/>
            </w:tcBorders>
            <w:noWrap w:val="0"/>
            <w:vAlign w:val="center"/>
          </w:tcPr>
          <w:p w14:paraId="1A00AEF6">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施工期</w:t>
            </w:r>
          </w:p>
        </w:tc>
        <w:tc>
          <w:tcPr>
            <w:tcW w:w="854" w:type="pct"/>
            <w:tcBorders>
              <w:tl2br w:val="nil"/>
              <w:tr2bl w:val="nil"/>
            </w:tcBorders>
            <w:shd w:val="clear" w:color="auto" w:fill="auto"/>
            <w:noWrap w:val="0"/>
            <w:vAlign w:val="center"/>
          </w:tcPr>
          <w:p w14:paraId="54E054EA">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机械、设备噪声</w:t>
            </w:r>
          </w:p>
        </w:tc>
        <w:tc>
          <w:tcPr>
            <w:tcW w:w="2690" w:type="pct"/>
            <w:tcBorders>
              <w:tl2br w:val="nil"/>
              <w:tr2bl w:val="nil"/>
            </w:tcBorders>
            <w:shd w:val="clear" w:color="auto" w:fill="auto"/>
            <w:noWrap w:val="0"/>
            <w:vAlign w:val="center"/>
          </w:tcPr>
          <w:p w14:paraId="47F090AE">
            <w:pPr>
              <w:snapToGrid w:val="0"/>
              <w:jc w:val="both"/>
              <w:rPr>
                <w:rFonts w:hint="default" w:ascii="Times New Roman" w:hAnsi="Times New Roman" w:eastAsia="宋体" w:cs="Times New Roman"/>
                <w:color w:val="auto"/>
                <w:szCs w:val="21"/>
                <w:lang w:val="en-US" w:eastAsia="zh-CN"/>
              </w:rPr>
            </w:pPr>
            <w:r>
              <w:rPr>
                <w:rFonts w:cs="Times New Roman"/>
                <w:color w:val="auto"/>
              </w:rPr>
              <w:t>采用低噪声设备，定期维护，装设基础减振，合理安排施工时间，高噪声施工设备减少夜间使用或禁止使用</w:t>
            </w:r>
          </w:p>
        </w:tc>
        <w:tc>
          <w:tcPr>
            <w:tcW w:w="368" w:type="pct"/>
            <w:tcBorders>
              <w:tl2br w:val="nil"/>
              <w:tr2bl w:val="nil"/>
            </w:tcBorders>
            <w:noWrap w:val="0"/>
            <w:vAlign w:val="center"/>
          </w:tcPr>
          <w:p w14:paraId="171039B7">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367983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01828D2A">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43DE4D62">
            <w:pPr>
              <w:snapToGrid w:val="0"/>
              <w:jc w:val="center"/>
              <w:rPr>
                <w:rFonts w:hint="default" w:ascii="Times New Roman" w:hAnsi="Times New Roman" w:eastAsia="宋体" w:cs="Times New Roman"/>
                <w:b w:val="0"/>
                <w:bCs w:val="0"/>
                <w:color w:val="auto"/>
                <w:szCs w:val="21"/>
              </w:rPr>
            </w:pPr>
          </w:p>
        </w:tc>
        <w:tc>
          <w:tcPr>
            <w:tcW w:w="314" w:type="pct"/>
            <w:tcBorders>
              <w:left w:val="single" w:color="auto" w:sz="4" w:space="0"/>
              <w:tl2br w:val="nil"/>
              <w:tr2bl w:val="nil"/>
            </w:tcBorders>
            <w:noWrap w:val="0"/>
            <w:vAlign w:val="center"/>
          </w:tcPr>
          <w:p w14:paraId="39061CEE">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运营期</w:t>
            </w:r>
          </w:p>
        </w:tc>
        <w:tc>
          <w:tcPr>
            <w:tcW w:w="854" w:type="pct"/>
            <w:tcBorders>
              <w:tl2br w:val="nil"/>
              <w:tr2bl w:val="nil"/>
            </w:tcBorders>
            <w:shd w:val="clear" w:color="auto" w:fill="auto"/>
            <w:noWrap w:val="0"/>
            <w:vAlign w:val="center"/>
          </w:tcPr>
          <w:p w14:paraId="7758C506">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设备噪声</w:t>
            </w:r>
          </w:p>
        </w:tc>
        <w:tc>
          <w:tcPr>
            <w:tcW w:w="2690" w:type="pct"/>
            <w:tcBorders>
              <w:tl2br w:val="nil"/>
              <w:tr2bl w:val="nil"/>
            </w:tcBorders>
            <w:shd w:val="clear" w:color="auto" w:fill="auto"/>
            <w:noWrap w:val="0"/>
            <w:vAlign w:val="center"/>
          </w:tcPr>
          <w:p w14:paraId="3CD62183">
            <w:pPr>
              <w:snapToGrid w:val="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井场设备基础减振</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选用低噪声设备，定时保养设备</w:t>
            </w:r>
          </w:p>
        </w:tc>
        <w:tc>
          <w:tcPr>
            <w:tcW w:w="368" w:type="pct"/>
            <w:tcBorders>
              <w:tl2br w:val="nil"/>
              <w:tr2bl w:val="nil"/>
            </w:tcBorders>
            <w:noWrap w:val="0"/>
            <w:vAlign w:val="center"/>
          </w:tcPr>
          <w:p w14:paraId="71C6E213">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594CF5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136AC7C1">
            <w:pPr>
              <w:snapToGrid w:val="0"/>
              <w:jc w:val="center"/>
              <w:rPr>
                <w:rFonts w:hint="default" w:ascii="Times New Roman" w:hAnsi="Times New Roman" w:eastAsia="宋体" w:cs="Times New Roman"/>
                <w:b w:val="0"/>
                <w:bCs w:val="0"/>
                <w:color w:val="auto"/>
                <w:szCs w:val="21"/>
              </w:rPr>
            </w:pPr>
          </w:p>
        </w:tc>
        <w:tc>
          <w:tcPr>
            <w:tcW w:w="359" w:type="pct"/>
            <w:vMerge w:val="restart"/>
            <w:tcBorders>
              <w:right w:val="single" w:color="auto" w:sz="4" w:space="0"/>
              <w:tl2br w:val="nil"/>
              <w:tr2bl w:val="nil"/>
            </w:tcBorders>
            <w:noWrap w:val="0"/>
            <w:vAlign w:val="center"/>
          </w:tcPr>
          <w:p w14:paraId="7AD767C3">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固体废物</w:t>
            </w:r>
          </w:p>
        </w:tc>
        <w:tc>
          <w:tcPr>
            <w:tcW w:w="314" w:type="pct"/>
            <w:vMerge w:val="restart"/>
            <w:tcBorders>
              <w:left w:val="single" w:color="auto" w:sz="4" w:space="0"/>
              <w:tl2br w:val="nil"/>
              <w:tr2bl w:val="nil"/>
            </w:tcBorders>
            <w:noWrap w:val="0"/>
            <w:vAlign w:val="center"/>
          </w:tcPr>
          <w:p w14:paraId="5B16548E">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施工期</w:t>
            </w:r>
          </w:p>
        </w:tc>
        <w:tc>
          <w:tcPr>
            <w:tcW w:w="854" w:type="pct"/>
            <w:tcBorders>
              <w:tl2br w:val="nil"/>
              <w:tr2bl w:val="nil"/>
            </w:tcBorders>
            <w:shd w:val="clear" w:color="auto" w:fill="auto"/>
            <w:noWrap w:val="0"/>
            <w:vAlign w:val="center"/>
          </w:tcPr>
          <w:p w14:paraId="308EF179">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施工土方</w:t>
            </w:r>
          </w:p>
        </w:tc>
        <w:tc>
          <w:tcPr>
            <w:tcW w:w="2690" w:type="pct"/>
            <w:tcBorders>
              <w:tl2br w:val="nil"/>
              <w:tr2bl w:val="nil"/>
            </w:tcBorders>
            <w:shd w:val="clear" w:color="auto" w:fill="auto"/>
            <w:noWrap w:val="0"/>
            <w:vAlign w:val="center"/>
          </w:tcPr>
          <w:p w14:paraId="07D62C2E">
            <w:pPr>
              <w:snapToGrid w:val="0"/>
              <w:jc w:val="both"/>
              <w:rPr>
                <w:rFonts w:hint="default" w:ascii="Times New Roman" w:hAnsi="Times New Roman" w:eastAsia="宋体" w:cs="Times New Roman"/>
                <w:color w:val="auto"/>
                <w:szCs w:val="21"/>
                <w:lang w:val="en-US" w:eastAsia="zh-CN"/>
              </w:rPr>
            </w:pPr>
            <w:r>
              <w:rPr>
                <w:rFonts w:cs="Times New Roman"/>
                <w:color w:val="auto"/>
              </w:rPr>
              <w:t>施工结束后回填管堤之上，实施压实平整水土保持措施</w:t>
            </w:r>
          </w:p>
        </w:tc>
        <w:tc>
          <w:tcPr>
            <w:tcW w:w="368" w:type="pct"/>
            <w:tcBorders>
              <w:tl2br w:val="nil"/>
              <w:tr2bl w:val="nil"/>
            </w:tcBorders>
            <w:noWrap w:val="0"/>
            <w:vAlign w:val="center"/>
          </w:tcPr>
          <w:p w14:paraId="204ADA58">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732DA9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36C727CB">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1B252504">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209BCB85">
            <w:pPr>
              <w:snapToGrid w:val="0"/>
              <w:jc w:val="center"/>
              <w:rPr>
                <w:rFonts w:hint="eastAsia" w:ascii="Times New Roman" w:hAnsi="Times New Roman" w:eastAsia="宋体" w:cs="Times New Roman"/>
                <w:b w:val="0"/>
                <w:bCs w:val="0"/>
                <w:color w:val="auto"/>
                <w:szCs w:val="21"/>
                <w:lang w:val="en-US" w:eastAsia="zh-CN"/>
              </w:rPr>
            </w:pPr>
          </w:p>
        </w:tc>
        <w:tc>
          <w:tcPr>
            <w:tcW w:w="854" w:type="pct"/>
            <w:tcBorders>
              <w:tl2br w:val="nil"/>
              <w:tr2bl w:val="nil"/>
            </w:tcBorders>
            <w:shd w:val="clear" w:color="auto" w:fill="auto"/>
            <w:noWrap w:val="0"/>
            <w:vAlign w:val="center"/>
          </w:tcPr>
          <w:p w14:paraId="4425EF4E">
            <w:pPr>
              <w:pStyle w:val="42"/>
              <w:keepNext w:val="0"/>
              <w:keepLines w:val="0"/>
              <w:pageBreakBefore w:val="0"/>
              <w:kinsoku/>
              <w:wordWrap/>
              <w:overflowPunct/>
              <w:topLinePunct w:val="0"/>
              <w:bidi w:val="0"/>
              <w:spacing w:beforeAutospacing="0" w:afterAutospacing="0" w:line="300" w:lineRule="exact"/>
              <w:ind w:firstLine="0" w:firstLineChars="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
              </w:rPr>
              <w:t>废焊条</w:t>
            </w:r>
          </w:p>
        </w:tc>
        <w:tc>
          <w:tcPr>
            <w:tcW w:w="2690" w:type="pct"/>
            <w:tcBorders>
              <w:tl2br w:val="nil"/>
              <w:tr2bl w:val="nil"/>
            </w:tcBorders>
            <w:shd w:val="clear" w:color="auto" w:fill="auto"/>
            <w:noWrap w:val="0"/>
            <w:vAlign w:val="center"/>
          </w:tcPr>
          <w:p w14:paraId="6B638846">
            <w:pPr>
              <w:pStyle w:val="24"/>
              <w:keepNext w:val="0"/>
              <w:keepLines w:val="0"/>
              <w:pageBreakBefore w:val="0"/>
              <w:kinsoku/>
              <w:wordWrap/>
              <w:overflowPunct/>
              <w:topLinePunct w:val="0"/>
              <w:bidi w:val="0"/>
              <w:spacing w:before="0" w:beforeAutospacing="0" w:after="0" w:afterAutospacing="0" w:line="300" w:lineRule="exact"/>
              <w:ind w:firstLine="0" w:firstLine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收集后交由生产厂家回收</w:t>
            </w:r>
          </w:p>
        </w:tc>
        <w:tc>
          <w:tcPr>
            <w:tcW w:w="368" w:type="pct"/>
            <w:tcBorders>
              <w:tl2br w:val="nil"/>
              <w:tr2bl w:val="nil"/>
            </w:tcBorders>
            <w:noWrap w:val="0"/>
            <w:vAlign w:val="center"/>
          </w:tcPr>
          <w:p w14:paraId="75EA5C26">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09C92A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0D7591AD">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5077133A">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0F07A134">
            <w:pPr>
              <w:snapToGrid w:val="0"/>
              <w:jc w:val="center"/>
              <w:rPr>
                <w:rFonts w:hint="eastAsia" w:ascii="Times New Roman" w:hAnsi="Times New Roman" w:eastAsia="宋体" w:cs="Times New Roman"/>
                <w:b w:val="0"/>
                <w:bCs w:val="0"/>
                <w:color w:val="auto"/>
                <w:szCs w:val="21"/>
                <w:lang w:val="en-US" w:eastAsia="zh-CN"/>
              </w:rPr>
            </w:pPr>
          </w:p>
        </w:tc>
        <w:tc>
          <w:tcPr>
            <w:tcW w:w="854" w:type="pct"/>
            <w:tcBorders>
              <w:tl2br w:val="nil"/>
              <w:tr2bl w:val="nil"/>
            </w:tcBorders>
            <w:shd w:val="clear" w:color="auto" w:fill="auto"/>
            <w:noWrap w:val="0"/>
            <w:vAlign w:val="center"/>
          </w:tcPr>
          <w:p w14:paraId="08714382">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生活垃圾</w:t>
            </w:r>
          </w:p>
        </w:tc>
        <w:tc>
          <w:tcPr>
            <w:tcW w:w="2690" w:type="pct"/>
            <w:tcBorders>
              <w:tl2br w:val="nil"/>
              <w:tr2bl w:val="nil"/>
            </w:tcBorders>
            <w:shd w:val="clear" w:color="auto" w:fill="auto"/>
            <w:noWrap w:val="0"/>
            <w:vAlign w:val="center"/>
          </w:tcPr>
          <w:p w14:paraId="13688BAD">
            <w:pPr>
              <w:snapToGrid w:val="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bidi="ar"/>
              </w:rPr>
              <w:t>生活垃圾设收集箱收集后，</w:t>
            </w:r>
            <w:r>
              <w:rPr>
                <w:rFonts w:hint="eastAsia" w:ascii="Times New Roman" w:hAnsi="Times New Roman" w:eastAsia="宋体" w:cs="Times New Roman"/>
                <w:color w:val="auto"/>
                <w:sz w:val="21"/>
                <w:szCs w:val="21"/>
                <w:lang w:val="en-US" w:eastAsia="zh-CN" w:bidi="ar"/>
              </w:rPr>
              <w:t>送至乌尔禾生活垃圾填埋场处置</w:t>
            </w:r>
          </w:p>
        </w:tc>
        <w:tc>
          <w:tcPr>
            <w:tcW w:w="368" w:type="pct"/>
            <w:tcBorders>
              <w:tl2br w:val="nil"/>
              <w:tr2bl w:val="nil"/>
            </w:tcBorders>
            <w:noWrap w:val="0"/>
            <w:vAlign w:val="center"/>
          </w:tcPr>
          <w:p w14:paraId="345F71ED">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6D7826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14CEDDBF">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211902B3">
            <w:pPr>
              <w:snapToGrid w:val="0"/>
              <w:jc w:val="center"/>
              <w:rPr>
                <w:rFonts w:hint="default" w:ascii="Times New Roman" w:hAnsi="Times New Roman" w:eastAsia="宋体" w:cs="Times New Roman"/>
                <w:b w:val="0"/>
                <w:bCs w:val="0"/>
                <w:color w:val="auto"/>
                <w:szCs w:val="21"/>
              </w:rPr>
            </w:pPr>
          </w:p>
        </w:tc>
        <w:tc>
          <w:tcPr>
            <w:tcW w:w="314" w:type="pct"/>
            <w:vMerge w:val="restart"/>
            <w:tcBorders>
              <w:left w:val="single" w:color="auto" w:sz="4" w:space="0"/>
              <w:tl2br w:val="nil"/>
              <w:tr2bl w:val="nil"/>
            </w:tcBorders>
            <w:noWrap w:val="0"/>
            <w:vAlign w:val="center"/>
          </w:tcPr>
          <w:p w14:paraId="2506A1C3">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运营期</w:t>
            </w:r>
          </w:p>
        </w:tc>
        <w:tc>
          <w:tcPr>
            <w:tcW w:w="854" w:type="pct"/>
            <w:tcBorders>
              <w:tl2br w:val="nil"/>
              <w:tr2bl w:val="nil"/>
            </w:tcBorders>
            <w:shd w:val="clear" w:color="auto" w:fill="auto"/>
            <w:noWrap w:val="0"/>
            <w:vAlign w:val="center"/>
          </w:tcPr>
          <w:p w14:paraId="262D0469">
            <w:pPr>
              <w:pStyle w:val="42"/>
              <w:keepNext w:val="0"/>
              <w:keepLines w:val="0"/>
              <w:pageBreakBefore w:val="0"/>
              <w:kinsoku/>
              <w:wordWrap/>
              <w:overflowPunct/>
              <w:topLinePunct w:val="0"/>
              <w:bidi w:val="0"/>
              <w:spacing w:beforeAutospacing="0" w:afterAutospacing="0" w:line="300" w:lineRule="exact"/>
              <w:ind w:firstLine="0" w:firstLineChars="0"/>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
              </w:rPr>
              <w:t>落地油</w:t>
            </w:r>
          </w:p>
        </w:tc>
        <w:tc>
          <w:tcPr>
            <w:tcW w:w="2690" w:type="pct"/>
            <w:tcBorders>
              <w:tl2br w:val="nil"/>
              <w:tr2bl w:val="nil"/>
            </w:tcBorders>
            <w:shd w:val="clear" w:color="auto" w:fill="auto"/>
            <w:noWrap w:val="0"/>
            <w:vAlign w:val="center"/>
          </w:tcPr>
          <w:p w14:paraId="6DC1FE28">
            <w:pPr>
              <w:keepNext w:val="0"/>
              <w:keepLines w:val="0"/>
              <w:pageBreakBefore w:val="0"/>
              <w:kinsoku/>
              <w:wordWrap/>
              <w:overflowPunct/>
              <w:topLinePunct w:val="0"/>
              <w:bidi w:val="0"/>
              <w:spacing w:beforeAutospacing="0" w:afterAutospacing="0" w:line="300" w:lineRule="exact"/>
              <w:ind w:left="0" w:leftChars="0"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bidi="ar"/>
              </w:rPr>
              <w:t>井下作业时采用</w:t>
            </w:r>
            <w:r>
              <w:rPr>
                <w:rFonts w:hint="eastAsia" w:ascii="宋体" w:hAnsi="宋体" w:eastAsia="宋体" w:cs="宋体"/>
                <w:color w:val="auto"/>
                <w:sz w:val="21"/>
                <w:szCs w:val="21"/>
                <w:lang w:bidi="ar"/>
              </w:rPr>
              <w:t>“铺设作业、带罐上岗”的</w:t>
            </w:r>
            <w:r>
              <w:rPr>
                <w:rFonts w:hint="default" w:ascii="Times New Roman" w:hAnsi="Times New Roman" w:eastAsia="宋体" w:cs="Times New Roman"/>
                <w:color w:val="auto"/>
                <w:sz w:val="21"/>
                <w:szCs w:val="21"/>
                <w:lang w:bidi="ar"/>
              </w:rPr>
              <w:t>模式，落地油100%回收</w:t>
            </w:r>
          </w:p>
        </w:tc>
        <w:tc>
          <w:tcPr>
            <w:tcW w:w="368" w:type="pct"/>
            <w:tcBorders>
              <w:tl2br w:val="nil"/>
              <w:tr2bl w:val="nil"/>
            </w:tcBorders>
            <w:noWrap w:val="0"/>
            <w:vAlign w:val="center"/>
          </w:tcPr>
          <w:p w14:paraId="2B1086C9">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691CBB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17AE8B01">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3DA4E476">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14E09E92">
            <w:pPr>
              <w:snapToGrid w:val="0"/>
              <w:jc w:val="center"/>
              <w:rPr>
                <w:rFonts w:hint="eastAsia" w:ascii="Times New Roman" w:hAnsi="Times New Roman" w:eastAsia="宋体" w:cs="Times New Roman"/>
                <w:b w:val="0"/>
                <w:bCs w:val="0"/>
                <w:color w:val="auto"/>
                <w:szCs w:val="21"/>
                <w:lang w:val="en-US" w:eastAsia="zh-CN"/>
              </w:rPr>
            </w:pPr>
          </w:p>
        </w:tc>
        <w:tc>
          <w:tcPr>
            <w:tcW w:w="854" w:type="pct"/>
            <w:tcBorders>
              <w:tl2br w:val="nil"/>
              <w:tr2bl w:val="nil"/>
            </w:tcBorders>
            <w:shd w:val="clear" w:color="auto" w:fill="auto"/>
            <w:noWrap w:val="0"/>
            <w:vAlign w:val="center"/>
          </w:tcPr>
          <w:p w14:paraId="6A8134D1">
            <w:pPr>
              <w:snapToGrid w:val="0"/>
              <w:jc w:val="center"/>
              <w:rPr>
                <w:rFonts w:hint="default" w:ascii="Times New Roman" w:hAnsi="Times New Roman" w:eastAsia="宋体" w:cs="Times New Roman"/>
                <w:color w:val="auto"/>
                <w:sz w:val="21"/>
                <w:szCs w:val="21"/>
                <w:lang w:val="en-US" w:eastAsia="zh" w:bidi="ar-SA"/>
              </w:rPr>
            </w:pPr>
            <w:r>
              <w:rPr>
                <w:rFonts w:hint="eastAsia" w:ascii="Times New Roman" w:hAnsi="Times New Roman" w:eastAsia="宋体" w:cs="Times New Roman"/>
                <w:color w:val="auto"/>
                <w:sz w:val="21"/>
                <w:szCs w:val="21"/>
                <w:lang w:val="en-US" w:eastAsia="zh-CN" w:bidi="ar-SA"/>
              </w:rPr>
              <w:t>沾油废物</w:t>
            </w:r>
          </w:p>
        </w:tc>
        <w:tc>
          <w:tcPr>
            <w:tcW w:w="2690" w:type="pct"/>
            <w:tcBorders>
              <w:tl2br w:val="nil"/>
              <w:tr2bl w:val="nil"/>
            </w:tcBorders>
            <w:shd w:val="clear" w:color="auto" w:fill="auto"/>
            <w:noWrap w:val="0"/>
            <w:vAlign w:val="center"/>
          </w:tcPr>
          <w:p w14:paraId="041B1C60">
            <w:pPr>
              <w:snapToGrid w:val="0"/>
              <w:jc w:val="both"/>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井下作业产生的沾油废物收集后交由有资质的单位处置</w:t>
            </w:r>
          </w:p>
        </w:tc>
        <w:tc>
          <w:tcPr>
            <w:tcW w:w="368" w:type="pct"/>
            <w:tcBorders>
              <w:tl2br w:val="nil"/>
              <w:tr2bl w:val="nil"/>
            </w:tcBorders>
            <w:noWrap w:val="0"/>
            <w:vAlign w:val="center"/>
          </w:tcPr>
          <w:p w14:paraId="26DC2422">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1453D2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391475CC">
            <w:pPr>
              <w:snapToGrid w:val="0"/>
              <w:jc w:val="center"/>
              <w:rPr>
                <w:rFonts w:hint="default" w:ascii="Times New Roman" w:hAnsi="Times New Roman" w:eastAsia="宋体" w:cs="Times New Roman"/>
                <w:b w:val="0"/>
                <w:bCs w:val="0"/>
                <w:color w:val="auto"/>
                <w:szCs w:val="21"/>
              </w:rPr>
            </w:pPr>
          </w:p>
        </w:tc>
        <w:tc>
          <w:tcPr>
            <w:tcW w:w="359" w:type="pct"/>
            <w:vMerge w:val="continue"/>
            <w:tcBorders>
              <w:right w:val="single" w:color="auto" w:sz="4" w:space="0"/>
              <w:tl2br w:val="nil"/>
              <w:tr2bl w:val="nil"/>
            </w:tcBorders>
            <w:noWrap w:val="0"/>
            <w:vAlign w:val="center"/>
          </w:tcPr>
          <w:p w14:paraId="42F0030D">
            <w:pPr>
              <w:snapToGrid w:val="0"/>
              <w:jc w:val="center"/>
              <w:rPr>
                <w:rFonts w:hint="default" w:ascii="Times New Roman" w:hAnsi="Times New Roman" w:eastAsia="宋体" w:cs="Times New Roman"/>
                <w:b w:val="0"/>
                <w:bCs w:val="0"/>
                <w:color w:val="auto"/>
                <w:szCs w:val="21"/>
              </w:rPr>
            </w:pPr>
          </w:p>
        </w:tc>
        <w:tc>
          <w:tcPr>
            <w:tcW w:w="314" w:type="pct"/>
            <w:vMerge w:val="continue"/>
            <w:tcBorders>
              <w:left w:val="single" w:color="auto" w:sz="4" w:space="0"/>
              <w:tl2br w:val="nil"/>
              <w:tr2bl w:val="nil"/>
            </w:tcBorders>
            <w:noWrap w:val="0"/>
            <w:vAlign w:val="center"/>
          </w:tcPr>
          <w:p w14:paraId="0EFCAB12">
            <w:pPr>
              <w:snapToGrid w:val="0"/>
              <w:jc w:val="center"/>
              <w:rPr>
                <w:rFonts w:hint="eastAsia" w:ascii="Times New Roman" w:hAnsi="Times New Roman" w:eastAsia="宋体" w:cs="Times New Roman"/>
                <w:b w:val="0"/>
                <w:bCs w:val="0"/>
                <w:color w:val="auto"/>
                <w:szCs w:val="21"/>
                <w:lang w:val="en-US" w:eastAsia="zh-CN"/>
              </w:rPr>
            </w:pPr>
          </w:p>
        </w:tc>
        <w:tc>
          <w:tcPr>
            <w:tcW w:w="854" w:type="pct"/>
            <w:tcBorders>
              <w:tl2br w:val="nil"/>
              <w:tr2bl w:val="nil"/>
            </w:tcBorders>
            <w:shd w:val="clear" w:color="auto" w:fill="auto"/>
            <w:noWrap w:val="0"/>
            <w:vAlign w:val="center"/>
          </w:tcPr>
          <w:p w14:paraId="2C215FF3">
            <w:pPr>
              <w:snapToGrid w:val="0"/>
              <w:jc w:val="center"/>
              <w:rPr>
                <w:rFonts w:hint="default" w:ascii="Times New Roman" w:hAnsi="Times New Roman" w:eastAsia="宋体" w:cs="Times New Roman"/>
                <w:color w:val="auto"/>
                <w:sz w:val="21"/>
                <w:szCs w:val="21"/>
                <w:lang w:val="en-US" w:eastAsia="zh" w:bidi="ar-SA"/>
              </w:rPr>
            </w:pPr>
            <w:r>
              <w:rPr>
                <w:rFonts w:hint="eastAsia" w:ascii="Times New Roman" w:hAnsi="Times New Roman" w:eastAsia="宋体" w:cs="Times New Roman"/>
                <w:color w:val="auto"/>
                <w:szCs w:val="21"/>
                <w:lang w:val="en-US" w:eastAsia="zh-CN"/>
              </w:rPr>
              <w:t>含油污泥</w:t>
            </w:r>
          </w:p>
        </w:tc>
        <w:tc>
          <w:tcPr>
            <w:tcW w:w="2690" w:type="pct"/>
            <w:tcBorders>
              <w:tl2br w:val="nil"/>
              <w:tr2bl w:val="nil"/>
            </w:tcBorders>
            <w:shd w:val="clear" w:color="auto" w:fill="auto"/>
            <w:noWrap w:val="0"/>
            <w:vAlign w:val="center"/>
          </w:tcPr>
          <w:p w14:paraId="20751781">
            <w:pPr>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bidi="ar"/>
              </w:rPr>
              <w:t>清罐作业产生的油泥</w:t>
            </w:r>
            <w:r>
              <w:rPr>
                <w:rFonts w:hint="eastAsia" w:ascii="Times New Roman" w:hAnsi="Times New Roman" w:eastAsia="宋体" w:cs="Times New Roman"/>
                <w:color w:val="auto"/>
                <w:sz w:val="21"/>
                <w:szCs w:val="21"/>
                <w:lang w:val="en-US" w:eastAsia="zh-CN" w:bidi="ar"/>
              </w:rPr>
              <w:t>委托有资质的单位处置</w:t>
            </w:r>
          </w:p>
        </w:tc>
        <w:tc>
          <w:tcPr>
            <w:tcW w:w="368" w:type="pct"/>
            <w:tcBorders>
              <w:tl2br w:val="nil"/>
              <w:tr2bl w:val="nil"/>
            </w:tcBorders>
            <w:noWrap w:val="0"/>
            <w:vAlign w:val="center"/>
          </w:tcPr>
          <w:p w14:paraId="3B284216">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44F2B4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437FBF9">
            <w:pPr>
              <w:snapToGrid w:val="0"/>
              <w:jc w:val="center"/>
              <w:rPr>
                <w:rFonts w:hint="default" w:ascii="Times New Roman" w:hAnsi="Times New Roman" w:eastAsia="宋体" w:cs="Times New Roman"/>
                <w:b w:val="0"/>
                <w:bCs w:val="0"/>
                <w:color w:val="auto"/>
                <w:szCs w:val="21"/>
              </w:rPr>
            </w:pPr>
          </w:p>
        </w:tc>
        <w:tc>
          <w:tcPr>
            <w:tcW w:w="359" w:type="pct"/>
            <w:tcBorders>
              <w:right w:val="single" w:color="auto" w:sz="4" w:space="0"/>
              <w:tl2br w:val="nil"/>
              <w:tr2bl w:val="nil"/>
            </w:tcBorders>
            <w:noWrap w:val="0"/>
            <w:vAlign w:val="center"/>
          </w:tcPr>
          <w:p w14:paraId="62CE3C03">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生态</w:t>
            </w:r>
          </w:p>
        </w:tc>
        <w:tc>
          <w:tcPr>
            <w:tcW w:w="1169" w:type="pct"/>
            <w:gridSpan w:val="2"/>
            <w:tcBorders>
              <w:left w:val="single" w:color="auto" w:sz="4" w:space="0"/>
              <w:tl2br w:val="nil"/>
              <w:tr2bl w:val="nil"/>
            </w:tcBorders>
            <w:noWrap w:val="0"/>
            <w:vAlign w:val="center"/>
          </w:tcPr>
          <w:p w14:paraId="39996396">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生态恢复</w:t>
            </w:r>
          </w:p>
        </w:tc>
        <w:tc>
          <w:tcPr>
            <w:tcW w:w="2690" w:type="pct"/>
            <w:tcBorders>
              <w:tl2br w:val="nil"/>
              <w:tr2bl w:val="nil"/>
            </w:tcBorders>
            <w:shd w:val="clear" w:color="auto" w:fill="auto"/>
            <w:noWrap w:val="0"/>
            <w:vAlign w:val="center"/>
          </w:tcPr>
          <w:p w14:paraId="6559E4C8">
            <w:pPr>
              <w:snapToGrid w:val="0"/>
              <w:jc w:val="both"/>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Cs w:val="21"/>
                <w:lang w:val="en-US" w:eastAsia="zh-CN"/>
              </w:rPr>
              <w:t>①严格控制占地范围；②开挖时分层开挖、分层回填；③施工结束后，恢复地表原状，将施工迹地平整压实</w:t>
            </w:r>
          </w:p>
        </w:tc>
        <w:tc>
          <w:tcPr>
            <w:tcW w:w="368" w:type="pct"/>
            <w:tcBorders>
              <w:tl2br w:val="nil"/>
              <w:tr2bl w:val="nil"/>
            </w:tcBorders>
            <w:noWrap w:val="0"/>
            <w:vAlign w:val="center"/>
          </w:tcPr>
          <w:p w14:paraId="0EEFCFF1">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14:paraId="02F634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92C6140">
            <w:pPr>
              <w:snapToGrid w:val="0"/>
              <w:jc w:val="center"/>
              <w:rPr>
                <w:rFonts w:hint="default" w:ascii="Times New Roman" w:hAnsi="Times New Roman" w:eastAsia="宋体" w:cs="Times New Roman"/>
                <w:b w:val="0"/>
                <w:bCs w:val="0"/>
                <w:color w:val="auto"/>
                <w:szCs w:val="21"/>
              </w:rPr>
            </w:pPr>
          </w:p>
        </w:tc>
        <w:tc>
          <w:tcPr>
            <w:tcW w:w="1528" w:type="pct"/>
            <w:gridSpan w:val="3"/>
            <w:tcBorders>
              <w:tl2br w:val="nil"/>
              <w:tr2bl w:val="nil"/>
            </w:tcBorders>
            <w:noWrap w:val="0"/>
            <w:vAlign w:val="center"/>
          </w:tcPr>
          <w:p w14:paraId="7311AD56">
            <w:pPr>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退役期环保措施</w:t>
            </w:r>
          </w:p>
        </w:tc>
        <w:tc>
          <w:tcPr>
            <w:tcW w:w="2690" w:type="pct"/>
            <w:tcBorders>
              <w:tl2br w:val="nil"/>
              <w:tr2bl w:val="nil"/>
            </w:tcBorders>
            <w:shd w:val="clear" w:color="auto" w:fill="auto"/>
            <w:noWrap w:val="0"/>
            <w:vAlign w:val="center"/>
          </w:tcPr>
          <w:p w14:paraId="4C44799B">
            <w:pPr>
              <w:pStyle w:val="42"/>
              <w:keepNext w:val="0"/>
              <w:keepLines w:val="0"/>
              <w:pageBreakBefore w:val="0"/>
              <w:kinsoku/>
              <w:wordWrap/>
              <w:overflowPunct/>
              <w:topLinePunct w:val="0"/>
              <w:bidi w:val="0"/>
              <w:spacing w:beforeAutospacing="0" w:afterAutospacing="0" w:line="300" w:lineRule="exact"/>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油井：混凝土灌注封井，严格井口封闭施工</w:t>
            </w:r>
            <w:r>
              <w:rPr>
                <w:rFonts w:hint="eastAsia" w:ascii="Times New Roman" w:hAnsi="Times New Roman" w:eastAsia="宋体" w:cs="Times New Roman"/>
                <w:color w:val="auto"/>
                <w:sz w:val="21"/>
                <w:szCs w:val="21"/>
                <w:lang w:eastAsia="zh-CN"/>
              </w:rPr>
              <w:t>；</w:t>
            </w:r>
          </w:p>
          <w:p w14:paraId="115B327D">
            <w:pPr>
              <w:pStyle w:val="42"/>
              <w:keepNext w:val="0"/>
              <w:keepLines w:val="0"/>
              <w:pageBreakBefore w:val="0"/>
              <w:kinsoku/>
              <w:wordWrap/>
              <w:overflowPunct/>
              <w:topLinePunct w:val="0"/>
              <w:bidi w:val="0"/>
              <w:spacing w:beforeAutospacing="0" w:afterAutospacing="0" w:line="300" w:lineRule="exact"/>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井场：设备清洗废水拉运至依托的</w:t>
            </w:r>
            <w:r>
              <w:rPr>
                <w:rFonts w:hint="eastAsia" w:ascii="Times New Roman" w:hAnsi="Times New Roman" w:eastAsia="宋体" w:cs="Times New Roman"/>
                <w:color w:val="auto"/>
                <w:sz w:val="21"/>
                <w:szCs w:val="21"/>
                <w:lang w:val="en-US" w:eastAsia="zh-CN"/>
              </w:rPr>
              <w:t>百口泉注输联合站采出水处理系统</w:t>
            </w:r>
            <w:r>
              <w:rPr>
                <w:rFonts w:hint="default" w:ascii="Times New Roman" w:hAnsi="Times New Roman" w:eastAsia="宋体" w:cs="Times New Roman"/>
                <w:color w:val="auto"/>
                <w:sz w:val="21"/>
                <w:szCs w:val="21"/>
              </w:rPr>
              <w:t>处理；废弃设备由油田公司统一回收处置；废弃建筑垃圾外运至指定的建筑垃圾填埋场填埋处理；危废交有资质单位安全处置</w:t>
            </w:r>
            <w:r>
              <w:rPr>
                <w:rFonts w:hint="eastAsia" w:ascii="Times New Roman" w:hAnsi="Times New Roman" w:eastAsia="宋体" w:cs="Times New Roman"/>
                <w:color w:val="auto"/>
                <w:sz w:val="21"/>
                <w:szCs w:val="21"/>
                <w:lang w:eastAsia="zh-CN"/>
              </w:rPr>
              <w:t>；</w:t>
            </w:r>
          </w:p>
          <w:p w14:paraId="227A3B98">
            <w:pPr>
              <w:snapToGrid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管线：采取封堵措施后留在地下不取出</w:t>
            </w:r>
          </w:p>
        </w:tc>
        <w:tc>
          <w:tcPr>
            <w:tcW w:w="368" w:type="pct"/>
            <w:tcBorders>
              <w:tl2br w:val="nil"/>
              <w:tr2bl w:val="nil"/>
            </w:tcBorders>
            <w:shd w:val="clear" w:color="auto" w:fill="auto"/>
            <w:noWrap w:val="0"/>
            <w:vAlign w:val="center"/>
          </w:tcPr>
          <w:p w14:paraId="0246CDAC">
            <w:pPr>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14:paraId="23F8EC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restart"/>
            <w:tcBorders>
              <w:tl2br w:val="nil"/>
              <w:tr2bl w:val="nil"/>
            </w:tcBorders>
            <w:noWrap w:val="0"/>
            <w:vAlign w:val="center"/>
          </w:tcPr>
          <w:p w14:paraId="27F5C1AE">
            <w:pPr>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依托工程</w:t>
            </w:r>
          </w:p>
        </w:tc>
        <w:tc>
          <w:tcPr>
            <w:tcW w:w="674" w:type="pct"/>
            <w:gridSpan w:val="2"/>
            <w:vMerge w:val="restart"/>
            <w:tcBorders>
              <w:tl2br w:val="nil"/>
              <w:tr2bl w:val="nil"/>
            </w:tcBorders>
            <w:noWrap w:val="0"/>
            <w:vAlign w:val="center"/>
          </w:tcPr>
          <w:p w14:paraId="2AB8FCE6">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原油及伴生气集输</w:t>
            </w:r>
          </w:p>
        </w:tc>
        <w:tc>
          <w:tcPr>
            <w:tcW w:w="854" w:type="pct"/>
            <w:tcBorders>
              <w:tl2br w:val="nil"/>
              <w:tr2bl w:val="nil"/>
            </w:tcBorders>
            <w:shd w:val="clear" w:color="auto" w:fill="auto"/>
            <w:noWrap w:val="0"/>
            <w:vAlign w:val="center"/>
          </w:tcPr>
          <w:p w14:paraId="25FC9EEC">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玛湖第一采油作业区</w:t>
            </w:r>
          </w:p>
        </w:tc>
        <w:tc>
          <w:tcPr>
            <w:tcW w:w="2690" w:type="pct"/>
            <w:tcBorders>
              <w:tl2br w:val="nil"/>
              <w:tr2bl w:val="nil"/>
            </w:tcBorders>
            <w:shd w:val="clear" w:color="auto" w:fill="auto"/>
            <w:noWrap w:val="0"/>
            <w:vAlign w:val="center"/>
          </w:tcPr>
          <w:p w14:paraId="51C2F82C">
            <w:pPr>
              <w:snapToGrid w:val="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玛2转油站</w:t>
            </w:r>
            <w:r>
              <w:rPr>
                <w:rFonts w:hint="default" w:ascii="Times New Roman" w:hAnsi="Times New Roman" w:eastAsia="宋体" w:cs="Times New Roman"/>
                <w:color w:val="auto"/>
                <w:szCs w:val="21"/>
                <w:lang w:val="en-US" w:eastAsia="zh-CN"/>
              </w:rPr>
              <w:t>设计转液规模300×10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t/a，目前实际转液量为200×10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t/a，富余能力约100×10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t/a。本</w:t>
            </w:r>
            <w:r>
              <w:rPr>
                <w:rFonts w:hint="eastAsia" w:ascii="Times New Roman" w:hAnsi="Times New Roman" w:eastAsia="宋体" w:cs="Times New Roman"/>
                <w:color w:val="auto"/>
                <w:szCs w:val="21"/>
                <w:lang w:val="en-US" w:eastAsia="zh-CN"/>
              </w:rPr>
              <w:t>工程进密闭</w:t>
            </w:r>
            <w:r>
              <w:rPr>
                <w:rFonts w:hint="eastAsia" w:cs="Times New Roman"/>
                <w:color w:val="auto"/>
                <w:szCs w:val="21"/>
                <w:lang w:val="en-US" w:eastAsia="zh-CN"/>
              </w:rPr>
              <w:t>涉及</w:t>
            </w:r>
            <w:r>
              <w:rPr>
                <w:rFonts w:hint="eastAsia" w:ascii="Times New Roman" w:hAnsi="Times New Roman" w:eastAsia="宋体" w:cs="Times New Roman"/>
                <w:color w:val="auto"/>
                <w:szCs w:val="21"/>
                <w:lang w:val="en-US" w:eastAsia="zh-CN"/>
              </w:rPr>
              <w:t>的井均为产能井，不新增产能，依托可行。</w:t>
            </w:r>
          </w:p>
          <w:p w14:paraId="71BB6229">
            <w:pPr>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玛2天然气处理站设计处理能力3×10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/d，现状处理量1.</w:t>
            </w:r>
            <w:r>
              <w:rPr>
                <w:rFonts w:hint="eastAsia" w:cs="Times New Roman"/>
                <w:color w:val="auto"/>
                <w:lang w:val="en-US" w:eastAsia="zh-CN"/>
              </w:rPr>
              <w:t>5</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/d，富余</w:t>
            </w:r>
            <w:r>
              <w:rPr>
                <w:rFonts w:hint="eastAsia" w:cs="Times New Roman"/>
                <w:color w:val="auto"/>
                <w:lang w:val="en-US" w:eastAsia="zh-CN"/>
              </w:rPr>
              <w:t>处理</w:t>
            </w:r>
            <w:r>
              <w:rPr>
                <w:rFonts w:hint="eastAsia" w:ascii="Times New Roman" w:hAnsi="Times New Roman" w:cs="Times New Roman"/>
                <w:color w:val="auto"/>
                <w:lang w:val="en-US" w:eastAsia="zh-CN"/>
              </w:rPr>
              <w:t>能力1.</w:t>
            </w:r>
            <w:r>
              <w:rPr>
                <w:rFonts w:hint="eastAsia" w:cs="Times New Roman"/>
                <w:color w:val="auto"/>
                <w:lang w:val="en-US" w:eastAsia="zh-CN"/>
              </w:rPr>
              <w:t>5</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/d，本工程进密闭新增伴生气约</w:t>
            </w:r>
            <w:r>
              <w:rPr>
                <w:rFonts w:hint="eastAsia" w:cs="Times New Roman"/>
                <w:color w:val="auto"/>
                <w:lang w:val="en-US" w:eastAsia="zh-CN"/>
              </w:rPr>
              <w:t>0.09</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/d，可满足</w:t>
            </w:r>
            <w:r>
              <w:rPr>
                <w:rFonts w:hint="eastAsia" w:cs="Times New Roman"/>
                <w:color w:val="auto"/>
                <w:lang w:val="en-US" w:eastAsia="zh-CN"/>
              </w:rPr>
              <w:t>本工程</w:t>
            </w:r>
            <w:r>
              <w:rPr>
                <w:rFonts w:hint="eastAsia" w:ascii="Times New Roman" w:hAnsi="Times New Roman" w:cs="Times New Roman"/>
                <w:color w:val="auto"/>
                <w:lang w:val="en-US" w:eastAsia="zh-CN"/>
              </w:rPr>
              <w:t>处理需求。</w:t>
            </w:r>
          </w:p>
        </w:tc>
        <w:tc>
          <w:tcPr>
            <w:tcW w:w="368" w:type="pct"/>
            <w:tcBorders>
              <w:tl2br w:val="nil"/>
              <w:tr2bl w:val="nil"/>
            </w:tcBorders>
            <w:shd w:val="clear" w:color="auto" w:fill="auto"/>
            <w:noWrap w:val="0"/>
            <w:vAlign w:val="center"/>
          </w:tcPr>
          <w:p w14:paraId="5B14104B">
            <w:pPr>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14:paraId="45D323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3B7AEA63">
            <w:pPr>
              <w:snapToGrid w:val="0"/>
              <w:jc w:val="center"/>
              <w:rPr>
                <w:rFonts w:hint="eastAsia" w:ascii="Times New Roman" w:hAnsi="Times New Roman" w:eastAsia="宋体" w:cs="Times New Roman"/>
                <w:b w:val="0"/>
                <w:bCs w:val="0"/>
                <w:color w:val="auto"/>
                <w:szCs w:val="21"/>
                <w:lang w:val="en-US" w:eastAsia="zh-CN"/>
              </w:rPr>
            </w:pPr>
          </w:p>
        </w:tc>
        <w:tc>
          <w:tcPr>
            <w:tcW w:w="674" w:type="pct"/>
            <w:gridSpan w:val="2"/>
            <w:vMerge w:val="continue"/>
            <w:tcBorders>
              <w:tl2br w:val="nil"/>
              <w:tr2bl w:val="nil"/>
            </w:tcBorders>
            <w:noWrap w:val="0"/>
            <w:vAlign w:val="center"/>
          </w:tcPr>
          <w:p w14:paraId="48F85146">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shd w:val="clear" w:color="auto" w:fill="auto"/>
            <w:noWrap w:val="0"/>
            <w:vAlign w:val="center"/>
          </w:tcPr>
          <w:p w14:paraId="1DDBFDB4">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玛湖第二采油作业区</w:t>
            </w:r>
          </w:p>
        </w:tc>
        <w:tc>
          <w:tcPr>
            <w:tcW w:w="2690" w:type="pct"/>
            <w:tcBorders>
              <w:tl2br w:val="nil"/>
              <w:tr2bl w:val="nil"/>
            </w:tcBorders>
            <w:shd w:val="clear" w:color="auto" w:fill="auto"/>
            <w:noWrap w:val="0"/>
            <w:vAlign w:val="center"/>
          </w:tcPr>
          <w:p w14:paraId="554C6840">
            <w:pPr>
              <w:snapToGrid w:val="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玛131转油站设计转液规模150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站内设置3列处理装置，单列处理装置50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目前转液量</w:t>
            </w:r>
            <w:r>
              <w:rPr>
                <w:rFonts w:hint="eastAsia" w:cs="Times New Roman"/>
                <w:color w:val="auto"/>
                <w:szCs w:val="21"/>
                <w:lang w:val="en-US" w:eastAsia="zh-CN"/>
              </w:rPr>
              <w:t>127</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，富余能力约</w:t>
            </w:r>
            <w:r>
              <w:rPr>
                <w:rFonts w:hint="eastAsia" w:cs="Times New Roman"/>
                <w:color w:val="auto"/>
                <w:szCs w:val="21"/>
                <w:lang w:val="en-US" w:eastAsia="zh-CN"/>
              </w:rPr>
              <w:t>23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。转油站目前进站压力0.4MPa~0.5MPa，油区来液进行气液分离，液进相变加热炉加热，然后经转液泵外输至百口泉注输联合站，</w:t>
            </w:r>
            <w:r>
              <w:rPr>
                <w:rFonts w:hint="eastAsia" w:cs="Times New Roman"/>
                <w:color w:val="auto"/>
                <w:szCs w:val="21"/>
                <w:lang w:val="en-US" w:eastAsia="zh-CN"/>
              </w:rPr>
              <w:t>分离</w:t>
            </w:r>
            <w:r>
              <w:rPr>
                <w:rFonts w:hint="eastAsia" w:ascii="Times New Roman" w:hAnsi="Times New Roman" w:eastAsia="宋体" w:cs="Times New Roman"/>
                <w:color w:val="auto"/>
                <w:szCs w:val="21"/>
                <w:lang w:val="en-US" w:eastAsia="zh-CN"/>
              </w:rPr>
              <w:t>出的天然气进玛131天然气处理站。本工程进密闭新增采出液最大量约为</w:t>
            </w:r>
            <w:r>
              <w:rPr>
                <w:rFonts w:hint="eastAsia" w:cs="Times New Roman"/>
                <w:color w:val="auto"/>
                <w:szCs w:val="21"/>
                <w:lang w:val="en-US" w:eastAsia="zh-CN"/>
              </w:rPr>
              <w:t>4.62</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，可满足本工程处理需求。</w:t>
            </w:r>
          </w:p>
          <w:p w14:paraId="4F62E5C4">
            <w:pPr>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玛131天然气处理站设计处理能力1</w:t>
            </w:r>
            <w:r>
              <w:rPr>
                <w:rFonts w:hint="eastAsia" w:cs="Times New Roman"/>
                <w:color w:val="auto"/>
                <w:lang w:val="en-US" w:eastAsia="zh-CN"/>
              </w:rPr>
              <w:t>36</w:t>
            </w:r>
            <w:r>
              <w:rPr>
                <w:rFonts w:hint="default" w:ascii="Arial" w:hAnsi="Arial" w:cs="Arial"/>
                <w:color w:val="auto"/>
                <w:lang w:val="en-US" w:eastAsia="zh-CN"/>
              </w:rPr>
              <w:t>×</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/d，现状处理量130</w:t>
            </w:r>
            <w:r>
              <w:rPr>
                <w:rFonts w:hint="default" w:ascii="Arial" w:hAnsi="Arial" w:cs="Arial"/>
                <w:color w:val="auto"/>
                <w:lang w:val="en-US" w:eastAsia="zh-CN"/>
              </w:rPr>
              <w:t>×</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/d，富余处理能力约</w:t>
            </w:r>
            <w:r>
              <w:rPr>
                <w:rFonts w:hint="eastAsia" w:cs="Times New Roman"/>
                <w:color w:val="auto"/>
                <w:lang w:val="en-US" w:eastAsia="zh-CN"/>
              </w:rPr>
              <w:t>6</w:t>
            </w:r>
            <w:r>
              <w:rPr>
                <w:rFonts w:hint="default" w:ascii="Arial" w:hAnsi="Arial" w:cs="Arial"/>
                <w:color w:val="auto"/>
                <w:lang w:val="en-US" w:eastAsia="zh-CN"/>
              </w:rPr>
              <w:t>×</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/d，本工程进密闭新增伴生气约</w:t>
            </w:r>
            <w:r>
              <w:rPr>
                <w:rFonts w:hint="eastAsia" w:cs="Times New Roman"/>
                <w:color w:val="auto"/>
                <w:lang w:val="en-US" w:eastAsia="zh-CN"/>
              </w:rPr>
              <w:t>0.623</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/d，可满足</w:t>
            </w:r>
            <w:r>
              <w:rPr>
                <w:rFonts w:hint="eastAsia" w:cs="Times New Roman"/>
                <w:color w:val="auto"/>
                <w:lang w:val="en-US" w:eastAsia="zh-CN"/>
              </w:rPr>
              <w:t>本工程</w:t>
            </w:r>
            <w:r>
              <w:rPr>
                <w:rFonts w:hint="eastAsia" w:ascii="Times New Roman" w:hAnsi="Times New Roman" w:cs="Times New Roman"/>
                <w:color w:val="auto"/>
                <w:lang w:val="en-US" w:eastAsia="zh-CN"/>
              </w:rPr>
              <w:t>处理需求。</w:t>
            </w:r>
          </w:p>
        </w:tc>
        <w:tc>
          <w:tcPr>
            <w:tcW w:w="368" w:type="pct"/>
            <w:tcBorders>
              <w:tl2br w:val="nil"/>
              <w:tr2bl w:val="nil"/>
            </w:tcBorders>
            <w:shd w:val="clear" w:color="auto" w:fill="auto"/>
            <w:noWrap w:val="0"/>
            <w:vAlign w:val="center"/>
          </w:tcPr>
          <w:p w14:paraId="2E34BF34">
            <w:pPr>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14:paraId="748F11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6A6E4346">
            <w:pPr>
              <w:snapToGrid w:val="0"/>
              <w:jc w:val="center"/>
              <w:rPr>
                <w:rFonts w:hint="eastAsia" w:ascii="Times New Roman" w:hAnsi="Times New Roman" w:eastAsia="宋体" w:cs="Times New Roman"/>
                <w:b w:val="0"/>
                <w:bCs w:val="0"/>
                <w:color w:val="auto"/>
                <w:szCs w:val="21"/>
                <w:lang w:val="en-US" w:eastAsia="zh-CN"/>
              </w:rPr>
            </w:pPr>
          </w:p>
        </w:tc>
        <w:tc>
          <w:tcPr>
            <w:tcW w:w="674" w:type="pct"/>
            <w:gridSpan w:val="2"/>
            <w:vMerge w:val="continue"/>
            <w:tcBorders>
              <w:tl2br w:val="nil"/>
              <w:tr2bl w:val="nil"/>
            </w:tcBorders>
            <w:noWrap w:val="0"/>
            <w:vAlign w:val="center"/>
          </w:tcPr>
          <w:p w14:paraId="15F9AD3C">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shd w:val="clear" w:color="auto" w:fill="auto"/>
            <w:noWrap w:val="0"/>
            <w:vAlign w:val="center"/>
          </w:tcPr>
          <w:p w14:paraId="45A6D78B">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玛湖第三采油作业区</w:t>
            </w:r>
          </w:p>
        </w:tc>
        <w:tc>
          <w:tcPr>
            <w:tcW w:w="2690" w:type="pct"/>
            <w:tcBorders>
              <w:tl2br w:val="nil"/>
              <w:tr2bl w:val="nil"/>
            </w:tcBorders>
            <w:shd w:val="clear" w:color="auto" w:fill="auto"/>
            <w:noWrap w:val="0"/>
            <w:vAlign w:val="center"/>
          </w:tcPr>
          <w:p w14:paraId="5063A056">
            <w:pPr>
              <w:snapToGrid w:val="0"/>
              <w:jc w:val="both"/>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玛18</w:t>
            </w:r>
            <w:r>
              <w:rPr>
                <w:rFonts w:hint="eastAsia" w:ascii="Times New Roman" w:hAnsi="Times New Roman" w:eastAsia="宋体" w:cs="Times New Roman"/>
                <w:color w:val="auto"/>
                <w:szCs w:val="21"/>
                <w:lang w:val="en-US" w:eastAsia="zh-CN"/>
              </w:rPr>
              <w:t>转油站设计转液规模</w:t>
            </w:r>
            <w:r>
              <w:rPr>
                <w:rFonts w:hint="eastAsia" w:cs="Times New Roman"/>
                <w:color w:val="auto"/>
                <w:szCs w:val="21"/>
                <w:lang w:val="en-US" w:eastAsia="zh-CN"/>
              </w:rPr>
              <w:t>2</w:t>
            </w:r>
            <w:r>
              <w:rPr>
                <w:rFonts w:hint="eastAsia"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，目前实际转液量约</w:t>
            </w:r>
            <w:r>
              <w:rPr>
                <w:rFonts w:hint="eastAsia" w:cs="Times New Roman"/>
                <w:color w:val="auto"/>
                <w:szCs w:val="21"/>
                <w:lang w:val="en-US" w:eastAsia="zh-CN"/>
              </w:rPr>
              <w:t>219</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，富余能力约</w:t>
            </w:r>
            <w:r>
              <w:rPr>
                <w:rFonts w:hint="eastAsia" w:cs="Times New Roman"/>
                <w:color w:val="auto"/>
                <w:szCs w:val="21"/>
                <w:lang w:val="en-US" w:eastAsia="zh-CN"/>
              </w:rPr>
              <w:t>31</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。本工程进密闭新增采出液最大量约</w:t>
            </w:r>
            <w:r>
              <w:rPr>
                <w:rFonts w:hint="eastAsia" w:cs="Times New Roman"/>
                <w:color w:val="auto"/>
                <w:szCs w:val="21"/>
                <w:lang w:val="en-US" w:eastAsia="zh-CN"/>
              </w:rPr>
              <w:t>3.93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，可满足本工程处理需求。</w:t>
            </w:r>
          </w:p>
          <w:p w14:paraId="4693133E">
            <w:pPr>
              <w:bidi w:val="0"/>
              <w:rPr>
                <w:rFonts w:hint="default" w:ascii="Times New Roman" w:hAnsi="Times New Roman" w:cs="Times New Roman"/>
                <w:color w:val="auto"/>
                <w:lang w:val="en-US" w:eastAsia="zh-CN"/>
              </w:rPr>
            </w:pPr>
            <w:r>
              <w:rPr>
                <w:rFonts w:hint="eastAsia" w:cs="Times New Roman"/>
                <w:color w:val="auto"/>
                <w:lang w:val="en-US" w:eastAsia="zh-CN"/>
              </w:rPr>
              <w:t>玛18</w:t>
            </w:r>
            <w:r>
              <w:rPr>
                <w:rFonts w:hint="eastAsia" w:ascii="Times New Roman" w:hAnsi="Times New Roman" w:cs="Times New Roman"/>
                <w:color w:val="auto"/>
                <w:lang w:val="en-US" w:eastAsia="zh-CN"/>
              </w:rPr>
              <w:t>天然气处理站设计处理能力</w:t>
            </w:r>
            <w:r>
              <w:rPr>
                <w:rFonts w:hint="eastAsia" w:cs="Times New Roman"/>
                <w:color w:val="auto"/>
                <w:lang w:val="en-US" w:eastAsia="zh-CN"/>
              </w:rPr>
              <w:t>88</w:t>
            </w:r>
            <w:r>
              <w:rPr>
                <w:rFonts w:hint="default" w:ascii="Arial" w:hAnsi="Arial" w:cs="Arial"/>
                <w:color w:val="auto"/>
                <w:lang w:val="en-US" w:eastAsia="zh-CN"/>
              </w:rPr>
              <w:t>×</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/d，现状处理量</w:t>
            </w:r>
            <w:r>
              <w:rPr>
                <w:rFonts w:hint="eastAsia" w:cs="Times New Roman"/>
                <w:color w:val="auto"/>
                <w:lang w:val="en-US" w:eastAsia="zh-CN"/>
              </w:rPr>
              <w:t>80</w:t>
            </w:r>
            <w:r>
              <w:rPr>
                <w:rFonts w:hint="default" w:ascii="Arial" w:hAnsi="Arial" w:cs="Arial"/>
                <w:color w:val="auto"/>
                <w:lang w:val="en-US" w:eastAsia="zh-CN"/>
              </w:rPr>
              <w:t>×</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/d，富余能力</w:t>
            </w:r>
            <w:r>
              <w:rPr>
                <w:rFonts w:hint="eastAsia" w:cs="Times New Roman"/>
                <w:color w:val="auto"/>
                <w:lang w:val="en-US" w:eastAsia="zh-CN"/>
              </w:rPr>
              <w:t>8</w:t>
            </w:r>
            <w:r>
              <w:rPr>
                <w:rFonts w:hint="default" w:ascii="Arial" w:hAnsi="Arial" w:cs="Arial"/>
                <w:color w:val="auto"/>
                <w:lang w:val="en-US" w:eastAsia="zh-CN"/>
              </w:rPr>
              <w:t>×</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/d，本工程进密闭新增伴生气约</w:t>
            </w:r>
            <w:r>
              <w:rPr>
                <w:rFonts w:hint="eastAsia" w:cs="Times New Roman"/>
                <w:color w:val="auto"/>
                <w:lang w:val="en-US" w:eastAsia="zh-CN"/>
              </w:rPr>
              <w:t>0.713</w:t>
            </w:r>
            <w:r>
              <w:rPr>
                <w:rFonts w:hint="default" w:ascii="Arial" w:hAnsi="Arial" w:cs="Arial"/>
                <w:color w:val="auto"/>
                <w:lang w:val="en-US" w:eastAsia="zh-CN"/>
              </w:rPr>
              <w:t>×</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/d，可满足</w:t>
            </w:r>
            <w:r>
              <w:rPr>
                <w:rFonts w:hint="eastAsia" w:cs="Times New Roman"/>
                <w:color w:val="auto"/>
                <w:lang w:val="en-US" w:eastAsia="zh-CN"/>
              </w:rPr>
              <w:t>本工程</w:t>
            </w:r>
            <w:r>
              <w:rPr>
                <w:rFonts w:hint="eastAsia" w:ascii="Times New Roman" w:hAnsi="Times New Roman" w:cs="Times New Roman"/>
                <w:color w:val="auto"/>
                <w:lang w:val="en-US" w:eastAsia="zh-CN"/>
              </w:rPr>
              <w:t>处理需求。</w:t>
            </w:r>
          </w:p>
        </w:tc>
        <w:tc>
          <w:tcPr>
            <w:tcW w:w="368" w:type="pct"/>
            <w:tcBorders>
              <w:tl2br w:val="nil"/>
              <w:tr2bl w:val="nil"/>
            </w:tcBorders>
            <w:shd w:val="clear" w:color="auto" w:fill="auto"/>
            <w:noWrap w:val="0"/>
            <w:vAlign w:val="center"/>
          </w:tcPr>
          <w:p w14:paraId="37074717">
            <w:pPr>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14:paraId="1DEACD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07813006">
            <w:pPr>
              <w:snapToGrid w:val="0"/>
              <w:jc w:val="center"/>
              <w:rPr>
                <w:rFonts w:hint="eastAsia" w:ascii="Times New Roman" w:hAnsi="Times New Roman" w:eastAsia="宋体" w:cs="Times New Roman"/>
                <w:b w:val="0"/>
                <w:bCs w:val="0"/>
                <w:color w:val="auto"/>
                <w:szCs w:val="21"/>
                <w:lang w:val="en-US" w:eastAsia="zh-CN"/>
              </w:rPr>
            </w:pPr>
          </w:p>
        </w:tc>
        <w:tc>
          <w:tcPr>
            <w:tcW w:w="674" w:type="pct"/>
            <w:gridSpan w:val="2"/>
            <w:vMerge w:val="continue"/>
            <w:tcBorders>
              <w:tl2br w:val="nil"/>
              <w:tr2bl w:val="nil"/>
            </w:tcBorders>
            <w:noWrap w:val="0"/>
            <w:vAlign w:val="center"/>
          </w:tcPr>
          <w:p w14:paraId="7DB74CC7">
            <w:pPr>
              <w:snapToGrid w:val="0"/>
              <w:jc w:val="center"/>
              <w:rPr>
                <w:rFonts w:hint="default" w:ascii="Times New Roman" w:hAnsi="Times New Roman" w:eastAsia="宋体" w:cs="Times New Roman"/>
                <w:b w:val="0"/>
                <w:bCs w:val="0"/>
                <w:color w:val="auto"/>
                <w:szCs w:val="21"/>
              </w:rPr>
            </w:pPr>
          </w:p>
        </w:tc>
        <w:tc>
          <w:tcPr>
            <w:tcW w:w="854" w:type="pct"/>
            <w:tcBorders>
              <w:tl2br w:val="nil"/>
              <w:tr2bl w:val="nil"/>
            </w:tcBorders>
            <w:shd w:val="clear" w:color="auto" w:fill="auto"/>
            <w:noWrap w:val="0"/>
            <w:vAlign w:val="center"/>
          </w:tcPr>
          <w:p w14:paraId="76CA1C24">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百21采油作业区</w:t>
            </w:r>
          </w:p>
        </w:tc>
        <w:tc>
          <w:tcPr>
            <w:tcW w:w="2690" w:type="pct"/>
            <w:tcBorders>
              <w:tl2br w:val="nil"/>
              <w:tr2bl w:val="nil"/>
            </w:tcBorders>
            <w:shd w:val="clear" w:color="auto" w:fill="auto"/>
            <w:noWrap w:val="0"/>
            <w:vAlign w:val="center"/>
          </w:tcPr>
          <w:p w14:paraId="7D8809BB">
            <w:pPr>
              <w:snapToGrid w:val="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百口泉注输联合站原油</w:t>
            </w:r>
            <w:r>
              <w:rPr>
                <w:rFonts w:hint="eastAsia" w:cs="Times New Roman"/>
                <w:color w:val="auto"/>
                <w:szCs w:val="21"/>
                <w:lang w:val="en-US" w:eastAsia="zh-CN"/>
              </w:rPr>
              <w:t>稳定规模</w:t>
            </w:r>
            <w:r>
              <w:rPr>
                <w:rFonts w:hint="eastAsia" w:ascii="Times New Roman" w:hAnsi="Times New Roman" w:eastAsia="宋体" w:cs="Times New Roman"/>
                <w:color w:val="auto"/>
                <w:szCs w:val="21"/>
                <w:lang w:val="en-US" w:eastAsia="zh-CN"/>
              </w:rPr>
              <w:t>约290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（其中老区50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），目前处理量约</w:t>
            </w:r>
            <w:r>
              <w:rPr>
                <w:rFonts w:hint="eastAsia" w:cs="Times New Roman"/>
                <w:color w:val="auto"/>
                <w:szCs w:val="21"/>
                <w:lang w:val="en-US" w:eastAsia="zh-CN"/>
              </w:rPr>
              <w:t>230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，富余能力约</w:t>
            </w:r>
            <w:r>
              <w:rPr>
                <w:rFonts w:hint="eastAsia" w:cs="Times New Roman"/>
                <w:color w:val="auto"/>
                <w:szCs w:val="21"/>
                <w:lang w:val="en-US" w:eastAsia="zh-CN"/>
              </w:rPr>
              <w:t>60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本工程全部采出液最大量为23.48</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4</w:t>
            </w:r>
            <w:r>
              <w:rPr>
                <w:rFonts w:hint="default" w:ascii="Times New Roman" w:hAnsi="Times New Roman" w:eastAsia="宋体" w:cs="Times New Roman"/>
                <w:color w:val="auto"/>
                <w:szCs w:val="21"/>
                <w:lang w:val="en-US" w:eastAsia="zh-CN"/>
              </w:rPr>
              <w:t>t/a</w:t>
            </w:r>
            <w:r>
              <w:rPr>
                <w:rFonts w:hint="eastAsia" w:ascii="Times New Roman" w:hAnsi="Times New Roman" w:eastAsia="宋体" w:cs="Times New Roman"/>
                <w:color w:val="auto"/>
                <w:szCs w:val="21"/>
                <w:lang w:val="en-US" w:eastAsia="zh-CN"/>
              </w:rPr>
              <w:t>，</w:t>
            </w:r>
            <w:r>
              <w:rPr>
                <w:rFonts w:hint="eastAsia" w:ascii="Times New Roman" w:hAnsi="Times New Roman" w:cs="Times New Roman"/>
                <w:color w:val="auto"/>
                <w:lang w:val="en-US" w:eastAsia="zh-CN"/>
              </w:rPr>
              <w:t>可满足</w:t>
            </w:r>
            <w:r>
              <w:rPr>
                <w:rFonts w:hint="eastAsia" w:cs="Times New Roman"/>
                <w:color w:val="auto"/>
                <w:lang w:val="en-US" w:eastAsia="zh-CN"/>
              </w:rPr>
              <w:t>本工程</w:t>
            </w:r>
            <w:r>
              <w:rPr>
                <w:rFonts w:hint="eastAsia" w:ascii="Times New Roman" w:hAnsi="Times New Roman" w:cs="Times New Roman"/>
                <w:color w:val="auto"/>
                <w:lang w:val="en-US" w:eastAsia="zh-CN"/>
              </w:rPr>
              <w:t>处理需求。</w:t>
            </w:r>
          </w:p>
          <w:p w14:paraId="46C4ABD8">
            <w:pPr>
              <w:bidi w:val="0"/>
              <w:rPr>
                <w:rFonts w:hint="default" w:eastAsia="宋体"/>
                <w:color w:val="auto"/>
                <w:lang w:val="en-US" w:eastAsia="zh-CN"/>
              </w:rPr>
            </w:pPr>
            <w:r>
              <w:rPr>
                <w:color w:val="auto"/>
              </w:rPr>
              <w:t>百口泉</w:t>
            </w:r>
            <w:r>
              <w:rPr>
                <w:rFonts w:hint="eastAsia"/>
                <w:color w:val="auto"/>
              </w:rPr>
              <w:t>注输</w:t>
            </w:r>
            <w:r>
              <w:rPr>
                <w:color w:val="auto"/>
              </w:rPr>
              <w:t>联合站伴生气装置设计处理能力2</w:t>
            </w:r>
            <w:r>
              <w:rPr>
                <w:rFonts w:hint="eastAsia"/>
                <w:color w:val="auto"/>
                <w:lang w:val="en-US" w:eastAsia="zh-CN"/>
              </w:rPr>
              <w:t>5</w:t>
            </w:r>
            <w:r>
              <w:rPr>
                <w:color w:val="auto"/>
              </w:rPr>
              <w:t>×10</w:t>
            </w:r>
            <w:r>
              <w:rPr>
                <w:color w:val="auto"/>
                <w:vertAlign w:val="superscript"/>
              </w:rPr>
              <w:t>4</w:t>
            </w:r>
            <w:r>
              <w:rPr>
                <w:color w:val="auto"/>
              </w:rPr>
              <w:t>m</w:t>
            </w:r>
            <w:r>
              <w:rPr>
                <w:color w:val="auto"/>
                <w:vertAlign w:val="superscript"/>
              </w:rPr>
              <w:t>3</w:t>
            </w:r>
            <w:r>
              <w:rPr>
                <w:color w:val="auto"/>
              </w:rPr>
              <w:t>/d，</w:t>
            </w:r>
            <w:r>
              <w:rPr>
                <w:rFonts w:hint="eastAsia"/>
                <w:color w:val="auto"/>
                <w:lang w:val="en-US" w:eastAsia="zh-CN"/>
              </w:rPr>
              <w:t>现状处理量18</w:t>
            </w:r>
            <w:r>
              <w:rPr>
                <w:color w:val="auto"/>
              </w:rPr>
              <w:t>×10</w:t>
            </w:r>
            <w:r>
              <w:rPr>
                <w:color w:val="auto"/>
                <w:vertAlign w:val="superscript"/>
              </w:rPr>
              <w:t>4</w:t>
            </w:r>
            <w:r>
              <w:rPr>
                <w:color w:val="auto"/>
              </w:rPr>
              <w:t>m</w:t>
            </w:r>
            <w:r>
              <w:rPr>
                <w:color w:val="auto"/>
                <w:vertAlign w:val="superscript"/>
              </w:rPr>
              <w:t>3</w:t>
            </w:r>
            <w:r>
              <w:rPr>
                <w:color w:val="auto"/>
              </w:rPr>
              <w:t>/d，</w:t>
            </w:r>
            <w:r>
              <w:rPr>
                <w:rFonts w:hint="eastAsia"/>
                <w:color w:val="auto"/>
                <w:lang w:val="en-US" w:eastAsia="zh-CN"/>
              </w:rPr>
              <w:t>富余能力约7</w:t>
            </w:r>
            <w:r>
              <w:rPr>
                <w:color w:val="auto"/>
              </w:rPr>
              <w:t>×10</w:t>
            </w:r>
            <w:r>
              <w:rPr>
                <w:color w:val="auto"/>
                <w:vertAlign w:val="superscript"/>
              </w:rPr>
              <w:t>4</w:t>
            </w:r>
            <w:r>
              <w:rPr>
                <w:color w:val="auto"/>
              </w:rPr>
              <w:t>m</w:t>
            </w:r>
            <w:r>
              <w:rPr>
                <w:color w:val="auto"/>
                <w:vertAlign w:val="superscript"/>
              </w:rPr>
              <w:t>3</w:t>
            </w:r>
            <w:r>
              <w:rPr>
                <w:color w:val="auto"/>
              </w:rPr>
              <w:t>/d，</w:t>
            </w:r>
            <w:r>
              <w:rPr>
                <w:rFonts w:hint="eastAsia" w:ascii="Times New Roman" w:hAnsi="Times New Roman" w:cs="Times New Roman"/>
                <w:color w:val="auto"/>
                <w:lang w:val="en-US" w:eastAsia="zh-CN"/>
              </w:rPr>
              <w:t>本工程进密闭新增伴生气约</w:t>
            </w:r>
            <w:r>
              <w:rPr>
                <w:rFonts w:hint="eastAsia" w:cs="Times New Roman"/>
                <w:color w:val="auto"/>
                <w:lang w:val="en-US" w:eastAsia="zh-CN"/>
              </w:rPr>
              <w:t>0.46</w:t>
            </w:r>
            <w:r>
              <w:rPr>
                <w:rFonts w:hint="default" w:ascii="Arial" w:hAnsi="Arial" w:cs="Arial"/>
                <w:color w:val="auto"/>
                <w:lang w:val="en-US" w:eastAsia="zh-CN"/>
              </w:rPr>
              <w:t>×</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/d，可满足</w:t>
            </w:r>
            <w:r>
              <w:rPr>
                <w:rFonts w:hint="eastAsia" w:cs="Times New Roman"/>
                <w:color w:val="auto"/>
                <w:lang w:val="en-US" w:eastAsia="zh-CN"/>
              </w:rPr>
              <w:t>本工程</w:t>
            </w:r>
            <w:r>
              <w:rPr>
                <w:rFonts w:hint="eastAsia" w:ascii="Times New Roman" w:hAnsi="Times New Roman" w:cs="Times New Roman"/>
                <w:color w:val="auto"/>
                <w:lang w:val="en-US" w:eastAsia="zh-CN"/>
              </w:rPr>
              <w:t>处理需求。</w:t>
            </w:r>
          </w:p>
        </w:tc>
        <w:tc>
          <w:tcPr>
            <w:tcW w:w="368" w:type="pct"/>
            <w:tcBorders>
              <w:tl2br w:val="nil"/>
              <w:tr2bl w:val="nil"/>
            </w:tcBorders>
            <w:shd w:val="clear" w:color="auto" w:fill="auto"/>
            <w:noWrap w:val="0"/>
            <w:vAlign w:val="center"/>
          </w:tcPr>
          <w:p w14:paraId="4CD0230D">
            <w:pPr>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14:paraId="7CBBF7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06A82684">
            <w:pPr>
              <w:snapToGrid w:val="0"/>
              <w:jc w:val="center"/>
              <w:rPr>
                <w:rFonts w:hint="eastAsia" w:ascii="Times New Roman" w:hAnsi="Times New Roman" w:eastAsia="宋体" w:cs="Times New Roman"/>
                <w:b w:val="0"/>
                <w:bCs w:val="0"/>
                <w:color w:val="auto"/>
                <w:szCs w:val="21"/>
                <w:lang w:val="en-US" w:eastAsia="zh-CN"/>
              </w:rPr>
            </w:pPr>
          </w:p>
        </w:tc>
        <w:tc>
          <w:tcPr>
            <w:tcW w:w="674" w:type="pct"/>
            <w:gridSpan w:val="2"/>
            <w:tcBorders>
              <w:tl2br w:val="nil"/>
              <w:tr2bl w:val="nil"/>
            </w:tcBorders>
            <w:noWrap w:val="0"/>
            <w:vAlign w:val="center"/>
          </w:tcPr>
          <w:p w14:paraId="2099B18B">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采出水处理</w:t>
            </w:r>
          </w:p>
        </w:tc>
        <w:tc>
          <w:tcPr>
            <w:tcW w:w="854" w:type="pct"/>
            <w:tcBorders>
              <w:tl2br w:val="nil"/>
              <w:tr2bl w:val="nil"/>
            </w:tcBorders>
            <w:shd w:val="clear" w:color="auto" w:fill="auto"/>
            <w:noWrap w:val="0"/>
            <w:vAlign w:val="center"/>
          </w:tcPr>
          <w:p w14:paraId="0FC3C0EB">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百口泉注输联合站采出水处理系统</w:t>
            </w:r>
          </w:p>
        </w:tc>
        <w:tc>
          <w:tcPr>
            <w:tcW w:w="2690" w:type="pct"/>
            <w:tcBorders>
              <w:tl2br w:val="nil"/>
              <w:tr2bl w:val="nil"/>
            </w:tcBorders>
            <w:shd w:val="clear" w:color="auto" w:fill="auto"/>
            <w:noWrap w:val="0"/>
            <w:vAlign w:val="center"/>
          </w:tcPr>
          <w:p w14:paraId="482FA4A4">
            <w:pPr>
              <w:snapToGrid w:val="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采出水处理系统设计规模11000m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/d，</w:t>
            </w:r>
            <w:r>
              <w:rPr>
                <w:bCs/>
                <w:color w:val="auto"/>
              </w:rPr>
              <w:t>处理能力8000m</w:t>
            </w:r>
            <w:r>
              <w:rPr>
                <w:bCs/>
                <w:color w:val="auto"/>
                <w:vertAlign w:val="superscript"/>
              </w:rPr>
              <w:t>3</w:t>
            </w:r>
            <w:r>
              <w:rPr>
                <w:bCs/>
                <w:color w:val="auto"/>
              </w:rPr>
              <w:t>/d，采用</w:t>
            </w:r>
            <w:r>
              <w:rPr>
                <w:rFonts w:hint="eastAsia" w:ascii="宋体" w:hAnsi="宋体" w:eastAsia="宋体" w:cs="宋体"/>
                <w:bCs/>
                <w:color w:val="auto"/>
              </w:rPr>
              <w:t>“重力除油→混凝沉降→压力过滤”工</w:t>
            </w:r>
            <w:r>
              <w:rPr>
                <w:bCs/>
                <w:color w:val="auto"/>
              </w:rPr>
              <w:t>艺；处理能力3000m</w:t>
            </w:r>
            <w:r>
              <w:rPr>
                <w:bCs/>
                <w:color w:val="auto"/>
                <w:vertAlign w:val="superscript"/>
              </w:rPr>
              <w:t>3</w:t>
            </w:r>
            <w:r>
              <w:rPr>
                <w:bCs/>
                <w:color w:val="auto"/>
              </w:rPr>
              <w:t>/d，采</w:t>
            </w:r>
            <w:r>
              <w:rPr>
                <w:rFonts w:hint="eastAsia" w:ascii="宋体" w:hAnsi="宋体" w:eastAsia="宋体" w:cs="宋体"/>
                <w:bCs/>
                <w:color w:val="auto"/>
              </w:rPr>
              <w:t>用“重力除油+生物接触氧化+过滤”</w:t>
            </w:r>
            <w:r>
              <w:rPr>
                <w:bCs/>
                <w:color w:val="auto"/>
              </w:rPr>
              <w:t>工艺。目前实际处理量约8715m</w:t>
            </w:r>
            <w:r>
              <w:rPr>
                <w:bCs/>
                <w:color w:val="auto"/>
                <w:vertAlign w:val="superscript"/>
              </w:rPr>
              <w:t>3</w:t>
            </w:r>
            <w:r>
              <w:rPr>
                <w:bCs/>
                <w:color w:val="auto"/>
              </w:rPr>
              <w:t>/d</w:t>
            </w:r>
            <w:r>
              <w:rPr>
                <w:rFonts w:hint="eastAsia"/>
                <w:bCs/>
                <w:color w:val="auto"/>
              </w:rPr>
              <w:t>（年平均）</w:t>
            </w:r>
            <w:r>
              <w:rPr>
                <w:bCs/>
                <w:color w:val="auto"/>
              </w:rPr>
              <w:t>，处理后合格净化水全部回注百口泉油田</w:t>
            </w:r>
            <w:r>
              <w:rPr>
                <w:rFonts w:hint="eastAsia"/>
                <w:bCs/>
                <w:color w:val="auto"/>
                <w:lang w:val="en-US" w:eastAsia="zh-CN"/>
              </w:rPr>
              <w:t>注水井注水。</w:t>
            </w:r>
          </w:p>
        </w:tc>
        <w:tc>
          <w:tcPr>
            <w:tcW w:w="368" w:type="pct"/>
            <w:tcBorders>
              <w:tl2br w:val="nil"/>
              <w:tr2bl w:val="nil"/>
            </w:tcBorders>
            <w:shd w:val="clear" w:color="auto" w:fill="auto"/>
            <w:noWrap w:val="0"/>
            <w:vAlign w:val="center"/>
          </w:tcPr>
          <w:p w14:paraId="14ACAC12">
            <w:pPr>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14:paraId="08CF31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3EF71F57">
            <w:pPr>
              <w:snapToGrid w:val="0"/>
              <w:jc w:val="center"/>
              <w:rPr>
                <w:rFonts w:hint="eastAsia" w:ascii="Times New Roman" w:hAnsi="Times New Roman" w:eastAsia="宋体" w:cs="Times New Roman"/>
                <w:b w:val="0"/>
                <w:bCs w:val="0"/>
                <w:color w:val="auto"/>
                <w:szCs w:val="21"/>
                <w:lang w:val="en-US" w:eastAsia="zh-CN"/>
              </w:rPr>
            </w:pPr>
          </w:p>
        </w:tc>
        <w:tc>
          <w:tcPr>
            <w:tcW w:w="674" w:type="pct"/>
            <w:gridSpan w:val="2"/>
            <w:tcBorders>
              <w:tl2br w:val="nil"/>
              <w:tr2bl w:val="nil"/>
            </w:tcBorders>
            <w:noWrap w:val="0"/>
            <w:vAlign w:val="center"/>
          </w:tcPr>
          <w:p w14:paraId="3FC66199">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危险废物暂存处置</w:t>
            </w:r>
          </w:p>
        </w:tc>
        <w:tc>
          <w:tcPr>
            <w:tcW w:w="854" w:type="pct"/>
            <w:tcBorders>
              <w:tl2br w:val="nil"/>
              <w:tr2bl w:val="nil"/>
            </w:tcBorders>
            <w:shd w:val="clear" w:color="auto" w:fill="auto"/>
            <w:noWrap w:val="0"/>
            <w:vAlign w:val="center"/>
          </w:tcPr>
          <w:p w14:paraId="3E750226">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百口泉采油厂危险废物储存场</w:t>
            </w:r>
          </w:p>
        </w:tc>
        <w:tc>
          <w:tcPr>
            <w:tcW w:w="2690" w:type="pct"/>
            <w:tcBorders>
              <w:tl2br w:val="nil"/>
              <w:tr2bl w:val="nil"/>
            </w:tcBorders>
            <w:shd w:val="clear" w:color="auto" w:fill="auto"/>
            <w:noWrap w:val="0"/>
            <w:vAlign w:val="center"/>
          </w:tcPr>
          <w:p w14:paraId="7D4A50DD">
            <w:pPr>
              <w:snapToGrid w:val="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主要用于暂存采油厂生产作业过程中产生的沾油手套、大布、废旧防渗膜以及实验室化验分析用化学品包装物和少量锅炉废弃离子交换树脂等，占地426.25m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lang w:val="en-US" w:eastAsia="zh-CN"/>
              </w:rPr>
              <w:t>，设计储存量500m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，收集的危险废物根据实际情况增加周转频率委托有资质的单位处置，2025年已与克拉玛依顺通环保科技有限责任公司签订处置合同</w:t>
            </w:r>
          </w:p>
        </w:tc>
        <w:tc>
          <w:tcPr>
            <w:tcW w:w="368" w:type="pct"/>
            <w:tcBorders>
              <w:tl2br w:val="nil"/>
              <w:tr2bl w:val="nil"/>
            </w:tcBorders>
            <w:shd w:val="clear" w:color="auto" w:fill="auto"/>
            <w:noWrap w:val="0"/>
            <w:vAlign w:val="center"/>
          </w:tcPr>
          <w:p w14:paraId="53DF271E">
            <w:pPr>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14:paraId="664337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5E6B9D05">
            <w:pPr>
              <w:snapToGrid w:val="0"/>
              <w:jc w:val="center"/>
              <w:rPr>
                <w:rFonts w:hint="eastAsia" w:ascii="Times New Roman" w:hAnsi="Times New Roman" w:eastAsia="宋体" w:cs="Times New Roman"/>
                <w:b w:val="0"/>
                <w:bCs w:val="0"/>
                <w:color w:val="auto"/>
                <w:szCs w:val="21"/>
                <w:lang w:val="en-US" w:eastAsia="zh-CN"/>
              </w:rPr>
            </w:pPr>
          </w:p>
        </w:tc>
        <w:tc>
          <w:tcPr>
            <w:tcW w:w="674" w:type="pct"/>
            <w:gridSpan w:val="2"/>
            <w:tcBorders>
              <w:tl2br w:val="nil"/>
              <w:tr2bl w:val="nil"/>
            </w:tcBorders>
            <w:noWrap w:val="0"/>
            <w:vAlign w:val="center"/>
          </w:tcPr>
          <w:p w14:paraId="70828C2C">
            <w:pPr>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含油污泥</w:t>
            </w:r>
          </w:p>
        </w:tc>
        <w:tc>
          <w:tcPr>
            <w:tcW w:w="854" w:type="pct"/>
            <w:tcBorders>
              <w:tl2br w:val="nil"/>
              <w:tr2bl w:val="nil"/>
            </w:tcBorders>
            <w:shd w:val="clear" w:color="auto" w:fill="auto"/>
            <w:noWrap w:val="0"/>
            <w:vAlign w:val="center"/>
          </w:tcPr>
          <w:p w14:paraId="55F0CA43">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克拉玛依顺通环保科技有限责任公司</w:t>
            </w:r>
          </w:p>
        </w:tc>
        <w:tc>
          <w:tcPr>
            <w:tcW w:w="2690" w:type="pct"/>
            <w:tcBorders>
              <w:tl2br w:val="nil"/>
              <w:tr2bl w:val="nil"/>
            </w:tcBorders>
            <w:shd w:val="clear" w:color="auto" w:fill="auto"/>
            <w:noWrap w:val="0"/>
            <w:vAlign w:val="center"/>
          </w:tcPr>
          <w:p w14:paraId="23E525F4">
            <w:pPr>
              <w:snapToGrid w:val="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克拉玛依顺通环保科技有限责任公司危废经营许可证编号6502040039，</w:t>
            </w:r>
            <w:r>
              <w:rPr>
                <w:rFonts w:hint="eastAsia" w:ascii="Times New Roman" w:hAnsi="Times New Roman" w:eastAsia="宋体" w:cs="Times New Roman"/>
                <w:color w:val="auto"/>
                <w:szCs w:val="21"/>
                <w:lang w:val="en-US" w:eastAsia="zh-CN"/>
              </w:rPr>
              <w:t>有效期限2023年4月17日-2028年4月16日，危险废物经营规模188万吨/年（HW08类181万吨/年：水洗萃取装置52万吨/年，含油废液装置24万吨/年，热解装置105万吨/年；HW49类7万吨/年）</w:t>
            </w:r>
          </w:p>
        </w:tc>
        <w:tc>
          <w:tcPr>
            <w:tcW w:w="368" w:type="pct"/>
            <w:tcBorders>
              <w:tl2br w:val="nil"/>
              <w:tr2bl w:val="nil"/>
            </w:tcBorders>
            <w:shd w:val="clear" w:color="auto" w:fill="auto"/>
            <w:noWrap w:val="0"/>
            <w:vAlign w:val="center"/>
          </w:tcPr>
          <w:p w14:paraId="1D99D201">
            <w:pPr>
              <w:snapToGrid w:val="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r>
      <w:tr w14:paraId="1C80FA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2C21C877">
            <w:pPr>
              <w:snapToGrid w:val="0"/>
              <w:jc w:val="center"/>
              <w:rPr>
                <w:rFonts w:hint="eastAsia" w:ascii="Times New Roman" w:hAnsi="Times New Roman" w:eastAsia="宋体" w:cs="Times New Roman"/>
                <w:b w:val="0"/>
                <w:bCs w:val="0"/>
                <w:color w:val="auto"/>
                <w:szCs w:val="21"/>
                <w:lang w:val="en-US" w:eastAsia="zh-CN"/>
              </w:rPr>
            </w:pPr>
          </w:p>
        </w:tc>
        <w:tc>
          <w:tcPr>
            <w:tcW w:w="674" w:type="pct"/>
            <w:gridSpan w:val="2"/>
            <w:tcBorders>
              <w:tl2br w:val="nil"/>
              <w:tr2bl w:val="nil"/>
            </w:tcBorders>
            <w:noWrap w:val="0"/>
            <w:vAlign w:val="center"/>
          </w:tcPr>
          <w:p w14:paraId="71D8710D">
            <w:pPr>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生活污水</w:t>
            </w:r>
          </w:p>
        </w:tc>
        <w:tc>
          <w:tcPr>
            <w:tcW w:w="854" w:type="pct"/>
            <w:tcBorders>
              <w:tl2br w:val="nil"/>
              <w:tr2bl w:val="nil"/>
            </w:tcBorders>
            <w:shd w:val="clear" w:color="auto" w:fill="auto"/>
            <w:noWrap w:val="0"/>
            <w:vAlign w:val="center"/>
          </w:tcPr>
          <w:p w14:paraId="019A071B">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乌尔禾区生活污水处理厂</w:t>
            </w:r>
          </w:p>
        </w:tc>
        <w:tc>
          <w:tcPr>
            <w:tcW w:w="2690" w:type="pct"/>
            <w:tcBorders>
              <w:tl2br w:val="nil"/>
              <w:tr2bl w:val="nil"/>
            </w:tcBorders>
            <w:shd w:val="clear" w:color="auto" w:fill="auto"/>
            <w:noWrap w:val="0"/>
            <w:vAlign w:val="center"/>
          </w:tcPr>
          <w:p w14:paraId="165D5072">
            <w:pPr>
              <w:snapToGrid w:val="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heme="minorBidi"/>
                <w:color w:val="auto"/>
                <w:kern w:val="2"/>
                <w:sz w:val="21"/>
                <w:szCs w:val="21"/>
                <w:lang w:val="en-US" w:eastAsia="zh-CN" w:bidi="ar-SA"/>
              </w:rPr>
              <w:t>乌尔禾区生活污水处理厂位于乌尔禾区西南方向10km处，2010年11月10日取得原新疆维吾尔自治区环境保护厅批复（新环评审函</w:t>
            </w:r>
            <w:r>
              <w:rPr>
                <w:rFonts w:hint="eastAsia" w:ascii="宋体" w:hAnsi="宋体" w:eastAsia="宋体" w:cs="宋体"/>
                <w:color w:val="auto"/>
                <w:kern w:val="2"/>
                <w:sz w:val="21"/>
                <w:szCs w:val="21"/>
                <w:lang w:val="en-US" w:eastAsia="zh-CN" w:bidi="ar-SA"/>
              </w:rPr>
              <w:t>〔</w:t>
            </w:r>
            <w:r>
              <w:rPr>
                <w:rFonts w:hint="eastAsia" w:ascii="Times New Roman" w:hAnsi="Times New Roman" w:eastAsia="宋体" w:cstheme="minorBidi"/>
                <w:color w:val="auto"/>
                <w:kern w:val="2"/>
                <w:sz w:val="21"/>
                <w:szCs w:val="21"/>
                <w:lang w:val="en-US" w:eastAsia="zh-CN" w:bidi="ar-SA"/>
              </w:rPr>
              <w:t>2010</w:t>
            </w:r>
            <w:r>
              <w:rPr>
                <w:rFonts w:hint="eastAsia" w:ascii="宋体" w:hAnsi="宋体" w:eastAsia="宋体" w:cs="宋体"/>
                <w:color w:val="auto"/>
                <w:kern w:val="2"/>
                <w:sz w:val="21"/>
                <w:szCs w:val="21"/>
                <w:lang w:val="en-US" w:eastAsia="zh-CN" w:bidi="ar-SA"/>
              </w:rPr>
              <w:t>〕</w:t>
            </w:r>
            <w:r>
              <w:rPr>
                <w:rFonts w:hint="eastAsia" w:ascii="Times New Roman" w:hAnsi="Times New Roman" w:eastAsia="宋体" w:cstheme="minorBidi"/>
                <w:color w:val="auto"/>
                <w:kern w:val="2"/>
                <w:sz w:val="21"/>
                <w:szCs w:val="21"/>
                <w:lang w:val="en-US" w:eastAsia="zh-CN" w:bidi="ar-SA"/>
              </w:rPr>
              <w:t>116号），2014年建成投运，规划污水处理能力近期0.6万立方米/日，远期1.2万立方米/日，处理后水质达国家一级B标准。2018年实施了污水处理厂提标改造工程，2018年3月24日通过原克拉玛依市乌尔禾区环境保护局审批（克乌环函</w:t>
            </w:r>
            <w:r>
              <w:rPr>
                <w:rFonts w:hint="eastAsia" w:ascii="宋体" w:hAnsi="宋体" w:eastAsia="宋体" w:cs="宋体"/>
                <w:color w:val="auto"/>
                <w:kern w:val="2"/>
                <w:sz w:val="21"/>
                <w:szCs w:val="21"/>
                <w:lang w:val="en-US" w:eastAsia="zh-CN" w:bidi="ar-SA"/>
              </w:rPr>
              <w:t>〔</w:t>
            </w:r>
            <w:r>
              <w:rPr>
                <w:rFonts w:hint="eastAsia" w:ascii="Times New Roman" w:hAnsi="Times New Roman" w:eastAsia="宋体" w:cstheme="minorBidi"/>
                <w:color w:val="auto"/>
                <w:kern w:val="2"/>
                <w:sz w:val="21"/>
                <w:szCs w:val="21"/>
                <w:lang w:val="en-US" w:eastAsia="zh-CN" w:bidi="ar-SA"/>
              </w:rPr>
              <w:t>2018</w:t>
            </w:r>
            <w:r>
              <w:rPr>
                <w:rFonts w:hint="eastAsia" w:ascii="宋体" w:hAnsi="宋体" w:eastAsia="宋体" w:cs="宋体"/>
                <w:color w:val="auto"/>
                <w:kern w:val="2"/>
                <w:sz w:val="21"/>
                <w:szCs w:val="21"/>
                <w:lang w:val="en-US" w:eastAsia="zh-CN" w:bidi="ar-SA"/>
              </w:rPr>
              <w:t>〕</w:t>
            </w:r>
            <w:r>
              <w:rPr>
                <w:rFonts w:hint="eastAsia" w:ascii="Times New Roman" w:hAnsi="Times New Roman" w:eastAsia="宋体" w:cstheme="minorBidi"/>
                <w:color w:val="auto"/>
                <w:kern w:val="2"/>
                <w:sz w:val="21"/>
                <w:szCs w:val="21"/>
                <w:lang w:val="en-US" w:eastAsia="zh-CN" w:bidi="ar-SA"/>
              </w:rPr>
              <w:t>17号）。2019年，该厂提标改造项目调试运行稳定，2019年6月完成自主竣工环境保护验收。处理工艺为粗、细格栅+调节池+提升泵房+沉砂池+CASS+紫外线消毒+出水，出水满足《城镇污水处理厂污染物排放标准》（GB18918-2002）中的一级A标准后用于下游荒漠绿化。目前实际处理量为4000m</w:t>
            </w:r>
            <w:r>
              <w:rPr>
                <w:rFonts w:hint="eastAsia" w:ascii="Times New Roman" w:hAnsi="Times New Roman" w:eastAsia="宋体" w:cstheme="minorBidi"/>
                <w:color w:val="auto"/>
                <w:kern w:val="2"/>
                <w:sz w:val="21"/>
                <w:szCs w:val="21"/>
                <w:vertAlign w:val="superscript"/>
                <w:lang w:val="en-US" w:eastAsia="zh-CN" w:bidi="ar-SA"/>
              </w:rPr>
              <w:t>3</w:t>
            </w:r>
            <w:r>
              <w:rPr>
                <w:rFonts w:hint="eastAsia" w:ascii="Times New Roman" w:hAnsi="Times New Roman" w:eastAsia="宋体" w:cstheme="minorBidi"/>
                <w:color w:val="auto"/>
                <w:kern w:val="2"/>
                <w:sz w:val="21"/>
                <w:szCs w:val="21"/>
                <w:lang w:val="en-US" w:eastAsia="zh-CN" w:bidi="ar-SA"/>
              </w:rPr>
              <w:t>/d，富余处理量为2000m</w:t>
            </w:r>
            <w:r>
              <w:rPr>
                <w:rFonts w:hint="eastAsia" w:ascii="Times New Roman" w:hAnsi="Times New Roman" w:eastAsia="宋体" w:cstheme="minorBidi"/>
                <w:color w:val="auto"/>
                <w:kern w:val="2"/>
                <w:sz w:val="21"/>
                <w:szCs w:val="21"/>
                <w:vertAlign w:val="superscript"/>
                <w:lang w:val="en-US" w:eastAsia="zh-CN" w:bidi="ar-SA"/>
              </w:rPr>
              <w:t>3</w:t>
            </w:r>
            <w:r>
              <w:rPr>
                <w:rFonts w:hint="eastAsia" w:ascii="Times New Roman" w:hAnsi="Times New Roman" w:eastAsia="宋体" w:cstheme="minorBidi"/>
                <w:color w:val="auto"/>
                <w:kern w:val="2"/>
                <w:sz w:val="21"/>
                <w:szCs w:val="21"/>
                <w:lang w:val="en-US" w:eastAsia="zh-CN" w:bidi="ar-SA"/>
              </w:rPr>
              <w:t>/d。</w:t>
            </w:r>
          </w:p>
        </w:tc>
        <w:tc>
          <w:tcPr>
            <w:tcW w:w="368" w:type="pct"/>
            <w:tcBorders>
              <w:tl2br w:val="nil"/>
              <w:tr2bl w:val="nil"/>
            </w:tcBorders>
            <w:shd w:val="clear" w:color="auto" w:fill="auto"/>
            <w:noWrap w:val="0"/>
            <w:vAlign w:val="center"/>
          </w:tcPr>
          <w:p w14:paraId="4E96BBEE">
            <w:pPr>
              <w:snapToGrid w:val="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r>
      <w:tr w14:paraId="38B68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412" w:type="pct"/>
            <w:vMerge w:val="continue"/>
            <w:tcBorders>
              <w:tl2br w:val="nil"/>
              <w:tr2bl w:val="nil"/>
            </w:tcBorders>
            <w:noWrap w:val="0"/>
            <w:vAlign w:val="center"/>
          </w:tcPr>
          <w:p w14:paraId="353F2ED3">
            <w:pPr>
              <w:snapToGrid w:val="0"/>
              <w:jc w:val="center"/>
              <w:rPr>
                <w:rFonts w:hint="eastAsia" w:ascii="Times New Roman" w:hAnsi="Times New Roman" w:eastAsia="宋体" w:cs="Times New Roman"/>
                <w:b w:val="0"/>
                <w:bCs w:val="0"/>
                <w:color w:val="auto"/>
                <w:szCs w:val="21"/>
                <w:lang w:val="en-US" w:eastAsia="zh-CN"/>
              </w:rPr>
            </w:pPr>
          </w:p>
        </w:tc>
        <w:tc>
          <w:tcPr>
            <w:tcW w:w="674" w:type="pct"/>
            <w:gridSpan w:val="2"/>
            <w:tcBorders>
              <w:tl2br w:val="nil"/>
              <w:tr2bl w:val="nil"/>
            </w:tcBorders>
            <w:noWrap w:val="0"/>
            <w:vAlign w:val="center"/>
          </w:tcPr>
          <w:p w14:paraId="137E230C">
            <w:pPr>
              <w:snapToGrid w:val="0"/>
              <w:jc w:val="center"/>
              <w:rPr>
                <w:rFonts w:hint="default" w:cs="Times New Roman"/>
                <w:b w:val="0"/>
                <w:bCs w:val="0"/>
                <w:color w:val="auto"/>
                <w:szCs w:val="21"/>
                <w:lang w:val="en-US" w:eastAsia="zh-CN"/>
              </w:rPr>
            </w:pPr>
            <w:r>
              <w:rPr>
                <w:rFonts w:hint="eastAsia" w:cs="Times New Roman"/>
                <w:b w:val="0"/>
                <w:bCs w:val="0"/>
                <w:color w:val="auto"/>
                <w:szCs w:val="21"/>
                <w:lang w:val="en-US" w:eastAsia="zh-CN"/>
              </w:rPr>
              <w:t>生活垃圾</w:t>
            </w:r>
          </w:p>
        </w:tc>
        <w:tc>
          <w:tcPr>
            <w:tcW w:w="854" w:type="pct"/>
            <w:tcBorders>
              <w:tl2br w:val="nil"/>
              <w:tr2bl w:val="nil"/>
            </w:tcBorders>
            <w:shd w:val="clear" w:color="auto" w:fill="auto"/>
            <w:noWrap w:val="0"/>
            <w:vAlign w:val="center"/>
          </w:tcPr>
          <w:p w14:paraId="388F2C05">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乌尔禾区生活垃圾填埋场</w:t>
            </w:r>
          </w:p>
        </w:tc>
        <w:tc>
          <w:tcPr>
            <w:tcW w:w="2690" w:type="pct"/>
            <w:tcBorders>
              <w:tl2br w:val="nil"/>
              <w:tr2bl w:val="nil"/>
            </w:tcBorders>
            <w:shd w:val="clear" w:color="auto" w:fill="auto"/>
            <w:noWrap w:val="0"/>
            <w:vAlign w:val="center"/>
          </w:tcPr>
          <w:p w14:paraId="1EB16A97">
            <w:pPr>
              <w:snapToGrid w:val="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 w:val="21"/>
                <w:szCs w:val="21"/>
                <w:lang w:val="en-US" w:eastAsia="zh-CN" w:bidi="ar-SA"/>
              </w:rPr>
              <w:t>乌尔禾区生活垃圾填埋场位于乌尔禾区西南7km，采用卫生填埋处理工艺，卫生填埋场占地面积11.31ha，填埋场设计总库容为77万</w:t>
            </w:r>
            <w:r>
              <w:rPr>
                <w:rFonts w:hint="eastAsia" w:ascii="Times New Roman" w:hAnsi="Times New Roman" w:eastAsia="宋体" w:cs="Times New Roman"/>
                <w:color w:val="auto"/>
                <w:kern w:val="2"/>
                <w:sz w:val="21"/>
                <w:szCs w:val="21"/>
                <w:lang w:val="en-US" w:eastAsia="zh-CN" w:bidi="ar-SA"/>
              </w:rPr>
              <w:t>m</w:t>
            </w:r>
            <w:r>
              <w:rPr>
                <w:rFonts w:hint="eastAsia"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。服务年限为2018年至2030年。近期（2023年）生活垃圾日清运处置87t，累计处理量23.56万t；远期（2030年）生活垃圾日清运处置98t，累计处理量47.64万t。</w:t>
            </w:r>
          </w:p>
        </w:tc>
        <w:tc>
          <w:tcPr>
            <w:tcW w:w="368" w:type="pct"/>
            <w:tcBorders>
              <w:tl2br w:val="nil"/>
              <w:tr2bl w:val="nil"/>
            </w:tcBorders>
            <w:shd w:val="clear" w:color="auto" w:fill="auto"/>
            <w:noWrap w:val="0"/>
            <w:vAlign w:val="center"/>
          </w:tcPr>
          <w:p w14:paraId="77557D28">
            <w:pPr>
              <w:snapToGrid w:val="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r>
    </w:tbl>
    <w:p w14:paraId="35258CE8">
      <w:pPr>
        <w:pStyle w:val="5"/>
        <w:bidi w:val="0"/>
        <w:rPr>
          <w:rFonts w:hint="default"/>
          <w:color w:val="auto"/>
          <w:lang w:val="en-US" w:eastAsia="zh-CN"/>
        </w:rPr>
      </w:pPr>
      <w:r>
        <w:rPr>
          <w:rFonts w:hint="eastAsia"/>
          <w:color w:val="auto"/>
          <w:lang w:val="en-US" w:eastAsia="zh-CN"/>
        </w:rPr>
        <w:t>3.2.4劳动定员</w:t>
      </w:r>
    </w:p>
    <w:p w14:paraId="48C466E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组织机构：各井区的生产和维护管理，由百口泉采油厂人员负责管理。</w:t>
      </w:r>
    </w:p>
    <w:p w14:paraId="50E04BF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劳动定员：集油区采用巡检制，生产人员按4班2倒设置，</w:t>
      </w:r>
      <w:r>
        <w:rPr>
          <w:rFonts w:hint="eastAsia"/>
          <w:color w:val="auto"/>
          <w:sz w:val="24"/>
          <w:szCs w:val="24"/>
          <w:lang w:eastAsia="zh-CN"/>
        </w:rPr>
        <w:t>本工程</w:t>
      </w:r>
      <w:r>
        <w:rPr>
          <w:rFonts w:hint="eastAsia" w:ascii="Times New Roman" w:hAnsi="Times New Roman" w:eastAsia="宋体"/>
          <w:color w:val="auto"/>
          <w:sz w:val="24"/>
          <w:szCs w:val="24"/>
        </w:rPr>
        <w:t>不新增劳动定员，人员调配由百口泉采油厂自行调配。</w:t>
      </w:r>
    </w:p>
    <w:p w14:paraId="4B20F76C">
      <w:pPr>
        <w:pStyle w:val="2"/>
        <w:bidi w:val="0"/>
        <w:rPr>
          <w:rFonts w:hint="default"/>
          <w:color w:val="auto"/>
          <w:lang w:val="en-US" w:eastAsia="zh-CN"/>
        </w:rPr>
      </w:pPr>
      <w:bookmarkStart w:id="159" w:name="_Toc26732"/>
      <w:r>
        <w:rPr>
          <w:rFonts w:hint="eastAsia"/>
          <w:color w:val="auto"/>
          <w:lang w:val="en-US" w:eastAsia="zh-CN"/>
        </w:rPr>
        <w:t>3.3开发部署</w:t>
      </w:r>
      <w:bookmarkEnd w:id="159"/>
    </w:p>
    <w:p w14:paraId="3035401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本工程共部署18口井，其中10口评价/预探井转产能，进密闭集输系统，8口产能井单罐改密闭集输。新增产能约</w:t>
      </w:r>
      <w:r>
        <w:rPr>
          <w:rFonts w:hint="eastAsia"/>
          <w:color w:val="auto"/>
          <w:sz w:val="24"/>
          <w:szCs w:val="24"/>
          <w:lang w:val="en-US" w:eastAsia="zh-CN"/>
        </w:rPr>
        <w:t>7.72</w:t>
      </w:r>
      <w:r>
        <w:rPr>
          <w:rFonts w:hint="default" w:eastAsia="宋体"/>
          <w:color w:val="auto"/>
          <w:sz w:val="24"/>
          <w:szCs w:val="24"/>
          <w:lang w:val="en-US" w:eastAsia="zh-CN"/>
        </w:rPr>
        <w:t>×10</w:t>
      </w:r>
      <w:r>
        <w:rPr>
          <w:rFonts w:hint="default" w:eastAsia="宋体"/>
          <w:color w:val="auto"/>
          <w:sz w:val="24"/>
          <w:szCs w:val="24"/>
          <w:vertAlign w:val="superscript"/>
          <w:lang w:val="en-US" w:eastAsia="zh-CN"/>
        </w:rPr>
        <w:t>4</w:t>
      </w:r>
      <w:r>
        <w:rPr>
          <w:rFonts w:hint="default" w:eastAsia="宋体"/>
          <w:color w:val="auto"/>
          <w:sz w:val="24"/>
          <w:szCs w:val="24"/>
          <w:lang w:val="en-US" w:eastAsia="zh-CN"/>
        </w:rPr>
        <w:t>t/a</w:t>
      </w:r>
      <w:r>
        <w:rPr>
          <w:rFonts w:hint="eastAsia" w:eastAsia="宋体"/>
          <w:color w:val="auto"/>
          <w:sz w:val="24"/>
          <w:szCs w:val="24"/>
          <w:lang w:val="en-US" w:eastAsia="zh-CN"/>
        </w:rPr>
        <w:t>，产能部署情况见表3.3-1。</w:t>
      </w:r>
    </w:p>
    <w:p w14:paraId="1C933DD0">
      <w:pPr>
        <w:pStyle w:val="43"/>
        <w:bidi w:val="0"/>
        <w:rPr>
          <w:rFonts w:hint="default"/>
          <w:color w:val="auto"/>
          <w:lang w:val="en-US" w:eastAsia="zh-CN"/>
        </w:rPr>
      </w:pPr>
      <w:r>
        <w:rPr>
          <w:rFonts w:hint="eastAsia"/>
          <w:color w:val="auto"/>
          <w:lang w:val="en-US" w:eastAsia="zh-CN"/>
        </w:rPr>
        <w:t>表3.3-1  本工程各作业区产能部署情况一览表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110"/>
        <w:gridCol w:w="1921"/>
        <w:gridCol w:w="1149"/>
        <w:gridCol w:w="1149"/>
        <w:gridCol w:w="1323"/>
        <w:gridCol w:w="941"/>
      </w:tblGrid>
      <w:tr w14:paraId="444D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14:paraId="3CE9F91A">
            <w:pPr>
              <w:bidi w:val="0"/>
              <w:jc w:val="center"/>
              <w:rPr>
                <w:rFonts w:hint="eastAsia" w:eastAsia="宋体"/>
                <w:b/>
                <w:bCs/>
                <w:color w:val="auto"/>
                <w:sz w:val="21"/>
                <w:szCs w:val="21"/>
                <w:lang w:val="en-US" w:eastAsia="zh-CN"/>
              </w:rPr>
            </w:pPr>
            <w:r>
              <w:rPr>
                <w:rFonts w:hint="eastAsia"/>
                <w:b/>
                <w:bCs/>
                <w:color w:val="auto"/>
                <w:sz w:val="21"/>
                <w:szCs w:val="21"/>
                <w:lang w:val="en-US" w:eastAsia="zh-CN"/>
              </w:rPr>
              <w:t>作业区</w:t>
            </w:r>
          </w:p>
        </w:tc>
        <w:tc>
          <w:tcPr>
            <w:tcW w:w="651" w:type="pct"/>
            <w:vAlign w:val="center"/>
          </w:tcPr>
          <w:p w14:paraId="69355F35">
            <w:pPr>
              <w:bidi w:val="0"/>
              <w:jc w:val="center"/>
              <w:rPr>
                <w:rFonts w:hint="eastAsia" w:eastAsia="宋体"/>
                <w:b/>
                <w:bCs/>
                <w:color w:val="auto"/>
                <w:sz w:val="21"/>
                <w:szCs w:val="21"/>
                <w:lang w:val="en-US" w:eastAsia="zh-CN"/>
              </w:rPr>
            </w:pPr>
            <w:r>
              <w:rPr>
                <w:rFonts w:hint="eastAsia"/>
                <w:b/>
                <w:bCs/>
                <w:color w:val="auto"/>
                <w:sz w:val="21"/>
                <w:szCs w:val="21"/>
                <w:lang w:val="en-US" w:eastAsia="zh-CN"/>
              </w:rPr>
              <w:t>井数（口）</w:t>
            </w:r>
          </w:p>
        </w:tc>
        <w:tc>
          <w:tcPr>
            <w:tcW w:w="1127" w:type="pct"/>
            <w:vAlign w:val="center"/>
          </w:tcPr>
          <w:p w14:paraId="6E4F53BE">
            <w:pPr>
              <w:bidi w:val="0"/>
              <w:jc w:val="center"/>
              <w:rPr>
                <w:rFonts w:hint="eastAsia" w:eastAsia="宋体"/>
                <w:b/>
                <w:bCs/>
                <w:color w:val="auto"/>
                <w:sz w:val="21"/>
                <w:szCs w:val="21"/>
                <w:lang w:val="en-US" w:eastAsia="zh-CN"/>
              </w:rPr>
            </w:pPr>
            <w:r>
              <w:rPr>
                <w:rFonts w:hint="eastAsia"/>
                <w:b/>
                <w:bCs/>
                <w:color w:val="auto"/>
                <w:sz w:val="21"/>
                <w:szCs w:val="21"/>
                <w:lang w:val="en-US" w:eastAsia="zh-CN"/>
              </w:rPr>
              <w:t>井号</w:t>
            </w:r>
          </w:p>
        </w:tc>
        <w:tc>
          <w:tcPr>
            <w:tcW w:w="674" w:type="pct"/>
            <w:vAlign w:val="center"/>
          </w:tcPr>
          <w:p w14:paraId="7575868E">
            <w:pPr>
              <w:bidi w:val="0"/>
              <w:jc w:val="center"/>
              <w:rPr>
                <w:rFonts w:hint="eastAsia" w:eastAsia="宋体"/>
                <w:b/>
                <w:bCs/>
                <w:color w:val="auto"/>
                <w:sz w:val="21"/>
                <w:szCs w:val="21"/>
                <w:lang w:val="en-US" w:eastAsia="zh-CN"/>
              </w:rPr>
            </w:pPr>
            <w:r>
              <w:rPr>
                <w:rFonts w:hint="eastAsia"/>
                <w:b/>
                <w:bCs/>
                <w:color w:val="auto"/>
                <w:sz w:val="21"/>
                <w:szCs w:val="21"/>
                <w:lang w:val="en-US" w:eastAsia="zh-CN"/>
              </w:rPr>
              <w:t>产液量（10</w:t>
            </w:r>
            <w:r>
              <w:rPr>
                <w:rFonts w:hint="eastAsia"/>
                <w:b/>
                <w:bCs/>
                <w:color w:val="auto"/>
                <w:sz w:val="21"/>
                <w:szCs w:val="21"/>
                <w:vertAlign w:val="superscript"/>
                <w:lang w:val="en-US" w:eastAsia="zh-CN"/>
              </w:rPr>
              <w:t>4</w:t>
            </w:r>
            <w:r>
              <w:rPr>
                <w:rFonts w:hint="eastAsia"/>
                <w:b/>
                <w:bCs/>
                <w:color w:val="auto"/>
                <w:sz w:val="21"/>
                <w:szCs w:val="21"/>
                <w:lang w:val="en-US" w:eastAsia="zh-CN"/>
              </w:rPr>
              <w:t>t/a）</w:t>
            </w:r>
          </w:p>
        </w:tc>
        <w:tc>
          <w:tcPr>
            <w:tcW w:w="674" w:type="pct"/>
            <w:vAlign w:val="center"/>
          </w:tcPr>
          <w:p w14:paraId="15087480">
            <w:pPr>
              <w:bidi w:val="0"/>
              <w:jc w:val="center"/>
              <w:rPr>
                <w:rFonts w:hint="eastAsia" w:eastAsia="宋体"/>
                <w:b/>
                <w:bCs/>
                <w:color w:val="auto"/>
                <w:sz w:val="21"/>
                <w:szCs w:val="21"/>
                <w:lang w:val="en-US" w:eastAsia="zh-CN"/>
              </w:rPr>
            </w:pPr>
            <w:r>
              <w:rPr>
                <w:rFonts w:hint="eastAsia"/>
                <w:b/>
                <w:bCs/>
                <w:color w:val="auto"/>
                <w:sz w:val="21"/>
                <w:szCs w:val="21"/>
                <w:lang w:val="en-US" w:eastAsia="zh-CN"/>
              </w:rPr>
              <w:t>产油量（10</w:t>
            </w:r>
            <w:r>
              <w:rPr>
                <w:rFonts w:hint="eastAsia"/>
                <w:b/>
                <w:bCs/>
                <w:color w:val="auto"/>
                <w:sz w:val="21"/>
                <w:szCs w:val="21"/>
                <w:vertAlign w:val="superscript"/>
                <w:lang w:val="en-US" w:eastAsia="zh-CN"/>
              </w:rPr>
              <w:t>4</w:t>
            </w:r>
            <w:r>
              <w:rPr>
                <w:rFonts w:hint="eastAsia"/>
                <w:b/>
                <w:bCs/>
                <w:color w:val="auto"/>
                <w:sz w:val="21"/>
                <w:szCs w:val="21"/>
                <w:lang w:val="en-US" w:eastAsia="zh-CN"/>
              </w:rPr>
              <w:t>t/a）</w:t>
            </w:r>
          </w:p>
        </w:tc>
        <w:tc>
          <w:tcPr>
            <w:tcW w:w="776" w:type="pct"/>
            <w:vAlign w:val="center"/>
          </w:tcPr>
          <w:p w14:paraId="5DE56FFC">
            <w:pPr>
              <w:bidi w:val="0"/>
              <w:jc w:val="center"/>
              <w:rPr>
                <w:rFonts w:hint="eastAsia" w:eastAsia="宋体"/>
                <w:b/>
                <w:bCs/>
                <w:color w:val="auto"/>
                <w:sz w:val="21"/>
                <w:szCs w:val="21"/>
                <w:lang w:val="en-US" w:eastAsia="zh-CN"/>
              </w:rPr>
            </w:pPr>
            <w:r>
              <w:rPr>
                <w:rFonts w:hint="eastAsia"/>
                <w:b/>
                <w:bCs/>
                <w:color w:val="auto"/>
                <w:sz w:val="21"/>
                <w:szCs w:val="21"/>
                <w:lang w:val="en-US" w:eastAsia="zh-CN"/>
              </w:rPr>
              <w:t>产气量（10</w:t>
            </w:r>
            <w:r>
              <w:rPr>
                <w:rFonts w:hint="eastAsia"/>
                <w:b/>
                <w:bCs/>
                <w:color w:val="auto"/>
                <w:sz w:val="21"/>
                <w:szCs w:val="21"/>
                <w:vertAlign w:val="superscript"/>
                <w:lang w:val="en-US" w:eastAsia="zh-CN"/>
              </w:rPr>
              <w:t>4</w:t>
            </w:r>
            <w:r>
              <w:rPr>
                <w:rFonts w:hint="eastAsia"/>
                <w:b/>
                <w:bCs/>
                <w:color w:val="auto"/>
                <w:sz w:val="21"/>
                <w:szCs w:val="21"/>
                <w:lang w:val="en-US" w:eastAsia="zh-CN"/>
              </w:rPr>
              <w:t>m</w:t>
            </w:r>
            <w:r>
              <w:rPr>
                <w:rFonts w:hint="eastAsia"/>
                <w:b/>
                <w:bCs/>
                <w:color w:val="auto"/>
                <w:sz w:val="21"/>
                <w:szCs w:val="21"/>
                <w:vertAlign w:val="superscript"/>
                <w:lang w:val="en-US" w:eastAsia="zh-CN"/>
              </w:rPr>
              <w:t>3</w:t>
            </w:r>
            <w:r>
              <w:rPr>
                <w:rFonts w:hint="eastAsia"/>
                <w:b/>
                <w:bCs/>
                <w:color w:val="auto"/>
                <w:sz w:val="21"/>
                <w:szCs w:val="21"/>
                <w:lang w:val="en-US" w:eastAsia="zh-CN"/>
              </w:rPr>
              <w:t>/a）</w:t>
            </w:r>
          </w:p>
        </w:tc>
        <w:tc>
          <w:tcPr>
            <w:tcW w:w="552" w:type="pct"/>
            <w:vAlign w:val="center"/>
          </w:tcPr>
          <w:p w14:paraId="104F0E16">
            <w:pPr>
              <w:bidi w:val="0"/>
              <w:jc w:val="center"/>
              <w:rPr>
                <w:rFonts w:hint="default"/>
                <w:b/>
                <w:bCs/>
                <w:color w:val="auto"/>
                <w:sz w:val="21"/>
                <w:szCs w:val="21"/>
                <w:lang w:val="en-US" w:eastAsia="zh-CN"/>
              </w:rPr>
            </w:pPr>
            <w:r>
              <w:rPr>
                <w:rFonts w:hint="eastAsia"/>
                <w:b/>
                <w:bCs/>
                <w:color w:val="auto"/>
                <w:sz w:val="21"/>
                <w:szCs w:val="21"/>
                <w:lang w:val="en-US" w:eastAsia="zh-CN"/>
              </w:rPr>
              <w:t>备注</w:t>
            </w:r>
          </w:p>
        </w:tc>
      </w:tr>
      <w:tr w14:paraId="0580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14:paraId="0F210B0A">
            <w:pPr>
              <w:bidi w:val="0"/>
              <w:jc w:val="center"/>
              <w:rPr>
                <w:rFonts w:hint="default" w:eastAsia="宋体"/>
                <w:color w:val="auto"/>
                <w:sz w:val="21"/>
                <w:szCs w:val="21"/>
                <w:lang w:val="en-US" w:eastAsia="zh-CN"/>
              </w:rPr>
            </w:pPr>
            <w:r>
              <w:rPr>
                <w:rFonts w:hint="eastAsia"/>
                <w:color w:val="auto"/>
                <w:sz w:val="21"/>
                <w:szCs w:val="21"/>
                <w:lang w:val="en-US" w:eastAsia="zh-CN"/>
              </w:rPr>
              <w:t>百21作业区</w:t>
            </w:r>
          </w:p>
        </w:tc>
        <w:tc>
          <w:tcPr>
            <w:tcW w:w="651" w:type="pct"/>
            <w:vAlign w:val="center"/>
          </w:tcPr>
          <w:p w14:paraId="017E0A9E">
            <w:pPr>
              <w:bidi w:val="0"/>
              <w:jc w:val="center"/>
              <w:rPr>
                <w:rFonts w:hint="eastAsia" w:eastAsia="宋体"/>
                <w:color w:val="auto"/>
                <w:sz w:val="21"/>
                <w:szCs w:val="21"/>
                <w:lang w:val="en-US" w:eastAsia="zh-CN"/>
              </w:rPr>
            </w:pPr>
            <w:r>
              <w:rPr>
                <w:rFonts w:hint="eastAsia"/>
                <w:color w:val="auto"/>
                <w:sz w:val="21"/>
                <w:szCs w:val="21"/>
                <w:lang w:val="en-US" w:eastAsia="zh-CN"/>
              </w:rPr>
              <w:t>4</w:t>
            </w:r>
          </w:p>
        </w:tc>
        <w:tc>
          <w:tcPr>
            <w:tcW w:w="1127" w:type="pct"/>
            <w:vAlign w:val="center"/>
          </w:tcPr>
          <w:p w14:paraId="025DDC1D">
            <w:pPr>
              <w:bidi w:val="0"/>
              <w:jc w:val="center"/>
              <w:rPr>
                <w:rFonts w:hint="default" w:eastAsia="宋体"/>
                <w:color w:val="auto"/>
                <w:sz w:val="21"/>
                <w:szCs w:val="21"/>
                <w:lang w:val="en-US" w:eastAsia="zh-CN"/>
              </w:rPr>
            </w:pPr>
            <w:r>
              <w:rPr>
                <w:rFonts w:hint="eastAsia"/>
                <w:color w:val="auto"/>
                <w:sz w:val="21"/>
                <w:szCs w:val="21"/>
                <w:lang w:val="en-US" w:eastAsia="zh-CN"/>
              </w:rPr>
              <w:t>百791、百79、百76、百209H</w:t>
            </w:r>
          </w:p>
        </w:tc>
        <w:tc>
          <w:tcPr>
            <w:tcW w:w="674" w:type="pct"/>
            <w:vAlign w:val="center"/>
          </w:tcPr>
          <w:p w14:paraId="7727C4B2">
            <w:pPr>
              <w:bidi w:val="0"/>
              <w:jc w:val="center"/>
              <w:rPr>
                <w:rFonts w:hint="default" w:eastAsia="宋体"/>
                <w:color w:val="auto"/>
                <w:sz w:val="21"/>
                <w:szCs w:val="21"/>
                <w:lang w:val="en-US" w:eastAsia="zh-CN"/>
              </w:rPr>
            </w:pPr>
            <w:r>
              <w:rPr>
                <w:rFonts w:hint="eastAsia"/>
                <w:color w:val="auto"/>
                <w:sz w:val="21"/>
                <w:szCs w:val="21"/>
                <w:lang w:val="en-US" w:eastAsia="zh-CN"/>
              </w:rPr>
              <w:t>5.28</w:t>
            </w:r>
          </w:p>
        </w:tc>
        <w:tc>
          <w:tcPr>
            <w:tcW w:w="674" w:type="pct"/>
            <w:vAlign w:val="center"/>
          </w:tcPr>
          <w:p w14:paraId="2199EB01">
            <w:pPr>
              <w:bidi w:val="0"/>
              <w:jc w:val="center"/>
              <w:rPr>
                <w:rFonts w:hint="default" w:eastAsia="宋体"/>
                <w:color w:val="auto"/>
                <w:sz w:val="21"/>
                <w:szCs w:val="21"/>
                <w:lang w:val="en-US" w:eastAsia="zh-CN"/>
              </w:rPr>
            </w:pPr>
            <w:r>
              <w:rPr>
                <w:rFonts w:hint="eastAsia"/>
                <w:color w:val="auto"/>
                <w:sz w:val="21"/>
                <w:szCs w:val="21"/>
                <w:lang w:val="en-US" w:eastAsia="zh-CN"/>
              </w:rPr>
              <w:t>3.10</w:t>
            </w:r>
          </w:p>
        </w:tc>
        <w:tc>
          <w:tcPr>
            <w:tcW w:w="776" w:type="pct"/>
            <w:vAlign w:val="center"/>
          </w:tcPr>
          <w:p w14:paraId="38BC6956">
            <w:pPr>
              <w:bidi w:val="0"/>
              <w:jc w:val="center"/>
              <w:rPr>
                <w:rFonts w:hint="default" w:eastAsia="宋体"/>
                <w:color w:val="auto"/>
                <w:sz w:val="21"/>
                <w:szCs w:val="21"/>
                <w:lang w:val="en-US" w:eastAsia="zh-CN"/>
              </w:rPr>
            </w:pPr>
            <w:r>
              <w:rPr>
                <w:rFonts w:hint="eastAsia"/>
                <w:color w:val="auto"/>
                <w:sz w:val="21"/>
                <w:szCs w:val="21"/>
                <w:lang w:val="en-US" w:eastAsia="zh-CN"/>
              </w:rPr>
              <w:t>151.50</w:t>
            </w:r>
          </w:p>
        </w:tc>
        <w:tc>
          <w:tcPr>
            <w:tcW w:w="552" w:type="pct"/>
            <w:vAlign w:val="center"/>
          </w:tcPr>
          <w:p w14:paraId="65390BF2">
            <w:pPr>
              <w:bidi w:val="0"/>
              <w:jc w:val="center"/>
              <w:rPr>
                <w:rFonts w:hint="default" w:eastAsia="宋体"/>
                <w:color w:val="auto"/>
                <w:sz w:val="21"/>
                <w:szCs w:val="21"/>
                <w:lang w:val="en-US" w:eastAsia="zh-CN"/>
              </w:rPr>
            </w:pPr>
            <w:r>
              <w:rPr>
                <w:rFonts w:hint="eastAsia"/>
                <w:color w:val="auto"/>
                <w:sz w:val="21"/>
                <w:szCs w:val="21"/>
                <w:lang w:val="en-US" w:eastAsia="zh-CN"/>
              </w:rPr>
              <w:t>评价/预探井转产能</w:t>
            </w:r>
          </w:p>
        </w:tc>
      </w:tr>
      <w:tr w14:paraId="7757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14:paraId="597EF956">
            <w:pPr>
              <w:bidi w:val="0"/>
              <w:jc w:val="center"/>
              <w:rPr>
                <w:rFonts w:hint="default" w:eastAsia="宋体"/>
                <w:color w:val="auto"/>
                <w:sz w:val="21"/>
                <w:szCs w:val="21"/>
                <w:lang w:val="en-US" w:eastAsia="zh-CN"/>
              </w:rPr>
            </w:pPr>
            <w:r>
              <w:rPr>
                <w:rFonts w:hint="eastAsia"/>
                <w:color w:val="auto"/>
                <w:sz w:val="21"/>
                <w:szCs w:val="21"/>
                <w:lang w:val="en-US" w:eastAsia="zh-CN"/>
              </w:rPr>
              <w:t>玛湖第一采油作业区</w:t>
            </w:r>
          </w:p>
        </w:tc>
        <w:tc>
          <w:tcPr>
            <w:tcW w:w="651" w:type="pct"/>
            <w:vAlign w:val="center"/>
          </w:tcPr>
          <w:p w14:paraId="57A23097">
            <w:pPr>
              <w:bidi w:val="0"/>
              <w:jc w:val="center"/>
              <w:rPr>
                <w:rFonts w:hint="eastAsia" w:eastAsia="宋体"/>
                <w:color w:val="auto"/>
                <w:sz w:val="21"/>
                <w:szCs w:val="21"/>
                <w:lang w:val="en-US" w:eastAsia="zh-CN"/>
              </w:rPr>
            </w:pPr>
            <w:r>
              <w:rPr>
                <w:rFonts w:hint="eastAsia"/>
                <w:color w:val="auto"/>
                <w:sz w:val="21"/>
                <w:szCs w:val="21"/>
                <w:lang w:val="en-US" w:eastAsia="zh-CN"/>
              </w:rPr>
              <w:t>3</w:t>
            </w:r>
          </w:p>
        </w:tc>
        <w:tc>
          <w:tcPr>
            <w:tcW w:w="1127" w:type="pct"/>
            <w:vAlign w:val="center"/>
          </w:tcPr>
          <w:p w14:paraId="08861F99">
            <w:pPr>
              <w:bidi w:val="0"/>
              <w:jc w:val="center"/>
              <w:rPr>
                <w:rFonts w:hint="default" w:eastAsia="宋体"/>
                <w:color w:val="auto"/>
                <w:sz w:val="21"/>
                <w:szCs w:val="21"/>
                <w:lang w:val="en-US" w:eastAsia="zh-CN"/>
              </w:rPr>
            </w:pPr>
            <w:r>
              <w:rPr>
                <w:rFonts w:hint="eastAsia"/>
                <w:color w:val="auto"/>
                <w:sz w:val="21"/>
                <w:szCs w:val="21"/>
                <w:lang w:val="en-US" w:eastAsia="zh-CN"/>
              </w:rPr>
              <w:t>DM2721、Ma20023_H、Ma20024_H</w:t>
            </w:r>
          </w:p>
        </w:tc>
        <w:tc>
          <w:tcPr>
            <w:tcW w:w="674" w:type="pct"/>
            <w:vAlign w:val="center"/>
          </w:tcPr>
          <w:p w14:paraId="4A701A72">
            <w:pPr>
              <w:bidi w:val="0"/>
              <w:jc w:val="center"/>
              <w:rPr>
                <w:rFonts w:hint="default" w:eastAsia="宋体"/>
                <w:color w:val="auto"/>
                <w:sz w:val="21"/>
                <w:szCs w:val="21"/>
                <w:lang w:val="en-US" w:eastAsia="zh-CN"/>
              </w:rPr>
            </w:pPr>
            <w:r>
              <w:rPr>
                <w:rFonts w:hint="eastAsia"/>
                <w:color w:val="auto"/>
                <w:sz w:val="21"/>
                <w:szCs w:val="21"/>
                <w:lang w:val="en-US" w:eastAsia="zh-CN"/>
              </w:rPr>
              <w:t>1.94</w:t>
            </w:r>
          </w:p>
        </w:tc>
        <w:tc>
          <w:tcPr>
            <w:tcW w:w="674" w:type="pct"/>
            <w:vAlign w:val="center"/>
          </w:tcPr>
          <w:p w14:paraId="6CA975E4">
            <w:pPr>
              <w:bidi w:val="0"/>
              <w:jc w:val="center"/>
              <w:rPr>
                <w:rFonts w:hint="default" w:eastAsia="宋体"/>
                <w:color w:val="auto"/>
                <w:sz w:val="21"/>
                <w:szCs w:val="21"/>
                <w:lang w:val="en-US" w:eastAsia="zh-CN"/>
              </w:rPr>
            </w:pPr>
            <w:r>
              <w:rPr>
                <w:rFonts w:hint="eastAsia"/>
                <w:color w:val="auto"/>
                <w:sz w:val="21"/>
                <w:szCs w:val="21"/>
                <w:lang w:val="en-US" w:eastAsia="zh-CN"/>
              </w:rPr>
              <w:t>0.93</w:t>
            </w:r>
          </w:p>
        </w:tc>
        <w:tc>
          <w:tcPr>
            <w:tcW w:w="776" w:type="pct"/>
            <w:vAlign w:val="center"/>
          </w:tcPr>
          <w:p w14:paraId="10BA1E41">
            <w:pPr>
              <w:bidi w:val="0"/>
              <w:jc w:val="center"/>
              <w:rPr>
                <w:rFonts w:hint="default" w:eastAsia="宋体"/>
                <w:color w:val="auto"/>
                <w:sz w:val="21"/>
                <w:szCs w:val="21"/>
                <w:lang w:val="en-US" w:eastAsia="zh-CN"/>
              </w:rPr>
            </w:pPr>
            <w:r>
              <w:rPr>
                <w:rFonts w:hint="eastAsia"/>
                <w:color w:val="auto"/>
                <w:sz w:val="21"/>
                <w:szCs w:val="21"/>
                <w:lang w:val="en-US" w:eastAsia="zh-CN"/>
              </w:rPr>
              <w:t>29.71</w:t>
            </w:r>
          </w:p>
        </w:tc>
        <w:tc>
          <w:tcPr>
            <w:tcW w:w="552" w:type="pct"/>
            <w:vAlign w:val="center"/>
          </w:tcPr>
          <w:p w14:paraId="07B3E2FF">
            <w:pPr>
              <w:bidi w:val="0"/>
              <w:jc w:val="center"/>
              <w:rPr>
                <w:rFonts w:hint="default" w:eastAsia="宋体"/>
                <w:color w:val="auto"/>
                <w:sz w:val="21"/>
                <w:szCs w:val="21"/>
                <w:lang w:val="en-US" w:eastAsia="zh-CN"/>
              </w:rPr>
            </w:pPr>
            <w:r>
              <w:rPr>
                <w:rFonts w:hint="eastAsia"/>
                <w:color w:val="auto"/>
                <w:sz w:val="21"/>
                <w:szCs w:val="21"/>
                <w:lang w:val="en-US" w:eastAsia="zh-CN"/>
              </w:rPr>
              <w:t>产能井进密闭</w:t>
            </w:r>
          </w:p>
        </w:tc>
      </w:tr>
      <w:tr w14:paraId="5ECF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restart"/>
            <w:vAlign w:val="center"/>
          </w:tcPr>
          <w:p w14:paraId="5B7BE389">
            <w:pPr>
              <w:bidi w:val="0"/>
              <w:jc w:val="center"/>
              <w:rPr>
                <w:rFonts w:hint="default"/>
                <w:color w:val="auto"/>
                <w:sz w:val="21"/>
                <w:szCs w:val="21"/>
                <w:lang w:val="en-US" w:eastAsia="zh-CN"/>
              </w:rPr>
            </w:pPr>
            <w:r>
              <w:rPr>
                <w:rFonts w:hint="eastAsia"/>
                <w:color w:val="auto"/>
                <w:sz w:val="21"/>
                <w:szCs w:val="21"/>
                <w:lang w:val="en-US" w:eastAsia="zh-CN"/>
              </w:rPr>
              <w:t>玛湖第二采油作业区</w:t>
            </w:r>
          </w:p>
        </w:tc>
        <w:tc>
          <w:tcPr>
            <w:tcW w:w="651" w:type="pct"/>
            <w:vAlign w:val="center"/>
          </w:tcPr>
          <w:p w14:paraId="4159F207">
            <w:pPr>
              <w:bidi w:val="0"/>
              <w:jc w:val="center"/>
              <w:rPr>
                <w:rFonts w:hint="eastAsia" w:eastAsia="宋体"/>
                <w:color w:val="auto"/>
                <w:sz w:val="21"/>
                <w:szCs w:val="21"/>
                <w:lang w:val="en-US" w:eastAsia="zh-CN"/>
              </w:rPr>
            </w:pPr>
            <w:r>
              <w:rPr>
                <w:rFonts w:hint="eastAsia"/>
                <w:color w:val="auto"/>
                <w:sz w:val="21"/>
                <w:szCs w:val="21"/>
                <w:lang w:val="en-US" w:eastAsia="zh-CN"/>
              </w:rPr>
              <w:t>5</w:t>
            </w:r>
          </w:p>
        </w:tc>
        <w:tc>
          <w:tcPr>
            <w:tcW w:w="1127" w:type="pct"/>
            <w:vAlign w:val="center"/>
          </w:tcPr>
          <w:p w14:paraId="19712C7D">
            <w:pPr>
              <w:bidi w:val="0"/>
              <w:jc w:val="center"/>
              <w:rPr>
                <w:rFonts w:hint="default" w:eastAsia="宋体"/>
                <w:color w:val="auto"/>
                <w:sz w:val="21"/>
                <w:szCs w:val="21"/>
                <w:lang w:val="en-US" w:eastAsia="zh-CN"/>
              </w:rPr>
            </w:pPr>
            <w:r>
              <w:rPr>
                <w:rFonts w:hint="eastAsia"/>
                <w:color w:val="auto"/>
                <w:sz w:val="21"/>
                <w:szCs w:val="21"/>
                <w:lang w:val="en-US" w:eastAsia="zh-CN"/>
              </w:rPr>
              <w:t>夏91_H、夏92_H、夏724、夏202、XHW7202</w:t>
            </w:r>
          </w:p>
        </w:tc>
        <w:tc>
          <w:tcPr>
            <w:tcW w:w="674" w:type="pct"/>
            <w:vAlign w:val="center"/>
          </w:tcPr>
          <w:p w14:paraId="4A157062">
            <w:pPr>
              <w:bidi w:val="0"/>
              <w:jc w:val="center"/>
              <w:rPr>
                <w:rFonts w:hint="default" w:eastAsia="宋体"/>
                <w:color w:val="auto"/>
                <w:sz w:val="21"/>
                <w:szCs w:val="21"/>
                <w:lang w:val="en-US" w:eastAsia="zh-CN"/>
              </w:rPr>
            </w:pPr>
            <w:r>
              <w:rPr>
                <w:rFonts w:hint="eastAsia"/>
                <w:color w:val="auto"/>
                <w:sz w:val="21"/>
                <w:szCs w:val="21"/>
                <w:lang w:val="en-US" w:eastAsia="zh-CN"/>
              </w:rPr>
              <w:t>1.51</w:t>
            </w:r>
          </w:p>
        </w:tc>
        <w:tc>
          <w:tcPr>
            <w:tcW w:w="674" w:type="pct"/>
            <w:vAlign w:val="center"/>
          </w:tcPr>
          <w:p w14:paraId="2720A99F">
            <w:pPr>
              <w:bidi w:val="0"/>
              <w:jc w:val="center"/>
              <w:rPr>
                <w:rFonts w:hint="default" w:eastAsia="宋体"/>
                <w:color w:val="auto"/>
                <w:sz w:val="21"/>
                <w:szCs w:val="21"/>
                <w:lang w:val="en-US" w:eastAsia="zh-CN"/>
              </w:rPr>
            </w:pPr>
            <w:r>
              <w:rPr>
                <w:rFonts w:hint="eastAsia"/>
                <w:color w:val="auto"/>
                <w:sz w:val="21"/>
                <w:szCs w:val="21"/>
                <w:lang w:val="en-US" w:eastAsia="zh-CN"/>
              </w:rPr>
              <w:t>0.70</w:t>
            </w:r>
          </w:p>
        </w:tc>
        <w:tc>
          <w:tcPr>
            <w:tcW w:w="776" w:type="pct"/>
            <w:vAlign w:val="center"/>
          </w:tcPr>
          <w:p w14:paraId="6C1114CC">
            <w:pPr>
              <w:bidi w:val="0"/>
              <w:jc w:val="center"/>
              <w:rPr>
                <w:rFonts w:hint="default" w:eastAsia="宋体"/>
                <w:color w:val="auto"/>
                <w:sz w:val="21"/>
                <w:szCs w:val="21"/>
                <w:lang w:val="en-US" w:eastAsia="zh-CN"/>
              </w:rPr>
            </w:pPr>
            <w:r>
              <w:rPr>
                <w:rFonts w:hint="eastAsia"/>
                <w:color w:val="auto"/>
                <w:sz w:val="21"/>
                <w:szCs w:val="21"/>
                <w:lang w:val="en-US" w:eastAsia="zh-CN"/>
              </w:rPr>
              <w:t>28.26</w:t>
            </w:r>
          </w:p>
        </w:tc>
        <w:tc>
          <w:tcPr>
            <w:tcW w:w="552" w:type="pct"/>
            <w:vAlign w:val="center"/>
          </w:tcPr>
          <w:p w14:paraId="55CA51D2">
            <w:pPr>
              <w:bidi w:val="0"/>
              <w:jc w:val="center"/>
              <w:rPr>
                <w:color w:val="auto"/>
                <w:sz w:val="21"/>
                <w:szCs w:val="21"/>
              </w:rPr>
            </w:pPr>
            <w:r>
              <w:rPr>
                <w:rFonts w:hint="eastAsia"/>
                <w:color w:val="auto"/>
                <w:sz w:val="21"/>
                <w:szCs w:val="21"/>
                <w:lang w:val="en-US" w:eastAsia="zh-CN"/>
              </w:rPr>
              <w:t>产能井进密闭</w:t>
            </w:r>
          </w:p>
        </w:tc>
      </w:tr>
      <w:tr w14:paraId="026C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continue"/>
            <w:vAlign w:val="center"/>
          </w:tcPr>
          <w:p w14:paraId="4123039E">
            <w:pPr>
              <w:bidi w:val="0"/>
              <w:jc w:val="center"/>
              <w:rPr>
                <w:rFonts w:hint="eastAsia"/>
                <w:color w:val="auto"/>
                <w:sz w:val="21"/>
                <w:szCs w:val="21"/>
                <w:lang w:val="en-US" w:eastAsia="zh-CN"/>
              </w:rPr>
            </w:pPr>
          </w:p>
        </w:tc>
        <w:tc>
          <w:tcPr>
            <w:tcW w:w="651" w:type="pct"/>
            <w:vAlign w:val="center"/>
          </w:tcPr>
          <w:p w14:paraId="6D670078">
            <w:pPr>
              <w:bidi w:val="0"/>
              <w:jc w:val="center"/>
              <w:rPr>
                <w:rFonts w:hint="eastAsia" w:eastAsia="宋体"/>
                <w:color w:val="auto"/>
                <w:sz w:val="21"/>
                <w:szCs w:val="21"/>
                <w:lang w:val="en-US" w:eastAsia="zh-CN"/>
              </w:rPr>
            </w:pPr>
            <w:r>
              <w:rPr>
                <w:rFonts w:hint="eastAsia"/>
                <w:color w:val="auto"/>
                <w:sz w:val="21"/>
                <w:szCs w:val="21"/>
                <w:lang w:val="en-US" w:eastAsia="zh-CN"/>
              </w:rPr>
              <w:t>5</w:t>
            </w:r>
          </w:p>
        </w:tc>
        <w:tc>
          <w:tcPr>
            <w:tcW w:w="1127" w:type="pct"/>
            <w:vAlign w:val="center"/>
          </w:tcPr>
          <w:p w14:paraId="29012F21">
            <w:pPr>
              <w:bidi w:val="0"/>
              <w:jc w:val="center"/>
              <w:rPr>
                <w:rFonts w:hint="default" w:eastAsia="宋体"/>
                <w:color w:val="auto"/>
                <w:sz w:val="21"/>
                <w:szCs w:val="21"/>
                <w:lang w:val="en-US" w:eastAsia="zh-CN"/>
              </w:rPr>
            </w:pPr>
            <w:r>
              <w:rPr>
                <w:rFonts w:hint="eastAsia"/>
                <w:color w:val="auto"/>
                <w:sz w:val="21"/>
                <w:szCs w:val="21"/>
                <w:lang w:val="en-US" w:eastAsia="zh-CN"/>
              </w:rPr>
              <w:t>夏203、夏209、夏207H、玛61、玛62</w:t>
            </w:r>
          </w:p>
        </w:tc>
        <w:tc>
          <w:tcPr>
            <w:tcW w:w="674" w:type="pct"/>
            <w:vAlign w:val="center"/>
          </w:tcPr>
          <w:p w14:paraId="1957C6BE">
            <w:pPr>
              <w:bidi w:val="0"/>
              <w:jc w:val="center"/>
              <w:rPr>
                <w:rFonts w:hint="default" w:eastAsia="宋体"/>
                <w:color w:val="auto"/>
                <w:sz w:val="21"/>
                <w:szCs w:val="21"/>
                <w:lang w:val="en-US" w:eastAsia="zh-CN"/>
              </w:rPr>
            </w:pPr>
            <w:r>
              <w:rPr>
                <w:rFonts w:hint="eastAsia"/>
                <w:color w:val="auto"/>
                <w:sz w:val="21"/>
                <w:szCs w:val="21"/>
                <w:lang w:val="en-US" w:eastAsia="zh-CN"/>
              </w:rPr>
              <w:t>10.82</w:t>
            </w:r>
          </w:p>
        </w:tc>
        <w:tc>
          <w:tcPr>
            <w:tcW w:w="674" w:type="pct"/>
            <w:vAlign w:val="center"/>
          </w:tcPr>
          <w:p w14:paraId="4B0959C3">
            <w:pPr>
              <w:bidi w:val="0"/>
              <w:jc w:val="center"/>
              <w:rPr>
                <w:rFonts w:hint="default" w:eastAsia="宋体"/>
                <w:color w:val="auto"/>
                <w:sz w:val="21"/>
                <w:szCs w:val="21"/>
                <w:lang w:val="en-US" w:eastAsia="zh-CN"/>
              </w:rPr>
            </w:pPr>
            <w:r>
              <w:rPr>
                <w:rFonts w:hint="eastAsia"/>
                <w:color w:val="auto"/>
                <w:sz w:val="21"/>
                <w:szCs w:val="21"/>
                <w:lang w:val="en-US" w:eastAsia="zh-CN"/>
              </w:rPr>
              <w:t>4.62</w:t>
            </w:r>
          </w:p>
        </w:tc>
        <w:tc>
          <w:tcPr>
            <w:tcW w:w="776" w:type="pct"/>
            <w:vAlign w:val="center"/>
          </w:tcPr>
          <w:p w14:paraId="7DF66A5E">
            <w:pPr>
              <w:bidi w:val="0"/>
              <w:jc w:val="center"/>
              <w:rPr>
                <w:rFonts w:hint="default" w:eastAsia="宋体"/>
                <w:color w:val="auto"/>
                <w:sz w:val="21"/>
                <w:szCs w:val="21"/>
                <w:lang w:val="en-US" w:eastAsia="zh-CN"/>
              </w:rPr>
            </w:pPr>
            <w:r>
              <w:rPr>
                <w:rFonts w:hint="eastAsia"/>
                <w:color w:val="auto"/>
                <w:sz w:val="21"/>
                <w:szCs w:val="21"/>
                <w:lang w:val="en-US" w:eastAsia="zh-CN"/>
              </w:rPr>
              <w:t>177.21</w:t>
            </w:r>
          </w:p>
        </w:tc>
        <w:tc>
          <w:tcPr>
            <w:tcW w:w="552" w:type="pct"/>
            <w:vAlign w:val="center"/>
          </w:tcPr>
          <w:p w14:paraId="65D87831">
            <w:pPr>
              <w:bidi w:val="0"/>
              <w:jc w:val="center"/>
              <w:rPr>
                <w:rFonts w:hint="default"/>
                <w:color w:val="auto"/>
                <w:sz w:val="21"/>
                <w:szCs w:val="21"/>
                <w:lang w:val="en-US"/>
              </w:rPr>
            </w:pPr>
            <w:r>
              <w:rPr>
                <w:rFonts w:hint="eastAsia"/>
                <w:color w:val="auto"/>
                <w:sz w:val="21"/>
                <w:szCs w:val="21"/>
                <w:lang w:val="en-US" w:eastAsia="zh-CN"/>
              </w:rPr>
              <w:t>评价/预探井转产能</w:t>
            </w:r>
          </w:p>
        </w:tc>
      </w:tr>
      <w:tr w14:paraId="473A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14:paraId="3F629E8E">
            <w:pPr>
              <w:bidi w:val="0"/>
              <w:jc w:val="center"/>
              <w:rPr>
                <w:rFonts w:hint="default"/>
                <w:color w:val="auto"/>
                <w:sz w:val="21"/>
                <w:szCs w:val="21"/>
                <w:lang w:val="en-US" w:eastAsia="zh-CN"/>
              </w:rPr>
            </w:pPr>
            <w:r>
              <w:rPr>
                <w:rFonts w:hint="eastAsia"/>
                <w:color w:val="auto"/>
                <w:sz w:val="21"/>
                <w:szCs w:val="21"/>
                <w:lang w:val="en-US" w:eastAsia="zh-CN"/>
              </w:rPr>
              <w:t>玛湖第三采油作业区</w:t>
            </w:r>
          </w:p>
        </w:tc>
        <w:tc>
          <w:tcPr>
            <w:tcW w:w="651" w:type="pct"/>
            <w:vAlign w:val="center"/>
          </w:tcPr>
          <w:p w14:paraId="4ADC06CF">
            <w:pPr>
              <w:bidi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127" w:type="pct"/>
            <w:vAlign w:val="center"/>
          </w:tcPr>
          <w:p w14:paraId="351FF6F0">
            <w:pPr>
              <w:bidi w:val="0"/>
              <w:jc w:val="center"/>
              <w:rPr>
                <w:rFonts w:hint="default" w:eastAsia="宋体"/>
                <w:color w:val="auto"/>
                <w:sz w:val="21"/>
                <w:szCs w:val="21"/>
                <w:lang w:val="en-US" w:eastAsia="zh-CN"/>
              </w:rPr>
            </w:pPr>
            <w:r>
              <w:rPr>
                <w:rFonts w:hint="eastAsia"/>
                <w:color w:val="auto"/>
                <w:sz w:val="21"/>
                <w:szCs w:val="21"/>
                <w:lang w:val="en-US" w:eastAsia="zh-CN"/>
              </w:rPr>
              <w:t>赛探1</w:t>
            </w:r>
          </w:p>
        </w:tc>
        <w:tc>
          <w:tcPr>
            <w:tcW w:w="674" w:type="pct"/>
            <w:vAlign w:val="center"/>
          </w:tcPr>
          <w:p w14:paraId="08FB1370">
            <w:pPr>
              <w:bidi w:val="0"/>
              <w:jc w:val="center"/>
              <w:rPr>
                <w:rFonts w:hint="default" w:eastAsia="宋体"/>
                <w:color w:val="auto"/>
                <w:sz w:val="21"/>
                <w:szCs w:val="21"/>
                <w:lang w:val="en-US" w:eastAsia="zh-CN"/>
              </w:rPr>
            </w:pPr>
            <w:r>
              <w:rPr>
                <w:rFonts w:hint="eastAsia"/>
                <w:color w:val="auto"/>
                <w:sz w:val="21"/>
                <w:szCs w:val="21"/>
                <w:lang w:val="en-US" w:eastAsia="zh-CN"/>
              </w:rPr>
              <w:t>3.93</w:t>
            </w:r>
          </w:p>
        </w:tc>
        <w:tc>
          <w:tcPr>
            <w:tcW w:w="674" w:type="pct"/>
            <w:vAlign w:val="center"/>
          </w:tcPr>
          <w:p w14:paraId="059A38DC">
            <w:pPr>
              <w:bidi w:val="0"/>
              <w:jc w:val="center"/>
              <w:rPr>
                <w:rFonts w:hint="eastAsia" w:eastAsia="宋体"/>
                <w:color w:val="auto"/>
                <w:sz w:val="21"/>
                <w:szCs w:val="21"/>
                <w:lang w:val="en-US" w:eastAsia="zh-CN"/>
              </w:rPr>
            </w:pPr>
            <w:r>
              <w:rPr>
                <w:rFonts w:hint="eastAsia"/>
                <w:color w:val="auto"/>
                <w:sz w:val="21"/>
                <w:szCs w:val="21"/>
                <w:lang w:val="en-US" w:eastAsia="zh-CN"/>
              </w:rPr>
              <w:t>0</w:t>
            </w:r>
          </w:p>
        </w:tc>
        <w:tc>
          <w:tcPr>
            <w:tcW w:w="776" w:type="pct"/>
            <w:vAlign w:val="center"/>
          </w:tcPr>
          <w:p w14:paraId="227AD7AB">
            <w:pPr>
              <w:bidi w:val="0"/>
              <w:jc w:val="center"/>
              <w:rPr>
                <w:rFonts w:hint="default" w:eastAsia="宋体"/>
                <w:color w:val="auto"/>
                <w:sz w:val="21"/>
                <w:szCs w:val="21"/>
                <w:lang w:val="en-US" w:eastAsia="zh-CN"/>
              </w:rPr>
            </w:pPr>
            <w:r>
              <w:rPr>
                <w:rFonts w:hint="eastAsia"/>
                <w:color w:val="auto"/>
                <w:sz w:val="21"/>
                <w:szCs w:val="21"/>
                <w:lang w:val="en-US" w:eastAsia="zh-CN"/>
              </w:rPr>
              <w:t>235.29</w:t>
            </w:r>
          </w:p>
        </w:tc>
        <w:tc>
          <w:tcPr>
            <w:tcW w:w="552" w:type="pct"/>
            <w:vAlign w:val="center"/>
          </w:tcPr>
          <w:p w14:paraId="20779978">
            <w:pPr>
              <w:bidi w:val="0"/>
              <w:jc w:val="center"/>
              <w:rPr>
                <w:rFonts w:hint="default" w:eastAsia="宋体"/>
                <w:color w:val="auto"/>
                <w:sz w:val="21"/>
                <w:szCs w:val="21"/>
                <w:lang w:val="en-US" w:eastAsia="zh-CN"/>
              </w:rPr>
            </w:pPr>
            <w:r>
              <w:rPr>
                <w:rFonts w:hint="eastAsia"/>
                <w:color w:val="auto"/>
                <w:sz w:val="21"/>
                <w:szCs w:val="21"/>
                <w:lang w:val="en-US" w:eastAsia="zh-CN"/>
              </w:rPr>
              <w:t>预探井转产能</w:t>
            </w:r>
          </w:p>
        </w:tc>
      </w:tr>
      <w:tr w14:paraId="48CD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restart"/>
            <w:vAlign w:val="center"/>
          </w:tcPr>
          <w:p w14:paraId="577D5A5B">
            <w:pPr>
              <w:bidi w:val="0"/>
              <w:jc w:val="center"/>
              <w:rPr>
                <w:rFonts w:hint="default"/>
                <w:color w:val="auto"/>
                <w:sz w:val="21"/>
                <w:szCs w:val="21"/>
                <w:lang w:val="en-US" w:eastAsia="zh-CN"/>
              </w:rPr>
            </w:pPr>
            <w:r>
              <w:rPr>
                <w:rFonts w:hint="eastAsia"/>
                <w:color w:val="auto"/>
                <w:sz w:val="21"/>
                <w:szCs w:val="21"/>
                <w:lang w:val="en-US" w:eastAsia="zh-CN"/>
              </w:rPr>
              <w:t>合计</w:t>
            </w:r>
          </w:p>
        </w:tc>
        <w:tc>
          <w:tcPr>
            <w:tcW w:w="651" w:type="pct"/>
            <w:vAlign w:val="center"/>
          </w:tcPr>
          <w:p w14:paraId="33C7E77F">
            <w:pPr>
              <w:bidi w:val="0"/>
              <w:jc w:val="center"/>
              <w:rPr>
                <w:rFonts w:hint="default"/>
                <w:color w:val="auto"/>
                <w:sz w:val="21"/>
                <w:szCs w:val="21"/>
                <w:lang w:val="en-US" w:eastAsia="zh-CN"/>
              </w:rPr>
            </w:pPr>
            <w:r>
              <w:rPr>
                <w:rFonts w:hint="eastAsia"/>
                <w:color w:val="auto"/>
                <w:sz w:val="21"/>
                <w:szCs w:val="21"/>
                <w:lang w:val="en-US" w:eastAsia="zh-CN"/>
              </w:rPr>
              <w:t>8</w:t>
            </w:r>
          </w:p>
        </w:tc>
        <w:tc>
          <w:tcPr>
            <w:tcW w:w="1127" w:type="pct"/>
            <w:vAlign w:val="center"/>
          </w:tcPr>
          <w:p w14:paraId="5432FD91">
            <w:pPr>
              <w:bidi w:val="0"/>
              <w:jc w:val="center"/>
              <w:rPr>
                <w:rFonts w:hint="default"/>
                <w:color w:val="auto"/>
                <w:sz w:val="21"/>
                <w:szCs w:val="21"/>
                <w:lang w:val="en-US" w:eastAsia="zh-CN"/>
              </w:rPr>
            </w:pPr>
            <w:r>
              <w:rPr>
                <w:rFonts w:hint="eastAsia"/>
                <w:color w:val="auto"/>
                <w:sz w:val="21"/>
                <w:szCs w:val="21"/>
                <w:lang w:val="en-US" w:eastAsia="zh-CN"/>
              </w:rPr>
              <w:t>全部位于塔城地区和布克赛尔蒙古自治县</w:t>
            </w:r>
          </w:p>
        </w:tc>
        <w:tc>
          <w:tcPr>
            <w:tcW w:w="674" w:type="pct"/>
            <w:vAlign w:val="center"/>
          </w:tcPr>
          <w:p w14:paraId="4AE71CFE">
            <w:pPr>
              <w:bidi w:val="0"/>
              <w:jc w:val="center"/>
              <w:rPr>
                <w:rFonts w:hint="default"/>
                <w:color w:val="auto"/>
                <w:sz w:val="21"/>
                <w:szCs w:val="21"/>
                <w:lang w:val="en-US" w:eastAsia="zh-CN"/>
              </w:rPr>
            </w:pPr>
            <w:r>
              <w:rPr>
                <w:rFonts w:hint="eastAsia"/>
                <w:color w:val="auto"/>
                <w:sz w:val="21"/>
                <w:szCs w:val="21"/>
                <w:lang w:val="en-US" w:eastAsia="zh-CN"/>
              </w:rPr>
              <w:t>3.45</w:t>
            </w:r>
          </w:p>
        </w:tc>
        <w:tc>
          <w:tcPr>
            <w:tcW w:w="674" w:type="pct"/>
            <w:vAlign w:val="center"/>
          </w:tcPr>
          <w:p w14:paraId="6B6C07A9">
            <w:pPr>
              <w:bidi w:val="0"/>
              <w:jc w:val="center"/>
              <w:rPr>
                <w:rFonts w:hint="default"/>
                <w:color w:val="auto"/>
                <w:sz w:val="21"/>
                <w:szCs w:val="21"/>
                <w:lang w:val="en-US" w:eastAsia="zh-CN"/>
              </w:rPr>
            </w:pPr>
            <w:r>
              <w:rPr>
                <w:rFonts w:hint="eastAsia"/>
                <w:color w:val="auto"/>
                <w:sz w:val="21"/>
                <w:szCs w:val="21"/>
                <w:lang w:val="en-US" w:eastAsia="zh-CN"/>
              </w:rPr>
              <w:t>1.63</w:t>
            </w:r>
          </w:p>
        </w:tc>
        <w:tc>
          <w:tcPr>
            <w:tcW w:w="776" w:type="pct"/>
            <w:vAlign w:val="center"/>
          </w:tcPr>
          <w:p w14:paraId="7165FE62">
            <w:pPr>
              <w:bidi w:val="0"/>
              <w:jc w:val="center"/>
              <w:rPr>
                <w:rFonts w:hint="default"/>
                <w:color w:val="auto"/>
                <w:sz w:val="21"/>
                <w:szCs w:val="21"/>
                <w:lang w:val="en-US" w:eastAsia="zh-CN"/>
              </w:rPr>
            </w:pPr>
            <w:r>
              <w:rPr>
                <w:rFonts w:hint="eastAsia"/>
                <w:color w:val="auto"/>
                <w:sz w:val="21"/>
                <w:szCs w:val="21"/>
                <w:lang w:val="en-US" w:eastAsia="zh-CN"/>
              </w:rPr>
              <w:t>57.97</w:t>
            </w:r>
          </w:p>
        </w:tc>
        <w:tc>
          <w:tcPr>
            <w:tcW w:w="552" w:type="pct"/>
            <w:vAlign w:val="center"/>
          </w:tcPr>
          <w:p w14:paraId="7D1D128D">
            <w:pPr>
              <w:bidi w:val="0"/>
              <w:jc w:val="center"/>
              <w:rPr>
                <w:rFonts w:hint="default"/>
                <w:color w:val="auto"/>
                <w:sz w:val="21"/>
                <w:szCs w:val="21"/>
                <w:lang w:val="en-US" w:eastAsia="zh-CN"/>
              </w:rPr>
            </w:pPr>
            <w:r>
              <w:rPr>
                <w:rFonts w:hint="eastAsia"/>
                <w:color w:val="auto"/>
                <w:sz w:val="21"/>
                <w:szCs w:val="21"/>
                <w:lang w:val="en-US" w:eastAsia="zh-CN"/>
              </w:rPr>
              <w:t>进密闭</w:t>
            </w:r>
          </w:p>
        </w:tc>
      </w:tr>
      <w:tr w14:paraId="4B80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continue"/>
            <w:vAlign w:val="center"/>
          </w:tcPr>
          <w:p w14:paraId="00C737A3">
            <w:pPr>
              <w:bidi w:val="0"/>
              <w:jc w:val="center"/>
              <w:rPr>
                <w:rFonts w:hint="eastAsia"/>
                <w:color w:val="auto"/>
                <w:sz w:val="21"/>
                <w:szCs w:val="21"/>
                <w:lang w:val="en-US" w:eastAsia="zh-CN"/>
              </w:rPr>
            </w:pPr>
          </w:p>
        </w:tc>
        <w:tc>
          <w:tcPr>
            <w:tcW w:w="651" w:type="pct"/>
            <w:vAlign w:val="center"/>
          </w:tcPr>
          <w:p w14:paraId="0D3B819B">
            <w:pPr>
              <w:bidi w:val="0"/>
              <w:jc w:val="center"/>
              <w:rPr>
                <w:rFonts w:hint="default"/>
                <w:color w:val="auto"/>
                <w:sz w:val="21"/>
                <w:szCs w:val="21"/>
                <w:lang w:val="en-US" w:eastAsia="zh-CN"/>
              </w:rPr>
            </w:pPr>
            <w:r>
              <w:rPr>
                <w:rFonts w:hint="eastAsia"/>
                <w:color w:val="auto"/>
                <w:sz w:val="21"/>
                <w:szCs w:val="21"/>
                <w:lang w:val="en-US" w:eastAsia="zh-CN"/>
              </w:rPr>
              <w:t>10</w:t>
            </w:r>
          </w:p>
        </w:tc>
        <w:tc>
          <w:tcPr>
            <w:tcW w:w="1127" w:type="pct"/>
            <w:vAlign w:val="center"/>
          </w:tcPr>
          <w:p w14:paraId="542326B7">
            <w:pPr>
              <w:bidi w:val="0"/>
              <w:jc w:val="center"/>
              <w:rPr>
                <w:rFonts w:hint="default"/>
                <w:color w:val="auto"/>
                <w:sz w:val="21"/>
                <w:szCs w:val="21"/>
                <w:lang w:val="en-US" w:eastAsia="zh-CN"/>
              </w:rPr>
            </w:pPr>
            <w:r>
              <w:rPr>
                <w:rFonts w:hint="eastAsia"/>
                <w:color w:val="auto"/>
                <w:sz w:val="21"/>
                <w:szCs w:val="21"/>
                <w:lang w:val="en-US" w:eastAsia="zh-CN"/>
              </w:rPr>
              <w:t>4口位于克拉玛依市乌尔禾区，6口位于塔城地区和布克赛尔蒙古自治县</w:t>
            </w:r>
          </w:p>
        </w:tc>
        <w:tc>
          <w:tcPr>
            <w:tcW w:w="674" w:type="pct"/>
            <w:vAlign w:val="center"/>
          </w:tcPr>
          <w:p w14:paraId="51496206">
            <w:pPr>
              <w:bidi w:val="0"/>
              <w:jc w:val="center"/>
              <w:rPr>
                <w:rFonts w:hint="default"/>
                <w:color w:val="auto"/>
                <w:sz w:val="21"/>
                <w:szCs w:val="21"/>
                <w:lang w:val="en-US" w:eastAsia="zh-CN"/>
              </w:rPr>
            </w:pPr>
            <w:r>
              <w:rPr>
                <w:rFonts w:hint="eastAsia"/>
                <w:color w:val="auto"/>
                <w:sz w:val="21"/>
                <w:szCs w:val="21"/>
                <w:lang w:val="en-US" w:eastAsia="zh-CN"/>
              </w:rPr>
              <w:t>20.03</w:t>
            </w:r>
          </w:p>
        </w:tc>
        <w:tc>
          <w:tcPr>
            <w:tcW w:w="674" w:type="pct"/>
            <w:vAlign w:val="center"/>
          </w:tcPr>
          <w:p w14:paraId="73DA70C3">
            <w:pPr>
              <w:bidi w:val="0"/>
              <w:jc w:val="center"/>
              <w:rPr>
                <w:rFonts w:hint="default"/>
                <w:color w:val="auto"/>
                <w:sz w:val="21"/>
                <w:szCs w:val="21"/>
                <w:lang w:val="en-US" w:eastAsia="zh-CN"/>
              </w:rPr>
            </w:pPr>
            <w:r>
              <w:rPr>
                <w:rFonts w:hint="eastAsia"/>
                <w:color w:val="auto"/>
                <w:sz w:val="21"/>
                <w:szCs w:val="21"/>
                <w:lang w:val="en-US" w:eastAsia="zh-CN"/>
              </w:rPr>
              <w:t>7.72</w:t>
            </w:r>
          </w:p>
        </w:tc>
        <w:tc>
          <w:tcPr>
            <w:tcW w:w="776" w:type="pct"/>
            <w:vAlign w:val="center"/>
          </w:tcPr>
          <w:p w14:paraId="22DE5A7D">
            <w:pPr>
              <w:bidi w:val="0"/>
              <w:jc w:val="center"/>
              <w:rPr>
                <w:rFonts w:hint="default"/>
                <w:color w:val="auto"/>
                <w:sz w:val="21"/>
                <w:szCs w:val="21"/>
                <w:lang w:val="en-US" w:eastAsia="zh-CN"/>
              </w:rPr>
            </w:pPr>
            <w:r>
              <w:rPr>
                <w:rFonts w:hint="eastAsia"/>
                <w:color w:val="auto"/>
                <w:sz w:val="21"/>
                <w:szCs w:val="21"/>
                <w:lang w:val="en-US" w:eastAsia="zh-CN"/>
              </w:rPr>
              <w:t>564.00</w:t>
            </w:r>
          </w:p>
        </w:tc>
        <w:tc>
          <w:tcPr>
            <w:tcW w:w="552" w:type="pct"/>
            <w:vAlign w:val="center"/>
          </w:tcPr>
          <w:p w14:paraId="1B504EBF">
            <w:pPr>
              <w:bidi w:val="0"/>
              <w:jc w:val="center"/>
              <w:rPr>
                <w:rFonts w:hint="default"/>
                <w:color w:val="auto"/>
                <w:sz w:val="21"/>
                <w:szCs w:val="21"/>
                <w:lang w:val="en-US" w:eastAsia="zh-CN"/>
              </w:rPr>
            </w:pPr>
            <w:r>
              <w:rPr>
                <w:rFonts w:hint="eastAsia"/>
                <w:color w:val="auto"/>
                <w:sz w:val="21"/>
                <w:szCs w:val="21"/>
                <w:lang w:val="en-US" w:eastAsia="zh-CN"/>
              </w:rPr>
              <w:t>转产能</w:t>
            </w:r>
          </w:p>
        </w:tc>
      </w:tr>
    </w:tbl>
    <w:p w14:paraId="0DB280E1">
      <w:pPr>
        <w:pStyle w:val="2"/>
        <w:bidi w:val="0"/>
        <w:rPr>
          <w:rFonts w:hint="default"/>
          <w:color w:val="auto"/>
          <w:lang w:val="en-US" w:eastAsia="zh-CN"/>
        </w:rPr>
      </w:pPr>
      <w:bookmarkStart w:id="160" w:name="_Toc16646"/>
      <w:r>
        <w:rPr>
          <w:rFonts w:hint="eastAsia"/>
          <w:color w:val="auto"/>
          <w:lang w:val="en-US" w:eastAsia="zh-CN"/>
        </w:rPr>
        <w:t>3.4主体工程</w:t>
      </w:r>
      <w:bookmarkEnd w:id="160"/>
    </w:p>
    <w:p w14:paraId="640FBD0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本次部署的18口井，其中10口井为评价井/预探井转产能井，8口井为产能井进密闭，2014年以后拟部署的钻井工程已开展了相应的环境影响评价工作，本次仅对各井建设的地面工程进行环境影响评价。钻井工程的环境影响；评价工作不在本次评价范围内。</w:t>
      </w:r>
    </w:p>
    <w:p w14:paraId="0ECCF7E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本工程主体工程包括采油工程、地面集输工程及配套辅助工程等。</w:t>
      </w:r>
    </w:p>
    <w:p w14:paraId="34988241">
      <w:pPr>
        <w:pStyle w:val="5"/>
        <w:bidi w:val="0"/>
        <w:rPr>
          <w:rFonts w:hint="default"/>
          <w:color w:val="auto"/>
          <w:lang w:val="en-US" w:eastAsia="zh-CN"/>
        </w:rPr>
      </w:pPr>
      <w:r>
        <w:rPr>
          <w:rFonts w:hint="eastAsia"/>
          <w:color w:val="auto"/>
          <w:lang w:val="en-US" w:eastAsia="zh-CN"/>
        </w:rPr>
        <w:t>3.4.1采油工程</w:t>
      </w:r>
    </w:p>
    <w:p w14:paraId="4572256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本工程均采用机械开采的方式，井场配备14型游梁式抽油机，配套电机功率37kW。</w:t>
      </w:r>
    </w:p>
    <w:p w14:paraId="6CADD816">
      <w:pPr>
        <w:pStyle w:val="5"/>
        <w:bidi w:val="0"/>
        <w:rPr>
          <w:rFonts w:hint="default"/>
          <w:color w:val="auto"/>
          <w:lang w:val="en-US" w:eastAsia="zh-CN"/>
        </w:rPr>
      </w:pPr>
      <w:r>
        <w:rPr>
          <w:rFonts w:hint="eastAsia"/>
          <w:color w:val="auto"/>
          <w:lang w:val="en-US" w:eastAsia="zh-CN"/>
        </w:rPr>
        <w:t>3.4.2地面集输工程</w:t>
      </w:r>
    </w:p>
    <w:p w14:paraId="5E3E7C0B">
      <w:pPr>
        <w:pStyle w:val="6"/>
        <w:bidi w:val="0"/>
        <w:rPr>
          <w:rFonts w:hint="default"/>
          <w:color w:val="auto"/>
          <w:lang w:val="en-US" w:eastAsia="zh-CN"/>
        </w:rPr>
      </w:pPr>
      <w:r>
        <w:rPr>
          <w:rFonts w:hint="eastAsia"/>
          <w:color w:val="auto"/>
          <w:lang w:val="en-US" w:eastAsia="zh-CN"/>
        </w:rPr>
        <w:t>3.4.2.1集输工艺</w:t>
      </w:r>
    </w:p>
    <w:p w14:paraId="19F9043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本次部署的18口井均采用密闭集输工艺，油区内已建有完善的油气集输管网及计量站，均可依托附近已建集输管网，具体情况如下：</w:t>
      </w:r>
    </w:p>
    <w:p w14:paraId="02864F2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b w:val="0"/>
          <w:bCs w:val="0"/>
          <w:color w:val="auto"/>
          <w:sz w:val="24"/>
          <w:szCs w:val="24"/>
          <w:lang w:val="en-US" w:eastAsia="zh-CN"/>
        </w:rPr>
        <w:t>百21采油作业区：</w:t>
      </w:r>
      <w:r>
        <w:rPr>
          <w:rFonts w:hint="eastAsia"/>
          <w:color w:val="auto"/>
          <w:sz w:val="24"/>
          <w:szCs w:val="24"/>
          <w:lang w:val="en-US" w:eastAsia="zh-CN"/>
        </w:rPr>
        <w:t>采用二级布站密闭生产，即井口→计量站→百口泉注输联合站（以下均简称“百联站”）。</w:t>
      </w:r>
    </w:p>
    <w:p w14:paraId="641B4BA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玛湖第一采油作业区：采用三级布站密闭生产，即井口→计量站→玛2转油站→百联站。</w:t>
      </w:r>
    </w:p>
    <w:p w14:paraId="5FCC443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玛湖第二采油作业区：采用三级布站密闭生产，即井口→计量站→玛131转油站→百联站。</w:t>
      </w:r>
    </w:p>
    <w:p w14:paraId="5FED9E6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玛湖第三采油作业区：采用三级布站密闭生产，即井口→计量站→玛18转油站→百联站。</w:t>
      </w:r>
    </w:p>
    <w:p w14:paraId="2097C4B5">
      <w:pPr>
        <w:pStyle w:val="6"/>
        <w:bidi w:val="0"/>
        <w:rPr>
          <w:rFonts w:hint="default"/>
          <w:color w:val="auto"/>
          <w:lang w:val="en-US" w:eastAsia="zh-CN"/>
        </w:rPr>
      </w:pPr>
      <w:r>
        <w:rPr>
          <w:rFonts w:hint="eastAsia"/>
          <w:color w:val="auto"/>
          <w:lang w:val="en-US" w:eastAsia="zh-CN"/>
        </w:rPr>
        <w:t>3.4.2.2集输方案</w:t>
      </w:r>
    </w:p>
    <w:p w14:paraId="5664A88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本次共建设</w:t>
      </w:r>
      <w:r>
        <w:rPr>
          <w:rFonts w:hint="eastAsia" w:eastAsia="宋体"/>
          <w:color w:val="auto"/>
          <w:sz w:val="24"/>
          <w:szCs w:val="24"/>
          <w:lang w:val="en-US" w:eastAsia="zh-CN"/>
        </w:rPr>
        <w:t>单井</w:t>
      </w:r>
      <w:r>
        <w:rPr>
          <w:rFonts w:hint="eastAsia"/>
          <w:color w:val="auto"/>
          <w:sz w:val="24"/>
          <w:szCs w:val="24"/>
          <w:lang w:val="en-US" w:eastAsia="zh-CN"/>
        </w:rPr>
        <w:t>集油</w:t>
      </w:r>
      <w:r>
        <w:rPr>
          <w:rFonts w:hint="eastAsia" w:eastAsia="宋体"/>
          <w:color w:val="auto"/>
          <w:sz w:val="24"/>
          <w:szCs w:val="24"/>
          <w:lang w:val="en-US" w:eastAsia="zh-CN"/>
        </w:rPr>
        <w:t>管线</w:t>
      </w:r>
      <w:r>
        <w:rPr>
          <w:rFonts w:hint="eastAsia"/>
          <w:color w:val="auto"/>
          <w:sz w:val="24"/>
          <w:szCs w:val="24"/>
          <w:lang w:val="en-US" w:eastAsia="zh-CN"/>
        </w:rPr>
        <w:t>20.71</w:t>
      </w:r>
      <w:r>
        <w:rPr>
          <w:rFonts w:hint="default" w:eastAsia="宋体"/>
          <w:color w:val="auto"/>
          <w:sz w:val="24"/>
          <w:szCs w:val="24"/>
          <w:lang w:val="en-US" w:eastAsia="zh-CN"/>
        </w:rPr>
        <w:t>km</w:t>
      </w:r>
      <w:r>
        <w:rPr>
          <w:rFonts w:hint="eastAsia" w:eastAsia="宋体"/>
          <w:color w:val="auto"/>
          <w:sz w:val="24"/>
          <w:szCs w:val="24"/>
          <w:lang w:val="en-US" w:eastAsia="zh-CN"/>
        </w:rPr>
        <w:t>（其中乌尔禾区内</w:t>
      </w:r>
      <w:r>
        <w:rPr>
          <w:rFonts w:hint="eastAsia"/>
          <w:color w:val="auto"/>
          <w:sz w:val="24"/>
          <w:szCs w:val="24"/>
          <w:lang w:val="en-US" w:eastAsia="zh-CN"/>
        </w:rPr>
        <w:t>7.92</w:t>
      </w:r>
      <w:r>
        <w:rPr>
          <w:rFonts w:hint="default" w:eastAsia="宋体"/>
          <w:color w:val="auto"/>
          <w:sz w:val="24"/>
          <w:szCs w:val="24"/>
          <w:lang w:val="en-US" w:eastAsia="zh-CN"/>
        </w:rPr>
        <w:t>km</w:t>
      </w:r>
      <w:r>
        <w:rPr>
          <w:rFonts w:hint="eastAsia" w:eastAsia="宋体"/>
          <w:color w:val="auto"/>
          <w:sz w:val="24"/>
          <w:szCs w:val="24"/>
          <w:lang w:val="en-US" w:eastAsia="zh-CN"/>
        </w:rPr>
        <w:t>，和布克赛尔蒙古自治县内</w:t>
      </w:r>
      <w:r>
        <w:rPr>
          <w:rFonts w:hint="eastAsia"/>
          <w:color w:val="auto"/>
          <w:sz w:val="24"/>
          <w:szCs w:val="24"/>
          <w:lang w:val="en-US" w:eastAsia="zh-CN"/>
        </w:rPr>
        <w:t>12.79</w:t>
      </w:r>
      <w:r>
        <w:rPr>
          <w:rFonts w:hint="default" w:eastAsia="宋体"/>
          <w:color w:val="auto"/>
          <w:sz w:val="24"/>
          <w:szCs w:val="24"/>
          <w:lang w:val="en-US" w:eastAsia="zh-CN"/>
        </w:rPr>
        <w:t>km</w:t>
      </w:r>
      <w:r>
        <w:rPr>
          <w:rFonts w:hint="eastAsia" w:eastAsia="宋体"/>
          <w:color w:val="auto"/>
          <w:sz w:val="24"/>
          <w:szCs w:val="24"/>
          <w:lang w:val="en-US" w:eastAsia="zh-CN"/>
        </w:rPr>
        <w:t>）</w:t>
      </w:r>
      <w:r>
        <w:rPr>
          <w:rFonts w:hint="eastAsia"/>
          <w:color w:val="auto"/>
          <w:sz w:val="24"/>
          <w:szCs w:val="24"/>
          <w:lang w:val="en-US" w:eastAsia="zh-CN"/>
        </w:rPr>
        <w:t>，在百79井沿线新建3座阀池，管线均埋地敷设，部分采用保温敷设，管底标高-1.80m。根据本工程方案，本次拟建管线大开挖穿越油田内部简易道路2处，</w:t>
      </w:r>
      <w:r>
        <w:rPr>
          <w:rFonts w:hint="default" w:ascii="Times New Roman" w:hAnsi="Times New Roman" w:eastAsia="宋体" w:cs="Times New Roman"/>
          <w:b w:val="0"/>
          <w:color w:val="auto"/>
        </w:rPr>
        <w:t>并设套管保护，穿越完毕后恢复原有路面</w:t>
      </w:r>
      <w:r>
        <w:rPr>
          <w:rFonts w:hint="eastAsia" w:ascii="Times New Roman" w:hAnsi="Times New Roman" w:eastAsia="宋体" w:cs="Times New Roman"/>
          <w:b w:val="0"/>
          <w:color w:val="auto"/>
          <w:lang w:eastAsia="zh-CN"/>
        </w:rPr>
        <w:t>；</w:t>
      </w:r>
      <w:r>
        <w:rPr>
          <w:rFonts w:hint="eastAsia"/>
          <w:color w:val="auto"/>
          <w:sz w:val="24"/>
          <w:szCs w:val="24"/>
          <w:lang w:val="en-US" w:eastAsia="zh-CN"/>
        </w:rPr>
        <w:t>顶管穿越油田沥青道路3处和防洪坝1处。本工程管线建设情况见表3.4-1，管线路由示意图情况见图3.4-1。</w:t>
      </w:r>
    </w:p>
    <w:p w14:paraId="328AF6B8">
      <w:pPr>
        <w:pStyle w:val="43"/>
        <w:bidi w:val="0"/>
        <w:rPr>
          <w:rFonts w:hint="default"/>
          <w:color w:val="auto"/>
          <w:lang w:val="en-US" w:eastAsia="zh-CN"/>
        </w:rPr>
      </w:pPr>
      <w:r>
        <w:rPr>
          <w:rFonts w:hint="eastAsia"/>
          <w:color w:val="auto"/>
          <w:lang w:val="en-US" w:eastAsia="zh-CN"/>
        </w:rPr>
        <w:t>表3.4-1  管线建设情况一览表</w:t>
      </w:r>
    </w:p>
    <w:tbl>
      <w:tblPr>
        <w:tblStyle w:val="2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1"/>
        <w:gridCol w:w="1274"/>
        <w:gridCol w:w="1688"/>
        <w:gridCol w:w="1615"/>
        <w:gridCol w:w="2053"/>
        <w:gridCol w:w="1286"/>
      </w:tblGrid>
      <w:tr w14:paraId="4BDA4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122553">
            <w:pPr>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序号</w:t>
            </w:r>
          </w:p>
        </w:tc>
        <w:tc>
          <w:tcPr>
            <w:tcW w:w="7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0DF7E7">
            <w:pPr>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作业区</w:t>
            </w:r>
          </w:p>
        </w:tc>
        <w:tc>
          <w:tcPr>
            <w:tcW w:w="9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4EB22">
            <w:pPr>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井号</w:t>
            </w:r>
          </w:p>
        </w:tc>
        <w:tc>
          <w:tcPr>
            <w:tcW w:w="9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E7D76">
            <w:pPr>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终点</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9FA61">
            <w:pPr>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管道参数</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FA56B">
            <w:pPr>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长度</w:t>
            </w:r>
          </w:p>
        </w:tc>
      </w:tr>
      <w:tr w14:paraId="4183E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806DA">
            <w:pPr>
              <w:bidi w:val="0"/>
              <w:jc w:val="center"/>
              <w:rPr>
                <w:rFonts w:hint="default" w:ascii="Times New Roman" w:hAnsi="Times New Roman" w:cs="Times New Roman"/>
                <w:b/>
                <w:bCs/>
                <w:color w:val="auto"/>
                <w:sz w:val="21"/>
                <w:szCs w:val="21"/>
              </w:rPr>
            </w:pPr>
          </w:p>
        </w:tc>
        <w:tc>
          <w:tcPr>
            <w:tcW w:w="7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7F111">
            <w:pPr>
              <w:bidi w:val="0"/>
              <w:jc w:val="center"/>
              <w:rPr>
                <w:rFonts w:hint="default" w:ascii="Times New Roman" w:hAnsi="Times New Roman" w:cs="Times New Roman"/>
                <w:b/>
                <w:bCs/>
                <w:color w:val="auto"/>
                <w:sz w:val="21"/>
                <w:szCs w:val="21"/>
              </w:rPr>
            </w:pPr>
          </w:p>
        </w:tc>
        <w:tc>
          <w:tcPr>
            <w:tcW w:w="9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97ECB">
            <w:pPr>
              <w:bidi w:val="0"/>
              <w:jc w:val="center"/>
              <w:rPr>
                <w:rFonts w:hint="default" w:ascii="Times New Roman" w:hAnsi="Times New Roman" w:cs="Times New Roman"/>
                <w:b/>
                <w:bCs/>
                <w:color w:val="auto"/>
                <w:sz w:val="21"/>
                <w:szCs w:val="21"/>
              </w:rPr>
            </w:pPr>
          </w:p>
        </w:tc>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5C54A">
            <w:pPr>
              <w:bidi w:val="0"/>
              <w:jc w:val="center"/>
              <w:rPr>
                <w:rFonts w:hint="default" w:ascii="Times New Roman" w:hAnsi="Times New Roman" w:cs="Times New Roman"/>
                <w:b/>
                <w:bCs/>
                <w:color w:val="auto"/>
                <w:sz w:val="21"/>
                <w:szCs w:val="21"/>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9631A">
            <w:pPr>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(mm)</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85036">
            <w:pPr>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(km)</w:t>
            </w:r>
          </w:p>
        </w:tc>
      </w:tr>
      <w:tr w14:paraId="7741C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5C6E1">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0550B">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百21采油作业区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6F4E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百209H</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40CD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b7271</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78054">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DN50 2.5MPa  无缝钢管</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1BB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0.68</w:t>
            </w:r>
          </w:p>
        </w:tc>
      </w:tr>
      <w:tr w14:paraId="4C65F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D0F21">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F6E1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百21采油作业区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2298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百79</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7CB4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43#站</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5F7D6">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DN150 PN3.5MPa 玻璃钢管（保温）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931EE">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w:t>
            </w:r>
          </w:p>
        </w:tc>
      </w:tr>
      <w:tr w14:paraId="2CBC9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976D6">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FC367">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百21采油作业区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8D51">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百791</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D7711">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串接至百79</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0EED3">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DN80 PN2.5MPa玻璃钢管</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79354">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1.79</w:t>
            </w:r>
          </w:p>
        </w:tc>
      </w:tr>
      <w:tr w14:paraId="4117B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36EE2">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7194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百21采油作业区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5CB63">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百76</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329E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百79新建阀池</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3D867">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DN50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C56CB">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1.25</w:t>
            </w:r>
          </w:p>
        </w:tc>
      </w:tr>
      <w:tr w14:paraId="51A50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18BE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751C3">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玛湖第一采油作业区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478E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Ma20024_H</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0933C">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MaWH2069</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952B2">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7275">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0.81</w:t>
            </w:r>
          </w:p>
        </w:tc>
      </w:tr>
      <w:tr w14:paraId="53E37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E60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D8788">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玛湖第一采油作业区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746A4">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Ma20023_H</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ECEA7">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玛一7#站</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0D779">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79A78">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0.73</w:t>
            </w:r>
          </w:p>
        </w:tc>
      </w:tr>
      <w:tr w14:paraId="64578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F12D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DE04F">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玛湖第一采油作业区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0024F">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DM2721</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87DE8">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MaHW2028</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C3D37">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66A32">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0.12</w:t>
            </w:r>
          </w:p>
        </w:tc>
      </w:tr>
      <w:tr w14:paraId="256E7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F614E">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B2DA">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B184C">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玛62</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02BB9">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2#计量站</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0F932">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DN80 PN2.5MPa玻璃钢管（已到货）</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3243">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0.7</w:t>
            </w:r>
          </w:p>
        </w:tc>
      </w:tr>
      <w:tr w14:paraId="77257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CF02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3E10">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49D9A">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夏91_H</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FE55D">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夏725阀池</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47611">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DN80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4FFEF">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1.21</w:t>
            </w:r>
          </w:p>
        </w:tc>
      </w:tr>
      <w:tr w14:paraId="48C51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EDAD0">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F3106">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108C6">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夏92_H</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DAF95">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夏725阀池</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0B72F">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DN65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7B04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1.06</w:t>
            </w:r>
          </w:p>
        </w:tc>
      </w:tr>
      <w:tr w14:paraId="56A8F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E180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7A2FF">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62FC0">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夏724</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4220A">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串接至夏203</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101F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DN65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4F04D">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0.66</w:t>
            </w:r>
          </w:p>
        </w:tc>
      </w:tr>
      <w:tr w14:paraId="579C5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0BCB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0C935">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2DA8A">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XHW7202</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26C06">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串接至夏91_H</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10657">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C9E60">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1.05</w:t>
            </w:r>
          </w:p>
        </w:tc>
      </w:tr>
      <w:tr w14:paraId="57289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96DD8">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72EC">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419AD">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夏202</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901DE">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串接至XHW7202</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5BE47">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B9234">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0.95</w:t>
            </w:r>
          </w:p>
        </w:tc>
      </w:tr>
      <w:tr w14:paraId="626DE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F4E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836F6">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461B9">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夏203</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25084">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串接至夏92_H</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39F7D">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DN65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69843">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1.13</w:t>
            </w:r>
          </w:p>
        </w:tc>
      </w:tr>
      <w:tr w14:paraId="3D0ED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5AC38">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51CF8">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527A6">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玛61</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5B692">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串接至夏724</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8FFF9">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DN65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28FF">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w:t>
            </w:r>
          </w:p>
        </w:tc>
      </w:tr>
      <w:tr w14:paraId="5976C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31ED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72D23">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D7E1D">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夏209</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ED30">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1104阀池</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93AB6">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 PN2.5MPa柔性复合管（保温）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B6980">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0.87</w:t>
            </w:r>
          </w:p>
        </w:tc>
      </w:tr>
      <w:tr w14:paraId="642A9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B06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2DEB5">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玛湖第二采油作业区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ECDF4">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夏207H</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0DCB4">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27号站</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E16F0">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DN80 2.5MPa 柔性复合管</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871A9">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r>
      <w:tr w14:paraId="5692F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B37EE">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B6D19">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玛湖第三采油作业区</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467BF">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赛探1</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9947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艾湖30#站阀池</w:t>
            </w:r>
          </w:p>
        </w:tc>
        <w:tc>
          <w:tcPr>
            <w:tcW w:w="1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D4882">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DN150 PN3.5MPa 玻璃钢管（保温）</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1298A">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0.9</w:t>
            </w:r>
          </w:p>
        </w:tc>
      </w:tr>
      <w:tr w14:paraId="3F120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24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DA3983">
            <w:pPr>
              <w:bidi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3729F">
            <w:pPr>
              <w:bidi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20.71</w:t>
            </w:r>
          </w:p>
        </w:tc>
      </w:tr>
    </w:tbl>
    <w:p w14:paraId="3BA9191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0F48DA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84" w:hRule="exact"/>
        </w:trPr>
        <w:tc>
          <w:tcPr>
            <w:tcW w:w="8522" w:type="dxa"/>
            <w:tcBorders>
              <w:tl2br w:val="nil"/>
              <w:tr2bl w:val="nil"/>
            </w:tcBorders>
            <w:vAlign w:val="center"/>
          </w:tcPr>
          <w:p w14:paraId="63BCA22A">
            <w:pPr>
              <w:jc w:val="center"/>
              <w:rPr>
                <w:color w:val="auto"/>
                <w:vertAlign w:val="baseline"/>
              </w:rPr>
            </w:pPr>
          </w:p>
        </w:tc>
      </w:tr>
      <w:tr w14:paraId="0DD734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6FA2840C">
            <w:pPr>
              <w:jc w:val="center"/>
              <w:rPr>
                <w:rFonts w:hint="default" w:eastAsia="宋体"/>
                <w:color w:val="auto"/>
                <w:vertAlign w:val="baseline"/>
                <w:lang w:val="en-US" w:eastAsia="zh-CN"/>
              </w:rPr>
            </w:pPr>
            <w:r>
              <w:rPr>
                <w:rFonts w:hint="eastAsia"/>
                <w:b/>
                <w:bCs/>
                <w:color w:val="auto"/>
                <w:vertAlign w:val="baseline"/>
                <w:lang w:val="en-US" w:eastAsia="zh-CN"/>
              </w:rPr>
              <w:t>图3.4-1（a）  百209H井集输示意图</w:t>
            </w:r>
          </w:p>
        </w:tc>
      </w:tr>
      <w:tr w14:paraId="0F8C3A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53" w:hRule="exact"/>
        </w:trPr>
        <w:tc>
          <w:tcPr>
            <w:tcW w:w="8522" w:type="dxa"/>
            <w:tcBorders>
              <w:tl2br w:val="nil"/>
              <w:tr2bl w:val="nil"/>
            </w:tcBorders>
            <w:vAlign w:val="center"/>
          </w:tcPr>
          <w:p w14:paraId="26C81A05">
            <w:pPr>
              <w:jc w:val="center"/>
              <w:rPr>
                <w:rFonts w:hint="eastAsia"/>
                <w:color w:val="auto"/>
                <w:vertAlign w:val="baseline"/>
                <w:lang w:val="en-US" w:eastAsia="zh-CN"/>
              </w:rPr>
            </w:pPr>
          </w:p>
        </w:tc>
      </w:tr>
      <w:tr w14:paraId="5B0B52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5DCCAC02">
            <w:pPr>
              <w:jc w:val="center"/>
              <w:rPr>
                <w:rFonts w:hint="default"/>
                <w:color w:val="auto"/>
                <w:vertAlign w:val="baseline"/>
                <w:lang w:val="en-US" w:eastAsia="zh-CN"/>
              </w:rPr>
            </w:pPr>
            <w:r>
              <w:rPr>
                <w:rFonts w:hint="eastAsia"/>
                <w:b/>
                <w:bCs/>
                <w:color w:val="auto"/>
                <w:vertAlign w:val="baseline"/>
                <w:lang w:val="en-US" w:eastAsia="zh-CN"/>
              </w:rPr>
              <w:t>图3.4-1（b）  百791、百79、百76井集输示意图</w:t>
            </w:r>
          </w:p>
        </w:tc>
      </w:tr>
      <w:tr w14:paraId="7A57C0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49" w:hRule="exact"/>
        </w:trPr>
        <w:tc>
          <w:tcPr>
            <w:tcW w:w="8522" w:type="dxa"/>
            <w:tcBorders>
              <w:tl2br w:val="nil"/>
              <w:tr2bl w:val="nil"/>
            </w:tcBorders>
            <w:vAlign w:val="center"/>
          </w:tcPr>
          <w:p w14:paraId="37CA94C9">
            <w:pPr>
              <w:jc w:val="center"/>
              <w:rPr>
                <w:rFonts w:hint="eastAsia"/>
                <w:b/>
                <w:bCs/>
                <w:color w:val="auto"/>
                <w:vertAlign w:val="baseline"/>
                <w:lang w:val="en-US" w:eastAsia="zh-CN"/>
              </w:rPr>
            </w:pPr>
          </w:p>
        </w:tc>
      </w:tr>
      <w:tr w14:paraId="3ED8B8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0B337DD5">
            <w:pPr>
              <w:jc w:val="center"/>
              <w:rPr>
                <w:rFonts w:hint="default"/>
                <w:b/>
                <w:bCs/>
                <w:color w:val="auto"/>
                <w:vertAlign w:val="baseline"/>
                <w:lang w:val="en-US" w:eastAsia="zh-CN"/>
              </w:rPr>
            </w:pPr>
            <w:r>
              <w:rPr>
                <w:rFonts w:hint="eastAsia"/>
                <w:b/>
                <w:bCs/>
                <w:color w:val="auto"/>
                <w:vertAlign w:val="baseline"/>
                <w:lang w:val="en-US" w:eastAsia="zh-CN"/>
              </w:rPr>
              <w:t>图3.4-1（c）  DA2721井集输示意图</w:t>
            </w:r>
          </w:p>
        </w:tc>
      </w:tr>
      <w:tr w14:paraId="50FDF6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7" w:hRule="exact"/>
        </w:trPr>
        <w:tc>
          <w:tcPr>
            <w:tcW w:w="8522" w:type="dxa"/>
            <w:tcBorders>
              <w:tl2br w:val="nil"/>
              <w:tr2bl w:val="nil"/>
            </w:tcBorders>
            <w:vAlign w:val="center"/>
          </w:tcPr>
          <w:p w14:paraId="775206EA">
            <w:pPr>
              <w:jc w:val="center"/>
              <w:rPr>
                <w:rFonts w:hint="eastAsia"/>
                <w:b/>
                <w:bCs/>
                <w:color w:val="auto"/>
                <w:vertAlign w:val="baseline"/>
                <w:lang w:val="en-US" w:eastAsia="zh-CN"/>
              </w:rPr>
            </w:pPr>
          </w:p>
        </w:tc>
      </w:tr>
      <w:tr w14:paraId="2FAB63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6A3F9253">
            <w:pPr>
              <w:jc w:val="center"/>
              <w:rPr>
                <w:rFonts w:hint="default"/>
                <w:b/>
                <w:bCs/>
                <w:color w:val="auto"/>
                <w:vertAlign w:val="baseline"/>
                <w:lang w:val="en-US" w:eastAsia="zh-CN"/>
              </w:rPr>
            </w:pPr>
            <w:r>
              <w:rPr>
                <w:rFonts w:hint="eastAsia"/>
                <w:b/>
                <w:bCs/>
                <w:color w:val="auto"/>
                <w:vertAlign w:val="baseline"/>
                <w:lang w:val="en-US" w:eastAsia="zh-CN"/>
              </w:rPr>
              <w:t>图3.4-1（d）  Ma20023_H、Ma20024_H井集输示意图</w:t>
            </w:r>
          </w:p>
        </w:tc>
      </w:tr>
      <w:tr w14:paraId="2E6766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79" w:hRule="exact"/>
        </w:trPr>
        <w:tc>
          <w:tcPr>
            <w:tcW w:w="8522" w:type="dxa"/>
            <w:tcBorders>
              <w:tl2br w:val="nil"/>
              <w:tr2bl w:val="nil"/>
            </w:tcBorders>
            <w:vAlign w:val="center"/>
          </w:tcPr>
          <w:p w14:paraId="6D5569FB">
            <w:pPr>
              <w:keepNext w:val="0"/>
              <w:keepLines w:val="0"/>
              <w:pageBreakBefore w:val="0"/>
              <w:widowControl w:val="0"/>
              <w:kinsoku/>
              <w:wordWrap/>
              <w:overflowPunct/>
              <w:topLinePunct w:val="0"/>
              <w:autoSpaceDE/>
              <w:autoSpaceDN/>
              <w:bidi w:val="0"/>
              <w:adjustRightInd w:val="0"/>
              <w:snapToGrid/>
              <w:spacing w:line="360" w:lineRule="auto"/>
              <w:ind w:firstLine="527" w:firstLineChars="250"/>
              <w:jc w:val="center"/>
              <w:textAlignment w:val="auto"/>
              <w:rPr>
                <w:rFonts w:hint="eastAsia"/>
                <w:b/>
                <w:bCs/>
                <w:color w:val="auto"/>
                <w:vertAlign w:val="baseline"/>
                <w:lang w:val="en-US" w:eastAsia="zh-CN"/>
              </w:rPr>
            </w:pPr>
          </w:p>
        </w:tc>
      </w:tr>
      <w:tr w14:paraId="3CAC18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522" w:type="dxa"/>
            <w:tcBorders>
              <w:tl2br w:val="nil"/>
              <w:tr2bl w:val="nil"/>
            </w:tcBorders>
            <w:vAlign w:val="center"/>
          </w:tcPr>
          <w:p w14:paraId="00714542">
            <w:pPr>
              <w:keepNext w:val="0"/>
              <w:keepLines w:val="0"/>
              <w:pageBreakBefore w:val="0"/>
              <w:widowControl w:val="0"/>
              <w:kinsoku/>
              <w:wordWrap/>
              <w:overflowPunct/>
              <w:topLinePunct w:val="0"/>
              <w:autoSpaceDE/>
              <w:autoSpaceDN/>
              <w:bidi w:val="0"/>
              <w:adjustRightInd w:val="0"/>
              <w:snapToGrid/>
              <w:spacing w:line="240" w:lineRule="auto"/>
              <w:ind w:firstLine="527" w:firstLineChars="25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1"/>
                <w:szCs w:val="20"/>
                <w:lang w:val="en-US" w:eastAsia="zh-CN"/>
              </w:rPr>
              <w:t>图3.4-1（e）  7口井集输示意图</w:t>
            </w:r>
          </w:p>
        </w:tc>
      </w:tr>
      <w:tr w14:paraId="63F2D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5" w:hRule="exact"/>
        </w:trPr>
        <w:tc>
          <w:tcPr>
            <w:tcW w:w="8522" w:type="dxa"/>
            <w:tcBorders>
              <w:tl2br w:val="nil"/>
              <w:tr2bl w:val="nil"/>
            </w:tcBorders>
            <w:vAlign w:val="center"/>
          </w:tcPr>
          <w:p w14:paraId="5711D9E2">
            <w:pPr>
              <w:keepNext w:val="0"/>
              <w:keepLines w:val="0"/>
              <w:widowControl/>
              <w:suppressLineNumbers w:val="0"/>
              <w:jc w:val="center"/>
              <w:rPr>
                <w:rFonts w:hint="eastAsia" w:ascii="Times New Roman" w:hAnsi="Times New Roman" w:eastAsia="宋体" w:cs="Times New Roman"/>
                <w:b/>
                <w:bCs/>
                <w:color w:val="auto"/>
                <w:sz w:val="21"/>
                <w:szCs w:val="20"/>
                <w:lang w:val="en-US" w:eastAsia="zh-CN"/>
              </w:rPr>
            </w:pPr>
          </w:p>
        </w:tc>
      </w:tr>
      <w:tr w14:paraId="70A6BB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522" w:type="dxa"/>
            <w:tcBorders>
              <w:tl2br w:val="nil"/>
              <w:tr2bl w:val="nil"/>
            </w:tcBorders>
            <w:vAlign w:val="center"/>
          </w:tcPr>
          <w:p w14:paraId="703FF477">
            <w:pPr>
              <w:keepNext w:val="0"/>
              <w:keepLines w:val="0"/>
              <w:pageBreakBefore w:val="0"/>
              <w:widowControl w:val="0"/>
              <w:kinsoku/>
              <w:wordWrap/>
              <w:overflowPunct/>
              <w:topLinePunct w:val="0"/>
              <w:autoSpaceDE/>
              <w:autoSpaceDN/>
              <w:bidi w:val="0"/>
              <w:adjustRightInd w:val="0"/>
              <w:snapToGrid/>
              <w:spacing w:line="240" w:lineRule="auto"/>
              <w:ind w:firstLine="527" w:firstLineChars="250"/>
              <w:jc w:val="center"/>
              <w:textAlignment w:val="auto"/>
              <w:rPr>
                <w:rFonts w:hint="default" w:ascii="Times New Roman" w:hAnsi="Times New Roman" w:eastAsia="宋体" w:cs="Times New Roman"/>
                <w:b/>
                <w:bCs/>
                <w:color w:val="auto"/>
                <w:sz w:val="21"/>
                <w:szCs w:val="20"/>
                <w:lang w:val="en-US" w:eastAsia="zh-CN"/>
              </w:rPr>
            </w:pPr>
            <w:r>
              <w:rPr>
                <w:rFonts w:hint="eastAsia" w:ascii="Times New Roman" w:hAnsi="Times New Roman" w:eastAsia="宋体" w:cs="Times New Roman"/>
                <w:b/>
                <w:bCs/>
                <w:color w:val="auto"/>
                <w:sz w:val="21"/>
                <w:szCs w:val="20"/>
                <w:lang w:val="en-US" w:eastAsia="zh-CN"/>
              </w:rPr>
              <w:t>图3.4-1（f）  玛62井集输示意图</w:t>
            </w:r>
          </w:p>
        </w:tc>
      </w:tr>
      <w:tr w14:paraId="2BC4DA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68" w:hRule="exact"/>
        </w:trPr>
        <w:tc>
          <w:tcPr>
            <w:tcW w:w="8522" w:type="dxa"/>
            <w:tcBorders>
              <w:tl2br w:val="nil"/>
              <w:tr2bl w:val="nil"/>
            </w:tcBorders>
            <w:vAlign w:val="center"/>
          </w:tcPr>
          <w:p w14:paraId="6D2762EB">
            <w:pPr>
              <w:keepNext w:val="0"/>
              <w:keepLines w:val="0"/>
              <w:widowControl/>
              <w:suppressLineNumbers w:val="0"/>
              <w:jc w:val="center"/>
              <w:rPr>
                <w:rFonts w:hint="eastAsia" w:ascii="Times New Roman" w:hAnsi="Times New Roman" w:eastAsia="宋体" w:cs="Times New Roman"/>
                <w:b/>
                <w:bCs/>
                <w:color w:val="auto"/>
                <w:sz w:val="21"/>
                <w:szCs w:val="20"/>
                <w:lang w:val="en-US" w:eastAsia="zh-CN"/>
              </w:rPr>
            </w:pPr>
          </w:p>
        </w:tc>
      </w:tr>
      <w:tr w14:paraId="1E28B2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522" w:type="dxa"/>
            <w:tcBorders>
              <w:tl2br w:val="nil"/>
              <w:tr2bl w:val="nil"/>
            </w:tcBorders>
            <w:vAlign w:val="center"/>
          </w:tcPr>
          <w:p w14:paraId="4DF0C9FA">
            <w:pPr>
              <w:keepNext w:val="0"/>
              <w:keepLines w:val="0"/>
              <w:pageBreakBefore w:val="0"/>
              <w:widowControl w:val="0"/>
              <w:kinsoku/>
              <w:wordWrap/>
              <w:overflowPunct/>
              <w:topLinePunct w:val="0"/>
              <w:autoSpaceDE/>
              <w:autoSpaceDN/>
              <w:bidi w:val="0"/>
              <w:adjustRightInd w:val="0"/>
              <w:snapToGrid/>
              <w:spacing w:line="240" w:lineRule="auto"/>
              <w:ind w:firstLine="527" w:firstLineChars="250"/>
              <w:jc w:val="center"/>
              <w:textAlignment w:val="auto"/>
              <w:rPr>
                <w:rFonts w:hint="default" w:ascii="Times New Roman" w:hAnsi="Times New Roman" w:eastAsia="宋体" w:cs="Times New Roman"/>
                <w:b/>
                <w:bCs/>
                <w:color w:val="auto"/>
                <w:sz w:val="21"/>
                <w:szCs w:val="20"/>
                <w:lang w:val="en-US" w:eastAsia="zh-CN"/>
              </w:rPr>
            </w:pPr>
            <w:r>
              <w:rPr>
                <w:rFonts w:hint="eastAsia" w:ascii="Times New Roman" w:hAnsi="Times New Roman" w:eastAsia="宋体" w:cs="Times New Roman"/>
                <w:b/>
                <w:bCs/>
                <w:color w:val="auto"/>
                <w:sz w:val="21"/>
                <w:szCs w:val="20"/>
                <w:lang w:val="en-US" w:eastAsia="zh-CN"/>
              </w:rPr>
              <w:t>图3.4-1（g）  夏209井集输示意图</w:t>
            </w:r>
          </w:p>
        </w:tc>
      </w:tr>
      <w:tr w14:paraId="44816E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08" w:hRule="exact"/>
        </w:trPr>
        <w:tc>
          <w:tcPr>
            <w:tcW w:w="8522" w:type="dxa"/>
            <w:tcBorders>
              <w:tl2br w:val="nil"/>
              <w:tr2bl w:val="nil"/>
            </w:tcBorders>
            <w:vAlign w:val="center"/>
          </w:tcPr>
          <w:p w14:paraId="7EEDC7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b/>
                <w:bCs/>
                <w:color w:val="auto"/>
                <w:sz w:val="21"/>
                <w:szCs w:val="20"/>
                <w:lang w:val="en-US" w:eastAsia="zh-CN"/>
              </w:rPr>
            </w:pPr>
          </w:p>
        </w:tc>
      </w:tr>
      <w:tr w14:paraId="734292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522" w:type="dxa"/>
            <w:tcBorders>
              <w:tl2br w:val="nil"/>
              <w:tr2bl w:val="nil"/>
            </w:tcBorders>
            <w:vAlign w:val="center"/>
          </w:tcPr>
          <w:p w14:paraId="4DA8BD43">
            <w:pPr>
              <w:keepNext w:val="0"/>
              <w:keepLines w:val="0"/>
              <w:pageBreakBefore w:val="0"/>
              <w:widowControl w:val="0"/>
              <w:kinsoku/>
              <w:wordWrap/>
              <w:overflowPunct/>
              <w:topLinePunct w:val="0"/>
              <w:autoSpaceDE/>
              <w:autoSpaceDN/>
              <w:bidi w:val="0"/>
              <w:adjustRightInd w:val="0"/>
              <w:snapToGrid/>
              <w:spacing w:line="240" w:lineRule="auto"/>
              <w:ind w:firstLine="527" w:firstLineChars="250"/>
              <w:jc w:val="center"/>
              <w:textAlignment w:val="auto"/>
              <w:rPr>
                <w:rFonts w:hint="default" w:ascii="Times New Roman" w:hAnsi="Times New Roman" w:eastAsia="宋体" w:cs="Times New Roman"/>
                <w:b/>
                <w:bCs/>
                <w:color w:val="auto"/>
                <w:sz w:val="21"/>
                <w:szCs w:val="20"/>
                <w:lang w:val="en-US" w:eastAsia="zh-CN"/>
              </w:rPr>
            </w:pPr>
            <w:r>
              <w:rPr>
                <w:rFonts w:hint="eastAsia" w:ascii="Times New Roman" w:hAnsi="Times New Roman" w:eastAsia="宋体" w:cs="Times New Roman"/>
                <w:b/>
                <w:bCs/>
                <w:color w:val="auto"/>
                <w:sz w:val="21"/>
                <w:szCs w:val="20"/>
                <w:lang w:val="en-US" w:eastAsia="zh-CN"/>
              </w:rPr>
              <w:t>图3.4-1（h）  夏207H井集输示意图</w:t>
            </w:r>
          </w:p>
        </w:tc>
      </w:tr>
      <w:tr w14:paraId="41EA1B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49" w:hRule="exact"/>
        </w:trPr>
        <w:tc>
          <w:tcPr>
            <w:tcW w:w="8522" w:type="dxa"/>
            <w:tcBorders>
              <w:tl2br w:val="nil"/>
              <w:tr2bl w:val="nil"/>
            </w:tcBorders>
            <w:vAlign w:val="center"/>
          </w:tcPr>
          <w:p w14:paraId="58DDB4D8">
            <w:pPr>
              <w:keepNext w:val="0"/>
              <w:keepLines w:val="0"/>
              <w:widowControl/>
              <w:suppressLineNumbers w:val="0"/>
              <w:ind w:left="0" w:leftChars="0" w:firstLine="0" w:firstLineChars="0"/>
              <w:jc w:val="center"/>
              <w:rPr>
                <w:rFonts w:hint="eastAsia" w:ascii="Times New Roman" w:hAnsi="Times New Roman" w:eastAsia="宋体" w:cs="Times New Roman"/>
                <w:b/>
                <w:bCs/>
                <w:color w:val="auto"/>
                <w:sz w:val="21"/>
                <w:szCs w:val="20"/>
                <w:lang w:val="en-US" w:eastAsia="zh-CN"/>
              </w:rPr>
            </w:pPr>
          </w:p>
        </w:tc>
      </w:tr>
      <w:tr w14:paraId="624715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522" w:type="dxa"/>
            <w:tcBorders>
              <w:tl2br w:val="nil"/>
              <w:tr2bl w:val="nil"/>
            </w:tcBorders>
            <w:vAlign w:val="center"/>
          </w:tcPr>
          <w:p w14:paraId="282BA8B5">
            <w:pPr>
              <w:keepNext w:val="0"/>
              <w:keepLines w:val="0"/>
              <w:pageBreakBefore w:val="0"/>
              <w:widowControl w:val="0"/>
              <w:kinsoku/>
              <w:wordWrap/>
              <w:overflowPunct/>
              <w:topLinePunct w:val="0"/>
              <w:autoSpaceDE/>
              <w:autoSpaceDN/>
              <w:bidi w:val="0"/>
              <w:adjustRightInd w:val="0"/>
              <w:snapToGrid/>
              <w:spacing w:line="240" w:lineRule="auto"/>
              <w:ind w:firstLine="527" w:firstLineChars="250"/>
              <w:jc w:val="center"/>
              <w:textAlignment w:val="auto"/>
              <w:rPr>
                <w:rFonts w:hint="default" w:ascii="Times New Roman" w:hAnsi="Times New Roman" w:eastAsia="宋体" w:cs="Times New Roman"/>
                <w:b/>
                <w:bCs/>
                <w:color w:val="auto"/>
                <w:sz w:val="21"/>
                <w:szCs w:val="20"/>
                <w:lang w:val="en-US" w:eastAsia="zh-CN"/>
              </w:rPr>
            </w:pPr>
            <w:r>
              <w:rPr>
                <w:rFonts w:hint="eastAsia" w:ascii="Times New Roman" w:hAnsi="Times New Roman" w:eastAsia="宋体" w:cs="Times New Roman"/>
                <w:b/>
                <w:bCs/>
                <w:color w:val="auto"/>
                <w:sz w:val="21"/>
                <w:szCs w:val="20"/>
                <w:lang w:val="en-US" w:eastAsia="zh-CN"/>
              </w:rPr>
              <w:t>图3.4-1（i）  赛探1井集输示意图</w:t>
            </w:r>
          </w:p>
        </w:tc>
      </w:tr>
    </w:tbl>
    <w:p w14:paraId="286E51CD">
      <w:pPr>
        <w:pStyle w:val="5"/>
        <w:bidi w:val="0"/>
        <w:rPr>
          <w:rFonts w:hint="default"/>
          <w:color w:val="auto"/>
          <w:lang w:val="en-US" w:eastAsia="zh-CN"/>
        </w:rPr>
      </w:pPr>
      <w:r>
        <w:rPr>
          <w:rFonts w:hint="eastAsia"/>
          <w:color w:val="auto"/>
          <w:lang w:val="en-US" w:eastAsia="zh-CN"/>
        </w:rPr>
        <w:t>3.4.3原油转输</w:t>
      </w:r>
    </w:p>
    <w:p w14:paraId="098646C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根据3.4.2.1章节集输工艺介绍，除百21采油作业区原油直接进入百联站，其余各作业区的原油全部转输至百联站，产能井进密闭集输系统，不新增产能，故本次仅对评价/预探井转产能井原油转输情况见表3.4-2，转液线建设情况见表3.4-3。</w:t>
      </w:r>
    </w:p>
    <w:p w14:paraId="1C6972A1">
      <w:pPr>
        <w:pStyle w:val="43"/>
        <w:bidi w:val="0"/>
        <w:rPr>
          <w:rFonts w:hint="default"/>
          <w:color w:val="auto"/>
          <w:lang w:val="en-US" w:eastAsia="zh-CN"/>
        </w:rPr>
      </w:pPr>
      <w:r>
        <w:rPr>
          <w:rFonts w:hint="eastAsia"/>
          <w:color w:val="auto"/>
          <w:lang w:val="en-US" w:eastAsia="zh-CN"/>
        </w:rPr>
        <w:t>表3.4-2  本工程原油转输情况一览表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00E3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6AE665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作业区</w:t>
            </w:r>
          </w:p>
        </w:tc>
        <w:tc>
          <w:tcPr>
            <w:tcW w:w="1420" w:type="dxa"/>
            <w:vAlign w:val="center"/>
          </w:tcPr>
          <w:p w14:paraId="70BFEA0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依托转油站</w:t>
            </w:r>
          </w:p>
        </w:tc>
        <w:tc>
          <w:tcPr>
            <w:tcW w:w="1420" w:type="dxa"/>
            <w:vAlign w:val="center"/>
          </w:tcPr>
          <w:p w14:paraId="78F2D9C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设计转液量（10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t/a）</w:t>
            </w:r>
          </w:p>
        </w:tc>
        <w:tc>
          <w:tcPr>
            <w:tcW w:w="1420" w:type="dxa"/>
            <w:vAlign w:val="center"/>
          </w:tcPr>
          <w:p w14:paraId="46D481E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实际转液量（10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t/a）</w:t>
            </w:r>
          </w:p>
        </w:tc>
        <w:tc>
          <w:tcPr>
            <w:tcW w:w="1421" w:type="dxa"/>
            <w:vAlign w:val="center"/>
          </w:tcPr>
          <w:p w14:paraId="355EA62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富余转液量（10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t/a）</w:t>
            </w:r>
          </w:p>
        </w:tc>
        <w:tc>
          <w:tcPr>
            <w:tcW w:w="1421" w:type="dxa"/>
            <w:vAlign w:val="center"/>
          </w:tcPr>
          <w:p w14:paraId="1177C0B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本工程新增液量（10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t/a）</w:t>
            </w:r>
          </w:p>
        </w:tc>
      </w:tr>
      <w:tr w14:paraId="41FC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93A8BD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玛湖第二采油作业区</w:t>
            </w:r>
          </w:p>
        </w:tc>
        <w:tc>
          <w:tcPr>
            <w:tcW w:w="1420" w:type="dxa"/>
            <w:vAlign w:val="center"/>
          </w:tcPr>
          <w:p w14:paraId="14EB045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玛131转油站</w:t>
            </w:r>
          </w:p>
        </w:tc>
        <w:tc>
          <w:tcPr>
            <w:tcW w:w="1420" w:type="dxa"/>
            <w:vAlign w:val="center"/>
          </w:tcPr>
          <w:p w14:paraId="430E795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150</w:t>
            </w:r>
          </w:p>
        </w:tc>
        <w:tc>
          <w:tcPr>
            <w:tcW w:w="1420" w:type="dxa"/>
            <w:vAlign w:val="center"/>
          </w:tcPr>
          <w:p w14:paraId="35D9221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102</w:t>
            </w:r>
          </w:p>
        </w:tc>
        <w:tc>
          <w:tcPr>
            <w:tcW w:w="1421" w:type="dxa"/>
            <w:vAlign w:val="center"/>
          </w:tcPr>
          <w:p w14:paraId="359FA25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48</w:t>
            </w:r>
          </w:p>
        </w:tc>
        <w:tc>
          <w:tcPr>
            <w:tcW w:w="1421" w:type="dxa"/>
            <w:vAlign w:val="center"/>
          </w:tcPr>
          <w:p w14:paraId="1DAC836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9.42</w:t>
            </w:r>
          </w:p>
        </w:tc>
      </w:tr>
      <w:tr w14:paraId="3AC6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F05115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玛湖第三采油作业区</w:t>
            </w:r>
          </w:p>
        </w:tc>
        <w:tc>
          <w:tcPr>
            <w:tcW w:w="1420" w:type="dxa"/>
            <w:vAlign w:val="center"/>
          </w:tcPr>
          <w:p w14:paraId="15D9FCF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玛18转油站</w:t>
            </w:r>
          </w:p>
        </w:tc>
        <w:tc>
          <w:tcPr>
            <w:tcW w:w="1420" w:type="dxa"/>
            <w:vAlign w:val="center"/>
          </w:tcPr>
          <w:p w14:paraId="3C4AE70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250</w:t>
            </w:r>
          </w:p>
        </w:tc>
        <w:tc>
          <w:tcPr>
            <w:tcW w:w="1420" w:type="dxa"/>
            <w:vAlign w:val="center"/>
          </w:tcPr>
          <w:p w14:paraId="5F3FA80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100</w:t>
            </w:r>
          </w:p>
        </w:tc>
        <w:tc>
          <w:tcPr>
            <w:tcW w:w="1421" w:type="dxa"/>
            <w:vAlign w:val="center"/>
          </w:tcPr>
          <w:p w14:paraId="7FDD954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50</w:t>
            </w:r>
          </w:p>
        </w:tc>
        <w:tc>
          <w:tcPr>
            <w:tcW w:w="1421" w:type="dxa"/>
            <w:vAlign w:val="center"/>
          </w:tcPr>
          <w:p w14:paraId="089B465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3.93</w:t>
            </w:r>
          </w:p>
        </w:tc>
      </w:tr>
    </w:tbl>
    <w:p w14:paraId="6040EDE3">
      <w:pPr>
        <w:pStyle w:val="43"/>
        <w:bidi w:val="0"/>
        <w:rPr>
          <w:rFonts w:hint="default"/>
          <w:color w:val="auto"/>
          <w:lang w:val="en-US" w:eastAsia="zh-CN"/>
        </w:rPr>
      </w:pPr>
      <w:r>
        <w:rPr>
          <w:rFonts w:hint="eastAsia"/>
          <w:color w:val="auto"/>
          <w:lang w:val="en-US" w:eastAsia="zh-CN"/>
        </w:rPr>
        <w:t>表3.4-3  转液线情况一览表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230"/>
        <w:gridCol w:w="1245"/>
        <w:gridCol w:w="1200"/>
        <w:gridCol w:w="1590"/>
        <w:gridCol w:w="2296"/>
      </w:tblGrid>
      <w:tr w14:paraId="0867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14:paraId="4C15B7D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转油站</w:t>
            </w:r>
          </w:p>
        </w:tc>
        <w:tc>
          <w:tcPr>
            <w:tcW w:w="1230" w:type="dxa"/>
            <w:shd w:val="clear" w:color="auto" w:fill="auto"/>
            <w:vAlign w:val="center"/>
          </w:tcPr>
          <w:p w14:paraId="3350C77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
                <w:bCs/>
                <w:color w:val="auto"/>
                <w:kern w:val="2"/>
                <w:sz w:val="21"/>
                <w:szCs w:val="21"/>
                <w:vertAlign w:val="baseline"/>
                <w:lang w:val="en-US" w:eastAsia="zh-CN" w:bidi="ar-SA"/>
              </w:rPr>
            </w:pPr>
            <w:r>
              <w:rPr>
                <w:rFonts w:hint="eastAsia"/>
                <w:b/>
                <w:bCs/>
                <w:color w:val="auto"/>
                <w:sz w:val="21"/>
                <w:szCs w:val="21"/>
                <w:vertAlign w:val="baseline"/>
                <w:lang w:val="en-US" w:eastAsia="zh-CN"/>
              </w:rPr>
              <w:t>设计转液量（10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t/a）</w:t>
            </w:r>
          </w:p>
        </w:tc>
        <w:tc>
          <w:tcPr>
            <w:tcW w:w="1245" w:type="dxa"/>
            <w:shd w:val="clear" w:color="auto" w:fill="auto"/>
            <w:vAlign w:val="center"/>
          </w:tcPr>
          <w:p w14:paraId="40AFB71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
                <w:bCs/>
                <w:color w:val="auto"/>
                <w:kern w:val="2"/>
                <w:sz w:val="21"/>
                <w:szCs w:val="21"/>
                <w:vertAlign w:val="baseline"/>
                <w:lang w:val="en-US" w:eastAsia="zh-CN" w:bidi="ar-SA"/>
              </w:rPr>
            </w:pPr>
            <w:r>
              <w:rPr>
                <w:rFonts w:hint="eastAsia"/>
                <w:b/>
                <w:bCs/>
                <w:color w:val="auto"/>
                <w:sz w:val="21"/>
                <w:szCs w:val="21"/>
                <w:vertAlign w:val="baseline"/>
                <w:lang w:val="en-US" w:eastAsia="zh-CN"/>
              </w:rPr>
              <w:t>实际转液量（10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t/a）</w:t>
            </w:r>
          </w:p>
        </w:tc>
        <w:tc>
          <w:tcPr>
            <w:tcW w:w="1200" w:type="dxa"/>
            <w:shd w:val="clear" w:color="auto" w:fill="auto"/>
            <w:vAlign w:val="center"/>
          </w:tcPr>
          <w:p w14:paraId="5500217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
                <w:bCs/>
                <w:color w:val="auto"/>
                <w:kern w:val="2"/>
                <w:sz w:val="21"/>
                <w:szCs w:val="21"/>
                <w:vertAlign w:val="baseline"/>
                <w:lang w:val="en-US" w:eastAsia="zh-CN" w:bidi="ar-SA"/>
              </w:rPr>
            </w:pPr>
            <w:r>
              <w:rPr>
                <w:rFonts w:hint="eastAsia"/>
                <w:b/>
                <w:bCs/>
                <w:color w:val="auto"/>
                <w:sz w:val="21"/>
                <w:szCs w:val="21"/>
                <w:vertAlign w:val="baseline"/>
                <w:lang w:val="en-US" w:eastAsia="zh-CN"/>
              </w:rPr>
              <w:t>富余转液量（10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t/a）</w:t>
            </w:r>
          </w:p>
        </w:tc>
        <w:tc>
          <w:tcPr>
            <w:tcW w:w="1590" w:type="dxa"/>
            <w:vAlign w:val="center"/>
          </w:tcPr>
          <w:p w14:paraId="3406BA4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本工程新增转液量</w:t>
            </w:r>
            <w:r>
              <w:rPr>
                <w:rFonts w:hint="eastAsia"/>
                <w:b/>
                <w:bCs/>
                <w:color w:val="auto"/>
                <w:sz w:val="21"/>
                <w:szCs w:val="21"/>
                <w:vertAlign w:val="baseline"/>
                <w:lang w:val="en-US" w:eastAsia="zh-CN"/>
              </w:rPr>
              <w:t>（10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t/a）</w:t>
            </w:r>
          </w:p>
        </w:tc>
        <w:tc>
          <w:tcPr>
            <w:tcW w:w="2296" w:type="dxa"/>
            <w:vAlign w:val="center"/>
          </w:tcPr>
          <w:p w14:paraId="7CA8CA6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长度、管线规格</w:t>
            </w:r>
          </w:p>
        </w:tc>
      </w:tr>
      <w:tr w14:paraId="2718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14:paraId="62A9FE7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玛131转油站</w:t>
            </w:r>
          </w:p>
        </w:tc>
        <w:tc>
          <w:tcPr>
            <w:tcW w:w="1230" w:type="dxa"/>
            <w:shd w:val="clear" w:color="auto" w:fill="auto"/>
            <w:vAlign w:val="center"/>
          </w:tcPr>
          <w:p w14:paraId="7B72710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230</w:t>
            </w:r>
          </w:p>
        </w:tc>
        <w:tc>
          <w:tcPr>
            <w:tcW w:w="1245" w:type="dxa"/>
            <w:shd w:val="clear" w:color="auto" w:fill="auto"/>
            <w:vAlign w:val="center"/>
          </w:tcPr>
          <w:p w14:paraId="1DC7AE1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127</w:t>
            </w:r>
          </w:p>
        </w:tc>
        <w:tc>
          <w:tcPr>
            <w:tcW w:w="1200" w:type="dxa"/>
            <w:shd w:val="clear" w:color="auto" w:fill="auto"/>
            <w:vAlign w:val="center"/>
          </w:tcPr>
          <w:p w14:paraId="73A3F0F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103</w:t>
            </w:r>
          </w:p>
        </w:tc>
        <w:tc>
          <w:tcPr>
            <w:tcW w:w="1590" w:type="dxa"/>
            <w:vAlign w:val="center"/>
          </w:tcPr>
          <w:p w14:paraId="34C0F52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9.42</w:t>
            </w:r>
          </w:p>
        </w:tc>
        <w:tc>
          <w:tcPr>
            <w:tcW w:w="2296" w:type="dxa"/>
            <w:vAlign w:val="center"/>
          </w:tcPr>
          <w:p w14:paraId="162F688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玛131-玛2搭接点转输管道规格DN200 PN6MPa，非金属管道长度12.2km，玛2搭接点-玛18转油站管道规格DN250 PN6MPa，非金属管道长度24.4km</w:t>
            </w:r>
          </w:p>
        </w:tc>
      </w:tr>
      <w:tr w14:paraId="7A8A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14:paraId="65BF921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color w:val="auto"/>
                <w:sz w:val="21"/>
                <w:szCs w:val="21"/>
                <w:vertAlign w:val="baseline"/>
                <w:lang w:val="en-US" w:eastAsia="zh-CN"/>
              </w:rPr>
              <w:t>玛18转油站</w:t>
            </w:r>
          </w:p>
        </w:tc>
        <w:tc>
          <w:tcPr>
            <w:tcW w:w="1230" w:type="dxa"/>
            <w:shd w:val="clear" w:color="auto" w:fill="auto"/>
            <w:vAlign w:val="center"/>
          </w:tcPr>
          <w:p w14:paraId="139A025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520</w:t>
            </w:r>
          </w:p>
        </w:tc>
        <w:tc>
          <w:tcPr>
            <w:tcW w:w="1245" w:type="dxa"/>
            <w:shd w:val="clear" w:color="auto" w:fill="auto"/>
            <w:vAlign w:val="center"/>
          </w:tcPr>
          <w:p w14:paraId="584BEBD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219</w:t>
            </w:r>
          </w:p>
        </w:tc>
        <w:tc>
          <w:tcPr>
            <w:tcW w:w="1200" w:type="dxa"/>
            <w:shd w:val="clear" w:color="auto" w:fill="auto"/>
            <w:vAlign w:val="center"/>
          </w:tcPr>
          <w:p w14:paraId="0F68F0F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301</w:t>
            </w:r>
          </w:p>
        </w:tc>
        <w:tc>
          <w:tcPr>
            <w:tcW w:w="1590" w:type="dxa"/>
            <w:vAlign w:val="center"/>
          </w:tcPr>
          <w:p w14:paraId="5852578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3.93</w:t>
            </w:r>
          </w:p>
        </w:tc>
        <w:tc>
          <w:tcPr>
            <w:tcW w:w="2296" w:type="dxa"/>
            <w:vAlign w:val="center"/>
          </w:tcPr>
          <w:p w14:paraId="0E90402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玛18转油站至百联站转液管线27km，管道规格DN250 PN6MPa，非金属管道（用于转输玛18井区采出液）；玛18转油站至百联站转液复线25.4km，管道规格DN250 6.3MPa，玻璃钢管（用于转输玛2转油站、玛131转油站来液）</w:t>
            </w:r>
          </w:p>
        </w:tc>
      </w:tr>
    </w:tbl>
    <w:p w14:paraId="28108646">
      <w:pPr>
        <w:pStyle w:val="5"/>
        <w:bidi w:val="0"/>
        <w:rPr>
          <w:rFonts w:hint="default"/>
          <w:color w:val="auto"/>
          <w:lang w:val="en-US" w:eastAsia="zh-CN"/>
        </w:rPr>
      </w:pPr>
      <w:r>
        <w:rPr>
          <w:rFonts w:hint="eastAsia"/>
          <w:color w:val="auto"/>
          <w:lang w:val="en-US" w:eastAsia="zh-CN"/>
        </w:rPr>
        <w:t>3.4.4天然气处理及外输</w:t>
      </w:r>
    </w:p>
    <w:p w14:paraId="33C0391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百厂探区采出液进百口泉注输联合站原油处理系统经三相分离器分离后伴生气依托百口泉采油厂天然气处理站处理，经处理后装罐或外输至九区。其余各井区内伴生气处理依托克拉玛依市富城天然气有限责任公司在各井区内建设的天然气处理站处理，经处理后用于站场加热炉、装罐或外输。本工程伴生气处理情况见表3.4-4，天然气外输情况见表3.4-5。</w:t>
      </w:r>
    </w:p>
    <w:p w14:paraId="25F06B14">
      <w:pPr>
        <w:pStyle w:val="43"/>
        <w:bidi w:val="0"/>
        <w:rPr>
          <w:rFonts w:hint="default"/>
          <w:color w:val="auto"/>
          <w:lang w:val="en-US" w:eastAsia="zh-CN"/>
        </w:rPr>
      </w:pPr>
      <w:r>
        <w:rPr>
          <w:rFonts w:hint="eastAsia"/>
          <w:color w:val="auto"/>
          <w:lang w:val="en-US" w:eastAsia="zh-CN"/>
        </w:rPr>
        <w:t>表3.4-4  本工程伴生气处理情况一览表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215"/>
        <w:gridCol w:w="1334"/>
        <w:gridCol w:w="1276"/>
        <w:gridCol w:w="1290"/>
        <w:gridCol w:w="1200"/>
        <w:gridCol w:w="1291"/>
      </w:tblGrid>
      <w:tr w14:paraId="1AC0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0584329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作业区</w:t>
            </w:r>
          </w:p>
        </w:tc>
        <w:tc>
          <w:tcPr>
            <w:tcW w:w="1215" w:type="dxa"/>
            <w:vAlign w:val="center"/>
          </w:tcPr>
          <w:p w14:paraId="20A64EF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依托天然气处理站</w:t>
            </w:r>
          </w:p>
        </w:tc>
        <w:tc>
          <w:tcPr>
            <w:tcW w:w="1334" w:type="dxa"/>
            <w:vAlign w:val="center"/>
          </w:tcPr>
          <w:p w14:paraId="7099149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设计处理规模（10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m</w:t>
            </w:r>
            <w:r>
              <w:rPr>
                <w:rFonts w:hint="eastAsia"/>
                <w:b/>
                <w:bCs/>
                <w:color w:val="auto"/>
                <w:sz w:val="21"/>
                <w:szCs w:val="21"/>
                <w:vertAlign w:val="superscript"/>
                <w:lang w:val="en-US" w:eastAsia="zh-CN"/>
              </w:rPr>
              <w:t>3</w:t>
            </w:r>
            <w:r>
              <w:rPr>
                <w:rFonts w:hint="eastAsia"/>
                <w:b/>
                <w:bCs/>
                <w:color w:val="auto"/>
                <w:sz w:val="21"/>
                <w:szCs w:val="21"/>
                <w:vertAlign w:val="baseline"/>
                <w:lang w:val="en-US" w:eastAsia="zh-CN"/>
              </w:rPr>
              <w:t>/d）</w:t>
            </w:r>
          </w:p>
        </w:tc>
        <w:tc>
          <w:tcPr>
            <w:tcW w:w="1276" w:type="dxa"/>
            <w:vAlign w:val="center"/>
          </w:tcPr>
          <w:p w14:paraId="27CC216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现状处理规模（10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m</w:t>
            </w:r>
            <w:r>
              <w:rPr>
                <w:rFonts w:hint="eastAsia"/>
                <w:b/>
                <w:bCs/>
                <w:color w:val="auto"/>
                <w:sz w:val="21"/>
                <w:szCs w:val="21"/>
                <w:vertAlign w:val="superscript"/>
                <w:lang w:val="en-US" w:eastAsia="zh-CN"/>
              </w:rPr>
              <w:t>3</w:t>
            </w:r>
            <w:r>
              <w:rPr>
                <w:rFonts w:hint="eastAsia"/>
                <w:b/>
                <w:bCs/>
                <w:color w:val="auto"/>
                <w:sz w:val="21"/>
                <w:szCs w:val="21"/>
                <w:vertAlign w:val="baseline"/>
                <w:lang w:val="en-US" w:eastAsia="zh-CN"/>
              </w:rPr>
              <w:t>/d）</w:t>
            </w:r>
          </w:p>
        </w:tc>
        <w:tc>
          <w:tcPr>
            <w:tcW w:w="1290" w:type="dxa"/>
            <w:vAlign w:val="center"/>
          </w:tcPr>
          <w:p w14:paraId="33FBD48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富余处理规模（10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m</w:t>
            </w:r>
            <w:r>
              <w:rPr>
                <w:rFonts w:hint="eastAsia"/>
                <w:b/>
                <w:bCs/>
                <w:color w:val="auto"/>
                <w:sz w:val="21"/>
                <w:szCs w:val="21"/>
                <w:vertAlign w:val="superscript"/>
                <w:lang w:val="en-US" w:eastAsia="zh-CN"/>
              </w:rPr>
              <w:t>3</w:t>
            </w:r>
            <w:r>
              <w:rPr>
                <w:rFonts w:hint="eastAsia"/>
                <w:b/>
                <w:bCs/>
                <w:color w:val="auto"/>
                <w:sz w:val="21"/>
                <w:szCs w:val="21"/>
                <w:vertAlign w:val="baseline"/>
                <w:lang w:val="en-US" w:eastAsia="zh-CN"/>
              </w:rPr>
              <w:t>/d）</w:t>
            </w:r>
          </w:p>
        </w:tc>
        <w:tc>
          <w:tcPr>
            <w:tcW w:w="1200" w:type="dxa"/>
            <w:vAlign w:val="center"/>
          </w:tcPr>
          <w:p w14:paraId="5430A62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处理后外输情况</w:t>
            </w:r>
          </w:p>
        </w:tc>
        <w:tc>
          <w:tcPr>
            <w:tcW w:w="1291" w:type="dxa"/>
            <w:vAlign w:val="center"/>
          </w:tcPr>
          <w:p w14:paraId="74DF96C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本工程新增（10</w:t>
            </w:r>
            <w:r>
              <w:rPr>
                <w:rFonts w:hint="eastAsia"/>
                <w:b/>
                <w:bCs/>
                <w:color w:val="auto"/>
                <w:sz w:val="21"/>
                <w:szCs w:val="21"/>
                <w:vertAlign w:val="superscript"/>
                <w:lang w:val="en-US" w:eastAsia="zh-CN"/>
              </w:rPr>
              <w:t>4</w:t>
            </w:r>
            <w:r>
              <w:rPr>
                <w:rFonts w:hint="eastAsia"/>
                <w:b/>
                <w:bCs/>
                <w:color w:val="auto"/>
                <w:sz w:val="21"/>
                <w:szCs w:val="21"/>
                <w:vertAlign w:val="baseline"/>
                <w:lang w:val="en-US" w:eastAsia="zh-CN"/>
              </w:rPr>
              <w:t>m</w:t>
            </w:r>
            <w:r>
              <w:rPr>
                <w:rFonts w:hint="eastAsia"/>
                <w:b/>
                <w:bCs/>
                <w:color w:val="auto"/>
                <w:sz w:val="21"/>
                <w:szCs w:val="21"/>
                <w:vertAlign w:val="superscript"/>
                <w:lang w:val="en-US" w:eastAsia="zh-CN"/>
              </w:rPr>
              <w:t>3</w:t>
            </w:r>
            <w:r>
              <w:rPr>
                <w:rFonts w:hint="eastAsia"/>
                <w:b/>
                <w:bCs/>
                <w:color w:val="auto"/>
                <w:sz w:val="21"/>
                <w:szCs w:val="21"/>
                <w:vertAlign w:val="baseline"/>
                <w:lang w:val="en-US" w:eastAsia="zh-CN"/>
              </w:rPr>
              <w:t>/d）</w:t>
            </w:r>
          </w:p>
        </w:tc>
      </w:tr>
      <w:tr w14:paraId="0A58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6DACB1C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百21采油作业区</w:t>
            </w:r>
          </w:p>
        </w:tc>
        <w:tc>
          <w:tcPr>
            <w:tcW w:w="1215" w:type="dxa"/>
            <w:vAlign w:val="center"/>
          </w:tcPr>
          <w:p w14:paraId="240CEEA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百口泉采油厂天然气处理站</w:t>
            </w:r>
          </w:p>
        </w:tc>
        <w:tc>
          <w:tcPr>
            <w:tcW w:w="1334" w:type="dxa"/>
            <w:vAlign w:val="center"/>
          </w:tcPr>
          <w:p w14:paraId="3F7994B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25</w:t>
            </w:r>
          </w:p>
        </w:tc>
        <w:tc>
          <w:tcPr>
            <w:tcW w:w="1276" w:type="dxa"/>
            <w:vAlign w:val="center"/>
          </w:tcPr>
          <w:p w14:paraId="272804E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16</w:t>
            </w:r>
          </w:p>
        </w:tc>
        <w:tc>
          <w:tcPr>
            <w:tcW w:w="1290" w:type="dxa"/>
            <w:vAlign w:val="center"/>
          </w:tcPr>
          <w:p w14:paraId="4D9C26C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9</w:t>
            </w:r>
          </w:p>
        </w:tc>
        <w:tc>
          <w:tcPr>
            <w:tcW w:w="1200" w:type="dxa"/>
            <w:vAlign w:val="center"/>
          </w:tcPr>
          <w:p w14:paraId="318EE5C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输送至九区二级配气站（阀池），外输天然气管道长度21.95km，DN325，设计压力2.5MPa</w:t>
            </w:r>
          </w:p>
        </w:tc>
        <w:tc>
          <w:tcPr>
            <w:tcW w:w="1291" w:type="dxa"/>
            <w:vAlign w:val="center"/>
          </w:tcPr>
          <w:p w14:paraId="5DEB869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0.46</w:t>
            </w:r>
          </w:p>
        </w:tc>
      </w:tr>
      <w:tr w14:paraId="5CFE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54DBE8D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玛湖第一采油作业区</w:t>
            </w:r>
          </w:p>
        </w:tc>
        <w:tc>
          <w:tcPr>
            <w:tcW w:w="1215" w:type="dxa"/>
            <w:vAlign w:val="center"/>
          </w:tcPr>
          <w:p w14:paraId="3A3A918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玛2天然气处理站</w:t>
            </w:r>
          </w:p>
        </w:tc>
        <w:tc>
          <w:tcPr>
            <w:tcW w:w="1334" w:type="dxa"/>
            <w:vAlign w:val="center"/>
          </w:tcPr>
          <w:p w14:paraId="68118E9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3</w:t>
            </w:r>
          </w:p>
        </w:tc>
        <w:tc>
          <w:tcPr>
            <w:tcW w:w="1276" w:type="dxa"/>
            <w:vAlign w:val="center"/>
          </w:tcPr>
          <w:p w14:paraId="1F134C7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1.5</w:t>
            </w:r>
          </w:p>
        </w:tc>
        <w:tc>
          <w:tcPr>
            <w:tcW w:w="1290" w:type="dxa"/>
            <w:vAlign w:val="center"/>
          </w:tcPr>
          <w:p w14:paraId="5C91965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1.5</w:t>
            </w:r>
          </w:p>
        </w:tc>
        <w:tc>
          <w:tcPr>
            <w:tcW w:w="1200" w:type="dxa"/>
            <w:vAlign w:val="center"/>
          </w:tcPr>
          <w:p w14:paraId="03323AA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玛2天然气处理站至玛18至夏子街输气管线中间阀池1km管径为DN100，设计压力6.3MPa</w:t>
            </w:r>
          </w:p>
        </w:tc>
        <w:tc>
          <w:tcPr>
            <w:tcW w:w="1291" w:type="dxa"/>
            <w:vAlign w:val="center"/>
          </w:tcPr>
          <w:p w14:paraId="4B35EBC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0.0900</w:t>
            </w:r>
          </w:p>
        </w:tc>
      </w:tr>
      <w:tr w14:paraId="26AF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4584AE9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玛湖第二采油作业区</w:t>
            </w:r>
          </w:p>
        </w:tc>
        <w:tc>
          <w:tcPr>
            <w:tcW w:w="1215" w:type="dxa"/>
            <w:vAlign w:val="center"/>
          </w:tcPr>
          <w:p w14:paraId="1311385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玛131天然气处理站</w:t>
            </w:r>
          </w:p>
        </w:tc>
        <w:tc>
          <w:tcPr>
            <w:tcW w:w="1334" w:type="dxa"/>
            <w:vAlign w:val="center"/>
          </w:tcPr>
          <w:p w14:paraId="013586D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150</w:t>
            </w:r>
          </w:p>
        </w:tc>
        <w:tc>
          <w:tcPr>
            <w:tcW w:w="1276" w:type="dxa"/>
            <w:vAlign w:val="center"/>
          </w:tcPr>
          <w:p w14:paraId="7A93449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130</w:t>
            </w:r>
          </w:p>
        </w:tc>
        <w:tc>
          <w:tcPr>
            <w:tcW w:w="1290" w:type="dxa"/>
            <w:vAlign w:val="center"/>
          </w:tcPr>
          <w:p w14:paraId="305A141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20</w:t>
            </w:r>
          </w:p>
        </w:tc>
        <w:tc>
          <w:tcPr>
            <w:tcW w:w="1200" w:type="dxa"/>
            <w:vAlign w:val="center"/>
          </w:tcPr>
          <w:p w14:paraId="0248E85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玛131天然气处理站至3#配气站管</w:t>
            </w:r>
          </w:p>
          <w:p w14:paraId="7BC5D1F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线，该管线全长22km，管径为D273.1×6.4mm，设计压力6.3MPa</w:t>
            </w:r>
          </w:p>
        </w:tc>
        <w:tc>
          <w:tcPr>
            <w:tcW w:w="1291" w:type="dxa"/>
            <w:vAlign w:val="center"/>
          </w:tcPr>
          <w:p w14:paraId="41B3391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0.6226</w:t>
            </w:r>
          </w:p>
        </w:tc>
      </w:tr>
      <w:tr w14:paraId="7DB7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231C0BB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玛湖第三采油作业区</w:t>
            </w:r>
          </w:p>
        </w:tc>
        <w:tc>
          <w:tcPr>
            <w:tcW w:w="1215" w:type="dxa"/>
            <w:vAlign w:val="center"/>
          </w:tcPr>
          <w:p w14:paraId="72073AC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玛18天然气处理站</w:t>
            </w:r>
          </w:p>
        </w:tc>
        <w:tc>
          <w:tcPr>
            <w:tcW w:w="1334" w:type="dxa"/>
            <w:vAlign w:val="center"/>
          </w:tcPr>
          <w:p w14:paraId="7FEC715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95</w:t>
            </w:r>
          </w:p>
        </w:tc>
        <w:tc>
          <w:tcPr>
            <w:tcW w:w="1276" w:type="dxa"/>
            <w:vAlign w:val="center"/>
          </w:tcPr>
          <w:p w14:paraId="7A4F01E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80</w:t>
            </w:r>
          </w:p>
        </w:tc>
        <w:tc>
          <w:tcPr>
            <w:tcW w:w="1290" w:type="dxa"/>
            <w:vAlign w:val="center"/>
          </w:tcPr>
          <w:p w14:paraId="707CB50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15</w:t>
            </w:r>
          </w:p>
        </w:tc>
        <w:tc>
          <w:tcPr>
            <w:tcW w:w="1200" w:type="dxa"/>
            <w:vAlign w:val="center"/>
          </w:tcPr>
          <w:p w14:paraId="25FFA01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玛18至百联站输气管线，28km，管径为DN200，设计压力6.3MPa</w:t>
            </w:r>
          </w:p>
        </w:tc>
        <w:tc>
          <w:tcPr>
            <w:tcW w:w="1291" w:type="dxa"/>
            <w:vAlign w:val="center"/>
          </w:tcPr>
          <w:p w14:paraId="7A09AC3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0.7130</w:t>
            </w:r>
          </w:p>
        </w:tc>
      </w:tr>
    </w:tbl>
    <w:p w14:paraId="05BE831E">
      <w:pPr>
        <w:pStyle w:val="43"/>
        <w:bidi w:val="0"/>
        <w:rPr>
          <w:rFonts w:hint="default"/>
          <w:color w:val="auto"/>
          <w:lang w:val="en-US" w:eastAsia="zh-CN"/>
        </w:rPr>
      </w:pPr>
      <w:r>
        <w:rPr>
          <w:rFonts w:hint="eastAsia"/>
          <w:color w:val="auto"/>
          <w:lang w:val="en-US" w:eastAsia="zh-CN"/>
        </w:rPr>
        <w:t>表3.4-5天然气外输情况一览表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155"/>
        <w:gridCol w:w="1050"/>
        <w:gridCol w:w="990"/>
        <w:gridCol w:w="1350"/>
        <w:gridCol w:w="2881"/>
      </w:tblGrid>
      <w:tr w14:paraId="2E2C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restart"/>
            <w:vAlign w:val="center"/>
          </w:tcPr>
          <w:p w14:paraId="0499506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天然气处理站</w:t>
            </w:r>
          </w:p>
        </w:tc>
        <w:tc>
          <w:tcPr>
            <w:tcW w:w="7426" w:type="dxa"/>
            <w:gridSpan w:val="5"/>
            <w:vAlign w:val="center"/>
          </w:tcPr>
          <w:p w14:paraId="3573557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auto"/>
                <w:sz w:val="21"/>
                <w:szCs w:val="21"/>
                <w:vertAlign w:val="baseline"/>
              </w:rPr>
            </w:pPr>
            <w:r>
              <w:rPr>
                <w:rFonts w:hint="eastAsia" w:ascii="Times New Roman" w:hAnsi="Times New Roman" w:eastAsia="宋体"/>
                <w:b/>
                <w:bCs/>
                <w:color w:val="auto"/>
                <w:sz w:val="21"/>
                <w:szCs w:val="21"/>
                <w:vertAlign w:val="baseline"/>
              </w:rPr>
              <w:t>天然气外输管线情况（单位：10</w:t>
            </w:r>
            <w:r>
              <w:rPr>
                <w:rFonts w:hint="eastAsia" w:ascii="Times New Roman" w:hAnsi="Times New Roman" w:eastAsia="宋体"/>
                <w:b/>
                <w:bCs/>
                <w:color w:val="auto"/>
                <w:sz w:val="21"/>
                <w:szCs w:val="21"/>
                <w:vertAlign w:val="superscript"/>
              </w:rPr>
              <w:t>4</w:t>
            </w:r>
            <w:r>
              <w:rPr>
                <w:rFonts w:hint="eastAsia" w:ascii="Times New Roman" w:hAnsi="Times New Roman" w:eastAsia="宋体"/>
                <w:b/>
                <w:bCs/>
                <w:color w:val="auto"/>
                <w:sz w:val="21"/>
                <w:szCs w:val="21"/>
                <w:vertAlign w:val="baseline"/>
              </w:rPr>
              <w:t>Nm</w:t>
            </w:r>
            <w:r>
              <w:rPr>
                <w:rFonts w:hint="eastAsia" w:ascii="Times New Roman" w:hAnsi="Times New Roman" w:eastAsia="宋体"/>
                <w:b/>
                <w:bCs/>
                <w:color w:val="auto"/>
                <w:sz w:val="21"/>
                <w:szCs w:val="21"/>
                <w:vertAlign w:val="superscript"/>
              </w:rPr>
              <w:t>3</w:t>
            </w:r>
            <w:r>
              <w:rPr>
                <w:rFonts w:hint="eastAsia" w:ascii="Times New Roman" w:hAnsi="Times New Roman" w:eastAsia="宋体"/>
                <w:b/>
                <w:bCs/>
                <w:color w:val="auto"/>
                <w:sz w:val="21"/>
                <w:szCs w:val="21"/>
                <w:vertAlign w:val="baseline"/>
              </w:rPr>
              <w:t>/d）</w:t>
            </w:r>
          </w:p>
        </w:tc>
      </w:tr>
      <w:tr w14:paraId="5701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continue"/>
            <w:vAlign w:val="center"/>
          </w:tcPr>
          <w:p w14:paraId="1C3EA67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auto"/>
                <w:sz w:val="21"/>
                <w:szCs w:val="21"/>
                <w:vertAlign w:val="baseline"/>
              </w:rPr>
            </w:pPr>
          </w:p>
        </w:tc>
        <w:tc>
          <w:tcPr>
            <w:tcW w:w="1155" w:type="dxa"/>
            <w:vAlign w:val="center"/>
          </w:tcPr>
          <w:p w14:paraId="4556062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设计输气规模</w:t>
            </w:r>
          </w:p>
        </w:tc>
        <w:tc>
          <w:tcPr>
            <w:tcW w:w="1050" w:type="dxa"/>
            <w:vAlign w:val="center"/>
          </w:tcPr>
          <w:p w14:paraId="4A7CAFA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现状输气规模</w:t>
            </w:r>
          </w:p>
        </w:tc>
        <w:tc>
          <w:tcPr>
            <w:tcW w:w="990" w:type="dxa"/>
            <w:vAlign w:val="center"/>
          </w:tcPr>
          <w:p w14:paraId="1A89D2A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富余量</w:t>
            </w:r>
          </w:p>
        </w:tc>
        <w:tc>
          <w:tcPr>
            <w:tcW w:w="1350" w:type="dxa"/>
            <w:vAlign w:val="center"/>
          </w:tcPr>
          <w:p w14:paraId="6A60F19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本工程新增外输量</w:t>
            </w:r>
          </w:p>
        </w:tc>
        <w:tc>
          <w:tcPr>
            <w:tcW w:w="2881" w:type="dxa"/>
            <w:vAlign w:val="center"/>
          </w:tcPr>
          <w:p w14:paraId="58E807F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b/>
                <w:bCs/>
                <w:color w:val="auto"/>
                <w:sz w:val="21"/>
                <w:szCs w:val="21"/>
                <w:vertAlign w:val="baseline"/>
                <w:lang w:val="en-US" w:eastAsia="zh-CN"/>
              </w:rPr>
              <w:t>长度、管线规格</w:t>
            </w:r>
          </w:p>
        </w:tc>
      </w:tr>
      <w:tr w14:paraId="0D1C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141FF1A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百口泉采油厂天然气处理站</w:t>
            </w:r>
          </w:p>
        </w:tc>
        <w:tc>
          <w:tcPr>
            <w:tcW w:w="1155" w:type="dxa"/>
            <w:vAlign w:val="center"/>
          </w:tcPr>
          <w:p w14:paraId="7DD7F2D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12</w:t>
            </w:r>
          </w:p>
        </w:tc>
        <w:tc>
          <w:tcPr>
            <w:tcW w:w="1050" w:type="dxa"/>
            <w:vAlign w:val="center"/>
          </w:tcPr>
          <w:p w14:paraId="26002B1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10.3</w:t>
            </w:r>
          </w:p>
        </w:tc>
        <w:tc>
          <w:tcPr>
            <w:tcW w:w="990" w:type="dxa"/>
            <w:vAlign w:val="center"/>
          </w:tcPr>
          <w:p w14:paraId="179DDD0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1.7</w:t>
            </w:r>
          </w:p>
        </w:tc>
        <w:tc>
          <w:tcPr>
            <w:tcW w:w="1350" w:type="dxa"/>
            <w:vAlign w:val="center"/>
          </w:tcPr>
          <w:p w14:paraId="14B347C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0.46</w:t>
            </w:r>
          </w:p>
        </w:tc>
        <w:tc>
          <w:tcPr>
            <w:tcW w:w="2881" w:type="dxa"/>
            <w:vAlign w:val="center"/>
          </w:tcPr>
          <w:p w14:paraId="14FC55F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输送至九区二级配气站（阀池），外管道长度21.95km，管径D325，设计压力2.5MPa</w:t>
            </w:r>
          </w:p>
        </w:tc>
      </w:tr>
      <w:tr w14:paraId="1A1B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30083FE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玛2天然气处理站</w:t>
            </w:r>
          </w:p>
        </w:tc>
        <w:tc>
          <w:tcPr>
            <w:tcW w:w="1155" w:type="dxa"/>
            <w:vAlign w:val="center"/>
          </w:tcPr>
          <w:p w14:paraId="6CF95C7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4</w:t>
            </w:r>
          </w:p>
        </w:tc>
        <w:tc>
          <w:tcPr>
            <w:tcW w:w="1050" w:type="dxa"/>
            <w:vAlign w:val="center"/>
          </w:tcPr>
          <w:p w14:paraId="168C523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1.7</w:t>
            </w:r>
          </w:p>
        </w:tc>
        <w:tc>
          <w:tcPr>
            <w:tcW w:w="990" w:type="dxa"/>
            <w:vAlign w:val="center"/>
          </w:tcPr>
          <w:p w14:paraId="0DE580A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2.3</w:t>
            </w:r>
          </w:p>
        </w:tc>
        <w:tc>
          <w:tcPr>
            <w:tcW w:w="1350" w:type="dxa"/>
            <w:vAlign w:val="center"/>
          </w:tcPr>
          <w:p w14:paraId="2C569A7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color w:val="auto"/>
                <w:sz w:val="21"/>
                <w:szCs w:val="21"/>
                <w:vertAlign w:val="baseline"/>
                <w:lang w:val="en-US" w:eastAsia="zh-CN"/>
              </w:rPr>
              <w:t>0.0900</w:t>
            </w:r>
          </w:p>
        </w:tc>
        <w:tc>
          <w:tcPr>
            <w:tcW w:w="2881" w:type="dxa"/>
            <w:vAlign w:val="center"/>
          </w:tcPr>
          <w:p w14:paraId="7FA7B72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玛2天然气处理站至玛18至夏子街输气管线中间阀池1.118km管径为DN100，设计压力6.3MPa</w:t>
            </w:r>
          </w:p>
        </w:tc>
      </w:tr>
      <w:tr w14:paraId="5892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15D6081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玛131天然气处理站</w:t>
            </w:r>
          </w:p>
        </w:tc>
        <w:tc>
          <w:tcPr>
            <w:tcW w:w="1155" w:type="dxa"/>
            <w:vAlign w:val="center"/>
          </w:tcPr>
          <w:p w14:paraId="31AA9F0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150</w:t>
            </w:r>
          </w:p>
        </w:tc>
        <w:tc>
          <w:tcPr>
            <w:tcW w:w="1050" w:type="dxa"/>
            <w:vAlign w:val="center"/>
          </w:tcPr>
          <w:p w14:paraId="19B3DEE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130</w:t>
            </w:r>
          </w:p>
        </w:tc>
        <w:tc>
          <w:tcPr>
            <w:tcW w:w="990" w:type="dxa"/>
            <w:vAlign w:val="center"/>
          </w:tcPr>
          <w:p w14:paraId="35DC841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2CFB7D5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0.6226</w:t>
            </w:r>
          </w:p>
        </w:tc>
        <w:tc>
          <w:tcPr>
            <w:tcW w:w="2881" w:type="dxa"/>
            <w:vAlign w:val="center"/>
          </w:tcPr>
          <w:p w14:paraId="386ACB3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玛131天然气处理站至3#配气站管线，该管线全长22km，管径为D273.1×6.4mm，设计压力6.3MPa</w:t>
            </w:r>
          </w:p>
        </w:tc>
      </w:tr>
      <w:tr w14:paraId="596E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6BC1DCC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玛18天然气处理站</w:t>
            </w:r>
          </w:p>
        </w:tc>
        <w:tc>
          <w:tcPr>
            <w:tcW w:w="1155" w:type="dxa"/>
            <w:vAlign w:val="center"/>
          </w:tcPr>
          <w:p w14:paraId="34576B3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100</w:t>
            </w:r>
          </w:p>
        </w:tc>
        <w:tc>
          <w:tcPr>
            <w:tcW w:w="1050" w:type="dxa"/>
            <w:vAlign w:val="center"/>
          </w:tcPr>
          <w:p w14:paraId="07E981F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80</w:t>
            </w:r>
          </w:p>
        </w:tc>
        <w:tc>
          <w:tcPr>
            <w:tcW w:w="990" w:type="dxa"/>
            <w:vAlign w:val="center"/>
          </w:tcPr>
          <w:p w14:paraId="61F3CE3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69507C9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0.713</w:t>
            </w:r>
          </w:p>
        </w:tc>
        <w:tc>
          <w:tcPr>
            <w:tcW w:w="2881" w:type="dxa"/>
            <w:vAlign w:val="center"/>
          </w:tcPr>
          <w:p w14:paraId="3A36A68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玛18至百联站输气管线，28km，管径为DN200，设计压力6.3MPa，最终输至夏百线（或风城508管线）</w:t>
            </w:r>
          </w:p>
        </w:tc>
      </w:tr>
    </w:tbl>
    <w:p w14:paraId="56556ACB">
      <w:pPr>
        <w:pStyle w:val="2"/>
        <w:bidi w:val="0"/>
        <w:rPr>
          <w:rFonts w:hint="default"/>
          <w:color w:val="auto"/>
          <w:lang w:val="en-US" w:eastAsia="zh-CN"/>
        </w:rPr>
      </w:pPr>
      <w:bookmarkStart w:id="161" w:name="_Toc30738"/>
      <w:r>
        <w:rPr>
          <w:rFonts w:hint="eastAsia"/>
          <w:color w:val="auto"/>
          <w:lang w:val="en-US" w:eastAsia="zh-CN"/>
        </w:rPr>
        <w:t>3.5辅助及公用工程</w:t>
      </w:r>
      <w:bookmarkEnd w:id="161"/>
    </w:p>
    <w:p w14:paraId="4A57106A">
      <w:pPr>
        <w:pStyle w:val="5"/>
        <w:bidi w:val="0"/>
        <w:rPr>
          <w:rFonts w:hint="default"/>
          <w:color w:val="auto"/>
          <w:lang w:val="en-US" w:eastAsia="zh-CN"/>
        </w:rPr>
      </w:pPr>
      <w:r>
        <w:rPr>
          <w:rFonts w:hint="eastAsia"/>
          <w:color w:val="auto"/>
          <w:lang w:val="en-US" w:eastAsia="zh-CN"/>
        </w:rPr>
        <w:t>3.5.1供配电</w:t>
      </w:r>
    </w:p>
    <w:p w14:paraId="4086094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本工程转产能井供电电源可以依托就近已建10kV集油区架空线路，每座井场设1座杆架式变电站，采用电缆埋地敷设引至井口配电箱。</w:t>
      </w:r>
    </w:p>
    <w:p w14:paraId="78E6A820">
      <w:pPr>
        <w:pStyle w:val="5"/>
        <w:bidi w:val="0"/>
        <w:rPr>
          <w:rFonts w:hint="default"/>
          <w:color w:val="auto"/>
          <w:lang w:val="en-US" w:eastAsia="zh-CN"/>
        </w:rPr>
      </w:pPr>
      <w:r>
        <w:rPr>
          <w:rFonts w:hint="eastAsia"/>
          <w:color w:val="auto"/>
          <w:lang w:val="en-US" w:eastAsia="zh-CN"/>
        </w:rPr>
        <w:t>3.5.2供排水</w:t>
      </w:r>
    </w:p>
    <w:p w14:paraId="03D12E1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施工期施工人员不在施工现场单独设置施工营地，施工队在百口泉采油厂建设有生活基地，生活污水排污依托生活基地现有设施。施工期用水主要为管道试压用水，从乌尔禾区拉运至项目区。管道试压水可重复利用，试压结束后</w:t>
      </w:r>
      <w:r>
        <w:rPr>
          <w:rFonts w:hint="eastAsia" w:ascii="Times New Roman" w:hAnsi="Times New Roman" w:eastAsia="宋体"/>
          <w:color w:val="auto"/>
          <w:sz w:val="24"/>
          <w:szCs w:val="24"/>
          <w:lang w:val="en-US" w:eastAsia="zh-CN"/>
        </w:rPr>
        <w:t>直接进采出水处理系统处理。</w:t>
      </w:r>
    </w:p>
    <w:p w14:paraId="3FC531A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项目营运期无用水工序，运营期采出水、井下作业废水依托百联站</w:t>
      </w:r>
      <w:r>
        <w:rPr>
          <w:rFonts w:hint="eastAsia" w:ascii="Times New Roman" w:hAnsi="Times New Roman" w:eastAsia="宋体"/>
          <w:color w:val="auto"/>
          <w:sz w:val="24"/>
          <w:szCs w:val="24"/>
          <w:lang w:val="en-US" w:eastAsia="zh-CN"/>
        </w:rPr>
        <w:t>采出水</w:t>
      </w:r>
      <w:r>
        <w:rPr>
          <w:rFonts w:hint="eastAsia" w:ascii="Times New Roman" w:hAnsi="Times New Roman" w:eastAsia="宋体"/>
          <w:color w:val="auto"/>
          <w:sz w:val="24"/>
          <w:szCs w:val="24"/>
        </w:rPr>
        <w:t>处理系统处理达标后回注油藏。</w:t>
      </w:r>
    </w:p>
    <w:p w14:paraId="407CB89E">
      <w:pPr>
        <w:pStyle w:val="5"/>
        <w:bidi w:val="0"/>
        <w:rPr>
          <w:rFonts w:hint="default"/>
          <w:color w:val="auto"/>
          <w:lang w:val="en-US" w:eastAsia="zh-CN"/>
        </w:rPr>
      </w:pPr>
      <w:r>
        <w:rPr>
          <w:rFonts w:hint="eastAsia"/>
          <w:color w:val="auto"/>
          <w:lang w:val="en-US" w:eastAsia="zh-CN"/>
        </w:rPr>
        <w:t>3.5.3消防</w:t>
      </w:r>
    </w:p>
    <w:p w14:paraId="43DE42F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目前，油区可依托的外部消防力量为应急抢险救援中心消防五大队，消防站内配备消防车8台。其中，泡沫消防车4台，水罐消防车1台，多功能抢险救援车1台，16米高喷车2台。</w:t>
      </w:r>
    </w:p>
    <w:p w14:paraId="680C5336">
      <w:pPr>
        <w:pStyle w:val="5"/>
        <w:bidi w:val="0"/>
        <w:rPr>
          <w:rFonts w:hint="default"/>
          <w:color w:val="auto"/>
          <w:lang w:val="en-US" w:eastAsia="zh-CN"/>
        </w:rPr>
      </w:pPr>
      <w:r>
        <w:rPr>
          <w:rFonts w:hint="eastAsia"/>
          <w:color w:val="auto"/>
          <w:lang w:val="en-US" w:eastAsia="zh-CN"/>
        </w:rPr>
        <w:t>3.5.4通信</w:t>
      </w:r>
    </w:p>
    <w:p w14:paraId="74146EA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eastAsia="zh-CN"/>
        </w:rPr>
      </w:pPr>
      <w:r>
        <w:rPr>
          <w:rFonts w:hint="default" w:ascii="Times New Roman" w:hAnsi="Times New Roman" w:cs="Times New Roman"/>
          <w:color w:val="auto"/>
        </w:rPr>
        <w:t>井场无线仪表及现场控制器(井场RTU)及监控摄像机，负责对现场温度、压力、液位等工艺参数、抽油机运行状态以及油区监控视频进行实时采集、处理及上传，并接受厂级生产调度中心的远程控制</w:t>
      </w:r>
      <w:r>
        <w:rPr>
          <w:rFonts w:hint="eastAsia" w:ascii="Times New Roman" w:hAnsi="Times New Roman" w:cs="Times New Roman"/>
          <w:color w:val="auto"/>
          <w:lang w:eastAsia="zh-CN"/>
        </w:rPr>
        <w:t>。</w:t>
      </w:r>
    </w:p>
    <w:p w14:paraId="706278CB">
      <w:pPr>
        <w:pStyle w:val="5"/>
        <w:bidi w:val="0"/>
        <w:rPr>
          <w:rFonts w:hint="default"/>
          <w:color w:val="auto"/>
          <w:lang w:val="en-US" w:eastAsia="zh-CN"/>
        </w:rPr>
      </w:pPr>
      <w:r>
        <w:rPr>
          <w:rFonts w:hint="eastAsia"/>
          <w:color w:val="auto"/>
          <w:lang w:val="en-US" w:eastAsia="zh-CN"/>
        </w:rPr>
        <w:t>3.5.5道路</w:t>
      </w:r>
    </w:p>
    <w:p w14:paraId="3920205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s="Times New Roman"/>
          <w:color w:val="auto"/>
          <w:szCs w:val="21"/>
          <w:highlight w:val="none"/>
          <w:lang w:val="en-US" w:eastAsia="zh-CN"/>
        </w:rPr>
        <w:t>不新建道路，全部利用油区已有道路。</w:t>
      </w:r>
    </w:p>
    <w:p w14:paraId="7B3EF482">
      <w:pPr>
        <w:pStyle w:val="2"/>
        <w:bidi w:val="0"/>
        <w:rPr>
          <w:rFonts w:hint="default"/>
          <w:color w:val="auto"/>
          <w:lang w:val="en-US" w:eastAsia="zh-CN"/>
        </w:rPr>
      </w:pPr>
      <w:bookmarkStart w:id="162" w:name="_Toc20113"/>
      <w:r>
        <w:rPr>
          <w:rFonts w:hint="eastAsia"/>
          <w:color w:val="auto"/>
          <w:lang w:val="en-US" w:eastAsia="zh-CN"/>
        </w:rPr>
        <w:t>3.6依托工程</w:t>
      </w:r>
      <w:bookmarkEnd w:id="162"/>
    </w:p>
    <w:p w14:paraId="022D8CB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本工程</w:t>
      </w:r>
      <w:r>
        <w:rPr>
          <w:rFonts w:hint="eastAsia" w:ascii="Times New Roman" w:hAnsi="Times New Roman" w:eastAsia="宋体"/>
          <w:color w:val="auto"/>
          <w:sz w:val="24"/>
          <w:szCs w:val="24"/>
        </w:rPr>
        <w:t>井口采出液经各井区内已建的转油站密闭集输至百联站；采出水、井下作业废水依托百联站</w:t>
      </w:r>
      <w:r>
        <w:rPr>
          <w:rFonts w:hint="eastAsia" w:ascii="Times New Roman" w:hAnsi="Times New Roman" w:eastAsia="宋体"/>
          <w:color w:val="auto"/>
          <w:sz w:val="24"/>
          <w:szCs w:val="24"/>
          <w:lang w:val="en-US" w:eastAsia="zh-CN"/>
        </w:rPr>
        <w:t>采出水</w:t>
      </w:r>
      <w:r>
        <w:rPr>
          <w:rFonts w:hint="eastAsia" w:ascii="Times New Roman" w:hAnsi="Times New Roman" w:eastAsia="宋体"/>
          <w:color w:val="auto"/>
          <w:sz w:val="24"/>
          <w:szCs w:val="24"/>
        </w:rPr>
        <w:t>处理系统；伴生气回收处理依托百口泉采油厂天然气处理站或克拉玛依市富城天然气有限责任公司在各井区内建设的天然气处理站；施工生活污水依托乌尔禾区污水处理厂处理；施工人员生活垃圾依托乌尔禾生活垃圾填埋场处理；项目运营过程中产生的含油污泥</w:t>
      </w:r>
      <w:r>
        <w:rPr>
          <w:rFonts w:hint="eastAsia" w:ascii="Times New Roman" w:hAnsi="Times New Roman" w:eastAsia="宋体"/>
          <w:color w:val="auto"/>
          <w:sz w:val="24"/>
          <w:szCs w:val="24"/>
          <w:lang w:val="en-US" w:eastAsia="zh-CN"/>
        </w:rPr>
        <w:t>暂存在含油污泥存放点，沾油废物暂存在危险废物储存场，含油污泥</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沾油废物</w:t>
      </w:r>
      <w:r>
        <w:rPr>
          <w:rFonts w:hint="eastAsia" w:ascii="Times New Roman" w:hAnsi="Times New Roman" w:eastAsia="宋体"/>
          <w:color w:val="auto"/>
          <w:sz w:val="24"/>
          <w:szCs w:val="24"/>
        </w:rPr>
        <w:t>等危险废物</w:t>
      </w:r>
      <w:r>
        <w:rPr>
          <w:rFonts w:hint="eastAsia" w:ascii="Times New Roman" w:hAnsi="Times New Roman" w:eastAsia="宋体"/>
          <w:color w:val="auto"/>
          <w:sz w:val="24"/>
          <w:szCs w:val="24"/>
          <w:lang w:val="en-US" w:eastAsia="zh-CN"/>
        </w:rPr>
        <w:t>定期</w:t>
      </w:r>
      <w:r>
        <w:rPr>
          <w:rFonts w:hint="eastAsia" w:ascii="Times New Roman" w:hAnsi="Times New Roman" w:eastAsia="宋体"/>
          <w:color w:val="auto"/>
          <w:sz w:val="24"/>
          <w:szCs w:val="24"/>
        </w:rPr>
        <w:t>委托克拉玛依顺通环保科技有限责任公司处置；</w:t>
      </w:r>
      <w:r>
        <w:rPr>
          <w:rFonts w:hint="eastAsia"/>
          <w:color w:val="auto"/>
          <w:sz w:val="24"/>
          <w:szCs w:val="24"/>
          <w:lang w:val="en-US" w:eastAsia="zh-CN"/>
        </w:rPr>
        <w:t>井下作业废水</w:t>
      </w:r>
      <w:r>
        <w:rPr>
          <w:rFonts w:hint="eastAsia" w:ascii="Times New Roman" w:hAnsi="Times New Roman" w:eastAsia="宋体"/>
          <w:color w:val="auto"/>
          <w:sz w:val="24"/>
          <w:szCs w:val="24"/>
        </w:rPr>
        <w:t>依托百联站</w:t>
      </w:r>
      <w:r>
        <w:rPr>
          <w:rFonts w:hint="eastAsia"/>
          <w:color w:val="auto"/>
          <w:sz w:val="24"/>
          <w:szCs w:val="24"/>
          <w:lang w:val="en-US" w:eastAsia="zh-CN"/>
        </w:rPr>
        <w:t>采出水处理系统处理</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相关依托工程环保手续履行情况见表3.6-1。</w:t>
      </w:r>
    </w:p>
    <w:p w14:paraId="5B3C73EF">
      <w:pPr>
        <w:pStyle w:val="43"/>
        <w:bidi w:val="0"/>
        <w:rPr>
          <w:rFonts w:hint="default"/>
          <w:color w:val="auto"/>
          <w:lang w:val="en-US" w:eastAsia="zh-CN"/>
        </w:rPr>
      </w:pPr>
      <w:r>
        <w:rPr>
          <w:rFonts w:hint="eastAsia"/>
          <w:color w:val="auto"/>
          <w:lang w:val="en-US" w:eastAsia="zh-CN"/>
        </w:rPr>
        <w:t>表3.6-1  与本工程相关的依托工程环保手续履行情况一览表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275"/>
        <w:gridCol w:w="2264"/>
        <w:gridCol w:w="1561"/>
        <w:gridCol w:w="1560"/>
        <w:gridCol w:w="1141"/>
      </w:tblGrid>
      <w:tr w14:paraId="5969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4C698B7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序号</w:t>
            </w:r>
          </w:p>
        </w:tc>
        <w:tc>
          <w:tcPr>
            <w:tcW w:w="1275" w:type="dxa"/>
            <w:vAlign w:val="center"/>
          </w:tcPr>
          <w:p w14:paraId="2B712D0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依托工程</w:t>
            </w:r>
          </w:p>
        </w:tc>
        <w:tc>
          <w:tcPr>
            <w:tcW w:w="2264" w:type="dxa"/>
            <w:vAlign w:val="center"/>
          </w:tcPr>
          <w:p w14:paraId="3BA8C84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项目名称</w:t>
            </w:r>
          </w:p>
        </w:tc>
        <w:tc>
          <w:tcPr>
            <w:tcW w:w="1561" w:type="dxa"/>
            <w:vAlign w:val="center"/>
          </w:tcPr>
          <w:p w14:paraId="3F18069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环评情况</w:t>
            </w:r>
          </w:p>
        </w:tc>
        <w:tc>
          <w:tcPr>
            <w:tcW w:w="1560" w:type="dxa"/>
            <w:vAlign w:val="center"/>
          </w:tcPr>
          <w:p w14:paraId="2569113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验收情况</w:t>
            </w:r>
          </w:p>
        </w:tc>
        <w:tc>
          <w:tcPr>
            <w:tcW w:w="1141" w:type="dxa"/>
            <w:vAlign w:val="center"/>
          </w:tcPr>
          <w:p w14:paraId="2D3B774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备注</w:t>
            </w:r>
          </w:p>
        </w:tc>
      </w:tr>
      <w:tr w14:paraId="2166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7E3FF06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w:t>
            </w:r>
          </w:p>
        </w:tc>
        <w:tc>
          <w:tcPr>
            <w:tcW w:w="1275" w:type="dxa"/>
            <w:vMerge w:val="restart"/>
            <w:vAlign w:val="center"/>
          </w:tcPr>
          <w:p w14:paraId="02497BE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玛2转油站</w:t>
            </w:r>
          </w:p>
        </w:tc>
        <w:tc>
          <w:tcPr>
            <w:tcW w:w="2264" w:type="dxa"/>
            <w:vAlign w:val="center"/>
          </w:tcPr>
          <w:p w14:paraId="0B65A4C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玛北油田玛2井区百口泉组、下乌尔禾区组油藏（2019-2023年）地面建设工程环境影响报告</w:t>
            </w:r>
            <w:r>
              <w:rPr>
                <w:rFonts w:hint="eastAsia" w:ascii="Times New Roman" w:hAnsi="Times New Roman" w:eastAsia="宋体"/>
                <w:color w:val="auto"/>
                <w:sz w:val="21"/>
                <w:szCs w:val="21"/>
                <w:vertAlign w:val="baseline"/>
                <w:lang w:val="en-US" w:eastAsia="zh-CN"/>
              </w:rPr>
              <w:t>表</w:t>
            </w:r>
          </w:p>
        </w:tc>
        <w:tc>
          <w:tcPr>
            <w:tcW w:w="1561" w:type="dxa"/>
            <w:vAlign w:val="center"/>
          </w:tcPr>
          <w:p w14:paraId="325D892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原新疆维吾尔自治区生态环境厅-新环函</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2019</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233号，2019.2.27</w:t>
            </w:r>
          </w:p>
        </w:tc>
        <w:tc>
          <w:tcPr>
            <w:tcW w:w="1560" w:type="dxa"/>
            <w:vAlign w:val="center"/>
          </w:tcPr>
          <w:p w14:paraId="02DBFAD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2021.2.1自主竣工环保验收</w:t>
            </w:r>
          </w:p>
        </w:tc>
        <w:tc>
          <w:tcPr>
            <w:tcW w:w="1141" w:type="dxa"/>
            <w:vMerge w:val="restart"/>
            <w:vAlign w:val="center"/>
          </w:tcPr>
          <w:p w14:paraId="2B82783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玛湖第一采油作业区采出液转输</w:t>
            </w:r>
          </w:p>
        </w:tc>
      </w:tr>
      <w:tr w14:paraId="1069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22F9647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7CA4858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2264" w:type="dxa"/>
            <w:vAlign w:val="center"/>
          </w:tcPr>
          <w:p w14:paraId="1ACC2E7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玛2转油站扩建及配套地面建设工程环境影响报告表</w:t>
            </w:r>
          </w:p>
        </w:tc>
        <w:tc>
          <w:tcPr>
            <w:tcW w:w="1561" w:type="dxa"/>
            <w:vAlign w:val="center"/>
          </w:tcPr>
          <w:p w14:paraId="074874D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塔城地区生态环境局-塔地环字</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2021</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39号，2021.3.31</w:t>
            </w:r>
          </w:p>
        </w:tc>
        <w:tc>
          <w:tcPr>
            <w:tcW w:w="1560" w:type="dxa"/>
            <w:vAlign w:val="center"/>
          </w:tcPr>
          <w:p w14:paraId="7BD5385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2023.11.19自主竣工环保验收</w:t>
            </w:r>
          </w:p>
        </w:tc>
        <w:tc>
          <w:tcPr>
            <w:tcW w:w="1141" w:type="dxa"/>
            <w:vMerge w:val="continue"/>
            <w:vAlign w:val="center"/>
          </w:tcPr>
          <w:p w14:paraId="060A738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1CF8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56EE0AC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w:t>
            </w:r>
          </w:p>
        </w:tc>
        <w:tc>
          <w:tcPr>
            <w:tcW w:w="1275" w:type="dxa"/>
            <w:vMerge w:val="restart"/>
            <w:vAlign w:val="center"/>
          </w:tcPr>
          <w:p w14:paraId="69EE3BB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玛131转油站</w:t>
            </w:r>
          </w:p>
        </w:tc>
        <w:tc>
          <w:tcPr>
            <w:tcW w:w="2264" w:type="dxa"/>
            <w:vAlign w:val="center"/>
          </w:tcPr>
          <w:p w14:paraId="163A274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中国石油新疆油田分公司玛北油田玛131井区100万吨/年转油站建设项目环境影响报告书</w:t>
            </w:r>
          </w:p>
        </w:tc>
        <w:tc>
          <w:tcPr>
            <w:tcW w:w="1561" w:type="dxa"/>
            <w:vAlign w:val="center"/>
          </w:tcPr>
          <w:p w14:paraId="4F9E84B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rPr>
              <w:t>原新疆维吾尔自治区环保厅-新环函</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2018</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1183号，2018.8</w:t>
            </w:r>
            <w:r>
              <w:rPr>
                <w:rFonts w:hint="eastAsia" w:ascii="Times New Roman" w:hAnsi="Times New Roman" w:eastAsia="宋体"/>
                <w:color w:val="auto"/>
                <w:sz w:val="21"/>
                <w:szCs w:val="21"/>
                <w:vertAlign w:val="baseline"/>
                <w:lang w:val="en-US" w:eastAsia="zh-CN"/>
              </w:rPr>
              <w:t>.15</w:t>
            </w:r>
          </w:p>
        </w:tc>
        <w:tc>
          <w:tcPr>
            <w:tcW w:w="1560" w:type="dxa"/>
            <w:vAlign w:val="center"/>
          </w:tcPr>
          <w:p w14:paraId="7951300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2019.11.20自主竣工环保验收</w:t>
            </w:r>
          </w:p>
        </w:tc>
        <w:tc>
          <w:tcPr>
            <w:tcW w:w="1141" w:type="dxa"/>
            <w:vMerge w:val="restart"/>
            <w:vAlign w:val="center"/>
          </w:tcPr>
          <w:p w14:paraId="6B935AE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玛湖第二采油作业区采出液转输</w:t>
            </w:r>
          </w:p>
        </w:tc>
      </w:tr>
      <w:tr w14:paraId="3508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74AA7DF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64ED572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2264" w:type="dxa"/>
            <w:vAlign w:val="center"/>
          </w:tcPr>
          <w:p w14:paraId="2BA5199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2020年玛131转油站扩建及地面配套工程环境影响报告表</w:t>
            </w:r>
          </w:p>
        </w:tc>
        <w:tc>
          <w:tcPr>
            <w:tcW w:w="1561" w:type="dxa"/>
            <w:vAlign w:val="center"/>
          </w:tcPr>
          <w:p w14:paraId="4EB24C0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rPr>
              <w:t>克拉玛依市生态环境局-克环函</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2020</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176号，2020.11</w:t>
            </w:r>
            <w:r>
              <w:rPr>
                <w:rFonts w:hint="eastAsia" w:ascii="Times New Roman" w:hAnsi="Times New Roman" w:eastAsia="宋体"/>
                <w:color w:val="auto"/>
                <w:sz w:val="21"/>
                <w:szCs w:val="21"/>
                <w:vertAlign w:val="baseline"/>
                <w:lang w:val="en-US" w:eastAsia="zh-CN"/>
              </w:rPr>
              <w:t>.11</w:t>
            </w:r>
          </w:p>
        </w:tc>
        <w:tc>
          <w:tcPr>
            <w:tcW w:w="1560" w:type="dxa"/>
            <w:vAlign w:val="center"/>
          </w:tcPr>
          <w:p w14:paraId="6ABD7E1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2023.3.7自主竣工环保验收</w:t>
            </w:r>
          </w:p>
        </w:tc>
        <w:tc>
          <w:tcPr>
            <w:tcW w:w="1141" w:type="dxa"/>
            <w:vMerge w:val="continue"/>
            <w:vAlign w:val="center"/>
          </w:tcPr>
          <w:p w14:paraId="517F3A7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p>
        </w:tc>
      </w:tr>
      <w:tr w14:paraId="36BC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031705B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3</w:t>
            </w:r>
          </w:p>
        </w:tc>
        <w:tc>
          <w:tcPr>
            <w:tcW w:w="1275" w:type="dxa"/>
            <w:vMerge w:val="restart"/>
            <w:vAlign w:val="center"/>
          </w:tcPr>
          <w:p w14:paraId="14A6236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玛18转油站</w:t>
            </w:r>
          </w:p>
        </w:tc>
        <w:tc>
          <w:tcPr>
            <w:tcW w:w="2264" w:type="dxa"/>
            <w:vAlign w:val="center"/>
          </w:tcPr>
          <w:p w14:paraId="22ECE26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玛湖凹陷玛18-艾湖1井区块百口泉油藏开发建设工程环境影响报告书</w:t>
            </w:r>
          </w:p>
        </w:tc>
        <w:tc>
          <w:tcPr>
            <w:tcW w:w="1561" w:type="dxa"/>
            <w:vAlign w:val="center"/>
          </w:tcPr>
          <w:p w14:paraId="21FFE7A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原新疆维吾尔自治区环保厅-新环函</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2015</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620号，2015.5.27</w:t>
            </w:r>
          </w:p>
        </w:tc>
        <w:tc>
          <w:tcPr>
            <w:tcW w:w="1560" w:type="dxa"/>
            <w:vAlign w:val="center"/>
          </w:tcPr>
          <w:p w14:paraId="01A778F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lang w:val="en-US" w:eastAsia="zh-CN"/>
              </w:rPr>
              <w:t>进行过5次自主竣工环保验收，第一批：2018.5.31；第二批：2020.1.13；第三批：2020.12.29；第四批：2022.3.10；第五批：2023.2.16</w:t>
            </w:r>
          </w:p>
        </w:tc>
        <w:tc>
          <w:tcPr>
            <w:tcW w:w="1141" w:type="dxa"/>
            <w:vMerge w:val="restart"/>
            <w:vAlign w:val="center"/>
          </w:tcPr>
          <w:p w14:paraId="1318230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玛湖第三采油作业区采出液转输</w:t>
            </w:r>
          </w:p>
        </w:tc>
      </w:tr>
      <w:tr w14:paraId="1454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7C87039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6152CAC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2264" w:type="dxa"/>
            <w:vAlign w:val="center"/>
          </w:tcPr>
          <w:p w14:paraId="3AAF0C1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玛18转油站改扩建工程环境影响报告表</w:t>
            </w:r>
          </w:p>
        </w:tc>
        <w:tc>
          <w:tcPr>
            <w:tcW w:w="1561" w:type="dxa"/>
            <w:vAlign w:val="center"/>
          </w:tcPr>
          <w:p w14:paraId="6C40CF1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rPr>
              <w:t>原和布克赛尔蒙古自治县环境保护局-和环评函字</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2018</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16号，2018.6</w:t>
            </w:r>
            <w:r>
              <w:rPr>
                <w:rFonts w:hint="eastAsia" w:ascii="Times New Roman" w:hAnsi="Times New Roman" w:eastAsia="宋体"/>
                <w:color w:val="auto"/>
                <w:sz w:val="21"/>
                <w:szCs w:val="21"/>
                <w:vertAlign w:val="baseline"/>
                <w:lang w:val="en-US" w:eastAsia="zh-CN"/>
              </w:rPr>
              <w:t>.8</w:t>
            </w:r>
          </w:p>
        </w:tc>
        <w:tc>
          <w:tcPr>
            <w:tcW w:w="1560" w:type="dxa"/>
            <w:vAlign w:val="center"/>
          </w:tcPr>
          <w:p w14:paraId="2ADEB29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2019.12.7自主竣工环保验收</w:t>
            </w:r>
          </w:p>
        </w:tc>
        <w:tc>
          <w:tcPr>
            <w:tcW w:w="1141" w:type="dxa"/>
            <w:vMerge w:val="continue"/>
            <w:vAlign w:val="center"/>
          </w:tcPr>
          <w:p w14:paraId="4632A8B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3A02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0466448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4</w:t>
            </w:r>
          </w:p>
        </w:tc>
        <w:tc>
          <w:tcPr>
            <w:tcW w:w="1275" w:type="dxa"/>
            <w:vMerge w:val="restart"/>
            <w:vAlign w:val="center"/>
          </w:tcPr>
          <w:p w14:paraId="1AFA503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百联站</w:t>
            </w:r>
          </w:p>
        </w:tc>
        <w:tc>
          <w:tcPr>
            <w:tcW w:w="2264" w:type="dxa"/>
            <w:shd w:val="clear" w:color="auto" w:fill="auto"/>
            <w:vAlign w:val="center"/>
          </w:tcPr>
          <w:p w14:paraId="0A68DA8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中国石油新疆油田分公司百口泉油田开发建设工程环境影响回顾性评价</w:t>
            </w:r>
          </w:p>
        </w:tc>
        <w:tc>
          <w:tcPr>
            <w:tcW w:w="1561" w:type="dxa"/>
            <w:shd w:val="clear" w:color="auto" w:fill="auto"/>
            <w:vAlign w:val="center"/>
          </w:tcPr>
          <w:p w14:paraId="1489DE5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rPr>
              <w:t>原新疆维吾尔自治区环保厅新环监函</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2008</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473号，2008.11.19</w:t>
            </w:r>
          </w:p>
        </w:tc>
        <w:tc>
          <w:tcPr>
            <w:tcW w:w="1560" w:type="dxa"/>
            <w:shd w:val="clear" w:color="auto" w:fill="auto"/>
            <w:vAlign w:val="center"/>
          </w:tcPr>
          <w:p w14:paraId="6DFD013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w:t>
            </w:r>
          </w:p>
        </w:tc>
        <w:tc>
          <w:tcPr>
            <w:tcW w:w="1141" w:type="dxa"/>
            <w:shd w:val="clear" w:color="auto" w:fill="auto"/>
            <w:vAlign w:val="center"/>
          </w:tcPr>
          <w:p w14:paraId="51A566D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含百口泉采油厂天然气处理站</w:t>
            </w:r>
          </w:p>
        </w:tc>
      </w:tr>
      <w:tr w14:paraId="1FDD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1D1D627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307588C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2264" w:type="dxa"/>
            <w:shd w:val="clear" w:color="auto" w:fill="auto"/>
            <w:vAlign w:val="center"/>
          </w:tcPr>
          <w:p w14:paraId="239B7F9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玛北斜坡区玛131井区百口泉组油藏开发建设工程环境影响报告书</w:t>
            </w:r>
          </w:p>
        </w:tc>
        <w:tc>
          <w:tcPr>
            <w:tcW w:w="1561" w:type="dxa"/>
            <w:shd w:val="clear" w:color="auto" w:fill="auto"/>
            <w:vAlign w:val="center"/>
          </w:tcPr>
          <w:p w14:paraId="0AA75ED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原新疆维吾尔自治区环境保护厅-新环函</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2015</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619号），2015.5.18</w:t>
            </w:r>
          </w:p>
        </w:tc>
        <w:tc>
          <w:tcPr>
            <w:tcW w:w="1560" w:type="dxa"/>
            <w:shd w:val="clear" w:color="auto" w:fill="auto"/>
            <w:vAlign w:val="center"/>
          </w:tcPr>
          <w:p w14:paraId="4C9FEEA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2018.4.8自主竣工环保验收</w:t>
            </w:r>
          </w:p>
        </w:tc>
        <w:tc>
          <w:tcPr>
            <w:tcW w:w="1141" w:type="dxa"/>
            <w:shd w:val="clear" w:color="auto" w:fill="auto"/>
            <w:vAlign w:val="center"/>
          </w:tcPr>
          <w:p w14:paraId="7385296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w:t>
            </w:r>
          </w:p>
        </w:tc>
      </w:tr>
      <w:tr w14:paraId="414E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53E1EF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6450183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2264" w:type="dxa"/>
            <w:shd w:val="clear" w:color="auto" w:fill="auto"/>
            <w:vAlign w:val="center"/>
          </w:tcPr>
          <w:p w14:paraId="20A911E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中国石油新疆油田分公司百口泉注输联合站改造工程环境影响报告书</w:t>
            </w:r>
          </w:p>
        </w:tc>
        <w:tc>
          <w:tcPr>
            <w:tcW w:w="1561" w:type="dxa"/>
            <w:shd w:val="clear" w:color="auto" w:fill="auto"/>
            <w:vAlign w:val="center"/>
          </w:tcPr>
          <w:p w14:paraId="41BA6AD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原克拉玛依市环境保护局-克环保函</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2018</w:t>
            </w:r>
            <w:r>
              <w:rPr>
                <w:rFonts w:hint="eastAsia" w:ascii="宋体" w:hAnsi="宋体" w:eastAsia="宋体" w:cs="宋体"/>
                <w:color w:val="auto"/>
                <w:sz w:val="21"/>
                <w:szCs w:val="21"/>
                <w:vertAlign w:val="baseline"/>
              </w:rPr>
              <w:t>〕</w:t>
            </w:r>
            <w:r>
              <w:rPr>
                <w:rFonts w:hint="eastAsia" w:ascii="Times New Roman" w:hAnsi="Times New Roman" w:eastAsia="宋体"/>
                <w:color w:val="auto"/>
                <w:sz w:val="21"/>
                <w:szCs w:val="21"/>
                <w:vertAlign w:val="baseline"/>
              </w:rPr>
              <w:t>83号，2018.5.9</w:t>
            </w:r>
          </w:p>
        </w:tc>
        <w:tc>
          <w:tcPr>
            <w:tcW w:w="1560" w:type="dxa"/>
            <w:shd w:val="clear" w:color="auto" w:fill="auto"/>
            <w:vAlign w:val="center"/>
          </w:tcPr>
          <w:p w14:paraId="4674CD0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2019.11.15自主竣工环保验收</w:t>
            </w:r>
          </w:p>
        </w:tc>
        <w:tc>
          <w:tcPr>
            <w:tcW w:w="1141" w:type="dxa"/>
            <w:shd w:val="clear" w:color="auto" w:fill="auto"/>
            <w:vAlign w:val="center"/>
          </w:tcPr>
          <w:p w14:paraId="1164B74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w:t>
            </w:r>
          </w:p>
        </w:tc>
      </w:tr>
      <w:tr w14:paraId="4A73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718F0DF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70C4B53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2264" w:type="dxa"/>
            <w:shd w:val="clear" w:color="auto" w:fill="auto"/>
            <w:vAlign w:val="center"/>
          </w:tcPr>
          <w:p w14:paraId="16D39E6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百联站扩建工程环境影响报告表</w:t>
            </w:r>
          </w:p>
        </w:tc>
        <w:tc>
          <w:tcPr>
            <w:tcW w:w="1561" w:type="dxa"/>
            <w:shd w:val="clear" w:color="auto" w:fill="auto"/>
            <w:vAlign w:val="center"/>
          </w:tcPr>
          <w:p w14:paraId="6B097EA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rPr>
            </w:pPr>
            <w:r>
              <w:rPr>
                <w:rFonts w:hint="eastAsia" w:ascii="Times New Roman" w:hAnsi="Times New Roman" w:eastAsia="宋体"/>
                <w:color w:val="auto"/>
                <w:sz w:val="21"/>
                <w:szCs w:val="21"/>
                <w:vertAlign w:val="baseline"/>
                <w:lang w:val="en-US" w:eastAsia="zh-CN"/>
              </w:rPr>
              <w:t>克拉玛依市生态环境局-克环函</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2021</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114号，2021.8.9</w:t>
            </w:r>
          </w:p>
        </w:tc>
        <w:tc>
          <w:tcPr>
            <w:tcW w:w="1560" w:type="dxa"/>
            <w:shd w:val="clear" w:color="auto" w:fill="auto"/>
            <w:vAlign w:val="center"/>
          </w:tcPr>
          <w:p w14:paraId="3133182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2023.5.23自主竣工环保验收</w:t>
            </w:r>
          </w:p>
        </w:tc>
        <w:tc>
          <w:tcPr>
            <w:tcW w:w="1141" w:type="dxa"/>
            <w:shd w:val="clear" w:color="auto" w:fill="auto"/>
            <w:vAlign w:val="center"/>
          </w:tcPr>
          <w:p w14:paraId="7A55C94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w:t>
            </w:r>
          </w:p>
        </w:tc>
      </w:tr>
      <w:tr w14:paraId="3E98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4E04CC9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42D2F34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2264" w:type="dxa"/>
            <w:shd w:val="clear" w:color="auto" w:fill="auto"/>
            <w:vAlign w:val="center"/>
          </w:tcPr>
          <w:p w14:paraId="0608418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百口泉注水系统管网优化及注水泵扩建工程环境影响报告表</w:t>
            </w:r>
          </w:p>
        </w:tc>
        <w:tc>
          <w:tcPr>
            <w:tcW w:w="1561" w:type="dxa"/>
            <w:shd w:val="clear" w:color="auto" w:fill="auto"/>
            <w:vAlign w:val="center"/>
          </w:tcPr>
          <w:p w14:paraId="65A62F7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克拉玛依市生态环境局-克环函</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2023</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48号，2023.4.28</w:t>
            </w:r>
          </w:p>
        </w:tc>
        <w:tc>
          <w:tcPr>
            <w:tcW w:w="1560" w:type="dxa"/>
            <w:shd w:val="clear" w:color="auto" w:fill="auto"/>
            <w:vAlign w:val="center"/>
          </w:tcPr>
          <w:p w14:paraId="1B8F878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2024年6月19日完成第一批自主竣工环保验收</w:t>
            </w:r>
          </w:p>
        </w:tc>
        <w:tc>
          <w:tcPr>
            <w:tcW w:w="1141" w:type="dxa"/>
            <w:shd w:val="clear" w:color="auto" w:fill="auto"/>
            <w:vAlign w:val="center"/>
          </w:tcPr>
          <w:p w14:paraId="1381631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w:t>
            </w:r>
          </w:p>
        </w:tc>
      </w:tr>
      <w:tr w14:paraId="0544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59769A6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5</w:t>
            </w:r>
          </w:p>
        </w:tc>
        <w:tc>
          <w:tcPr>
            <w:tcW w:w="1275" w:type="dxa"/>
            <w:vAlign w:val="center"/>
          </w:tcPr>
          <w:p w14:paraId="7474C3F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s="Times New Roman"/>
                <w:color w:val="auto"/>
                <w:sz w:val="21"/>
                <w:szCs w:val="21"/>
                <w:lang w:val="en-US" w:eastAsia="zh-CN"/>
              </w:rPr>
              <w:t>百口泉天然气处理站</w:t>
            </w:r>
          </w:p>
        </w:tc>
        <w:tc>
          <w:tcPr>
            <w:tcW w:w="2264" w:type="dxa"/>
            <w:shd w:val="clear" w:color="auto" w:fill="auto"/>
            <w:vAlign w:val="center"/>
          </w:tcPr>
          <w:p w14:paraId="3AAA13B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cs="Times New Roman"/>
                <w:color w:val="auto"/>
                <w:sz w:val="21"/>
                <w:szCs w:val="21"/>
              </w:rPr>
              <w:t>百联站改扩建工程</w:t>
            </w:r>
            <w:r>
              <w:rPr>
                <w:rFonts w:hint="eastAsia" w:ascii="Times New Roman" w:hAnsi="Times New Roman" w:cs="Times New Roman"/>
                <w:color w:val="auto"/>
                <w:sz w:val="21"/>
                <w:szCs w:val="21"/>
                <w:lang w:val="en-US" w:eastAsia="zh-CN"/>
              </w:rPr>
              <w:t>环境影响报告表</w:t>
            </w:r>
          </w:p>
        </w:tc>
        <w:tc>
          <w:tcPr>
            <w:tcW w:w="1561" w:type="dxa"/>
            <w:shd w:val="clear" w:color="auto" w:fill="auto"/>
            <w:vAlign w:val="center"/>
          </w:tcPr>
          <w:p w14:paraId="7D7D9E7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克拉玛依市生态环境局-克环函</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2025</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40号，2025.3.27</w:t>
            </w:r>
          </w:p>
        </w:tc>
        <w:tc>
          <w:tcPr>
            <w:tcW w:w="1560" w:type="dxa"/>
            <w:shd w:val="clear" w:color="auto" w:fill="auto"/>
            <w:vAlign w:val="center"/>
          </w:tcPr>
          <w:p w14:paraId="693B835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正在实施</w:t>
            </w:r>
          </w:p>
        </w:tc>
        <w:tc>
          <w:tcPr>
            <w:tcW w:w="1141" w:type="dxa"/>
            <w:shd w:val="clear" w:color="auto" w:fill="auto"/>
            <w:vAlign w:val="center"/>
          </w:tcPr>
          <w:p w14:paraId="1781977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扩建</w:t>
            </w:r>
          </w:p>
        </w:tc>
      </w:tr>
      <w:tr w14:paraId="147E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0CE0BC6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6</w:t>
            </w:r>
          </w:p>
        </w:tc>
        <w:tc>
          <w:tcPr>
            <w:tcW w:w="1275" w:type="dxa"/>
            <w:vAlign w:val="center"/>
          </w:tcPr>
          <w:p w14:paraId="558FA71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玛2天然气处理站</w:t>
            </w:r>
          </w:p>
        </w:tc>
        <w:tc>
          <w:tcPr>
            <w:tcW w:w="2264" w:type="dxa"/>
            <w:shd w:val="clear" w:color="auto" w:fill="auto"/>
            <w:vAlign w:val="center"/>
          </w:tcPr>
          <w:p w14:paraId="67FC578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玛2井区天然气回收工程环境影响报告</w:t>
            </w:r>
          </w:p>
          <w:p w14:paraId="330AC3D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w:t>
            </w:r>
          </w:p>
        </w:tc>
        <w:tc>
          <w:tcPr>
            <w:tcW w:w="1561" w:type="dxa"/>
            <w:shd w:val="clear" w:color="auto" w:fill="auto"/>
            <w:vAlign w:val="center"/>
          </w:tcPr>
          <w:p w14:paraId="5ED0D11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塔城地区生态环境局-塔地环字</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2020</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43号，2020.4.17</w:t>
            </w:r>
          </w:p>
        </w:tc>
        <w:tc>
          <w:tcPr>
            <w:tcW w:w="1560" w:type="dxa"/>
            <w:shd w:val="clear" w:color="auto" w:fill="auto"/>
            <w:vAlign w:val="center"/>
          </w:tcPr>
          <w:p w14:paraId="0DDDF2C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2021.10.22自主竣工环保验收</w:t>
            </w:r>
          </w:p>
        </w:tc>
        <w:tc>
          <w:tcPr>
            <w:tcW w:w="1141" w:type="dxa"/>
            <w:shd w:val="clear" w:color="auto" w:fill="auto"/>
            <w:vAlign w:val="center"/>
          </w:tcPr>
          <w:p w14:paraId="2A153ED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玛湖第一采油作业区伴生气处理</w:t>
            </w:r>
          </w:p>
        </w:tc>
      </w:tr>
      <w:tr w14:paraId="74B5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24047B1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7</w:t>
            </w:r>
          </w:p>
        </w:tc>
        <w:tc>
          <w:tcPr>
            <w:tcW w:w="1275" w:type="dxa"/>
            <w:vMerge w:val="restart"/>
            <w:vAlign w:val="center"/>
          </w:tcPr>
          <w:p w14:paraId="3664DD7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玛131天然气处理站</w:t>
            </w:r>
          </w:p>
        </w:tc>
        <w:tc>
          <w:tcPr>
            <w:tcW w:w="2264" w:type="dxa"/>
            <w:shd w:val="clear" w:color="auto" w:fill="auto"/>
            <w:vAlign w:val="center"/>
          </w:tcPr>
          <w:p w14:paraId="6B29A93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6#天然气处理撬装装置环境影响报告表</w:t>
            </w:r>
          </w:p>
        </w:tc>
        <w:tc>
          <w:tcPr>
            <w:tcW w:w="1561" w:type="dxa"/>
            <w:shd w:val="clear" w:color="auto" w:fill="auto"/>
            <w:vAlign w:val="center"/>
          </w:tcPr>
          <w:p w14:paraId="1A1FB0F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原克拉玛依市环保局</w:t>
            </w:r>
          </w:p>
          <w:p w14:paraId="24DE581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批复-克环保函</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2016</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40号，2016.1.18</w:t>
            </w:r>
          </w:p>
        </w:tc>
        <w:tc>
          <w:tcPr>
            <w:tcW w:w="1560" w:type="dxa"/>
            <w:shd w:val="clear" w:color="auto" w:fill="auto"/>
            <w:vAlign w:val="center"/>
          </w:tcPr>
          <w:p w14:paraId="2C6C3F1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2017.12.16自主竣工环保验收</w:t>
            </w:r>
          </w:p>
        </w:tc>
        <w:tc>
          <w:tcPr>
            <w:tcW w:w="1141" w:type="dxa"/>
            <w:vMerge w:val="restart"/>
            <w:shd w:val="clear" w:color="auto" w:fill="auto"/>
            <w:vAlign w:val="center"/>
          </w:tcPr>
          <w:p w14:paraId="514F476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玛湖第二采油作业区伴生气处理</w:t>
            </w:r>
          </w:p>
        </w:tc>
      </w:tr>
      <w:tr w14:paraId="0CE3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7FB33F5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655C7FC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64" w:type="dxa"/>
            <w:shd w:val="clear" w:color="auto" w:fill="auto"/>
            <w:vAlign w:val="center"/>
          </w:tcPr>
          <w:p w14:paraId="078B29F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28#天然气撬装装置环境影响报告表</w:t>
            </w:r>
          </w:p>
        </w:tc>
        <w:tc>
          <w:tcPr>
            <w:tcW w:w="1561" w:type="dxa"/>
            <w:shd w:val="clear" w:color="auto" w:fill="auto"/>
            <w:vAlign w:val="center"/>
          </w:tcPr>
          <w:p w14:paraId="3F99463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原克拉玛依市生态环境局-克环函</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2017</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286号，2017.9.6</w:t>
            </w:r>
          </w:p>
        </w:tc>
        <w:tc>
          <w:tcPr>
            <w:tcW w:w="1560" w:type="dxa"/>
            <w:shd w:val="clear" w:color="auto" w:fill="auto"/>
            <w:vAlign w:val="center"/>
          </w:tcPr>
          <w:p w14:paraId="0C421E3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2019.1.24自主竣工环保验收</w:t>
            </w:r>
          </w:p>
        </w:tc>
        <w:tc>
          <w:tcPr>
            <w:tcW w:w="1141" w:type="dxa"/>
            <w:vMerge w:val="continue"/>
            <w:shd w:val="clear" w:color="auto" w:fill="auto"/>
            <w:vAlign w:val="center"/>
          </w:tcPr>
          <w:p w14:paraId="02A01ED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7F50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B87987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5C2BB13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64" w:type="dxa"/>
            <w:shd w:val="clear" w:color="auto" w:fill="auto"/>
            <w:vAlign w:val="center"/>
          </w:tcPr>
          <w:p w14:paraId="24132A4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2019年玛131新增浅冷装置环境影响报告表</w:t>
            </w:r>
          </w:p>
        </w:tc>
        <w:tc>
          <w:tcPr>
            <w:tcW w:w="1561" w:type="dxa"/>
            <w:shd w:val="clear" w:color="auto" w:fill="auto"/>
            <w:vAlign w:val="center"/>
          </w:tcPr>
          <w:p w14:paraId="5541D97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原克拉玛依市生态环境局-克环函</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2019</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217号，2019.12.9</w:t>
            </w:r>
          </w:p>
        </w:tc>
        <w:tc>
          <w:tcPr>
            <w:tcW w:w="1560" w:type="dxa"/>
            <w:shd w:val="clear" w:color="auto" w:fill="auto"/>
            <w:vAlign w:val="center"/>
          </w:tcPr>
          <w:p w14:paraId="623999A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2020.9.12自主竣工环保验收</w:t>
            </w:r>
          </w:p>
        </w:tc>
        <w:tc>
          <w:tcPr>
            <w:tcW w:w="1141" w:type="dxa"/>
            <w:vMerge w:val="continue"/>
            <w:shd w:val="clear" w:color="auto" w:fill="auto"/>
            <w:vAlign w:val="center"/>
          </w:tcPr>
          <w:p w14:paraId="5C86BE3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6192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38DD6F6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0ADB171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64" w:type="dxa"/>
            <w:shd w:val="clear" w:color="auto" w:fill="auto"/>
            <w:vAlign w:val="center"/>
          </w:tcPr>
          <w:p w14:paraId="70562FB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玛131新增40万方/天浅冷装置（二期）环境影响报告表</w:t>
            </w:r>
          </w:p>
        </w:tc>
        <w:tc>
          <w:tcPr>
            <w:tcW w:w="1561" w:type="dxa"/>
            <w:shd w:val="clear" w:color="auto" w:fill="auto"/>
            <w:vAlign w:val="center"/>
          </w:tcPr>
          <w:p w14:paraId="4C1E3C9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克拉玛依市生态环境局-克环函</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2020</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171号，2020.10.29</w:t>
            </w:r>
          </w:p>
        </w:tc>
        <w:tc>
          <w:tcPr>
            <w:tcW w:w="1560" w:type="dxa"/>
            <w:shd w:val="clear" w:color="auto" w:fill="auto"/>
            <w:vAlign w:val="center"/>
          </w:tcPr>
          <w:p w14:paraId="6B5D568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2021.10.22自主竣工环保验收</w:t>
            </w:r>
          </w:p>
        </w:tc>
        <w:tc>
          <w:tcPr>
            <w:tcW w:w="1141" w:type="dxa"/>
            <w:vMerge w:val="continue"/>
            <w:shd w:val="clear" w:color="auto" w:fill="auto"/>
            <w:vAlign w:val="center"/>
          </w:tcPr>
          <w:p w14:paraId="6C38ED2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247E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64A0670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8</w:t>
            </w:r>
          </w:p>
        </w:tc>
        <w:tc>
          <w:tcPr>
            <w:tcW w:w="1275" w:type="dxa"/>
            <w:vMerge w:val="restart"/>
            <w:vAlign w:val="center"/>
          </w:tcPr>
          <w:p w14:paraId="40EE763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玛18天然气处理站</w:t>
            </w:r>
          </w:p>
        </w:tc>
        <w:tc>
          <w:tcPr>
            <w:tcW w:w="2264" w:type="dxa"/>
            <w:shd w:val="clear" w:color="auto" w:fill="auto"/>
            <w:vAlign w:val="center"/>
          </w:tcPr>
          <w:p w14:paraId="5E9888A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16#天然气处理撬装装置环境影响报告表</w:t>
            </w:r>
          </w:p>
        </w:tc>
        <w:tc>
          <w:tcPr>
            <w:tcW w:w="1561" w:type="dxa"/>
            <w:shd w:val="clear" w:color="auto" w:fill="auto"/>
            <w:vAlign w:val="center"/>
          </w:tcPr>
          <w:p w14:paraId="26C0BAA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原塔城地区环保局-塔地环字</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2016</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85号，2016.8.11</w:t>
            </w:r>
          </w:p>
        </w:tc>
        <w:tc>
          <w:tcPr>
            <w:tcW w:w="1560" w:type="dxa"/>
            <w:shd w:val="clear" w:color="auto" w:fill="auto"/>
            <w:vAlign w:val="center"/>
          </w:tcPr>
          <w:p w14:paraId="243E578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2017.12.16自主竣工环保验收</w:t>
            </w:r>
          </w:p>
        </w:tc>
        <w:tc>
          <w:tcPr>
            <w:tcW w:w="1141" w:type="dxa"/>
            <w:vMerge w:val="restart"/>
            <w:shd w:val="clear" w:color="auto" w:fill="auto"/>
            <w:vAlign w:val="center"/>
          </w:tcPr>
          <w:p w14:paraId="71D5137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玛湖第三采油作业区伴生气处理及外输</w:t>
            </w:r>
          </w:p>
        </w:tc>
      </w:tr>
      <w:tr w14:paraId="3BED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7303BFE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2E2064D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64" w:type="dxa"/>
            <w:shd w:val="clear" w:color="auto" w:fill="auto"/>
            <w:vAlign w:val="center"/>
          </w:tcPr>
          <w:p w14:paraId="50AA5A3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玛18天然气回收站外输管线（禾丰段）环境影响报告表</w:t>
            </w:r>
          </w:p>
        </w:tc>
        <w:tc>
          <w:tcPr>
            <w:tcW w:w="1561" w:type="dxa"/>
            <w:shd w:val="clear" w:color="auto" w:fill="auto"/>
            <w:vAlign w:val="center"/>
          </w:tcPr>
          <w:p w14:paraId="1A2093B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原塔城地区环境保护局-塔地环字</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2018</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48号，2018.3.22</w:t>
            </w:r>
          </w:p>
        </w:tc>
        <w:tc>
          <w:tcPr>
            <w:tcW w:w="1560" w:type="dxa"/>
            <w:shd w:val="clear" w:color="auto" w:fill="auto"/>
            <w:vAlign w:val="center"/>
          </w:tcPr>
          <w:p w14:paraId="19AB765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2019.1.24自主竣工环保验收</w:t>
            </w:r>
          </w:p>
        </w:tc>
        <w:tc>
          <w:tcPr>
            <w:tcW w:w="1141" w:type="dxa"/>
            <w:vMerge w:val="continue"/>
            <w:shd w:val="clear" w:color="auto" w:fill="auto"/>
            <w:vAlign w:val="center"/>
          </w:tcPr>
          <w:p w14:paraId="4DD635B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1549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ADD487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55B11E5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64" w:type="dxa"/>
            <w:shd w:val="clear" w:color="auto" w:fill="auto"/>
            <w:vAlign w:val="center"/>
          </w:tcPr>
          <w:p w14:paraId="03A694B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玛18天然气回收站外输管线（克拉玛依段）环境影响报告表</w:t>
            </w:r>
          </w:p>
        </w:tc>
        <w:tc>
          <w:tcPr>
            <w:tcW w:w="1561" w:type="dxa"/>
            <w:shd w:val="clear" w:color="auto" w:fill="auto"/>
            <w:vAlign w:val="center"/>
          </w:tcPr>
          <w:p w14:paraId="4B8480A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原克拉玛依市生态环境局-克环函</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2018</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47号，2018.3.20</w:t>
            </w:r>
          </w:p>
        </w:tc>
        <w:tc>
          <w:tcPr>
            <w:tcW w:w="1560" w:type="dxa"/>
            <w:shd w:val="clear" w:color="auto" w:fill="auto"/>
            <w:vAlign w:val="center"/>
          </w:tcPr>
          <w:p w14:paraId="719E386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2019.1.24自主竣工环保验收</w:t>
            </w:r>
          </w:p>
        </w:tc>
        <w:tc>
          <w:tcPr>
            <w:tcW w:w="1141" w:type="dxa"/>
            <w:vMerge w:val="continue"/>
            <w:shd w:val="clear" w:color="auto" w:fill="auto"/>
            <w:vAlign w:val="center"/>
          </w:tcPr>
          <w:p w14:paraId="0524E66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5A63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3AE3EFF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61279C5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64" w:type="dxa"/>
            <w:shd w:val="clear" w:color="auto" w:fill="auto"/>
            <w:vAlign w:val="center"/>
          </w:tcPr>
          <w:p w14:paraId="56A84CC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玛18天然气处理撬装装置扩建项目环境影响报告表</w:t>
            </w:r>
          </w:p>
        </w:tc>
        <w:tc>
          <w:tcPr>
            <w:tcW w:w="1561" w:type="dxa"/>
            <w:shd w:val="clear" w:color="auto" w:fill="auto"/>
            <w:vAlign w:val="center"/>
          </w:tcPr>
          <w:p w14:paraId="652D308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原和布克赛尔蒙古自治县环境保护局-和环评函字</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2018</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30号，2018.8.6</w:t>
            </w:r>
          </w:p>
        </w:tc>
        <w:tc>
          <w:tcPr>
            <w:tcW w:w="1560" w:type="dxa"/>
            <w:shd w:val="clear" w:color="auto" w:fill="auto"/>
            <w:vAlign w:val="center"/>
          </w:tcPr>
          <w:p w14:paraId="00AE77D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2019.1.24自主竣工环保验收</w:t>
            </w:r>
          </w:p>
        </w:tc>
        <w:tc>
          <w:tcPr>
            <w:tcW w:w="1141" w:type="dxa"/>
            <w:vMerge w:val="continue"/>
            <w:shd w:val="clear" w:color="auto" w:fill="auto"/>
            <w:vAlign w:val="center"/>
          </w:tcPr>
          <w:p w14:paraId="23D0E31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3D2D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0C0497A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275" w:type="dxa"/>
            <w:vMerge w:val="continue"/>
            <w:vAlign w:val="center"/>
          </w:tcPr>
          <w:p w14:paraId="5171FEF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64" w:type="dxa"/>
            <w:shd w:val="clear" w:color="auto" w:fill="auto"/>
            <w:vAlign w:val="center"/>
          </w:tcPr>
          <w:p w14:paraId="6F04FFD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玛18新增20×10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Nm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/d浅冷装置项目环境影响报告表</w:t>
            </w:r>
          </w:p>
        </w:tc>
        <w:tc>
          <w:tcPr>
            <w:tcW w:w="1561" w:type="dxa"/>
            <w:shd w:val="clear" w:color="auto" w:fill="auto"/>
            <w:vAlign w:val="center"/>
          </w:tcPr>
          <w:p w14:paraId="7786DE2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塔城地区生态环境局-塔地环字</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2020</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108号，2020.9.9</w:t>
            </w:r>
          </w:p>
        </w:tc>
        <w:tc>
          <w:tcPr>
            <w:tcW w:w="1560" w:type="dxa"/>
            <w:shd w:val="clear" w:color="auto" w:fill="auto"/>
            <w:vAlign w:val="center"/>
          </w:tcPr>
          <w:p w14:paraId="73262C0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2021.8.18自主竣工环保验收</w:t>
            </w:r>
          </w:p>
        </w:tc>
        <w:tc>
          <w:tcPr>
            <w:tcW w:w="1141" w:type="dxa"/>
            <w:vMerge w:val="continue"/>
            <w:shd w:val="clear" w:color="auto" w:fill="auto"/>
            <w:vAlign w:val="center"/>
          </w:tcPr>
          <w:p w14:paraId="2D0E209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09D9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2499BEE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9</w:t>
            </w:r>
          </w:p>
        </w:tc>
        <w:tc>
          <w:tcPr>
            <w:tcW w:w="1275" w:type="dxa"/>
            <w:vAlign w:val="center"/>
          </w:tcPr>
          <w:p w14:paraId="3220D4D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危险废物储存场</w:t>
            </w:r>
          </w:p>
        </w:tc>
        <w:tc>
          <w:tcPr>
            <w:tcW w:w="2264" w:type="dxa"/>
            <w:shd w:val="clear" w:color="auto" w:fill="auto"/>
            <w:vAlign w:val="center"/>
          </w:tcPr>
          <w:p w14:paraId="0DD8CC4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百口泉采油厂危险废物储存场新建工程环境影响报告表</w:t>
            </w:r>
          </w:p>
        </w:tc>
        <w:tc>
          <w:tcPr>
            <w:tcW w:w="1561" w:type="dxa"/>
            <w:shd w:val="clear" w:color="auto" w:fill="auto"/>
            <w:vAlign w:val="center"/>
          </w:tcPr>
          <w:p w14:paraId="70E1295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克环保函</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2017</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355号</w:t>
            </w:r>
          </w:p>
        </w:tc>
        <w:tc>
          <w:tcPr>
            <w:tcW w:w="1560" w:type="dxa"/>
            <w:shd w:val="clear" w:color="auto" w:fill="auto"/>
            <w:vAlign w:val="center"/>
          </w:tcPr>
          <w:p w14:paraId="54B22C2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2018年10月17日自主竣工环保验收</w:t>
            </w:r>
          </w:p>
        </w:tc>
        <w:tc>
          <w:tcPr>
            <w:tcW w:w="1141" w:type="dxa"/>
            <w:shd w:val="clear" w:color="auto" w:fill="auto"/>
            <w:vAlign w:val="center"/>
          </w:tcPr>
          <w:p w14:paraId="363AD7B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w:t>
            </w:r>
          </w:p>
        </w:tc>
      </w:tr>
      <w:tr w14:paraId="2BE6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6BC1C44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1275" w:type="dxa"/>
            <w:vAlign w:val="center"/>
          </w:tcPr>
          <w:p w14:paraId="1E341CC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含油污泥存放点</w:t>
            </w:r>
          </w:p>
        </w:tc>
        <w:tc>
          <w:tcPr>
            <w:tcW w:w="2264" w:type="dxa"/>
            <w:shd w:val="clear" w:color="auto" w:fill="auto"/>
            <w:vAlign w:val="center"/>
          </w:tcPr>
          <w:p w14:paraId="020F234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百联站含油污泥临时存放点</w:t>
            </w:r>
          </w:p>
        </w:tc>
        <w:tc>
          <w:tcPr>
            <w:tcW w:w="1561" w:type="dxa"/>
            <w:shd w:val="clear" w:color="auto" w:fill="auto"/>
            <w:vAlign w:val="center"/>
          </w:tcPr>
          <w:p w14:paraId="19A219B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heme="minorBidi"/>
                <w:color w:val="auto"/>
                <w:kern w:val="2"/>
                <w:sz w:val="21"/>
                <w:szCs w:val="21"/>
                <w:lang w:val="en-US" w:eastAsia="zh-CN" w:bidi="ar-SA"/>
              </w:rPr>
              <w:t>克乌环表</w:t>
            </w:r>
            <w:r>
              <w:rPr>
                <w:rFonts w:hint="eastAsia" w:ascii="宋体" w:hAnsi="宋体" w:eastAsia="宋体" w:cs="宋体"/>
                <w:color w:val="auto"/>
                <w:kern w:val="2"/>
                <w:sz w:val="21"/>
                <w:szCs w:val="21"/>
                <w:lang w:val="en-US" w:eastAsia="zh-CN" w:bidi="ar-SA"/>
              </w:rPr>
              <w:t>〔</w:t>
            </w:r>
            <w:r>
              <w:rPr>
                <w:rFonts w:hint="eastAsia" w:ascii="Times New Roman" w:hAnsi="Times New Roman" w:eastAsia="宋体" w:cstheme="minorBidi"/>
                <w:color w:val="auto"/>
                <w:kern w:val="2"/>
                <w:sz w:val="21"/>
                <w:szCs w:val="21"/>
                <w:lang w:val="en-US" w:eastAsia="zh-CN" w:bidi="ar-SA"/>
              </w:rPr>
              <w:t>2014</w:t>
            </w:r>
            <w:r>
              <w:rPr>
                <w:rFonts w:hint="eastAsia" w:ascii="宋体" w:hAnsi="宋体" w:eastAsia="宋体" w:cs="宋体"/>
                <w:color w:val="auto"/>
                <w:kern w:val="2"/>
                <w:sz w:val="21"/>
                <w:szCs w:val="21"/>
                <w:lang w:val="en-US" w:eastAsia="zh-CN" w:bidi="ar-SA"/>
              </w:rPr>
              <w:t>〕</w:t>
            </w:r>
            <w:r>
              <w:rPr>
                <w:rFonts w:hint="eastAsia" w:ascii="Times New Roman" w:hAnsi="Times New Roman" w:eastAsia="宋体" w:cstheme="minorBidi"/>
                <w:color w:val="auto"/>
                <w:kern w:val="2"/>
                <w:sz w:val="21"/>
                <w:szCs w:val="21"/>
                <w:lang w:val="en-US" w:eastAsia="zh-CN" w:bidi="ar-SA"/>
              </w:rPr>
              <w:t>03号</w:t>
            </w:r>
          </w:p>
        </w:tc>
        <w:tc>
          <w:tcPr>
            <w:tcW w:w="1560" w:type="dxa"/>
            <w:shd w:val="clear" w:color="auto" w:fill="auto"/>
            <w:vAlign w:val="center"/>
          </w:tcPr>
          <w:p w14:paraId="23CB927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heme="minorBidi"/>
                <w:color w:val="auto"/>
                <w:kern w:val="2"/>
                <w:sz w:val="21"/>
                <w:szCs w:val="21"/>
                <w:lang w:val="en-US" w:eastAsia="zh-CN" w:bidi="ar-SA"/>
              </w:rPr>
              <w:t>克乌环验</w:t>
            </w:r>
            <w:r>
              <w:rPr>
                <w:rFonts w:hint="eastAsia" w:ascii="宋体" w:hAnsi="宋体" w:eastAsia="宋体" w:cs="宋体"/>
                <w:color w:val="auto"/>
                <w:kern w:val="2"/>
                <w:sz w:val="21"/>
                <w:szCs w:val="21"/>
                <w:lang w:val="en-US" w:eastAsia="zh-CN" w:bidi="ar-SA"/>
              </w:rPr>
              <w:t>〔</w:t>
            </w:r>
            <w:r>
              <w:rPr>
                <w:rFonts w:hint="eastAsia" w:ascii="Times New Roman" w:hAnsi="Times New Roman" w:eastAsia="宋体" w:cstheme="minorBidi"/>
                <w:color w:val="auto"/>
                <w:kern w:val="2"/>
                <w:sz w:val="21"/>
                <w:szCs w:val="21"/>
                <w:lang w:val="en-US" w:eastAsia="zh-CN" w:bidi="ar-SA"/>
              </w:rPr>
              <w:t>2016</w:t>
            </w:r>
            <w:r>
              <w:rPr>
                <w:rFonts w:hint="eastAsia" w:ascii="宋体" w:hAnsi="宋体" w:eastAsia="宋体" w:cs="宋体"/>
                <w:color w:val="auto"/>
                <w:kern w:val="2"/>
                <w:sz w:val="21"/>
                <w:szCs w:val="21"/>
                <w:lang w:val="en-US" w:eastAsia="zh-CN" w:bidi="ar-SA"/>
              </w:rPr>
              <w:t>〕</w:t>
            </w:r>
            <w:r>
              <w:rPr>
                <w:rFonts w:hint="eastAsia" w:ascii="Times New Roman" w:hAnsi="Times New Roman" w:eastAsia="宋体" w:cstheme="minorBidi"/>
                <w:color w:val="auto"/>
                <w:kern w:val="2"/>
                <w:sz w:val="21"/>
                <w:szCs w:val="21"/>
                <w:lang w:val="en-US" w:eastAsia="zh-CN" w:bidi="ar-SA"/>
              </w:rPr>
              <w:t>05号</w:t>
            </w:r>
          </w:p>
        </w:tc>
        <w:tc>
          <w:tcPr>
            <w:tcW w:w="1141" w:type="dxa"/>
            <w:shd w:val="clear" w:color="auto" w:fill="auto"/>
            <w:vAlign w:val="center"/>
          </w:tcPr>
          <w:p w14:paraId="35B9C0B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bl>
    <w:p w14:paraId="0EF66B34">
      <w:pPr>
        <w:pStyle w:val="5"/>
        <w:bidi w:val="0"/>
        <w:rPr>
          <w:rFonts w:hint="default"/>
          <w:color w:val="auto"/>
          <w:lang w:val="en-US" w:eastAsia="zh-CN"/>
        </w:rPr>
      </w:pPr>
      <w:r>
        <w:rPr>
          <w:rFonts w:hint="eastAsia"/>
          <w:color w:val="auto"/>
          <w:lang w:val="en-US" w:eastAsia="zh-CN"/>
        </w:rPr>
        <w:t>3.6.1采出液转输依托情况</w:t>
      </w:r>
    </w:p>
    <w:p w14:paraId="018A765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本工程建设涉及百厂探区、玛131井区、玛18井区、夏72井区，各井区内采出液集输及转输示意见图3.6-1。</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75F696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5FBD1AC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4"/>
                <w:szCs w:val="24"/>
                <w:vertAlign w:val="baseline"/>
              </w:rPr>
            </w:pPr>
            <w:r>
              <w:rPr>
                <w:rFonts w:ascii="Times New Roman" w:hAnsi="Times New Roman" w:eastAsia="宋体"/>
                <w:color w:val="auto"/>
                <w:sz w:val="24"/>
                <w:szCs w:val="24"/>
                <w:vertAlign w:val="baseline"/>
              </w:rPr>
              <w:object>
                <v:shape id="_x0000_i1028" o:spt="75" type="#_x0000_t75" style="height:144.95pt;width:415.05pt;" o:ole="t" filled="f" o:preferrelative="t" stroked="f" coordsize="21600,21600">
                  <v:path/>
                  <v:fill on="f" focussize="0,0"/>
                  <v:stroke on="f"/>
                  <v:imagedata r:id="rId17" o:title=""/>
                  <o:lock v:ext="edit" aspectratio="f"/>
                  <w10:wrap type="none"/>
                  <w10:anchorlock/>
                </v:shape>
                <o:OLEObject Type="Embed" ProgID="Visio.Drawing.15" ShapeID="_x0000_i1028" DrawAspect="Content" ObjectID="_1468075728" r:id="rId16">
                  <o:LockedField>false</o:LockedField>
                </o:OLEObject>
              </w:object>
            </w:r>
          </w:p>
        </w:tc>
      </w:tr>
      <w:tr w14:paraId="7250D3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35B65DD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4"/>
                <w:szCs w:val="24"/>
                <w:vertAlign w:val="baseline"/>
                <w:lang w:val="en-US" w:eastAsia="zh-CN"/>
              </w:rPr>
            </w:pPr>
            <w:r>
              <w:rPr>
                <w:rFonts w:hint="eastAsia" w:ascii="Times New Roman" w:hAnsi="Times New Roman" w:eastAsia="宋体"/>
                <w:b/>
                <w:bCs/>
                <w:color w:val="auto"/>
                <w:sz w:val="21"/>
                <w:szCs w:val="21"/>
                <w:vertAlign w:val="baseline"/>
                <w:lang w:val="en-US" w:eastAsia="zh-CN"/>
              </w:rPr>
              <w:t>图3.6-1（a）  采出液集输示意图</w:t>
            </w:r>
          </w:p>
        </w:tc>
      </w:tr>
      <w:tr w14:paraId="24F53C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42" w:hRule="exact"/>
        </w:trPr>
        <w:tc>
          <w:tcPr>
            <w:tcW w:w="8522" w:type="dxa"/>
            <w:tcBorders>
              <w:tl2br w:val="nil"/>
              <w:tr2bl w:val="nil"/>
            </w:tcBorders>
            <w:vAlign w:val="center"/>
          </w:tcPr>
          <w:p w14:paraId="2E79635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0633C0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2E3E2EB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图3.6-1（b）  各井区转液情况示意图</w:t>
            </w:r>
          </w:p>
        </w:tc>
      </w:tr>
    </w:tbl>
    <w:p w14:paraId="7EA01F62">
      <w:pPr>
        <w:pStyle w:val="6"/>
        <w:bidi w:val="0"/>
        <w:rPr>
          <w:rFonts w:hint="default"/>
          <w:color w:val="auto"/>
          <w:lang w:val="en-US" w:eastAsia="zh-CN"/>
        </w:rPr>
      </w:pPr>
      <w:r>
        <w:rPr>
          <w:rFonts w:hint="eastAsia"/>
          <w:color w:val="auto"/>
          <w:lang w:val="en-US" w:eastAsia="zh-CN"/>
        </w:rPr>
        <w:t>3.6.1.1玛131转油站</w:t>
      </w:r>
    </w:p>
    <w:p w14:paraId="6B45B46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（1）基本情况</w:t>
      </w:r>
    </w:p>
    <w:p w14:paraId="1391983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2018年3月，中国石油大学（华东）编制完成了《中国石油新疆油田分公司玛北油田玛131井区100万吨/年转油站建设项目环境影响报告书》，2018年8月取得原新疆维吾尔自治区环保厅批复（新环函</w:t>
      </w:r>
      <w:r>
        <w:rPr>
          <w:rFonts w:hint="eastAsia" w:ascii="宋体" w:hAnsi="宋体" w:eastAsia="宋体" w:cs="宋体"/>
          <w:color w:val="auto"/>
          <w:sz w:val="24"/>
          <w:szCs w:val="24"/>
        </w:rPr>
        <w:t>〔</w:t>
      </w:r>
      <w:r>
        <w:rPr>
          <w:rFonts w:hint="eastAsia" w:ascii="Times New Roman" w:hAnsi="Times New Roman" w:eastAsia="宋体"/>
          <w:color w:val="auto"/>
          <w:sz w:val="24"/>
          <w:szCs w:val="24"/>
        </w:rPr>
        <w:t>2018</w:t>
      </w:r>
      <w:r>
        <w:rPr>
          <w:rFonts w:hint="eastAsia" w:ascii="宋体" w:hAnsi="宋体" w:eastAsia="宋体" w:cs="宋体"/>
          <w:color w:val="auto"/>
          <w:sz w:val="24"/>
          <w:szCs w:val="24"/>
        </w:rPr>
        <w:t>〕</w:t>
      </w:r>
      <w:r>
        <w:rPr>
          <w:rFonts w:hint="eastAsia" w:ascii="Times New Roman" w:hAnsi="Times New Roman" w:eastAsia="宋体"/>
          <w:color w:val="auto"/>
          <w:sz w:val="24"/>
          <w:szCs w:val="24"/>
        </w:rPr>
        <w:t>1183号），2018年8月工程开始施工，2019年7月工程建成并开始调试运行。2019年11月，新疆油田开发公司对该项目进行自主</w:t>
      </w:r>
      <w:r>
        <w:rPr>
          <w:rFonts w:hint="eastAsia" w:ascii="Times New Roman" w:hAnsi="Times New Roman" w:eastAsia="宋体"/>
          <w:color w:val="auto"/>
          <w:sz w:val="24"/>
          <w:szCs w:val="24"/>
          <w:lang w:val="en-US" w:eastAsia="zh-CN"/>
        </w:rPr>
        <w:t>竣工环保</w:t>
      </w:r>
      <w:r>
        <w:rPr>
          <w:rFonts w:hint="eastAsia" w:ascii="Times New Roman" w:hAnsi="Times New Roman" w:eastAsia="宋体"/>
          <w:color w:val="auto"/>
          <w:sz w:val="24"/>
          <w:szCs w:val="24"/>
        </w:rPr>
        <w:t>验收。</w:t>
      </w:r>
    </w:p>
    <w:p w14:paraId="31DEF5C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2020年10月，新疆天合环境技术咨询有限公司编制完成了《2020年玛131转油站扩建及地面配套工程环境影响报告表》，扩建后玛131转油站新增处理规模50×10</w:t>
      </w:r>
      <w:r>
        <w:rPr>
          <w:rFonts w:hint="eastAsia" w:ascii="Times New Roman" w:hAnsi="Times New Roman" w:eastAsia="宋体"/>
          <w:color w:val="auto"/>
          <w:sz w:val="24"/>
          <w:szCs w:val="24"/>
          <w:vertAlign w:val="superscript"/>
        </w:rPr>
        <w:t>4</w:t>
      </w:r>
      <w:r>
        <w:rPr>
          <w:rFonts w:hint="eastAsia" w:ascii="Times New Roman" w:hAnsi="Times New Roman" w:eastAsia="宋体"/>
          <w:color w:val="auto"/>
          <w:sz w:val="24"/>
          <w:szCs w:val="24"/>
        </w:rPr>
        <w:t>t/a；2020年11月取得克拉玛依市生态环境局批复（克环函</w:t>
      </w:r>
      <w:r>
        <w:rPr>
          <w:rFonts w:hint="eastAsia" w:ascii="宋体" w:hAnsi="宋体" w:eastAsia="宋体" w:cs="宋体"/>
          <w:color w:val="auto"/>
          <w:sz w:val="24"/>
          <w:szCs w:val="24"/>
        </w:rPr>
        <w:t>〔</w:t>
      </w:r>
      <w:r>
        <w:rPr>
          <w:rFonts w:hint="eastAsia" w:ascii="Times New Roman" w:hAnsi="Times New Roman" w:eastAsia="宋体"/>
          <w:color w:val="auto"/>
          <w:sz w:val="24"/>
          <w:szCs w:val="24"/>
        </w:rPr>
        <w:t>2020</w:t>
      </w:r>
      <w:r>
        <w:rPr>
          <w:rFonts w:hint="eastAsia" w:ascii="宋体" w:hAnsi="宋体" w:eastAsia="宋体" w:cs="宋体"/>
          <w:color w:val="auto"/>
          <w:sz w:val="24"/>
          <w:szCs w:val="24"/>
        </w:rPr>
        <w:t>〕</w:t>
      </w:r>
      <w:r>
        <w:rPr>
          <w:rFonts w:hint="eastAsia" w:ascii="Times New Roman" w:hAnsi="Times New Roman" w:eastAsia="宋体"/>
          <w:color w:val="auto"/>
          <w:sz w:val="24"/>
          <w:szCs w:val="24"/>
        </w:rPr>
        <w:t>176号）。2021年3月工程开始施工，202</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rPr>
        <w:t>月</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新疆油田开发公司对该项目进行自主</w:t>
      </w:r>
      <w:r>
        <w:rPr>
          <w:rFonts w:hint="eastAsia" w:ascii="Times New Roman" w:hAnsi="Times New Roman" w:eastAsia="宋体"/>
          <w:color w:val="auto"/>
          <w:sz w:val="24"/>
          <w:szCs w:val="24"/>
          <w:lang w:val="en-US" w:eastAsia="zh-CN"/>
        </w:rPr>
        <w:t>竣工环保</w:t>
      </w:r>
      <w:r>
        <w:rPr>
          <w:rFonts w:hint="eastAsia" w:ascii="Times New Roman" w:hAnsi="Times New Roman" w:eastAsia="宋体"/>
          <w:color w:val="auto"/>
          <w:sz w:val="24"/>
          <w:szCs w:val="24"/>
        </w:rPr>
        <w:t>验收。</w:t>
      </w:r>
    </w:p>
    <w:p w14:paraId="5B88B12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根据相关环评及验收报告：玛131转油站设计转液规模150×10</w:t>
      </w:r>
      <w:r>
        <w:rPr>
          <w:rFonts w:hint="eastAsia" w:ascii="Times New Roman" w:hAnsi="Times New Roman" w:eastAsia="宋体"/>
          <w:color w:val="auto"/>
          <w:sz w:val="24"/>
          <w:szCs w:val="24"/>
          <w:vertAlign w:val="superscript"/>
        </w:rPr>
        <w:t>4</w:t>
      </w:r>
      <w:r>
        <w:rPr>
          <w:rFonts w:hint="eastAsia" w:ascii="Times New Roman" w:hAnsi="Times New Roman" w:eastAsia="宋体"/>
          <w:color w:val="auto"/>
          <w:sz w:val="24"/>
          <w:szCs w:val="24"/>
        </w:rPr>
        <w:t>t/a，站内设置3列处理装置，单列处理规模50×10</w:t>
      </w:r>
      <w:r>
        <w:rPr>
          <w:rFonts w:hint="eastAsia" w:ascii="Times New Roman" w:hAnsi="Times New Roman" w:eastAsia="宋体"/>
          <w:color w:val="auto"/>
          <w:sz w:val="24"/>
          <w:szCs w:val="24"/>
          <w:vertAlign w:val="superscript"/>
        </w:rPr>
        <w:t>4</w:t>
      </w:r>
      <w:r>
        <w:rPr>
          <w:rFonts w:hint="eastAsia" w:ascii="Times New Roman" w:hAnsi="Times New Roman" w:eastAsia="宋体"/>
          <w:color w:val="auto"/>
          <w:sz w:val="24"/>
          <w:szCs w:val="24"/>
        </w:rPr>
        <w:t>t/a。已建玛131-玛2-玛18转液管线，其中玛131-玛2搭接点转输管道规格DN200 PN6MPa，非金属管道长度12.2km，玛2搭接点-玛18转油站管道规格DN250 PN6MPa，非金属管道长度24.4km。</w:t>
      </w:r>
    </w:p>
    <w:p w14:paraId="504735C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（2）工艺流程</w:t>
      </w:r>
    </w:p>
    <w:p w14:paraId="3B58CA3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油区来液经三相分离器进行油气水分离，分离出的部分游离水供压裂用水，经初步分离的含水油（含水率25%~30%）经相变加热炉进行加热至（45℃~50℃），经分离缓冲罐进一步分离的采出水作为压裂用水，剩余低含水油（10%~15%）通过外输泵提压输至玛18转油站，同玛18井区产液共同输至百联站进行集中处理及稳定，分离出的天然气经除油器除油后，一部分经计量后作为站内燃料气，用于原油加热和采暖，其余交由克拉玛依市富城能源有限责任公司建设的</w:t>
      </w:r>
      <w:r>
        <w:rPr>
          <w:rFonts w:hint="eastAsia"/>
          <w:color w:val="auto"/>
          <w:sz w:val="24"/>
          <w:szCs w:val="24"/>
          <w:lang w:eastAsia="zh-CN"/>
        </w:rPr>
        <w:t>天然气</w:t>
      </w:r>
      <w:r>
        <w:rPr>
          <w:rFonts w:hint="eastAsia" w:ascii="Times New Roman" w:hAnsi="Times New Roman" w:eastAsia="宋体"/>
          <w:color w:val="auto"/>
          <w:sz w:val="24"/>
          <w:szCs w:val="24"/>
        </w:rPr>
        <w:t>处理站进行处理。玛131转油站主要工艺流程图见图</w:t>
      </w:r>
      <w:r>
        <w:rPr>
          <w:rFonts w:hint="eastAsia" w:ascii="Times New Roman" w:hAnsi="Times New Roman" w:eastAsia="宋体"/>
          <w:color w:val="auto"/>
          <w:sz w:val="24"/>
          <w:szCs w:val="24"/>
          <w:lang w:val="en-US" w:eastAsia="zh-CN"/>
        </w:rPr>
        <w:t>3.6-2</w:t>
      </w:r>
      <w:r>
        <w:rPr>
          <w:rFonts w:hint="eastAsia" w:ascii="Times New Roman" w:hAnsi="Times New Roman" w:eastAsia="宋体"/>
          <w:color w:val="auto"/>
          <w:sz w:val="24"/>
          <w:szCs w:val="24"/>
        </w:rPr>
        <w:t>。</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5694C3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52" w:hRule="exact"/>
        </w:trPr>
        <w:tc>
          <w:tcPr>
            <w:tcW w:w="8522" w:type="dxa"/>
            <w:tcBorders>
              <w:tl2br w:val="nil"/>
              <w:tr2bl w:val="nil"/>
            </w:tcBorders>
            <w:vAlign w:val="center"/>
          </w:tcPr>
          <w:p w14:paraId="5E6B95B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4F5C22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74FE2AB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图3.6-2  玛131转油站工艺流程示意图</w:t>
            </w:r>
          </w:p>
        </w:tc>
      </w:tr>
    </w:tbl>
    <w:p w14:paraId="7F99A12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（3）转液规模</w:t>
      </w:r>
    </w:p>
    <w:p w14:paraId="29B908D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玛131转油站设计转液规模150×10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t/a，目前实际转液量为127×10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t/a，富余能力约23×10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t/a。</w:t>
      </w:r>
    </w:p>
    <w:p w14:paraId="6D2B1B3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（4）转液管线</w:t>
      </w:r>
    </w:p>
    <w:p w14:paraId="483703C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转液管线设计转液规模230×10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t/a，目前实际转液量为127×10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t/a，富余能力约103×10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t/a。</w:t>
      </w:r>
    </w:p>
    <w:p w14:paraId="258A84F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本次在玛131井区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夏72井区</w:t>
      </w:r>
      <w:r>
        <w:rPr>
          <w:rFonts w:hint="default" w:ascii="Times New Roman" w:hAnsi="Times New Roman" w:eastAsia="宋体" w:cs="Times New Roman"/>
          <w:color w:val="auto"/>
          <w:sz w:val="24"/>
          <w:szCs w:val="24"/>
        </w:rPr>
        <w:t>部署评价</w:t>
      </w:r>
      <w:r>
        <w:rPr>
          <w:rFonts w:hint="eastAsia" w:ascii="Times New Roman" w:hAnsi="Times New Roman" w:eastAsia="宋体" w:cs="Times New Roman"/>
          <w:color w:val="auto"/>
          <w:sz w:val="24"/>
          <w:szCs w:val="24"/>
          <w:lang w:val="en-US" w:eastAsia="zh-CN"/>
        </w:rPr>
        <w:t>/预探</w:t>
      </w:r>
      <w:r>
        <w:rPr>
          <w:rFonts w:hint="default" w:ascii="Times New Roman" w:hAnsi="Times New Roman" w:eastAsia="宋体" w:cs="Times New Roman"/>
          <w:color w:val="auto"/>
          <w:sz w:val="24"/>
          <w:szCs w:val="24"/>
        </w:rPr>
        <w:t>井转产能井</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口，新增转液量</w:t>
      </w:r>
      <w:r>
        <w:rPr>
          <w:rFonts w:hint="eastAsia" w:cs="Times New Roman"/>
          <w:color w:val="auto"/>
          <w:sz w:val="24"/>
          <w:szCs w:val="24"/>
          <w:lang w:val="en-US" w:eastAsia="zh-CN"/>
        </w:rPr>
        <w:t>4.62</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t/a，玛131转油站可满足</w:t>
      </w:r>
      <w:r>
        <w:rPr>
          <w:rFonts w:hint="eastAsia" w:ascii="Times New Roman" w:hAnsi="Times New Roman" w:eastAsia="宋体" w:cs="Times New Roman"/>
          <w:color w:val="auto"/>
          <w:sz w:val="24"/>
          <w:szCs w:val="24"/>
          <w:lang w:eastAsia="zh-CN"/>
        </w:rPr>
        <w:t>本工程</w:t>
      </w:r>
      <w:r>
        <w:rPr>
          <w:rFonts w:hint="default" w:ascii="Times New Roman" w:hAnsi="Times New Roman" w:eastAsia="宋体" w:cs="Times New Roman"/>
          <w:color w:val="auto"/>
          <w:sz w:val="24"/>
          <w:szCs w:val="24"/>
        </w:rPr>
        <w:t>转液需求。</w:t>
      </w:r>
    </w:p>
    <w:p w14:paraId="6CF3D807">
      <w:pPr>
        <w:pStyle w:val="6"/>
        <w:bidi w:val="0"/>
        <w:rPr>
          <w:rFonts w:hint="default"/>
          <w:color w:val="auto"/>
          <w:lang w:val="en-US" w:eastAsia="zh-CN"/>
        </w:rPr>
      </w:pPr>
      <w:r>
        <w:rPr>
          <w:rFonts w:hint="eastAsia"/>
          <w:color w:val="auto"/>
          <w:lang w:val="en-US" w:eastAsia="zh-CN"/>
        </w:rPr>
        <w:t>3.6.1.2玛2转油站</w:t>
      </w:r>
    </w:p>
    <w:p w14:paraId="42CD4993">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基本情况</w:t>
      </w:r>
    </w:p>
    <w:p w14:paraId="50539DA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201</w:t>
      </w:r>
      <w:r>
        <w:rPr>
          <w:rFonts w:hint="eastAsia" w:ascii="Times New Roman" w:hAnsi="Times New Roman" w:eastAsia="宋体"/>
          <w:color w:val="auto"/>
          <w:sz w:val="24"/>
          <w:szCs w:val="24"/>
          <w:lang w:val="en-US" w:eastAsia="zh-CN"/>
        </w:rPr>
        <w:t>9</w:t>
      </w:r>
      <w:r>
        <w:rPr>
          <w:rFonts w:hint="eastAsia"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1月，中勘冶金勘察设计研究院有限责任公司</w:t>
      </w:r>
      <w:r>
        <w:rPr>
          <w:rFonts w:hint="eastAsia" w:ascii="Times New Roman" w:hAnsi="Times New Roman" w:eastAsia="宋体"/>
          <w:color w:val="auto"/>
          <w:sz w:val="24"/>
          <w:szCs w:val="24"/>
        </w:rPr>
        <w:t>编制了《玛北油田玛2井区百口泉组、下乌尔禾区组油藏（2019-2023年）地面建设工程环境影响报告</w:t>
      </w:r>
      <w:r>
        <w:rPr>
          <w:rFonts w:hint="eastAsia" w:ascii="Times New Roman" w:hAnsi="Times New Roman" w:eastAsia="宋体"/>
          <w:color w:val="auto"/>
          <w:sz w:val="24"/>
          <w:szCs w:val="24"/>
          <w:lang w:val="en-US" w:eastAsia="zh-CN"/>
        </w:rPr>
        <w:t>表</w:t>
      </w:r>
      <w:r>
        <w:rPr>
          <w:rFonts w:hint="eastAsia" w:ascii="Times New Roman" w:hAnsi="Times New Roman" w:eastAsia="宋体"/>
          <w:color w:val="auto"/>
          <w:sz w:val="24"/>
          <w:szCs w:val="24"/>
        </w:rPr>
        <w:t>》，2019年2月27日原新疆维吾尔自治区生态环境厅批复（新环函</w:t>
      </w:r>
      <w:r>
        <w:rPr>
          <w:rFonts w:hint="eastAsia" w:ascii="宋体" w:hAnsi="宋体" w:eastAsia="宋体" w:cs="宋体"/>
          <w:color w:val="auto"/>
          <w:sz w:val="24"/>
          <w:szCs w:val="24"/>
        </w:rPr>
        <w:t>〔</w:t>
      </w:r>
      <w:r>
        <w:rPr>
          <w:rFonts w:hint="eastAsia" w:ascii="Times New Roman" w:hAnsi="Times New Roman" w:eastAsia="宋体"/>
          <w:color w:val="auto"/>
          <w:sz w:val="24"/>
          <w:szCs w:val="24"/>
        </w:rPr>
        <w:t>2019</w:t>
      </w:r>
      <w:r>
        <w:rPr>
          <w:rFonts w:hint="eastAsia" w:ascii="宋体" w:hAnsi="宋体" w:eastAsia="宋体" w:cs="宋体"/>
          <w:color w:val="auto"/>
          <w:sz w:val="24"/>
          <w:szCs w:val="24"/>
        </w:rPr>
        <w:t>〕</w:t>
      </w:r>
      <w:r>
        <w:rPr>
          <w:rFonts w:hint="eastAsia" w:ascii="Times New Roman" w:hAnsi="Times New Roman" w:eastAsia="宋体"/>
          <w:color w:val="auto"/>
          <w:sz w:val="24"/>
          <w:szCs w:val="24"/>
        </w:rPr>
        <w:t>233号），该项目第一批建设内容于2019年4月开工，2020年11月完工，将2号计量拉油站扩建为玛2转油站，于2021年2月1日完成该项目第一批自主</w:t>
      </w:r>
      <w:r>
        <w:rPr>
          <w:rFonts w:hint="eastAsia" w:ascii="Times New Roman" w:hAnsi="Times New Roman" w:eastAsia="宋体"/>
          <w:color w:val="auto"/>
          <w:sz w:val="24"/>
          <w:szCs w:val="24"/>
          <w:lang w:val="en-US" w:eastAsia="zh-CN"/>
        </w:rPr>
        <w:t>竣工环保</w:t>
      </w:r>
      <w:r>
        <w:rPr>
          <w:rFonts w:hint="eastAsia" w:ascii="Times New Roman" w:hAnsi="Times New Roman" w:eastAsia="宋体"/>
          <w:color w:val="auto"/>
          <w:sz w:val="24"/>
          <w:szCs w:val="24"/>
        </w:rPr>
        <w:t>验收，验收时玛2转油站转液规模为100×10</w:t>
      </w:r>
      <w:r>
        <w:rPr>
          <w:rFonts w:hint="eastAsia" w:ascii="Times New Roman" w:hAnsi="Times New Roman" w:eastAsia="宋体"/>
          <w:color w:val="auto"/>
          <w:sz w:val="24"/>
          <w:szCs w:val="24"/>
          <w:vertAlign w:val="superscript"/>
        </w:rPr>
        <w:t>4</w:t>
      </w:r>
      <w:r>
        <w:rPr>
          <w:rFonts w:hint="eastAsia" w:ascii="Times New Roman" w:hAnsi="Times New Roman" w:eastAsia="宋体"/>
          <w:color w:val="auto"/>
          <w:sz w:val="24"/>
          <w:szCs w:val="24"/>
        </w:rPr>
        <w:t>t/a。</w:t>
      </w:r>
    </w:p>
    <w:p w14:paraId="08AF946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2021年2月，</w:t>
      </w:r>
      <w:r>
        <w:rPr>
          <w:rFonts w:hint="eastAsia" w:ascii="Times New Roman" w:hAnsi="Times New Roman" w:eastAsia="宋体"/>
          <w:color w:val="auto"/>
          <w:sz w:val="24"/>
          <w:szCs w:val="24"/>
          <w:lang w:val="en-US" w:eastAsia="zh-CN"/>
        </w:rPr>
        <w:t>中勘冶金勘察设计研究院有限责任公司</w:t>
      </w:r>
      <w:r>
        <w:rPr>
          <w:rFonts w:hint="eastAsia" w:ascii="Times New Roman" w:hAnsi="Times New Roman" w:eastAsia="宋体" w:cstheme="minorBidi"/>
          <w:color w:val="auto"/>
          <w:kern w:val="2"/>
          <w:sz w:val="24"/>
          <w:szCs w:val="24"/>
          <w:lang w:val="en-US" w:eastAsia="zh-CN" w:bidi="ar-SA"/>
        </w:rPr>
        <w:t>编制了《玛2转油站扩建及配套地面建设工程环境影响报告表》，2021年3月31日塔城地区生态环境局批复（塔地环字</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2021</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39号），扩建200×10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t/a转液装置，新建1套5×10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/d撬装天然气处理装置，转液规模增至300×10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t/a，天然气处理能力增至9×10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/d。玛2转油站扩建工程于2021年11月11日开工建设，2023年11月19日完成该项目第一批自主竣工环保验收，扩建后玛2转油站转液规模为300×10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w:t>
      </w:r>
    </w:p>
    <w:p w14:paraId="5B01ECCE">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根据相关环评及验收报告：玛2转油站设计转液规模300×10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t/a。建有玛2转油站至玛18转油站管道1条，规格均为DN250 PN6MPa，非金属管道，长度24.4km，同时输送玛2和玛131来液，管输设计能力为350×10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w:t>
      </w:r>
    </w:p>
    <w:p w14:paraId="2ACF674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（2）工艺流程</w:t>
      </w:r>
    </w:p>
    <w:p w14:paraId="72A1DD74">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2井区来液进入玛2转油站分离器橇进行采出液、气分离，分离后的低含水原油通过新建相变加热炉加热（温升至35~60℃），加热后的含水原油进入分离缓冲橇进行分离缓冲后，分离出的含水原油通过新建转输泵增压转输至玛18转油站外阀池，再通过新建的玛18至百联站管道增压至百联站进行处理。玛2转油站工艺流程见图3.6-3。</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42F6C2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31" w:hRule="exact"/>
        </w:trPr>
        <w:tc>
          <w:tcPr>
            <w:tcW w:w="8522" w:type="dxa"/>
            <w:tcBorders>
              <w:tl2br w:val="nil"/>
              <w:tr2bl w:val="nil"/>
            </w:tcBorders>
            <w:vAlign w:val="center"/>
          </w:tcPr>
          <w:p w14:paraId="369769D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22AEE8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63A88BD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图3.6-3  玛2转油站工艺流程示意图</w:t>
            </w:r>
          </w:p>
        </w:tc>
      </w:tr>
    </w:tbl>
    <w:p w14:paraId="09D3A24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（3）转液规模</w:t>
      </w:r>
    </w:p>
    <w:p w14:paraId="528E4C6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玛2转油站设计转液规模300×10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t/a，目前实际转液量为200×10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t/a，富余能力约100×10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w:t>
      </w:r>
    </w:p>
    <w:p w14:paraId="499C7AC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（4）转液线</w:t>
      </w:r>
    </w:p>
    <w:p w14:paraId="05DB1FF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转液管线设计转液规模350×10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t/a，目前实际转液量为200×10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t/a，富余能力约150×10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w:t>
      </w:r>
    </w:p>
    <w:p w14:paraId="3EE684F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本次在玛2井区部署产能井改密闭集输3口，原3口单井产液量本身就进玛2转油站，故本次不新增转液量。</w:t>
      </w:r>
    </w:p>
    <w:p w14:paraId="0820336A">
      <w:pPr>
        <w:pStyle w:val="6"/>
        <w:bidi w:val="0"/>
        <w:rPr>
          <w:rFonts w:hint="default"/>
          <w:color w:val="auto"/>
          <w:lang w:val="en-US" w:eastAsia="zh-CN"/>
        </w:rPr>
      </w:pPr>
      <w:r>
        <w:rPr>
          <w:rFonts w:hint="eastAsia"/>
          <w:color w:val="auto"/>
          <w:lang w:val="en-US" w:eastAsia="zh-CN"/>
        </w:rPr>
        <w:t>3.6.1.3玛18转油站</w:t>
      </w:r>
    </w:p>
    <w:p w14:paraId="0C114EF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（1）基本情况</w:t>
      </w:r>
    </w:p>
    <w:p w14:paraId="5287454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2014年11月，中国石油大学（华东）编制了《玛湖凹陷玛18-艾湖1井区块百口泉油藏开发建设工程环境影响报告书》，2015年5月27日取得原新疆维吾尔自治区环保厅批复（新环函</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2015</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620号）。该项目于2015年开工建设，滚动开发至2025年，共进行了5次竣工环保验收工作，分别为：①2018年4月，南京国环科技股份有限公司编制《玛湖凹陷玛18-艾湖1井区块百口泉组油藏开发建设工程（第一批）竣工环境保护验收调查报告》，2018年5月31日通过竣工环境保护验收；②2019年11月，新疆天熙环保科技有限公司编制《玛湖凹陷玛18-艾湖1井区块百口泉组油藏开发建设工程（第二批）竣工环境保护验收调查报告》，2020年1月13日通过竣工环境保护验收；③2020年11月，新疆天熙环保科技有限公司编制《玛湖凹陷玛18-艾湖1井区块百口泉组油藏开发建设工程（第三批）竣工环境保护验收调查报告》，2020年12月29日通过竣工环境保护验收；④2021年6月，新疆天熙环保科技有限公司编制《玛湖凹陷玛18-艾湖1井区块百口泉组油藏开发建设工程（第四批）竣工环境保护验收调查报告》，2022年3月10日通过竣工环境保护验收；⑤2023年2月，新疆天熙环保科技有限公司编制《玛湖凹陷玛18-艾湖1井区块百口泉组油藏开发建设工程（第五批）竣工环境保护验收调查报告》，2023年2月16日通过竣工环境保护验收。玛18转油站包含在该项目第一次竣工环保验收工作中，2018年5月验收时玛18转油站转液规模为70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t/a，建设了玛18转油站至百联站27km转液线。2018年2月，中国石油大学（华东）编制了《玛18转油站改扩建工程环境影响报告表》，2018年6月取得原和布克赛尔蒙古自治县环境保护局批复（和环评函字</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2018</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16号），2018年8月开工建设，2019年9月完工调试运行，2019年11月新疆天熙环保科技有限公司编制了该项目竣工环保验收建成报告，2019年12月7日，新疆油田开发公司对该项目进行自主验收。扩建后转液规模达到250×10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w:t>
      </w:r>
    </w:p>
    <w:p w14:paraId="1B48F42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2020年，南京国环科技股份有限公司编制了《玛湖油田至百联站传输复线工程建设项目环境影响报告表》，2020年4月9日取得原新疆维吾尔自治区生态环境厅批复（新环审</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2020</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59号）。该项目新建了玛18转油站至百口泉注输联合站转液复线25.4km，该项目于2020年6月开工建设，2020年11月完工后运行，2020年12月，核工业二0三研究所编制了该项目竣工环保验收调查表，2020年12月8日新疆油田分公司百口泉采油厂对该项目进行自主竣工环保验收。</w:t>
      </w:r>
    </w:p>
    <w:p w14:paraId="41FDE35B">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根据相关环评及验收报告：玛18转油站设计转液规模250×10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t/a。已建玛18转油站至百联站转液管线27km，管道规格 DN250 PN6MPa，非金属管道（用于转输玛18井区采出液）；玛18转油站至百联站转液复线25.4km，管道规格DN250 6.3MPa，玻璃钢管（用于转输玛2转油站、玛131转油站来液）。</w:t>
      </w:r>
    </w:p>
    <w:p w14:paraId="45B9A24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（2）工艺流程</w:t>
      </w:r>
    </w:p>
    <w:p w14:paraId="53DB93D5">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井区来液经（压力0.2~0.25MPa、温度20-30℃）已建三相分离器进行气液分离，分离后的含水原油与玛131、玛2井区来液混合后，通过新建相变加热炉加热温升至35~40℃），经新建分离缓冲撬对加热后的含水原油进行分离缓冲，分离出部分采出水供压裂用水，使装车泵与新建事故罐及已建储水罐实现底液位报警及停泵。低含水油则通过新建转输泵增压转输至百联站进行处理。站内已建三相分离器分离出的天然气经除油器处理，分离出的伴生气一部分经计量后作为站内燃料气，用于原油加热和采暖，其余由克拉玛依市富城天然气有限责任公司建设的</w:t>
      </w:r>
      <w:r>
        <w:rPr>
          <w:rFonts w:hint="eastAsia" w:ascii="Times New Roman" w:cstheme="minorBidi"/>
          <w:color w:val="auto"/>
          <w:kern w:val="2"/>
          <w:sz w:val="24"/>
          <w:szCs w:val="24"/>
          <w:lang w:val="en-US" w:eastAsia="zh-CN" w:bidi="ar-SA"/>
        </w:rPr>
        <w:t>天然气</w:t>
      </w:r>
      <w:r>
        <w:rPr>
          <w:rFonts w:hint="eastAsia" w:ascii="Times New Roman" w:hAnsi="Times New Roman" w:eastAsia="宋体" w:cstheme="minorBidi"/>
          <w:color w:val="auto"/>
          <w:kern w:val="2"/>
          <w:sz w:val="24"/>
          <w:szCs w:val="24"/>
          <w:lang w:val="en-US" w:eastAsia="zh-CN" w:bidi="ar-SA"/>
        </w:rPr>
        <w:t>处理站进行处理外输。玛18转油站主要工艺流程见图3.6-4。</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6F8C03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82" w:hRule="exact"/>
        </w:trPr>
        <w:tc>
          <w:tcPr>
            <w:tcW w:w="8522" w:type="dxa"/>
            <w:tcBorders>
              <w:tl2br w:val="nil"/>
              <w:tr2bl w:val="nil"/>
            </w:tcBorders>
            <w:vAlign w:val="center"/>
          </w:tcPr>
          <w:p w14:paraId="1B8B6F35">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6D68E0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73C191F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图3.6-4  玛18转油站工艺流程示意图</w:t>
            </w:r>
          </w:p>
        </w:tc>
      </w:tr>
    </w:tbl>
    <w:p w14:paraId="6ADD5A3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（3）转液规模</w:t>
      </w:r>
    </w:p>
    <w:p w14:paraId="3847D8F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玛18转油站设计转液规模250×10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t/a，目前实际转液量为219×10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t/a，富余能力约31×10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t/a。本次在玛18井区部署探井转产能井1口，玛18转油站新增转液量3.93×10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t/a；玛18转油站可满足本工程转液需求。</w:t>
      </w:r>
    </w:p>
    <w:p w14:paraId="5B3104A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（4）转液管线</w:t>
      </w:r>
    </w:p>
    <w:p w14:paraId="3AA2054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建有玛18转油站至百联站管道2条，规格均为DN250 PN6MPa，2条转液管输设计能力均为260×10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t/a，合计520×10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t/a。均为非金属管道，长度分别为27km、</w:t>
      </w:r>
      <w:r>
        <w:rPr>
          <w:rFonts w:hint="eastAsia" w:cstheme="minorBidi"/>
          <w:color w:val="auto"/>
          <w:kern w:val="2"/>
          <w:sz w:val="24"/>
          <w:szCs w:val="24"/>
          <w:lang w:val="en-US" w:eastAsia="zh-CN" w:bidi="ar-SA"/>
        </w:rPr>
        <w:t>22</w:t>
      </w:r>
      <w:r>
        <w:rPr>
          <w:rFonts w:hint="eastAsia" w:ascii="Times New Roman" w:hAnsi="Times New Roman" w:eastAsia="宋体" w:cstheme="minorBidi"/>
          <w:color w:val="auto"/>
          <w:kern w:val="2"/>
          <w:sz w:val="24"/>
          <w:szCs w:val="24"/>
          <w:lang w:val="en-US" w:eastAsia="zh-CN" w:bidi="ar-SA"/>
        </w:rPr>
        <w:t>.4km（复线），其中复线单独输送玛2和玛131井区来液。</w:t>
      </w:r>
    </w:p>
    <w:p w14:paraId="1C7ACCE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转液管线设计转液规模520×10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t/a，目前实际转液量为219×10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t/a，富余能力约301×10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t/a。玛18转油站转液线需转输本站原油外，还需转输玛2、玛131井区、艾湖2井区来液，玛18转油站本站新增转液需求为3.128×10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t/a，玛2、玛131井区、艾湖2井区来液转液需求为17.203×10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t/a，合计20.331×10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t/a。玛18转油站转液线富余转液量可满足本工程需求。</w:t>
      </w:r>
    </w:p>
    <w:p w14:paraId="3D501899">
      <w:pPr>
        <w:pStyle w:val="5"/>
        <w:bidi w:val="0"/>
        <w:rPr>
          <w:rFonts w:hint="default"/>
          <w:color w:val="auto"/>
          <w:lang w:val="en-US" w:eastAsia="zh-CN"/>
        </w:rPr>
      </w:pPr>
      <w:r>
        <w:rPr>
          <w:rFonts w:hint="eastAsia"/>
          <w:color w:val="auto"/>
          <w:lang w:val="en-US" w:eastAsia="zh-CN"/>
        </w:rPr>
        <w:t>3.6.2采出液处理依托情况（百联站）</w:t>
      </w:r>
    </w:p>
    <w:p w14:paraId="0F5A638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（1）基本情况</w:t>
      </w:r>
    </w:p>
    <w:p w14:paraId="2D03B9B1">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本工程新增采出液的处理均依托百口泉注输联合站，百联站原油处理能力为50×10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t/a，1979年9月建成投产，1997年对原油及含油污水处理装置进行了整体改造（建设时间早于2008年进行了回顾性评价），2001年对注水部分进行改造，建成了集原油处理、含油污水处理和注水为一体的联合处理站。</w:t>
      </w:r>
    </w:p>
    <w:p w14:paraId="4F718038">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2015年5月18日取得自治区环保厅批复（新环函</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2015</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619号），其中审批的百联站原油处理规模为100×10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t/a；原油稳定处理规模为130×10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t/a；原油外输系统规模为160×10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t/a；2018年4月8日，中国石油新疆油田分公司百口泉采油厂组织召开了“玛北斜坡区玛131井区百口泉组油藏开发建设工程（百联站原油处理系统改扩建工程）”竣工环境保护验收会，对该项目进行自主验收。</w:t>
      </w:r>
    </w:p>
    <w:p w14:paraId="0A582AB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2018年2月，中国石油新疆油田分公司委托中国石油大学（华东）编制《中国石油新疆油田分公司百口泉注输联合站改造工程环境影响报告书》，将百联站原油处理规模扩建到260×10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t/a；原油稳定规模扩建到290×10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t/a；原油外输规模扩建到300×10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t/a，并于2018年5月9日取得原克拉玛依市环保局批复（克环保函</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2018</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83号）。百联站扩建工程于2018年6月开工建设，2019年6月完成建设进行生产调试，2019年11月通过环境保护竣工验收。</w:t>
      </w:r>
    </w:p>
    <w:p w14:paraId="5E927E94">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百口泉采油厂天然气处理站于1983年开始建设，1986年建成投产，是新疆油田第一座天然气处理站，紧邻百联站。2004年进行了安全改造，更新了天然气压缩机等主要设备，较大提高了系统效率，安全状况得到了根本改善。改造后天然气处理站设计处理能力为13×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/d，1999年-2008年对该站进行了扩建（建设时间早于2008年进行了回顾性评价），扩建后百口泉采油厂天然气处理站处理规模为20×10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/d。站内分为装置区、压缩机房、储罐区、泵房及化验室、配电室等辅助设施，主要产品为：液化气、轻烃和干气。</w:t>
      </w:r>
    </w:p>
    <w:p w14:paraId="2B34CC14">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（2）处理工艺</w:t>
      </w:r>
    </w:p>
    <w:p w14:paraId="5A547E3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①原油处理工艺</w:t>
      </w:r>
    </w:p>
    <w:p w14:paraId="7E95A9E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老区原油处理系统设计处理能力50×10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t/a，运行现状42×10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主要处理百21井区和JI88井区采出液。井区来液经三相分离器进行油、气、水分离，分离出来的含水原油(含水≤50%)进入已建卧式缓冲罐，由增压泵升压后(P=0.35～0.4MPa)先经油/油换热器与稳定后净化油换热后，再进入已建相变加热炉，加热后的含水原油(P=0.35～0.40MPa T=50℃)进压力脱水器进行热化学沉降脱水，低含水原油(Q油=1578t/d，P=0.25～0.3MPa，T=50℃，含水15%-20%)进已建电脱水器脱水，电脱水器出净化油(Q油=1578t/d，P=0.20～0.25MPa，T=50℃，含水＜0.5%)进已建原油稳定装置；三相分离器、压力脱水器和电脱水器出水一并输送到采出水处理系统；三相分离器分离出的伴生气经除油器除油(液滴直径＜100μm)后输至百口泉天然气处理站，卧式缓冲罐和压力脱水器分离出的伴生气由已建原稳压缩机输送(P=0.3MPa)至百口泉天然气处理站。进站压力0.2～0.35MPa，温度12～22℃，出站压力0.2MPa，出站温度40～55℃。百口泉注输联合站老区原油处理工艺流程图3.6-5。</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1770F2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42" w:hRule="exact"/>
        </w:trPr>
        <w:tc>
          <w:tcPr>
            <w:tcW w:w="8522" w:type="dxa"/>
            <w:tcBorders>
              <w:tl2br w:val="nil"/>
              <w:tr2bl w:val="nil"/>
            </w:tcBorders>
            <w:vAlign w:val="center"/>
          </w:tcPr>
          <w:p w14:paraId="1AA2158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0E40FF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05198F66">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图3.6-5  百联站原油处理工艺流程示意图</w:t>
            </w:r>
          </w:p>
        </w:tc>
      </w:tr>
    </w:tbl>
    <w:p w14:paraId="2AD7D85C">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②原油稳定</w:t>
      </w:r>
    </w:p>
    <w:p w14:paraId="3F446D84">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百联站已建2套原油稳定系统。其中老区原油稳定系统已关停。2019年站内新建了一套处理规模为240×10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t/a的负压闪蒸原油稳定系统，主要负责处理玛湖井区净化油，同时也可通过流程切换兼顾老区净化油的稳定处理。百联站玛湖原油稳定系统工艺流程见图3.6-6。</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749392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4" w:hRule="exact"/>
        </w:trPr>
        <w:tc>
          <w:tcPr>
            <w:tcW w:w="8522" w:type="dxa"/>
            <w:tcBorders>
              <w:tl2br w:val="nil"/>
              <w:tr2bl w:val="nil"/>
            </w:tcBorders>
            <w:vAlign w:val="center"/>
          </w:tcPr>
          <w:p w14:paraId="400A0B3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33EA4D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6CD202D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图3.6-6  百联站玛湖原油稳定工艺流程示意图</w:t>
            </w:r>
          </w:p>
        </w:tc>
      </w:tr>
    </w:tbl>
    <w:p w14:paraId="161D87DF">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③采出水处理工艺</w:t>
      </w:r>
    </w:p>
    <w:p w14:paraId="07A11EC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百联站稀油污水处理站于1998年建成投产，设计处理能力8000m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/d，采用的处理工艺：重力沉降→气浮选→双滤料过滤。主要承担百口泉稀油油田含油污水处理。投产运行后，处理</w:t>
      </w:r>
      <w:r>
        <w:rPr>
          <w:rFonts w:hint="eastAsia" w:cstheme="minorBidi"/>
          <w:color w:val="auto"/>
          <w:kern w:val="2"/>
          <w:sz w:val="24"/>
          <w:szCs w:val="24"/>
          <w:lang w:val="en-US" w:eastAsia="zh-CN" w:bidi="ar-SA"/>
        </w:rPr>
        <w:t>出水水质</w:t>
      </w:r>
      <w:r>
        <w:rPr>
          <w:rFonts w:hint="eastAsia" w:ascii="Times New Roman" w:hAnsi="Times New Roman" w:eastAsia="宋体" w:cstheme="minorBidi"/>
          <w:color w:val="auto"/>
          <w:kern w:val="2"/>
          <w:sz w:val="24"/>
          <w:szCs w:val="24"/>
          <w:lang w:val="en-US" w:eastAsia="zh-CN" w:bidi="ar-SA"/>
        </w:rPr>
        <w:t>指标达到百口泉油田注入水水质标准，并回注百口泉油田。2003年对处理工艺进行部分调整改造，淘汰了能耗高、管理难度大的气浮选装置，目前采用的处理工艺：重力除油→混凝沉降→压力过滤。通过改造，系统运行平稳，水质稳定达标，药剂成本有效降低。2024年扩建处理能力3000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/d，采用“重力除油+生物接触氧化+过滤”工艺。</w:t>
      </w:r>
    </w:p>
    <w:p w14:paraId="3F43317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常规采出水：</w:t>
      </w:r>
      <w:r>
        <w:rPr>
          <w:rFonts w:hint="default" w:ascii="Times New Roman" w:hAnsi="Times New Roman" w:eastAsia="宋体" w:cstheme="minorBidi"/>
          <w:color w:val="auto"/>
          <w:kern w:val="2"/>
          <w:sz w:val="24"/>
          <w:szCs w:val="24"/>
          <w:lang w:val="en-US" w:eastAsia="zh-CN" w:bidi="ar-SA"/>
        </w:rPr>
        <w:t>原油系统来水（T=17~25℃，含油量≤500mg/L，悬浮物≤300mg/L）</w:t>
      </w:r>
      <w:r>
        <w:rPr>
          <w:rFonts w:hint="eastAsia" w:ascii="Times New Roman" w:hAnsi="Times New Roman" w:eastAsia="宋体" w:cstheme="minorBidi"/>
          <w:color w:val="auto"/>
          <w:kern w:val="2"/>
          <w:sz w:val="24"/>
          <w:szCs w:val="24"/>
          <w:lang w:val="en-US" w:eastAsia="zh-CN" w:bidi="ar-SA"/>
        </w:rPr>
        <w:t>一路</w:t>
      </w:r>
      <w:r>
        <w:rPr>
          <w:rFonts w:hint="default" w:ascii="Times New Roman" w:hAnsi="Times New Roman" w:eastAsia="宋体" w:cstheme="minorBidi"/>
          <w:color w:val="auto"/>
          <w:kern w:val="2"/>
          <w:sz w:val="24"/>
          <w:szCs w:val="24"/>
          <w:lang w:val="en-US" w:eastAsia="zh-CN" w:bidi="ar-SA"/>
        </w:rPr>
        <w:t>进入2座2000m</w:t>
      </w:r>
      <w:r>
        <w:rPr>
          <w:rFonts w:hint="default" w:ascii="Times New Roman" w:hAnsi="Times New Roman" w:eastAsia="宋体" w:cstheme="minorBidi"/>
          <w:color w:val="auto"/>
          <w:kern w:val="2"/>
          <w:sz w:val="24"/>
          <w:szCs w:val="24"/>
          <w:vertAlign w:val="superscript"/>
          <w:lang w:val="en-US" w:eastAsia="zh-CN" w:bidi="ar-SA"/>
        </w:rPr>
        <w:t>3</w:t>
      </w:r>
      <w:r>
        <w:rPr>
          <w:rFonts w:hint="default" w:ascii="Times New Roman" w:hAnsi="Times New Roman" w:eastAsia="宋体" w:cstheme="minorBidi"/>
          <w:color w:val="auto"/>
          <w:kern w:val="2"/>
          <w:sz w:val="24"/>
          <w:szCs w:val="24"/>
          <w:lang w:val="en-US" w:eastAsia="zh-CN" w:bidi="ar-SA"/>
        </w:rPr>
        <w:t>调储罐，其中1座为重力除油罐，1座为调储罐，对水量、水质进行调节，来水经初步沉降后可除去大部分浮油，保证出水含油≤100mg/L，悬浮物≤150mg/L。采出水经除油后提升进反应沉降单元，在该单元投加净水剂和絮凝剂，采出水经过化学反应后出水（含油≤15mg/L，悬浮物≤15mg/L）自流进入2座1000m</w:t>
      </w:r>
      <w:r>
        <w:rPr>
          <w:rFonts w:hint="default" w:ascii="Times New Roman" w:hAnsi="Times New Roman" w:eastAsia="宋体" w:cstheme="minorBidi"/>
          <w:color w:val="auto"/>
          <w:kern w:val="2"/>
          <w:sz w:val="24"/>
          <w:szCs w:val="24"/>
          <w:vertAlign w:val="superscript"/>
          <w:lang w:val="en-US" w:eastAsia="zh-CN" w:bidi="ar-SA"/>
        </w:rPr>
        <w:t>3</w:t>
      </w:r>
      <w:r>
        <w:rPr>
          <w:rFonts w:hint="default" w:ascii="Times New Roman" w:hAnsi="Times New Roman" w:eastAsia="宋体" w:cstheme="minorBidi"/>
          <w:color w:val="auto"/>
          <w:kern w:val="2"/>
          <w:sz w:val="24"/>
          <w:szCs w:val="24"/>
          <w:lang w:val="en-US" w:eastAsia="zh-CN" w:bidi="ar-SA"/>
        </w:rPr>
        <w:t>混凝沉降罐沉降，再经一级过滤处理，出口水质指标达到：含油≤5mg/L、SS≤5mg/L，过滤后的水经投加次氯酸钠杀菌剂后进入注水系统用于老区油田注水。</w:t>
      </w:r>
    </w:p>
    <w:p w14:paraId="1721A9D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扩建采出水：</w:t>
      </w:r>
      <w:r>
        <w:rPr>
          <w:rFonts w:hint="eastAsia" w:cstheme="minorBidi"/>
          <w:color w:val="auto"/>
          <w:kern w:val="2"/>
          <w:sz w:val="24"/>
          <w:szCs w:val="24"/>
          <w:lang w:val="en-US" w:eastAsia="zh-CN" w:bidi="ar-SA"/>
        </w:rPr>
        <w:t>设计处理能力3000</w:t>
      </w:r>
      <w:r>
        <w:rPr>
          <w:rFonts w:hint="eastAsia" w:ascii="Times New Roman" w:hAnsi="Times New Roman" w:eastAsia="宋体" w:cstheme="minorBidi"/>
          <w:color w:val="auto"/>
          <w:kern w:val="2"/>
          <w:sz w:val="24"/>
          <w:szCs w:val="24"/>
          <w:lang w:val="en-US" w:eastAsia="zh-CN" w:bidi="ar-SA"/>
        </w:rPr>
        <w:t>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w:t>
      </w:r>
      <w:r>
        <w:rPr>
          <w:rFonts w:hint="default" w:ascii="Times New Roman" w:hAnsi="Times New Roman" w:eastAsia="宋体" w:cstheme="minorBidi"/>
          <w:color w:val="auto"/>
          <w:kern w:val="2"/>
          <w:sz w:val="24"/>
          <w:szCs w:val="24"/>
          <w:lang w:val="en-US" w:eastAsia="zh-CN" w:bidi="ar-SA"/>
        </w:rPr>
        <w:t>原油处理系统来水（含油≤300mg/L、悬浮物≤300mg/L）另一路进入2座2000m</w:t>
      </w:r>
      <w:r>
        <w:rPr>
          <w:rFonts w:hint="default" w:ascii="Times New Roman" w:hAnsi="Times New Roman" w:eastAsia="宋体" w:cstheme="minorBidi"/>
          <w:color w:val="auto"/>
          <w:kern w:val="2"/>
          <w:sz w:val="24"/>
          <w:szCs w:val="24"/>
          <w:vertAlign w:val="superscript"/>
          <w:lang w:val="en-US" w:eastAsia="zh-CN" w:bidi="ar-SA"/>
        </w:rPr>
        <w:t>3</w:t>
      </w:r>
      <w:r>
        <w:rPr>
          <w:rFonts w:hint="default" w:ascii="Times New Roman" w:hAnsi="Times New Roman" w:eastAsia="宋体" w:cstheme="minorBidi"/>
          <w:color w:val="auto"/>
          <w:kern w:val="2"/>
          <w:sz w:val="24"/>
          <w:szCs w:val="24"/>
          <w:lang w:val="en-US" w:eastAsia="zh-CN" w:bidi="ar-SA"/>
        </w:rPr>
        <w:t>调储罐，调储罐出水（含油≤100mg/L、悬浮物≤150mg/L、T=17~27℃）经生化提升泵提升后，夏季水温高时，直接进入生物处理单元，冬季先进入新建热泵机组将温度升至27℃左右，再进入生物处理单元，该单元分为接触氧化段和固液分离段。来水首先进入接触氧化段，接触氧化段投加高效降解菌，水中污染物被微生物降解，进入固液分离段，经固液分离后，出水（含油≤15mg/L，悬浮物≤25mg/L，其中一级出水含油≤50mg/L，悬浮物≤50mg/L、二级出水含油≤30mg/L，悬浮物≤50mg/L、三级出水含油≤15mg/L，悬浮物≤50mg/L、固液分离橇出水含油≤15mg/L，悬浮物≤25mg/L）经过滤提升泵提升进入过滤器，过滤器出水（含油≤5mg/L、悬浮物≤5mg/L），过滤出水在过滤器前端投加电解盐杀菌后，通过注水泵输送至老区油田注水。</w:t>
      </w:r>
    </w:p>
    <w:p w14:paraId="608454C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目前实际处理量约8715m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/d（年平均），处理后合格净化水全部回注百口泉油田。百联站已建采出水处理系统工艺流程如图3.6-7所示，扩建采出水处理系统工艺流程如图3.6-8所示。</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147B38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50" w:hRule="exact"/>
        </w:trPr>
        <w:tc>
          <w:tcPr>
            <w:tcW w:w="8522" w:type="dxa"/>
            <w:tcBorders>
              <w:tl2br w:val="nil"/>
              <w:tr2bl w:val="nil"/>
            </w:tcBorders>
            <w:vAlign w:val="center"/>
          </w:tcPr>
          <w:p w14:paraId="421594D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61CE6E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6DF479AA">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图3.6-7  百联站常规采出水处理工艺流程示意图</w:t>
            </w:r>
          </w:p>
        </w:tc>
      </w:tr>
      <w:tr w14:paraId="081F1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5" w:hRule="exact"/>
        </w:trPr>
        <w:tc>
          <w:tcPr>
            <w:tcW w:w="8522" w:type="dxa"/>
            <w:tcBorders>
              <w:tl2br w:val="nil"/>
              <w:tr2bl w:val="nil"/>
            </w:tcBorders>
            <w:vAlign w:val="center"/>
          </w:tcPr>
          <w:p w14:paraId="55D18C5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54B476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6F500DCF">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图3.6-8  百联站扩建采出水处理系统工艺流程示意图</w:t>
            </w:r>
          </w:p>
        </w:tc>
      </w:tr>
    </w:tbl>
    <w:p w14:paraId="205A7518">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④注水现状</w:t>
      </w:r>
    </w:p>
    <w:p w14:paraId="5826926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百口泉油田已建注水系统1套，主要管辖百21、百71、百31等井区注水，采用站区高压集中注水工艺；油区主要采用注水站→配水间→注水单井的单干管多井配水工艺流程。已建注水井284口，开井217口；已建注水站1座，站内设2000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注水罐2座，注水泵5台，设计注水能力9600m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/d，注水压力16MPa，实际注水量9081m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/d（含处理常规采出水及部分压裂反排液），运行压力16MPa；已建注水干线11条，配水间61座。</w:t>
      </w:r>
    </w:p>
    <w:p w14:paraId="007A8FE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⑤天然气处理现状</w:t>
      </w:r>
    </w:p>
    <w:p w14:paraId="7951BDC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百口泉注输联合站伴生气装置设计处理能力20×10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/d，目前日处理气量18×10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/d，自用气约2.4×10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/d，采用分子筛脱水、膨胀机制冷脱烃工艺。2025年4月，对百联站天然气处理站进行改扩建，</w:t>
      </w:r>
      <w:r>
        <w:rPr>
          <w:rFonts w:hint="default" w:ascii="Times New Roman" w:hAnsi="Times New Roman" w:eastAsia="宋体" w:cstheme="minorBidi"/>
          <w:color w:val="auto"/>
          <w:kern w:val="2"/>
          <w:sz w:val="24"/>
          <w:szCs w:val="24"/>
          <w:lang w:val="en-US" w:eastAsia="zh-CN" w:bidi="ar-SA"/>
        </w:rPr>
        <w:t>改扩建完成后，百联站天然气处理系统处理规模为25×10</w:t>
      </w:r>
      <w:r>
        <w:rPr>
          <w:rFonts w:hint="default" w:ascii="Times New Roman" w:hAnsi="Times New Roman" w:eastAsia="宋体" w:cstheme="minorBidi"/>
          <w:color w:val="auto"/>
          <w:kern w:val="2"/>
          <w:sz w:val="24"/>
          <w:szCs w:val="24"/>
          <w:vertAlign w:val="superscript"/>
          <w:lang w:val="en-US" w:eastAsia="zh-CN" w:bidi="ar-SA"/>
        </w:rPr>
        <w:t>4</w:t>
      </w:r>
      <w:r>
        <w:rPr>
          <w:rFonts w:hint="default" w:ascii="Times New Roman" w:hAnsi="Times New Roman" w:eastAsia="宋体" w:cstheme="minorBidi"/>
          <w:color w:val="auto"/>
          <w:kern w:val="2"/>
          <w:sz w:val="24"/>
          <w:szCs w:val="24"/>
          <w:lang w:val="en-US" w:eastAsia="zh-CN" w:bidi="ar-SA"/>
        </w:rPr>
        <w:t>m</w:t>
      </w:r>
      <w:r>
        <w:rPr>
          <w:rFonts w:hint="default" w:ascii="Times New Roman" w:hAnsi="Times New Roman" w:eastAsia="宋体" w:cstheme="minorBidi"/>
          <w:color w:val="auto"/>
          <w:kern w:val="2"/>
          <w:sz w:val="24"/>
          <w:szCs w:val="24"/>
          <w:vertAlign w:val="superscript"/>
          <w:lang w:val="en-US" w:eastAsia="zh-CN" w:bidi="ar-SA"/>
        </w:rPr>
        <w:t>3</w:t>
      </w:r>
      <w:r>
        <w:rPr>
          <w:rFonts w:hint="default" w:ascii="Times New Roman" w:hAnsi="Times New Roman" w:eastAsia="宋体" w:cstheme="minorBidi"/>
          <w:color w:val="auto"/>
          <w:kern w:val="2"/>
          <w:sz w:val="24"/>
          <w:szCs w:val="24"/>
          <w:lang w:val="en-US" w:eastAsia="zh-CN" w:bidi="ar-SA"/>
        </w:rPr>
        <w:t>/d。</w:t>
      </w:r>
    </w:p>
    <w:p w14:paraId="1882BBC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工艺流程简介：百口泉注输联合站油区、检188转油站来气（运行压力0.1～0.2MPa，运行温度：16～28℃）经分离器初步除杂后进入压缩机，经二级压缩后（运行压力1.5～2.0MPa，运行温度：50～80℃）依次进冷却器、分离器（运行压力1.5～2.0MPa，运行温度：30～50℃）进行除杂除烃，然后进入分子筛脱水，脱水天然气进入精细过滤器除尘，再经冷箱换热及膨胀机膨胀制冷后（运行温度-30～70℃）进入脱乙烷塔（塔底温度80～100℃），脱乙烷塔塔顶干气经膨胀机增压端和三级压缩增压后（运行压力1.0～1.5MPa，运行温度：30～50℃）外输九区管网。塔底液相进入液化气塔（塔底温度80～100℃）进一步分馏，液化气塔塔顶气经凝液罐凝析后进液化气储罐外交，塔底重组分凝析油拉运外销，流程示意图见图3.6-9。</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3A6DC9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2" w:hRule="exact"/>
        </w:trPr>
        <w:tc>
          <w:tcPr>
            <w:tcW w:w="8522" w:type="dxa"/>
            <w:tcBorders>
              <w:tl2br w:val="nil"/>
              <w:tr2bl w:val="nil"/>
            </w:tcBorders>
            <w:vAlign w:val="center"/>
          </w:tcPr>
          <w:p w14:paraId="5C4CF18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346329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377E0E1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图3.6-9  百联站天然气处理系统工艺流程示意图</w:t>
            </w:r>
          </w:p>
        </w:tc>
      </w:tr>
    </w:tbl>
    <w:p w14:paraId="649A12EF">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经百口泉采油厂天然气处理站处理后的天然气输送至九区二级配气站（阀池，建设有21.95km天然气外输管线，管径为D325，设计压力2.5MPa，设计外输能力为12×10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/d，目前实际输气量为10.3×10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/d，富余量为1.7×10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p>
    <w:p w14:paraId="0FC48E3B">
      <w:pPr>
        <w:pStyle w:val="13"/>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本次百厂探区新增天然气处理量为0.</w:t>
      </w:r>
      <w:r>
        <w:rPr>
          <w:rFonts w:hint="eastAsia" w:ascii="Times New Roman" w:hAnsi="Times New Roman" w:eastAsia="宋体" w:cs="Times New Roman"/>
          <w:color w:val="auto"/>
          <w:kern w:val="2"/>
          <w:sz w:val="24"/>
          <w:szCs w:val="24"/>
          <w:lang w:val="en-US" w:eastAsia="zh-CN" w:bidi="ar-SA"/>
        </w:rPr>
        <w:t>46</w:t>
      </w:r>
      <w:r>
        <w:rPr>
          <w:rFonts w:hint="default" w:ascii="Times New Roman" w:hAnsi="Times New Roman" w:eastAsia="宋体" w:cs="Times New Roman"/>
          <w:color w:val="auto"/>
          <w:kern w:val="2"/>
          <w:sz w:val="24"/>
          <w:szCs w:val="24"/>
          <w:lang w:val="en-US" w:eastAsia="zh-CN" w:bidi="ar-SA"/>
        </w:rPr>
        <w:t>×10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/d，百口泉采油厂天然气处理站可满足</w:t>
      </w:r>
      <w:r>
        <w:rPr>
          <w:rFonts w:hint="eastAsia" w:ascii="Times New Roman" w:hAnsi="Times New Roman" w:eastAsia="宋体" w:cs="Times New Roman"/>
          <w:color w:val="auto"/>
          <w:kern w:val="2"/>
          <w:sz w:val="24"/>
          <w:szCs w:val="24"/>
          <w:lang w:val="en-US" w:eastAsia="zh-CN" w:bidi="ar-SA"/>
        </w:rPr>
        <w:t>本工程</w:t>
      </w:r>
      <w:r>
        <w:rPr>
          <w:rFonts w:hint="default" w:ascii="Times New Roman" w:hAnsi="Times New Roman" w:eastAsia="宋体" w:cs="Times New Roman"/>
          <w:color w:val="auto"/>
          <w:kern w:val="2"/>
          <w:sz w:val="24"/>
          <w:szCs w:val="24"/>
          <w:lang w:val="en-US" w:eastAsia="zh-CN" w:bidi="ar-SA"/>
        </w:rPr>
        <w:t>天然气处理及外输需求。</w:t>
      </w:r>
    </w:p>
    <w:p w14:paraId="5EFB055C">
      <w:pPr>
        <w:pStyle w:val="5"/>
        <w:bidi w:val="0"/>
        <w:rPr>
          <w:rFonts w:hint="default"/>
          <w:color w:val="auto"/>
          <w:lang w:val="en-US" w:eastAsia="zh-CN"/>
        </w:rPr>
      </w:pPr>
      <w:r>
        <w:rPr>
          <w:rFonts w:hint="eastAsia"/>
          <w:color w:val="auto"/>
          <w:lang w:val="en-US" w:eastAsia="zh-CN"/>
        </w:rPr>
        <w:t>3.6.3伴生气处理依托情况</w:t>
      </w:r>
    </w:p>
    <w:p w14:paraId="2075693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百厂探区伴生气回收处理依托百口泉采油厂天然气处理站，玛131井区、夏72井区、玛18井区伴生气处理依托克拉玛依市富城天然气有限责任公司在各井区内的天然气处理站。</w:t>
      </w:r>
    </w:p>
    <w:p w14:paraId="25B02D90">
      <w:pPr>
        <w:pStyle w:val="6"/>
        <w:bidi w:val="0"/>
        <w:rPr>
          <w:rFonts w:hint="default"/>
          <w:color w:val="auto"/>
          <w:lang w:val="en-US" w:eastAsia="zh-CN"/>
        </w:rPr>
      </w:pPr>
      <w:r>
        <w:rPr>
          <w:rFonts w:hint="eastAsia"/>
          <w:color w:val="auto"/>
          <w:lang w:val="en-US" w:eastAsia="zh-CN"/>
        </w:rPr>
        <w:t>3.6.3.1玛131天然气处理站</w:t>
      </w:r>
    </w:p>
    <w:p w14:paraId="4CDFE8B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（1）基本情况</w:t>
      </w:r>
    </w:p>
    <w:p w14:paraId="51C62A0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玛131天然气处理站邻近玛131转油站，由克拉玛依市富城天然气有限责任公司建设，2015年9月，河北冀都环保科技有限公司编制完成《6#天然气处理撬装装置环境影响报告表》，2016年1月18日取得原克拉玛依市环保局批复（克环保函</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2016</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40号），2017年12月克拉玛依市富城天然气有限责任公司对该项目进行了自主验收。该项目建设天然气处理回收装置1套，设计处理规模为7×10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p>
    <w:p w14:paraId="46E1A65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2017年8月，核工业二0三研究所编制了《28#天然气撬装装置环境影响报告表》，2017年9月6日取得原克拉玛依市生态环境局批复（克环函</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2017</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286号），2019年1月24日克拉玛依市富城天然气有限责任公司对该项目进行了自主验收。该项目建设天然气处理回收装置4套，设计处理规模为21×10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p>
    <w:p w14:paraId="04B84BE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2019年8月，核工业二0三研究所编制完成了《2019年玛131新增浅冷装置环境影响报告表》，2019年12月取得原克拉玛依市生态环境局批复（克环函</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2019</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217号），2019年2月开工建设，2020年6月工程建成并开始调试运行。2020年9月12日，克拉玛依市富城天然气有限责任公司对该项目进行自主验收。该项目新建浅冷装置1套（40×10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/d）、伴生气处理装置4套（2套10×10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/d，1套5×10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/d，1套3×10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/d），合计设计处理规模为68×10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p>
    <w:p w14:paraId="590B3BE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2020年10月，中勘冶金勘察设计研究院有限责任公司编制了《玛131新增40万方/天浅冷装置（二期）环境影响报告表》，2020年10月29日克拉玛依市生态环境局批复（克环函</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2020</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171号），2021年10月22日克拉玛依市富城天然气有限责任公司对该项目进行了自主验收。该项目建设1套40×10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/d天然气处理装置。</w:t>
      </w:r>
    </w:p>
    <w:p w14:paraId="6385F3D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根据相关玛131天然气处理站相关环评及验收报告：玛131天然气处理站设计处理规模为136×10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p>
    <w:p w14:paraId="43C5C57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（2）处理工艺</w:t>
      </w:r>
    </w:p>
    <w:p w14:paraId="167358A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浅冷：转油站来气→增压→脱水→再增压→节流/外冷脱烃→计量外输。</w:t>
      </w:r>
    </w:p>
    <w:p w14:paraId="48FC1C2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转油站来伴生气（20-25℃，0.2MPa）经螺杆压缩机增压至2MPa后进分子筛脱水，脱水后的天然气进入往复式压缩机压缩至4.0MPa，空冷器冷却，</w:t>
      </w:r>
      <w:r>
        <w:rPr>
          <w:rFonts w:hint="eastAsia" w:cstheme="minorBidi"/>
          <w:color w:val="auto"/>
          <w:kern w:val="2"/>
          <w:sz w:val="24"/>
          <w:szCs w:val="24"/>
          <w:lang w:val="en-US" w:eastAsia="zh-CN" w:bidi="ar-SA"/>
        </w:rPr>
        <w:t>再</w:t>
      </w:r>
      <w:r>
        <w:rPr>
          <w:rFonts w:hint="eastAsia" w:ascii="Times New Roman" w:hAnsi="Times New Roman" w:eastAsia="宋体" w:cstheme="minorBidi"/>
          <w:color w:val="auto"/>
          <w:kern w:val="2"/>
          <w:sz w:val="24"/>
          <w:szCs w:val="24"/>
          <w:lang w:val="en-US" w:eastAsia="zh-CN" w:bidi="ar-SA"/>
        </w:rPr>
        <w:t>经过换热器预冷，将气体温度降至（-10~5℃）后进入外冷装置进一步冷却至-35℃，冷却的低温气体进入低温分离器进行气液分离。分离出的气体返回到换热器升温后，通过调压后进外输管网。从低温分离器分离出来的轻烃通过节流阀节流至2MPa后进入脱乙烷塔顶部进行轻烃回收。脱乙烷塔塔顶富气返输至螺杆压缩机进口。回收后的轻烃经过换热器与脱乙烷塔塔顶气体进行换热，再进入空冷器进一步降温，降温后的轻烃输送至混烃储罐进行储存，再经液烃泵进入罐车外运。玛131天然气处理站浅冷工艺流程示意图见图3.6-10。</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5B1487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45" w:hRule="exact"/>
        </w:trPr>
        <w:tc>
          <w:tcPr>
            <w:tcW w:w="8522" w:type="dxa"/>
            <w:tcBorders>
              <w:tl2br w:val="nil"/>
              <w:tr2bl w:val="nil"/>
            </w:tcBorders>
            <w:vAlign w:val="center"/>
          </w:tcPr>
          <w:p w14:paraId="3177D1B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5F38F0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7C41FFA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图3.6-10  玛131天然气处理站浅冷工艺流程示意图</w:t>
            </w:r>
          </w:p>
        </w:tc>
      </w:tr>
    </w:tbl>
    <w:p w14:paraId="083C87D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中冷：转油站来伴生气（20-25℃，0.2MPa）经螺杆压缩机增压至1.6MPa后通过分子筛脱水，脱水后的天然气进入冷箱换热，温度降低至-75℃后进入低温分离器。从低温分离器中分离出的气相进入重吸收塔，与经过冷箱换热降温后的脱乙烷塔顶富气逆流接触，脱除富气中易液化组分。从重吸收塔塔顶出来的不凝气进入冷箱换热升温后（25℃），通过外输压缩机增压至4.0MPa，计量外输进天然气管网。低温分离器中分离出的液相经过冷箱换热升温至25℃，与重吸收塔塔低的-85℃凝液进入脱乙烷塔逆流接触精馏。脱乙烷塔塔顶富气经过冷箱降温进入重吸收塔，塔</w:t>
      </w:r>
      <w:r>
        <w:rPr>
          <w:rFonts w:hint="eastAsia" w:cstheme="minorBidi"/>
          <w:color w:val="auto"/>
          <w:kern w:val="2"/>
          <w:sz w:val="24"/>
          <w:szCs w:val="24"/>
          <w:lang w:val="en-US" w:eastAsia="zh-CN" w:bidi="ar-SA"/>
        </w:rPr>
        <w:t>底</w:t>
      </w:r>
      <w:r>
        <w:rPr>
          <w:rFonts w:hint="eastAsia" w:ascii="Times New Roman" w:hAnsi="Times New Roman" w:eastAsia="宋体" w:cstheme="minorBidi"/>
          <w:color w:val="auto"/>
          <w:kern w:val="2"/>
          <w:sz w:val="24"/>
          <w:szCs w:val="24"/>
          <w:lang w:val="en-US" w:eastAsia="zh-CN" w:bidi="ar-SA"/>
        </w:rPr>
        <w:t>液相经过重沸后升温至58℃进入脱丁烷塔。凝液通过脱丁烷塔重沸器进一步加热，塔顶分离出的气相冷却液化后进液化气储罐，塔底凝液冷却后进稳定轻烃储罐。液烃产品通过泵装入罐车外运。玛131天然气处理站中冷工艺流程图见图3.6-11。</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189C9A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48" w:hRule="exact"/>
        </w:trPr>
        <w:tc>
          <w:tcPr>
            <w:tcW w:w="8522" w:type="dxa"/>
            <w:tcBorders>
              <w:tl2br w:val="nil"/>
              <w:tr2bl w:val="nil"/>
            </w:tcBorders>
            <w:vAlign w:val="center"/>
          </w:tcPr>
          <w:p w14:paraId="44A8FBB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271647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39DCBDB3">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图3.6-11  玛131天然气处理站中冷工艺流程示意图</w:t>
            </w:r>
          </w:p>
        </w:tc>
      </w:tr>
    </w:tbl>
    <w:p w14:paraId="38C57860">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（3）处理规模</w:t>
      </w:r>
    </w:p>
    <w:p w14:paraId="0238B0C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玛131天然气处理站已建成设计能力为136×10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/d天然气橇装回收装置，目前天然气处理量为130×10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/d，富余能力约6×10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p>
    <w:p w14:paraId="7893692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（4）天然气外输</w:t>
      </w:r>
    </w:p>
    <w:p w14:paraId="4344E88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玛131天然气处理站外输气通过玛131天然气处理站至风城3#配气站管线进入管网。玛131天然气处理站至3#配气站管线，该管线全长22km，管径为D273.1×6.4mm，设计压力6.3MPa。玛131-风城3#配气站外输管线最大能力为150×10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/d，目前输量为130×10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/d，富余20×10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p>
    <w:p w14:paraId="4DEBBF8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本工程</w:t>
      </w:r>
      <w:r>
        <w:rPr>
          <w:rFonts w:hint="default" w:ascii="Times New Roman" w:hAnsi="Times New Roman" w:eastAsia="宋体" w:cs="Times New Roman"/>
          <w:color w:val="auto"/>
          <w:kern w:val="2"/>
          <w:sz w:val="24"/>
          <w:szCs w:val="24"/>
          <w:lang w:val="en-US" w:eastAsia="zh-CN" w:bidi="ar-SA"/>
        </w:rPr>
        <w:t>玛131</w:t>
      </w:r>
      <w:r>
        <w:rPr>
          <w:rFonts w:hint="eastAsia" w:ascii="Times New Roman" w:hAnsi="Times New Roman" w:eastAsia="宋体" w:cs="Times New Roman"/>
          <w:color w:val="auto"/>
          <w:kern w:val="2"/>
          <w:sz w:val="24"/>
          <w:szCs w:val="24"/>
          <w:lang w:val="en-US" w:eastAsia="zh-CN" w:bidi="ar-SA"/>
        </w:rPr>
        <w:t>、夏72</w:t>
      </w:r>
      <w:r>
        <w:rPr>
          <w:rFonts w:hint="default" w:ascii="Times New Roman" w:hAnsi="Times New Roman" w:eastAsia="宋体" w:cs="Times New Roman"/>
          <w:color w:val="auto"/>
          <w:kern w:val="2"/>
          <w:sz w:val="24"/>
          <w:szCs w:val="24"/>
          <w:lang w:val="en-US" w:eastAsia="zh-CN" w:bidi="ar-SA"/>
        </w:rPr>
        <w:t>井区新增天然气处理需求</w:t>
      </w:r>
      <w:r>
        <w:rPr>
          <w:rFonts w:hint="eastAsia" w:cs="Times New Roman"/>
          <w:color w:val="auto"/>
          <w:kern w:val="2"/>
          <w:sz w:val="24"/>
          <w:szCs w:val="24"/>
          <w:lang w:val="en-US" w:eastAsia="zh-CN" w:bidi="ar-SA"/>
        </w:rPr>
        <w:t>0.623</w:t>
      </w:r>
      <w:r>
        <w:rPr>
          <w:rFonts w:hint="default" w:ascii="Times New Roman" w:hAnsi="Times New Roman" w:eastAsia="宋体" w:cs="Times New Roman"/>
          <w:color w:val="auto"/>
          <w:kern w:val="2"/>
          <w:sz w:val="24"/>
          <w:szCs w:val="24"/>
          <w:lang w:val="en-US" w:eastAsia="zh-CN" w:bidi="ar-SA"/>
        </w:rPr>
        <w:t>×10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/d，玛131天然气处理站可满足</w:t>
      </w:r>
      <w:r>
        <w:rPr>
          <w:rFonts w:hint="eastAsia" w:ascii="Times New Roman" w:hAnsi="Times New Roman" w:eastAsia="宋体" w:cs="Times New Roman"/>
          <w:color w:val="auto"/>
          <w:kern w:val="2"/>
          <w:sz w:val="24"/>
          <w:szCs w:val="24"/>
          <w:lang w:val="en-US" w:eastAsia="zh-CN" w:bidi="ar-SA"/>
        </w:rPr>
        <w:t>本工程</w:t>
      </w:r>
      <w:r>
        <w:rPr>
          <w:rFonts w:hint="default" w:ascii="Times New Roman" w:hAnsi="Times New Roman" w:eastAsia="宋体" w:cs="Times New Roman"/>
          <w:color w:val="auto"/>
          <w:kern w:val="2"/>
          <w:sz w:val="24"/>
          <w:szCs w:val="24"/>
          <w:lang w:val="en-US" w:eastAsia="zh-CN" w:bidi="ar-SA"/>
        </w:rPr>
        <w:t>处理及外输需求。</w:t>
      </w:r>
    </w:p>
    <w:p w14:paraId="289EC1D3">
      <w:pPr>
        <w:pStyle w:val="6"/>
        <w:bidi w:val="0"/>
        <w:rPr>
          <w:rFonts w:hint="default"/>
          <w:color w:val="auto"/>
          <w:lang w:val="en-US" w:eastAsia="zh-CN"/>
        </w:rPr>
      </w:pPr>
      <w:r>
        <w:rPr>
          <w:rFonts w:hint="eastAsia"/>
          <w:color w:val="auto"/>
          <w:lang w:val="en-US" w:eastAsia="zh-CN"/>
        </w:rPr>
        <w:t>3.6.3.2玛2天然气处理站</w:t>
      </w:r>
    </w:p>
    <w:p w14:paraId="3A85844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（1）基本情况</w:t>
      </w:r>
    </w:p>
    <w:p w14:paraId="3BE3B2C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玛2天然气处理站邻近玛2转油站，由克拉玛依市富城天然气有限责任公司建设，2019年12月，核工业二0三研究所编制了《玛2井区天然气回收工程环境影响报告表》，2020年4月17日塔城地区生态环境局批复（塔地环字〔2020〕43号），该项目于2020年5月开工，2021年6月20日完工，建设1座3×10</w:t>
      </w:r>
      <w:r>
        <w:rPr>
          <w:rFonts w:hint="default" w:ascii="Times New Roman" w:hAnsi="Times New Roman" w:eastAsia="宋体" w:cs="Times New Roman"/>
          <w:color w:val="auto"/>
          <w:kern w:val="2"/>
          <w:sz w:val="24"/>
          <w:szCs w:val="24"/>
          <w:vertAlign w:val="superscript"/>
          <w:lang w:val="en-US" w:eastAsia="zh-CN" w:bidi="ar-SA"/>
        </w:rPr>
        <w:t>4</w:t>
      </w:r>
      <w:r>
        <w:rPr>
          <w:rFonts w:hint="default" w:ascii="Times New Roman" w:hAnsi="Times New Roman" w:eastAsia="宋体" w:cs="Times New Roman"/>
          <w:color w:val="auto"/>
          <w:kern w:val="2"/>
          <w:sz w:val="24"/>
          <w:szCs w:val="24"/>
          <w:lang w:val="en-US" w:eastAsia="zh-CN" w:bidi="ar-SA"/>
        </w:rPr>
        <w:t>Nm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/d天然气回收装置。2021年10月22日克拉玛依市富城天然气有限责任公司对该项目进行了自主竣工环保验收。</w:t>
      </w:r>
    </w:p>
    <w:p w14:paraId="03E4DAF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（2）工艺流程</w:t>
      </w:r>
    </w:p>
    <w:p w14:paraId="76C65B6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伴生气处理采用脱硫+增压+分子筛+丙烷外冷的脱水脱烃工艺。伴生气0.2MPa来气经分离器后进入脱硫撬脱硫，脱硫后进入压缩机增压至1.8MPa，然后进入分子筛脱水撬脱水，脱水后通过外冷脱烃撬进行脱烃，脱烃后的干气进入外输压缩机增压至20MPa，使用CNG槽车装车外运，分离出的混烃进入混烃罐储存，定期由专用罐车外运。干气作为天然气发电机的燃料气。玛2天然气处理站工艺流程见图3.6-12。</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4A2388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42" w:hRule="exact"/>
        </w:trPr>
        <w:tc>
          <w:tcPr>
            <w:tcW w:w="8522" w:type="dxa"/>
            <w:tcBorders>
              <w:tl2br w:val="nil"/>
              <w:tr2bl w:val="nil"/>
            </w:tcBorders>
            <w:vAlign w:val="center"/>
          </w:tcPr>
          <w:p w14:paraId="006008FD">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706ED3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7AFDDB69">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图3.6-12  玛2天然气处理站工艺流程示意图</w:t>
            </w:r>
          </w:p>
        </w:tc>
      </w:tr>
    </w:tbl>
    <w:p w14:paraId="5661EAC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（3）处理规模</w:t>
      </w:r>
    </w:p>
    <w:p w14:paraId="086AA93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玛2天然气处理站天然气回收处理设计规模为3×10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/d，实际处理量为1.7×10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/d，富余能力为1.3×10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w:t>
      </w:r>
    </w:p>
    <w:p w14:paraId="36F04AE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（4）天然气外输</w:t>
      </w:r>
    </w:p>
    <w:p w14:paraId="40E9560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玛2天然气外输至玛18夏子街输气管线中间阀池，建设有1.118km外输天然气管道，管径为DN100，设计压力6.3MPa。设计输气量为4×10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/d，实际处理量为1.7×10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/d，富余能力为2.3×10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w:t>
      </w:r>
    </w:p>
    <w:p w14:paraId="5796403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本工程玛2井区新增天然气处理需求约为0.09×10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/d，玛2天然气处理站可满足本工程处理及外输需求。</w:t>
      </w:r>
    </w:p>
    <w:p w14:paraId="7B004C7B">
      <w:pPr>
        <w:pStyle w:val="6"/>
        <w:bidi w:val="0"/>
        <w:rPr>
          <w:rFonts w:hint="default"/>
          <w:color w:val="auto"/>
          <w:lang w:val="en-US" w:eastAsia="zh-CN"/>
        </w:rPr>
      </w:pPr>
      <w:r>
        <w:rPr>
          <w:rFonts w:hint="eastAsia"/>
          <w:color w:val="auto"/>
          <w:lang w:val="en-US" w:eastAsia="zh-CN"/>
        </w:rPr>
        <w:t>3.6.3.3玛18天然气处理站</w:t>
      </w:r>
    </w:p>
    <w:p w14:paraId="37E60F9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（1）基本情况</w:t>
      </w:r>
    </w:p>
    <w:p w14:paraId="5318801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18天然气处理站邻近玛18转油站，由克拉玛依市富城天然气有限责任公司建设，2016年4月，河北冀都环保科技有限公司编制了《16#天然气处理撬装装置环境影响报告表》，2016年8月11日取得原塔城地区环保局批复（塔地环字</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2016</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85号），2017年12月16日克拉玛依市富城天然气有限责任公司对该项目进行了自主竣工环保验收。</w:t>
      </w:r>
    </w:p>
    <w:p w14:paraId="413127E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2018年2月，河北德源环保科技有限公司编制了《玛18天然气回收站外输管线（克拉玛依段）环境影响报告表》及《玛18天然气回收站外输管线（禾丰段）环境影响报告表》，分别于2018年3月20日取得原克拉玛依市环境保护局批复（克环保函</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2018</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47号），2018年3月22日取得原塔城地区环境保护局批复（塔地环字</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2018</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48号）。2019年1月24日克拉玛依市富城天然气有限责任公司对上述2个项目进行了自主验收。建设玛18天然气处理站至百口泉采油厂天然气处理站外输管线28km。</w:t>
      </w:r>
    </w:p>
    <w:p w14:paraId="26E030D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2018年6月，核工业二0三研究所编制了《玛18天然气处理撬装装置扩建项目环境影响报告表》，2018年8月6日，原和布克赛尔蒙古自治县环境保护局批复（和环评函字</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2018</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30号），2019年1月24日克拉玛依市富城天然气有限责任公司对该项目进行了自主竣工环保验收。</w:t>
      </w:r>
    </w:p>
    <w:p w14:paraId="4FB15D2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2020年6月，核工业二0三研究所编制了《玛18新增20×10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/d浅冷装置项目环境影响报告表》，2020年9月9日塔城地区生态环境局批复（塔地环字</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2020</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108号），2021年8月18日克拉玛依市富城天然气有限责任公司对该项目进行了自主竣工环保验收。</w:t>
      </w:r>
    </w:p>
    <w:p w14:paraId="559C79A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根据相关环评及验收报告：玛18天然气处理站天然气处理装置包括：16#装置设计规模8×10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/d；4套扩建装置（2#、3#、4#、5#）设计规模30×10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/d；2套15×10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/d天然气处理装置，合计设计规模30×10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/d；1套浅冷装置设计规模20×10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/d，则玛18天然气处理装置总处理规模为88×10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w:t>
      </w:r>
    </w:p>
    <w:p w14:paraId="1727D45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（2）工艺流程</w:t>
      </w:r>
    </w:p>
    <w:p w14:paraId="3608477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①浅冷</w:t>
      </w:r>
    </w:p>
    <w:p w14:paraId="25668B9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玛18转油站来伴生气（25～30℃，0.15～0.2MPag）经进站分离器进行气液分离，分离后的伴生气经原料气压缩机增压 4.5MPag，经出口空冷器冷却至50℃的天然气，经预冷脱水撬预冷 20℃，天然气脱除大部分饱和水后，再去分子筛脱水撬进行深度脱水。脱水后的干气去低温脱烃装置，先经绕管换热器预冷0℃，再去制冷机组冷却至-25℃，出外冷的天然气经过低温分离器进行气液分离。分离后的气相去绕管换热器复热，经外输计量撬计量后外输。</w:t>
      </w:r>
    </w:p>
    <w:p w14:paraId="2B8FB51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低温分离器分离出的混烃凝液经过节流后进入脱乙烷塔顶部进行混烃回收。回收的混烃经过换热器与脱乙烷塔塔顶气体进行换热，降温后的混烃输送至带压混烃储罐进行储存，经液烃泵进入用户罐车外运，升温后的塔顶气体与分子筛后端预留的干气汇合后，作为燃料气供第三方发电使用。工艺流程见图3.6-13。</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5763A9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78" w:hRule="exact"/>
        </w:trPr>
        <w:tc>
          <w:tcPr>
            <w:tcW w:w="8522" w:type="dxa"/>
            <w:tcBorders>
              <w:tl2br w:val="nil"/>
              <w:tr2bl w:val="nil"/>
            </w:tcBorders>
            <w:vAlign w:val="center"/>
          </w:tcPr>
          <w:p w14:paraId="1F55481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26FB0A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3F638F72">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图3.6-13  玛18天然气处理站浅冷工艺流程示意图</w:t>
            </w:r>
          </w:p>
        </w:tc>
      </w:tr>
    </w:tbl>
    <w:p w14:paraId="3E65C25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②中冷</w:t>
      </w:r>
    </w:p>
    <w:p w14:paraId="357FC47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玛18井区来的低压气（0.1-0.25MPa），经分离器分离出水后，经增压压缩机增压，依次进入中压分离器、分子筛脱水撬。</w:t>
      </w:r>
    </w:p>
    <w:p w14:paraId="26138F2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分离出的天然气进入分子筛脱水撬，进行深度脱水，天然气控制露点温度为常压下-60℃，再进入换热器进行预冷，将温度降至5℃，经节流阀节流至5.0～6.0MPa后，再经冷装置进一步降温至-35℃后，进入低温分离器进行气液分离。分离出的天然气返回到换热器升温后，送入往复压缩机增压至25MPa，再通过加气柱装车外运。</w:t>
      </w:r>
    </w:p>
    <w:p w14:paraId="56A3D14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从低温分离器分离的液态混烃经节流至2MPa后，进入脱乙烷塔进行轻烃回收。回收后的轻烃经换热器与脱乙烷塔塔顶气体进行换热，进入空冷器进一步降温，再输送至轻烃储罐进行储存，经液烃泵进入罐车外运。脱乙烷塔塔顶乙烷气体（干气）进入储罐作为燃气增压压缩机的燃料气之一。工艺流程见图3.6-14。</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5D6612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49" w:hRule="exact"/>
        </w:trPr>
        <w:tc>
          <w:tcPr>
            <w:tcW w:w="8522" w:type="dxa"/>
            <w:tcBorders>
              <w:tl2br w:val="nil"/>
              <w:tr2bl w:val="nil"/>
            </w:tcBorders>
            <w:vAlign w:val="center"/>
          </w:tcPr>
          <w:p w14:paraId="305640D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p>
        </w:tc>
      </w:tr>
      <w:tr w14:paraId="0B7737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vAlign w:val="center"/>
          </w:tcPr>
          <w:p w14:paraId="7846702E">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图3.6-13  玛18天然气处理站中冷工艺流程示意图</w:t>
            </w:r>
          </w:p>
        </w:tc>
      </w:tr>
    </w:tbl>
    <w:p w14:paraId="68F6109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（3）处理规模</w:t>
      </w:r>
    </w:p>
    <w:p w14:paraId="354831E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玛18天然气处理站已建成设计能力为88×10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/d天然气橇装回收，目前天然气处理量为80×10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/d，富余能力约8×10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w:t>
      </w:r>
    </w:p>
    <w:p w14:paraId="56C6116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（4）天然气外输</w:t>
      </w:r>
    </w:p>
    <w:p w14:paraId="46DF929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玛18天然气处理站外输气通过28km玛18天然气处理站至百口泉采油厂天然气处理站管线进入管网，最终输至夏百线或风城508线。天然气外输管线最大能力为100×10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/d，目前输量为80×10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/d，富余20×10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w:t>
      </w:r>
    </w:p>
    <w:p w14:paraId="55F7FB4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本工程玛18井区新增天然气处理需求约</w:t>
      </w:r>
      <w:r>
        <w:rPr>
          <w:rFonts w:hint="eastAsia" w:cstheme="minorBidi"/>
          <w:color w:val="auto"/>
          <w:kern w:val="2"/>
          <w:sz w:val="24"/>
          <w:szCs w:val="24"/>
          <w:lang w:val="en-US" w:eastAsia="zh-CN" w:bidi="ar-SA"/>
        </w:rPr>
        <w:t>0.713</w:t>
      </w:r>
      <w:r>
        <w:rPr>
          <w:rFonts w:hint="eastAsia" w:ascii="Times New Roman" w:hAnsi="Times New Roman" w:eastAsia="宋体" w:cstheme="minorBidi"/>
          <w:color w:val="auto"/>
          <w:kern w:val="2"/>
          <w:sz w:val="24"/>
          <w:szCs w:val="24"/>
          <w:lang w:val="en-US" w:eastAsia="zh-CN" w:bidi="ar-SA"/>
        </w:rPr>
        <w:t>×10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/d，玛18天然气处理站可满足本工程处理需求。玛18天然气至百口泉采油厂天然气处理站外输管线除输送玛18天然气处理站处理后天然气（外输天然气量为3.2×10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/d）外还需输送艾湖2天然气处理站处理后的天然气（外输天然气量为6.55×10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/d）及外输，合计天然气外输量为9.75×10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Nm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/d，28km天然气外输管道富余输气能力满足本工程天然气外输需求。</w:t>
      </w:r>
    </w:p>
    <w:p w14:paraId="6B95EF8D">
      <w:pPr>
        <w:pStyle w:val="5"/>
        <w:bidi w:val="0"/>
        <w:rPr>
          <w:rFonts w:hint="default"/>
          <w:color w:val="auto"/>
          <w:lang w:val="en-US" w:eastAsia="zh-CN"/>
        </w:rPr>
      </w:pPr>
      <w:r>
        <w:rPr>
          <w:rFonts w:hint="eastAsia"/>
          <w:color w:val="auto"/>
          <w:lang w:val="en-US" w:eastAsia="zh-CN"/>
        </w:rPr>
        <w:t>3.6.4乌尔禾区生活垃圾填埋场</w:t>
      </w:r>
    </w:p>
    <w:p w14:paraId="45B2890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施工人员不在施工现场设置施工营地，施工人员在百口泉采油厂建设有生活基地，施工期生活垃圾集中收集，最终拉运至乌尔禾区生活垃圾填埋场填埋处理。</w:t>
      </w:r>
    </w:p>
    <w:p w14:paraId="76014A8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乌尔禾区生活垃圾填埋场位于乌尔禾区西南7km，采用卫生填埋处理工艺，卫生填埋场占地面积11.31ha，填埋场设计总库容为77万</w:t>
      </w:r>
      <w:r>
        <w:rPr>
          <w:rFonts w:hint="eastAsia" w:ascii="Times New Roman" w:hAnsi="Times New Roman" w:eastAsia="宋体" w:cs="Times New Roman"/>
          <w:color w:val="auto"/>
          <w:kern w:val="2"/>
          <w:sz w:val="24"/>
          <w:szCs w:val="24"/>
          <w:lang w:val="en-US" w:eastAsia="zh-CN" w:bidi="ar-SA"/>
        </w:rPr>
        <w:t>m</w:t>
      </w:r>
      <w:r>
        <w:rPr>
          <w:rFonts w:hint="eastAsia"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服务年限为2018年至2030年。近期（2023年）生活垃圾日清运处置87t，累计处理量23.56万t；远期（2030年）生活垃圾日清运处置98t，累计处理量47.64万t。克拉玛依市乌尔禾区生活垃圾处理工程于2016年7月通过原克拉玛依市环境保护局审批，文号：克环保函评价</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2016</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376号。2017年11月完成近期和管理区主体工程建设，2019年6月通过克拉玛依市生态环境局竣工环保验收，文号为</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克环函</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2019</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115号</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w:t>
      </w:r>
    </w:p>
    <w:p w14:paraId="5B7E1F6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w:t>
      </w:r>
      <w:r>
        <w:rPr>
          <w:rFonts w:hint="eastAsia" w:ascii="Times New Roman" w:hAnsi="Times New Roman" w:eastAsia="宋体" w:cs="Times New Roman"/>
          <w:color w:val="auto"/>
          <w:kern w:val="2"/>
          <w:sz w:val="24"/>
          <w:szCs w:val="24"/>
          <w:lang w:val="en-US" w:eastAsia="zh-CN" w:bidi="ar-SA"/>
        </w:rPr>
        <w:t>工程</w:t>
      </w:r>
      <w:r>
        <w:rPr>
          <w:rFonts w:hint="default" w:ascii="Times New Roman" w:hAnsi="Times New Roman" w:eastAsia="宋体" w:cs="Times New Roman"/>
          <w:color w:val="auto"/>
          <w:kern w:val="2"/>
          <w:sz w:val="24"/>
          <w:szCs w:val="24"/>
          <w:lang w:val="en-US" w:eastAsia="zh-CN" w:bidi="ar-SA"/>
        </w:rPr>
        <w:t>施工期生活垃圾量</w:t>
      </w:r>
      <w:r>
        <w:rPr>
          <w:rFonts w:hint="eastAsia" w:cs="Times New Roman"/>
          <w:color w:val="auto"/>
          <w:kern w:val="2"/>
          <w:sz w:val="24"/>
          <w:szCs w:val="24"/>
          <w:lang w:val="en-US" w:eastAsia="zh-CN" w:bidi="ar-SA"/>
        </w:rPr>
        <w:t>0.9</w:t>
      </w:r>
      <w:r>
        <w:rPr>
          <w:rFonts w:hint="default" w:ascii="Times New Roman" w:hAnsi="Times New Roman" w:eastAsia="宋体" w:cs="Times New Roman"/>
          <w:color w:val="auto"/>
          <w:kern w:val="2"/>
          <w:sz w:val="24"/>
          <w:szCs w:val="24"/>
          <w:lang w:val="en-US" w:eastAsia="zh-CN" w:bidi="ar-SA"/>
        </w:rPr>
        <w:t>t，克拉玛依市乌尔禾区生活垃圾填埋场现正常运行，可以满足本工程生活垃圾处理的需求。</w:t>
      </w:r>
    </w:p>
    <w:p w14:paraId="54D14ECF">
      <w:pPr>
        <w:pStyle w:val="5"/>
        <w:bidi w:val="0"/>
        <w:rPr>
          <w:rFonts w:hint="default"/>
          <w:color w:val="auto"/>
          <w:lang w:val="en-US" w:eastAsia="zh-CN"/>
        </w:rPr>
      </w:pPr>
      <w:r>
        <w:rPr>
          <w:rFonts w:hint="eastAsia"/>
          <w:color w:val="auto"/>
          <w:lang w:val="en-US" w:eastAsia="zh-CN"/>
        </w:rPr>
        <w:t>3.6.5乌尔禾区生活污水处理厂</w:t>
      </w:r>
    </w:p>
    <w:p w14:paraId="4332E49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施工人员不在施工现场设置施工营地，施工人员在百口泉采油厂建设</w:t>
      </w:r>
      <w:r>
        <w:rPr>
          <w:rFonts w:hint="eastAsia" w:cstheme="minorBidi"/>
          <w:color w:val="auto"/>
          <w:kern w:val="2"/>
          <w:sz w:val="24"/>
          <w:szCs w:val="24"/>
          <w:lang w:val="en-US" w:eastAsia="zh-CN" w:bidi="ar-SA"/>
        </w:rPr>
        <w:t>的</w:t>
      </w:r>
      <w:r>
        <w:rPr>
          <w:rFonts w:hint="eastAsia" w:ascii="Times New Roman" w:hAnsi="Times New Roman" w:eastAsia="宋体" w:cstheme="minorBidi"/>
          <w:color w:val="auto"/>
          <w:kern w:val="2"/>
          <w:sz w:val="24"/>
          <w:szCs w:val="24"/>
          <w:lang w:val="en-US" w:eastAsia="zh-CN" w:bidi="ar-SA"/>
        </w:rPr>
        <w:t>生活基地，生活污水依托生活基地内既有设施，最终由乌尔禾区生活污水处理厂处理。</w:t>
      </w:r>
    </w:p>
    <w:p w14:paraId="7818BE8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乌尔禾区生活污水处理厂位于乌尔禾区西南方向10km处，2010年11月10日取得原新疆维吾尔自治区环境保护厅批复（新环评审函</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2010</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116号），2014年建成投运，规划污水处理能力近期0.6万立方米/日，远期1.2万立方米/日，处理后水质达国家一级B标准。2014年10月29日通过原克拉玛依市环保局竣工环保验收（克环保函</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2014</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437号）。2018年实施了污水处理厂提标改造工程，2018年3月24日通过原克拉玛依市乌尔禾区环境保护局审批（克乌环函</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2018</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17号）。2019年，该厂提标改造项目调试运行稳定，2019年6月完成自主竣工环境保护验收。乌尔禾</w:t>
      </w:r>
      <w:r>
        <w:rPr>
          <w:rFonts w:hint="eastAsia" w:cstheme="minorBidi"/>
          <w:color w:val="auto"/>
          <w:kern w:val="2"/>
          <w:sz w:val="24"/>
          <w:szCs w:val="24"/>
          <w:lang w:val="en-US" w:eastAsia="zh-CN" w:bidi="ar-SA"/>
        </w:rPr>
        <w:t>污水处理厂</w:t>
      </w:r>
      <w:r>
        <w:rPr>
          <w:rFonts w:hint="eastAsia" w:ascii="Times New Roman" w:hAnsi="Times New Roman" w:eastAsia="宋体" w:cstheme="minorBidi"/>
          <w:color w:val="auto"/>
          <w:kern w:val="2"/>
          <w:sz w:val="24"/>
          <w:szCs w:val="24"/>
          <w:lang w:val="en-US" w:eastAsia="zh-CN" w:bidi="ar-SA"/>
        </w:rPr>
        <w:t>占地25600m</w:t>
      </w:r>
      <w:r>
        <w:rPr>
          <w:rFonts w:hint="eastAsia" w:ascii="Times New Roman" w:hAnsi="Times New Roman" w:eastAsia="宋体" w:cstheme="minorBidi"/>
          <w:color w:val="auto"/>
          <w:kern w:val="2"/>
          <w:sz w:val="24"/>
          <w:szCs w:val="24"/>
          <w:vertAlign w:val="superscript"/>
          <w:lang w:val="en-US" w:eastAsia="zh-CN" w:bidi="ar-SA"/>
        </w:rPr>
        <w:t>2</w:t>
      </w:r>
      <w:r>
        <w:rPr>
          <w:rFonts w:hint="eastAsia" w:ascii="Times New Roman" w:hAnsi="Times New Roman" w:eastAsia="宋体" w:cstheme="minorBidi"/>
          <w:color w:val="auto"/>
          <w:kern w:val="2"/>
          <w:sz w:val="24"/>
          <w:szCs w:val="24"/>
          <w:lang w:val="en-US" w:eastAsia="zh-CN" w:bidi="ar-SA"/>
        </w:rPr>
        <w:t>，由粗格栅间及提升泵房、细格栅及旋流沉砂池、CASS生化池、污泥脱水间、出水消毒间、办公楼、机修间等组成，设计处理规模为6000m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/d，预留远期6000m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/d扩建位置，处理工艺为粗、细格栅+调节池+提升泵房+沉砂池+CASS+紫外线消毒+出水，出水满足《城镇污水处理厂污染物排放标准》（GB18918-2002）中的一级A标准后用于下游荒漠绿化。目前实际处理量为4000m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/d，富余处理量为2000m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w:t>
      </w:r>
    </w:p>
    <w:p w14:paraId="4C72545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本工程施工期产生的生活污水最大量为</w:t>
      </w:r>
      <w:r>
        <w:rPr>
          <w:rFonts w:hint="eastAsia" w:cstheme="minorBidi"/>
          <w:color w:val="auto"/>
          <w:kern w:val="2"/>
          <w:sz w:val="24"/>
          <w:szCs w:val="24"/>
          <w:lang w:val="en-US" w:eastAsia="zh-CN" w:bidi="ar-SA"/>
        </w:rPr>
        <w:t>0.8</w:t>
      </w:r>
      <w:r>
        <w:rPr>
          <w:rFonts w:hint="eastAsia" w:ascii="Times New Roman" w:hAnsi="Times New Roman" w:eastAsia="宋体" w:cstheme="minorBidi"/>
          <w:color w:val="auto"/>
          <w:kern w:val="2"/>
          <w:sz w:val="24"/>
          <w:szCs w:val="24"/>
          <w:lang w:val="en-US" w:eastAsia="zh-CN" w:bidi="ar-SA"/>
        </w:rPr>
        <w:t>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/d，生活污水处理负荷占比较小，污水处理厂的处理余量能够满足本工程处理需求。</w:t>
      </w:r>
    </w:p>
    <w:p w14:paraId="77E6D289">
      <w:pPr>
        <w:pStyle w:val="5"/>
        <w:bidi w:val="0"/>
        <w:rPr>
          <w:rFonts w:hint="default"/>
          <w:color w:val="auto"/>
          <w:lang w:val="en-US" w:eastAsia="zh-CN"/>
        </w:rPr>
      </w:pPr>
      <w:r>
        <w:rPr>
          <w:rFonts w:hint="eastAsia"/>
          <w:color w:val="auto"/>
          <w:lang w:val="en-US" w:eastAsia="zh-CN"/>
        </w:rPr>
        <w:t>3.6.6危险废物贮存</w:t>
      </w:r>
    </w:p>
    <w:p w14:paraId="0481E2D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本工程含油污泥、落地油由专用运输车辆拉运至百联站含油污泥临时存放点暂存。百联站含油污泥临时存放点于2014年取得环评批复，文号：克乌环表</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2014</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03号，2016年通过竣工环保验收，文号为：克乌环验</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2016</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05号。该存放点尺寸为25m</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14m，含油污泥在存放点暂存后由克拉玛依顺通环保科技有限责任公司拉运、处置，每月拉运两次。设备维修、井下作业等过程中产生的</w:t>
      </w:r>
      <w:r>
        <w:rPr>
          <w:rFonts w:hint="eastAsia" w:cstheme="minorBidi"/>
          <w:color w:val="auto"/>
          <w:kern w:val="2"/>
          <w:sz w:val="24"/>
          <w:szCs w:val="24"/>
          <w:lang w:val="en-US" w:eastAsia="zh-CN" w:bidi="ar-SA"/>
        </w:rPr>
        <w:t>沾油废物</w:t>
      </w:r>
      <w:r>
        <w:rPr>
          <w:rFonts w:hint="eastAsia" w:ascii="Times New Roman" w:hAnsi="Times New Roman" w:eastAsia="宋体" w:cstheme="minorBidi"/>
          <w:color w:val="auto"/>
          <w:kern w:val="2"/>
          <w:sz w:val="24"/>
          <w:szCs w:val="24"/>
          <w:lang w:val="en-US" w:eastAsia="zh-CN" w:bidi="ar-SA"/>
        </w:rPr>
        <w:t>采用专用罐车拉运至百联站西侧危险废物</w:t>
      </w:r>
      <w:r>
        <w:rPr>
          <w:rFonts w:hint="eastAsia" w:cstheme="minorBidi"/>
          <w:color w:val="auto"/>
          <w:kern w:val="2"/>
          <w:sz w:val="24"/>
          <w:szCs w:val="24"/>
          <w:lang w:val="en-US" w:eastAsia="zh-CN" w:bidi="ar-SA"/>
        </w:rPr>
        <w:t>储存场</w:t>
      </w:r>
      <w:r>
        <w:rPr>
          <w:rFonts w:hint="eastAsia" w:ascii="Times New Roman" w:hAnsi="Times New Roman" w:eastAsia="宋体" w:cstheme="minorBidi"/>
          <w:color w:val="auto"/>
          <w:kern w:val="2"/>
          <w:sz w:val="24"/>
          <w:szCs w:val="24"/>
          <w:lang w:val="en-US" w:eastAsia="zh-CN" w:bidi="ar-SA"/>
        </w:rPr>
        <w:t>贮存，最终由克拉玛依顺通环保科技有限责任公司拉运、处置。</w:t>
      </w:r>
    </w:p>
    <w:p w14:paraId="2E6FD934">
      <w:pPr>
        <w:pStyle w:val="5"/>
        <w:bidi w:val="0"/>
        <w:rPr>
          <w:rFonts w:hint="default"/>
          <w:color w:val="auto"/>
          <w:lang w:val="en-US" w:eastAsia="zh-CN"/>
        </w:rPr>
      </w:pPr>
      <w:r>
        <w:rPr>
          <w:rFonts w:hint="eastAsia"/>
          <w:color w:val="auto"/>
          <w:lang w:val="en-US" w:eastAsia="zh-CN"/>
        </w:rPr>
        <w:t>3.6.7克拉玛依顺通环保科技有限责任公司</w:t>
      </w:r>
    </w:p>
    <w:p w14:paraId="254C376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产生的危险废物定期交由克拉玛依顺通环保科技有限责任公司进行处理。克拉玛依顺通环保科技有限责任公司成立于2016年，位于克拉玛依市乌尔禾区风城油田32井西以西，危废经营许可证编号6502040039，有效期限2023年4月17日至2028年4月16日。废物处理类别包括：HW08废矿物油与含矿物油废物；HW49其他废物（限定含有或沾染毒性、感染性危险废物的废弃包装物）。处置规模为188万吨/年（其中HW08类181万吨/年：水洗萃取装置52万吨/年、热解装置105万吨/年、含油废液装置24万吨/年；HW49类7万吨/年）。</w:t>
      </w:r>
    </w:p>
    <w:p w14:paraId="01E3BF0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本工程运营期产生的危险废物为</w:t>
      </w:r>
      <w:r>
        <w:rPr>
          <w:rFonts w:hint="eastAsia" w:cstheme="minorBidi"/>
          <w:color w:val="auto"/>
          <w:kern w:val="2"/>
          <w:sz w:val="24"/>
          <w:szCs w:val="24"/>
          <w:lang w:val="en-US" w:eastAsia="zh-CN" w:bidi="ar-SA"/>
        </w:rPr>
        <w:t>含油污泥</w:t>
      </w:r>
      <w:r>
        <w:rPr>
          <w:rFonts w:hint="eastAsia" w:ascii="Times New Roman" w:hAnsi="Times New Roman" w:eastAsia="宋体" w:cstheme="minorBidi"/>
          <w:color w:val="auto"/>
          <w:kern w:val="2"/>
          <w:sz w:val="24"/>
          <w:szCs w:val="24"/>
          <w:lang w:val="en-US" w:eastAsia="zh-CN" w:bidi="ar-SA"/>
        </w:rPr>
        <w:t>、</w:t>
      </w:r>
      <w:r>
        <w:rPr>
          <w:rFonts w:hint="eastAsia" w:cstheme="minorBidi"/>
          <w:color w:val="auto"/>
          <w:kern w:val="2"/>
          <w:sz w:val="24"/>
          <w:szCs w:val="24"/>
          <w:lang w:val="en-US" w:eastAsia="zh-CN" w:bidi="ar-SA"/>
        </w:rPr>
        <w:t>沾油废物、事故状态下落地油等</w:t>
      </w:r>
      <w:r>
        <w:rPr>
          <w:rFonts w:hint="eastAsia" w:ascii="Times New Roman" w:hAnsi="Times New Roman" w:eastAsia="宋体" w:cstheme="minorBidi"/>
          <w:color w:val="auto"/>
          <w:kern w:val="2"/>
          <w:sz w:val="24"/>
          <w:szCs w:val="24"/>
          <w:lang w:val="en-US" w:eastAsia="zh-CN" w:bidi="ar-SA"/>
        </w:rPr>
        <w:t>，产生量为</w:t>
      </w:r>
      <w:r>
        <w:rPr>
          <w:rFonts w:hint="eastAsia" w:cstheme="minorBidi"/>
          <w:color w:val="auto"/>
          <w:kern w:val="2"/>
          <w:sz w:val="24"/>
          <w:szCs w:val="24"/>
          <w:lang w:val="en-US" w:eastAsia="zh-CN" w:bidi="ar-SA"/>
        </w:rPr>
        <w:t>701.97</w:t>
      </w:r>
      <w:r>
        <w:rPr>
          <w:rFonts w:hint="eastAsia" w:ascii="Times New Roman" w:hAnsi="Times New Roman" w:eastAsia="宋体" w:cstheme="minorBidi"/>
          <w:color w:val="auto"/>
          <w:kern w:val="2"/>
          <w:sz w:val="24"/>
          <w:szCs w:val="24"/>
          <w:lang w:val="en-US" w:eastAsia="zh-CN" w:bidi="ar-SA"/>
        </w:rPr>
        <w:t>t/a，根据了解，中国石油新疆油田分公司百口泉采油厂已与克拉玛依顺通环保科技有限责任公司签订危废处置协议，可满足本工程处置需求。</w:t>
      </w:r>
    </w:p>
    <w:p w14:paraId="76D66526">
      <w:pPr>
        <w:pStyle w:val="2"/>
        <w:bidi w:val="0"/>
        <w:rPr>
          <w:rFonts w:hint="default"/>
          <w:color w:val="auto"/>
          <w:lang w:val="en-US" w:eastAsia="zh-CN"/>
        </w:rPr>
      </w:pPr>
      <w:bookmarkStart w:id="163" w:name="_Toc23965"/>
      <w:r>
        <w:rPr>
          <w:rFonts w:hint="eastAsia"/>
          <w:color w:val="auto"/>
          <w:lang w:val="en-US" w:eastAsia="zh-CN"/>
        </w:rPr>
        <w:t>3.7工程占地及土石方平衡</w:t>
      </w:r>
      <w:bookmarkEnd w:id="163"/>
    </w:p>
    <w:p w14:paraId="51DAEDA4">
      <w:pPr>
        <w:pStyle w:val="5"/>
        <w:bidi w:val="0"/>
        <w:rPr>
          <w:rFonts w:hint="default"/>
          <w:color w:val="auto"/>
          <w:lang w:val="en-US" w:eastAsia="zh-CN"/>
        </w:rPr>
      </w:pPr>
      <w:r>
        <w:rPr>
          <w:rFonts w:hint="eastAsia"/>
          <w:color w:val="auto"/>
          <w:lang w:val="en-US" w:eastAsia="zh-CN"/>
        </w:rPr>
        <w:t>3.7.1工程占地面积</w:t>
      </w:r>
    </w:p>
    <w:p w14:paraId="692101C4">
      <w:pPr>
        <w:pStyle w:val="33"/>
        <w:bidi w:val="0"/>
        <w:rPr>
          <w:rFonts w:hint="default"/>
          <w:color w:val="auto"/>
          <w:lang w:val="en-US" w:eastAsia="zh-CN"/>
        </w:rPr>
      </w:pPr>
      <w:r>
        <w:rPr>
          <w:rFonts w:hint="default"/>
          <w:color w:val="auto"/>
          <w:lang w:val="en-US" w:eastAsia="zh-CN"/>
        </w:rPr>
        <w:t>本工程占地面积为</w:t>
      </w:r>
      <w:r>
        <w:rPr>
          <w:rFonts w:hint="eastAsia"/>
          <w:color w:val="auto"/>
          <w:lang w:val="en-US" w:eastAsia="zh-CN"/>
        </w:rPr>
        <w:t>13.7972</w:t>
      </w:r>
      <w:r>
        <w:rPr>
          <w:rFonts w:hint="default"/>
          <w:color w:val="auto"/>
          <w:lang w:val="en-US" w:eastAsia="zh-CN"/>
        </w:rPr>
        <w:t>hm</w:t>
      </w:r>
      <w:r>
        <w:rPr>
          <w:rFonts w:hint="default"/>
          <w:color w:val="auto"/>
          <w:vertAlign w:val="superscript"/>
          <w:lang w:val="en-US" w:eastAsia="zh-CN"/>
        </w:rPr>
        <w:t>2</w:t>
      </w:r>
      <w:r>
        <w:rPr>
          <w:rFonts w:hint="default"/>
          <w:color w:val="auto"/>
          <w:lang w:val="en-US" w:eastAsia="zh-CN"/>
        </w:rPr>
        <w:t>。工程占地包括临时占地和永久占地。</w:t>
      </w:r>
    </w:p>
    <w:p w14:paraId="59EC2641">
      <w:pPr>
        <w:pStyle w:val="33"/>
        <w:bidi w:val="0"/>
        <w:rPr>
          <w:rFonts w:hint="default"/>
          <w:color w:val="auto"/>
          <w:lang w:val="en-US" w:eastAsia="zh-CN"/>
        </w:rPr>
      </w:pPr>
      <w:r>
        <w:rPr>
          <w:rFonts w:hint="default"/>
          <w:color w:val="auto"/>
          <w:lang w:val="en-US" w:eastAsia="zh-CN"/>
        </w:rPr>
        <w:t>永久占地包括</w:t>
      </w:r>
      <w:r>
        <w:rPr>
          <w:rFonts w:hint="eastAsia"/>
          <w:color w:val="auto"/>
          <w:lang w:val="en-US" w:eastAsia="zh-CN"/>
        </w:rPr>
        <w:t>阀池</w:t>
      </w:r>
      <w:r>
        <w:rPr>
          <w:rFonts w:hint="default"/>
          <w:color w:val="auto"/>
          <w:lang w:val="en-US" w:eastAsia="zh-CN"/>
        </w:rPr>
        <w:t>永久征地，永久征地面积为</w:t>
      </w:r>
      <w:r>
        <w:rPr>
          <w:rFonts w:hint="eastAsia"/>
          <w:color w:val="auto"/>
          <w:lang w:val="en-US" w:eastAsia="zh-CN"/>
        </w:rPr>
        <w:t>0.0012</w:t>
      </w:r>
      <w:r>
        <w:rPr>
          <w:rFonts w:hint="default"/>
          <w:color w:val="auto"/>
          <w:lang w:val="en-US" w:eastAsia="zh-CN"/>
        </w:rPr>
        <w:t>hm</w:t>
      </w:r>
      <w:r>
        <w:rPr>
          <w:rFonts w:hint="default"/>
          <w:color w:val="auto"/>
          <w:vertAlign w:val="superscript"/>
          <w:lang w:val="en-US" w:eastAsia="zh-CN"/>
        </w:rPr>
        <w:t>2</w:t>
      </w:r>
      <w:r>
        <w:rPr>
          <w:rFonts w:hint="default"/>
          <w:color w:val="auto"/>
          <w:lang w:val="en-US" w:eastAsia="zh-CN"/>
        </w:rPr>
        <w:t>。临时占地包括管线施工所临时占地，占地面积约</w:t>
      </w:r>
      <w:r>
        <w:rPr>
          <w:rFonts w:hint="eastAsia"/>
          <w:color w:val="auto"/>
          <w:lang w:val="en-US" w:eastAsia="zh-CN"/>
        </w:rPr>
        <w:t>13.796</w:t>
      </w:r>
      <w:r>
        <w:rPr>
          <w:rFonts w:hint="default"/>
          <w:color w:val="auto"/>
          <w:lang w:val="en-US" w:eastAsia="zh-CN"/>
        </w:rPr>
        <w:t>hm</w:t>
      </w:r>
      <w:r>
        <w:rPr>
          <w:rFonts w:hint="default"/>
          <w:color w:val="auto"/>
          <w:vertAlign w:val="superscript"/>
          <w:lang w:val="en-US" w:eastAsia="zh-CN"/>
        </w:rPr>
        <w:t>2</w:t>
      </w:r>
      <w:r>
        <w:rPr>
          <w:rFonts w:hint="default"/>
          <w:color w:val="auto"/>
          <w:lang w:val="en-US" w:eastAsia="zh-CN"/>
        </w:rPr>
        <w:t>。项目占地类型为</w:t>
      </w:r>
      <w:r>
        <w:rPr>
          <w:rFonts w:hint="eastAsia"/>
          <w:color w:val="auto"/>
          <w:lang w:val="en-US" w:eastAsia="zh-CN"/>
        </w:rPr>
        <w:t>天然牧</w:t>
      </w:r>
      <w:r>
        <w:rPr>
          <w:rFonts w:hint="default"/>
          <w:color w:val="auto"/>
          <w:lang w:val="en-US" w:eastAsia="zh-CN"/>
        </w:rPr>
        <w:t>草地、</w:t>
      </w:r>
      <w:r>
        <w:rPr>
          <w:rFonts w:hint="eastAsia"/>
          <w:color w:val="auto"/>
          <w:lang w:val="en-US" w:eastAsia="zh-CN"/>
        </w:rPr>
        <w:t>灌木</w:t>
      </w:r>
      <w:r>
        <w:rPr>
          <w:rFonts w:hint="default"/>
          <w:color w:val="auto"/>
          <w:lang w:val="en-US" w:eastAsia="zh-CN"/>
        </w:rPr>
        <w:t>林地、</w:t>
      </w:r>
      <w:r>
        <w:rPr>
          <w:rFonts w:hint="eastAsia"/>
          <w:color w:val="auto"/>
          <w:lang w:val="en-US" w:eastAsia="zh-CN"/>
        </w:rPr>
        <w:t>采矿用地、裸土地等</w:t>
      </w:r>
      <w:r>
        <w:rPr>
          <w:rFonts w:hint="default"/>
          <w:color w:val="auto"/>
          <w:lang w:val="en-US" w:eastAsia="zh-CN"/>
        </w:rPr>
        <w:t>，</w:t>
      </w:r>
      <w:r>
        <w:rPr>
          <w:rFonts w:hint="eastAsia"/>
          <w:color w:val="auto"/>
          <w:lang w:val="en-US" w:eastAsia="zh-CN"/>
        </w:rPr>
        <w:t>永久占地</w:t>
      </w:r>
      <w:r>
        <w:rPr>
          <w:rFonts w:hint="default"/>
          <w:color w:val="auto"/>
          <w:lang w:val="en-US" w:eastAsia="zh-CN"/>
        </w:rPr>
        <w:t>不占用基本农田。</w:t>
      </w:r>
    </w:p>
    <w:p w14:paraId="02130880">
      <w:pPr>
        <w:pStyle w:val="33"/>
        <w:bidi w:val="0"/>
        <w:rPr>
          <w:rFonts w:hint="default"/>
          <w:color w:val="auto"/>
          <w:lang w:val="en-US" w:eastAsia="zh-CN"/>
        </w:rPr>
      </w:pPr>
      <w:r>
        <w:rPr>
          <w:rFonts w:hint="default"/>
          <w:color w:val="auto"/>
          <w:lang w:val="en-US" w:eastAsia="zh-CN"/>
        </w:rPr>
        <w:t>（1）井场占地</w:t>
      </w:r>
    </w:p>
    <w:p w14:paraId="00596E51">
      <w:pPr>
        <w:pStyle w:val="33"/>
        <w:bidi w:val="0"/>
        <w:rPr>
          <w:rFonts w:hint="default"/>
          <w:color w:val="auto"/>
          <w:lang w:val="en-US" w:eastAsia="zh-CN"/>
        </w:rPr>
      </w:pPr>
      <w:r>
        <w:rPr>
          <w:rFonts w:hint="default"/>
          <w:color w:val="auto"/>
          <w:lang w:val="en-US" w:eastAsia="zh-CN"/>
        </w:rPr>
        <w:t>本次</w:t>
      </w:r>
      <w:r>
        <w:rPr>
          <w:rFonts w:hint="eastAsia"/>
          <w:color w:val="auto"/>
          <w:lang w:val="en-US" w:eastAsia="zh-CN"/>
        </w:rPr>
        <w:t>转产能井</w:t>
      </w:r>
      <w:r>
        <w:rPr>
          <w:rFonts w:hint="default"/>
          <w:color w:val="auto"/>
          <w:lang w:val="en-US" w:eastAsia="zh-CN"/>
        </w:rPr>
        <w:t>井场</w:t>
      </w:r>
      <w:r>
        <w:rPr>
          <w:rFonts w:hint="eastAsia"/>
          <w:color w:val="auto"/>
          <w:lang w:val="en-US" w:eastAsia="zh-CN"/>
        </w:rPr>
        <w:t>区域已平整，地表植被已被清除、压实，表层土壤原有的结构和质地已发生改变，且钻井期间已按照征地手续办理征地，井场设备安装在占地范围内，故本次不核算井场占地</w:t>
      </w:r>
      <w:r>
        <w:rPr>
          <w:rFonts w:hint="default"/>
          <w:color w:val="auto"/>
          <w:lang w:val="en-US" w:eastAsia="zh-CN"/>
        </w:rPr>
        <w:t>。</w:t>
      </w:r>
    </w:p>
    <w:p w14:paraId="3BC01554">
      <w:pPr>
        <w:pStyle w:val="33"/>
        <w:bidi w:val="0"/>
        <w:rPr>
          <w:rFonts w:hint="default"/>
          <w:color w:val="auto"/>
          <w:lang w:val="en-US" w:eastAsia="zh-CN"/>
        </w:rPr>
      </w:pPr>
      <w:r>
        <w:rPr>
          <w:rFonts w:hint="default"/>
          <w:color w:val="auto"/>
          <w:lang w:val="en-US" w:eastAsia="zh-CN"/>
        </w:rPr>
        <w:t>（2）</w:t>
      </w:r>
      <w:r>
        <w:rPr>
          <w:rFonts w:hint="eastAsia"/>
          <w:color w:val="auto"/>
          <w:lang w:val="en-US" w:eastAsia="zh-CN"/>
        </w:rPr>
        <w:t>阀池</w:t>
      </w:r>
      <w:r>
        <w:rPr>
          <w:rFonts w:hint="default"/>
          <w:color w:val="auto"/>
          <w:lang w:val="en-US" w:eastAsia="zh-CN"/>
        </w:rPr>
        <w:t>占地</w:t>
      </w:r>
    </w:p>
    <w:p w14:paraId="670BE0CE">
      <w:pPr>
        <w:pStyle w:val="33"/>
        <w:bidi w:val="0"/>
        <w:rPr>
          <w:rFonts w:hint="default"/>
          <w:color w:val="auto"/>
          <w:lang w:val="en-US" w:eastAsia="zh-CN"/>
        </w:rPr>
      </w:pPr>
      <w:r>
        <w:rPr>
          <w:rFonts w:hint="default"/>
          <w:color w:val="auto"/>
          <w:lang w:val="en-US" w:eastAsia="zh-CN"/>
        </w:rPr>
        <w:t>根据建设单位提供资料，</w:t>
      </w:r>
      <w:r>
        <w:rPr>
          <w:rFonts w:hint="eastAsia"/>
          <w:color w:val="auto"/>
          <w:lang w:val="en-US" w:eastAsia="zh-CN"/>
        </w:rPr>
        <w:t>百79井集油管线沿线新建阀池3座，新增永久占地为0.0004</w:t>
      </w:r>
      <w:r>
        <w:rPr>
          <w:rFonts w:hint="default"/>
          <w:color w:val="auto"/>
          <w:lang w:val="en-US" w:eastAsia="zh-CN"/>
        </w:rPr>
        <w:t>hm</w:t>
      </w:r>
      <w:r>
        <w:rPr>
          <w:rFonts w:hint="default"/>
          <w:color w:val="auto"/>
          <w:vertAlign w:val="superscript"/>
          <w:lang w:val="en-US" w:eastAsia="zh-CN"/>
        </w:rPr>
        <w:t>2</w:t>
      </w:r>
      <w:r>
        <w:rPr>
          <w:rFonts w:hint="eastAsia"/>
          <w:color w:val="auto"/>
          <w:lang w:val="en-US" w:eastAsia="zh-CN"/>
        </w:rPr>
        <w:t>/座，合计永久占地面积为0.0012</w:t>
      </w:r>
      <w:r>
        <w:rPr>
          <w:rFonts w:hint="default"/>
          <w:color w:val="auto"/>
          <w:lang w:val="en-US" w:eastAsia="zh-CN"/>
        </w:rPr>
        <w:t>hm</w:t>
      </w:r>
      <w:r>
        <w:rPr>
          <w:rFonts w:hint="default"/>
          <w:color w:val="auto"/>
          <w:vertAlign w:val="superscript"/>
          <w:lang w:val="en-US" w:eastAsia="zh-CN"/>
        </w:rPr>
        <w:t>2</w:t>
      </w:r>
      <w:r>
        <w:rPr>
          <w:rFonts w:hint="eastAsia"/>
          <w:color w:val="auto"/>
          <w:lang w:val="en-US" w:eastAsia="zh-CN"/>
        </w:rPr>
        <w:t>。</w:t>
      </w:r>
    </w:p>
    <w:p w14:paraId="635AB91E">
      <w:pPr>
        <w:pStyle w:val="33"/>
        <w:bidi w:val="0"/>
        <w:rPr>
          <w:rFonts w:hint="default"/>
          <w:color w:val="auto"/>
          <w:lang w:val="en-US" w:eastAsia="zh-CN"/>
        </w:rPr>
      </w:pPr>
      <w:r>
        <w:rPr>
          <w:rFonts w:hint="default"/>
          <w:color w:val="auto"/>
          <w:lang w:val="en-US" w:eastAsia="zh-CN"/>
        </w:rPr>
        <w:t>（3）管线占地</w:t>
      </w:r>
    </w:p>
    <w:p w14:paraId="4FD02AAB">
      <w:pPr>
        <w:pStyle w:val="33"/>
        <w:bidi w:val="0"/>
        <w:rPr>
          <w:rFonts w:hint="default"/>
          <w:color w:val="auto"/>
          <w:lang w:val="en-US" w:eastAsia="zh-CN"/>
        </w:rPr>
      </w:pPr>
      <w:r>
        <w:rPr>
          <w:rFonts w:hint="default"/>
          <w:color w:val="auto"/>
          <w:lang w:val="en-US" w:eastAsia="zh-CN"/>
        </w:rPr>
        <w:t>本</w:t>
      </w:r>
      <w:r>
        <w:rPr>
          <w:rFonts w:hint="eastAsia"/>
          <w:color w:val="auto"/>
          <w:lang w:val="en-US" w:eastAsia="zh-CN"/>
        </w:rPr>
        <w:t>工程</w:t>
      </w:r>
      <w:r>
        <w:rPr>
          <w:rFonts w:hint="default"/>
          <w:color w:val="auto"/>
          <w:lang w:val="en-US" w:eastAsia="zh-CN"/>
        </w:rPr>
        <w:t>拟建管线</w:t>
      </w:r>
      <w:r>
        <w:rPr>
          <w:rFonts w:hint="eastAsia"/>
          <w:color w:val="auto"/>
          <w:lang w:val="en-US" w:eastAsia="zh-CN"/>
        </w:rPr>
        <w:t>18</w:t>
      </w:r>
      <w:r>
        <w:rPr>
          <w:rFonts w:hint="default"/>
          <w:color w:val="auto"/>
          <w:lang w:val="en-US" w:eastAsia="zh-CN"/>
        </w:rPr>
        <w:t>条</w:t>
      </w:r>
      <w:r>
        <w:rPr>
          <w:rFonts w:hint="eastAsia"/>
          <w:color w:val="auto"/>
          <w:lang w:val="en-US" w:eastAsia="zh-CN"/>
        </w:rPr>
        <w:t>20.71</w:t>
      </w:r>
      <w:r>
        <w:rPr>
          <w:rFonts w:hint="default"/>
          <w:color w:val="auto"/>
          <w:lang w:val="en-US" w:eastAsia="zh-CN"/>
        </w:rPr>
        <w:t>km</w:t>
      </w:r>
      <w:r>
        <w:rPr>
          <w:rFonts w:hint="eastAsia"/>
          <w:color w:val="auto"/>
          <w:lang w:val="en-US" w:eastAsia="zh-CN"/>
        </w:rPr>
        <w:t>。</w:t>
      </w:r>
      <w:r>
        <w:rPr>
          <w:rFonts w:hint="default"/>
          <w:color w:val="auto"/>
          <w:lang w:val="en-US" w:eastAsia="zh-CN"/>
        </w:rPr>
        <w:t>管线工程主要为临时占地，本</w:t>
      </w:r>
      <w:r>
        <w:rPr>
          <w:rFonts w:hint="eastAsia"/>
          <w:color w:val="auto"/>
          <w:lang w:val="en-US" w:eastAsia="zh-CN"/>
        </w:rPr>
        <w:t>工程</w:t>
      </w:r>
      <w:r>
        <w:rPr>
          <w:rFonts w:hint="default"/>
          <w:color w:val="auto"/>
          <w:lang w:val="en-US" w:eastAsia="zh-CN"/>
        </w:rPr>
        <w:t>管线施工作业带</w:t>
      </w:r>
      <w:r>
        <w:rPr>
          <w:rFonts w:hint="eastAsia"/>
          <w:color w:val="auto"/>
          <w:lang w:val="en-US" w:eastAsia="zh-CN"/>
        </w:rPr>
        <w:t>分别按照征地</w:t>
      </w:r>
      <w:r>
        <w:rPr>
          <w:rFonts w:hint="default"/>
          <w:color w:val="auto"/>
          <w:lang w:val="en-US" w:eastAsia="zh-CN"/>
        </w:rPr>
        <w:t>以</w:t>
      </w:r>
      <w:r>
        <w:rPr>
          <w:rFonts w:hint="eastAsia"/>
          <w:color w:val="auto"/>
          <w:lang w:val="en-US" w:eastAsia="zh-CN"/>
        </w:rPr>
        <w:t>4.5</w:t>
      </w:r>
      <w:r>
        <w:rPr>
          <w:rFonts w:hint="default"/>
          <w:color w:val="auto"/>
          <w:lang w:val="en-US" w:eastAsia="zh-CN"/>
        </w:rPr>
        <w:t>m</w:t>
      </w:r>
      <w:r>
        <w:rPr>
          <w:rFonts w:hint="eastAsia"/>
          <w:color w:val="auto"/>
          <w:lang w:val="en-US" w:eastAsia="zh-CN"/>
        </w:rPr>
        <w:t>和8m</w:t>
      </w:r>
      <w:r>
        <w:rPr>
          <w:rFonts w:hint="default"/>
          <w:color w:val="auto"/>
          <w:lang w:val="en-US" w:eastAsia="zh-CN"/>
        </w:rPr>
        <w:t>计，经计算，</w:t>
      </w:r>
      <w:r>
        <w:rPr>
          <w:rFonts w:hint="eastAsia"/>
          <w:color w:val="auto"/>
          <w:lang w:val="en-US" w:eastAsia="zh-CN"/>
        </w:rPr>
        <w:t>本工程</w:t>
      </w:r>
      <w:r>
        <w:rPr>
          <w:rFonts w:hint="default"/>
          <w:color w:val="auto"/>
          <w:lang w:val="en-US" w:eastAsia="zh-CN"/>
        </w:rPr>
        <w:t>管线工程临时占地</w:t>
      </w:r>
      <w:r>
        <w:rPr>
          <w:rFonts w:hint="eastAsia"/>
          <w:color w:val="auto"/>
          <w:lang w:val="en-US" w:eastAsia="zh-CN"/>
        </w:rPr>
        <w:t>13.796</w:t>
      </w:r>
      <w:r>
        <w:rPr>
          <w:rFonts w:hint="default"/>
          <w:color w:val="auto"/>
          <w:lang w:val="en-US" w:eastAsia="zh-CN"/>
        </w:rPr>
        <w:t>hm</w:t>
      </w:r>
      <w:r>
        <w:rPr>
          <w:rFonts w:hint="default"/>
          <w:color w:val="auto"/>
          <w:vertAlign w:val="superscript"/>
          <w:lang w:val="en-US" w:eastAsia="zh-CN"/>
        </w:rPr>
        <w:t>2</w:t>
      </w:r>
      <w:r>
        <w:rPr>
          <w:rFonts w:hint="default"/>
          <w:color w:val="auto"/>
          <w:lang w:val="en-US" w:eastAsia="zh-CN"/>
        </w:rPr>
        <w:t>。</w:t>
      </w:r>
    </w:p>
    <w:p w14:paraId="33507359">
      <w:pPr>
        <w:pStyle w:val="33"/>
        <w:bidi w:val="0"/>
        <w:rPr>
          <w:rFonts w:hint="eastAsia"/>
          <w:color w:val="auto"/>
          <w:lang w:val="en-US" w:eastAsia="zh-CN"/>
        </w:rPr>
      </w:pPr>
      <w:r>
        <w:rPr>
          <w:rFonts w:hint="eastAsia"/>
          <w:color w:val="auto"/>
          <w:lang w:val="en-US" w:eastAsia="zh-CN"/>
        </w:rPr>
        <w:t>（4）道路工程</w:t>
      </w:r>
    </w:p>
    <w:p w14:paraId="1D5F047B">
      <w:pPr>
        <w:pStyle w:val="33"/>
        <w:bidi w:val="0"/>
        <w:rPr>
          <w:rFonts w:hint="default"/>
          <w:color w:val="auto"/>
          <w:lang w:val="en-US" w:eastAsia="zh-CN"/>
        </w:rPr>
      </w:pPr>
      <w:r>
        <w:rPr>
          <w:rFonts w:hint="eastAsia"/>
          <w:color w:val="auto"/>
          <w:lang w:val="en-US" w:eastAsia="zh-CN"/>
        </w:rPr>
        <w:t>本工程依托油区已建公路，不新建道路工程</w:t>
      </w:r>
      <w:r>
        <w:rPr>
          <w:rFonts w:hint="default"/>
          <w:color w:val="auto"/>
          <w:lang w:val="en-US" w:eastAsia="zh-CN"/>
        </w:rPr>
        <w:t>。</w:t>
      </w:r>
    </w:p>
    <w:p w14:paraId="46523835">
      <w:pPr>
        <w:pStyle w:val="33"/>
        <w:bidi w:val="0"/>
        <w:rPr>
          <w:rFonts w:hint="eastAsia"/>
          <w:color w:val="auto"/>
          <w:lang w:val="en-US" w:eastAsia="zh-CN"/>
        </w:rPr>
      </w:pPr>
      <w:r>
        <w:rPr>
          <w:rFonts w:hint="default"/>
          <w:color w:val="auto"/>
          <w:lang w:val="en-US" w:eastAsia="zh-CN"/>
        </w:rPr>
        <w:t>综上，本工程占地情况一览表如下</w:t>
      </w:r>
      <w:r>
        <w:rPr>
          <w:rFonts w:hint="default"/>
          <w:color w:val="auto"/>
          <w:lang w:val="en-US" w:eastAsia="zh-CN"/>
        </w:rPr>
        <w:fldChar w:fldCharType="begin"/>
      </w:r>
      <w:r>
        <w:rPr>
          <w:rFonts w:hint="default"/>
          <w:color w:val="auto"/>
          <w:lang w:val="en-US" w:eastAsia="zh-CN"/>
        </w:rPr>
        <w:instrText xml:space="preserve"> REF _Ref8916 \h </w:instrText>
      </w:r>
      <w:r>
        <w:rPr>
          <w:rFonts w:hint="default"/>
          <w:color w:val="auto"/>
          <w:lang w:val="en-US" w:eastAsia="zh-CN"/>
        </w:rPr>
        <w:fldChar w:fldCharType="separate"/>
      </w:r>
      <w:r>
        <w:rPr>
          <w:rFonts w:hint="eastAsia"/>
          <w:color w:val="auto"/>
          <w:lang w:val="en-US" w:eastAsia="zh-CN"/>
        </w:rPr>
        <w:t>表3</w:t>
      </w:r>
      <w:r>
        <w:rPr>
          <w:rFonts w:hint="default"/>
          <w:color w:val="auto"/>
          <w:lang w:val="en-US" w:eastAsia="zh-CN"/>
        </w:rPr>
        <w:fldChar w:fldCharType="end"/>
      </w:r>
      <w:r>
        <w:rPr>
          <w:rFonts w:hint="eastAsia"/>
          <w:color w:val="auto"/>
          <w:lang w:val="en-US" w:eastAsia="zh-CN"/>
        </w:rPr>
        <w:t>.7-1。</w:t>
      </w:r>
    </w:p>
    <w:p w14:paraId="537410C7">
      <w:pPr>
        <w:pStyle w:val="43"/>
        <w:bidi w:val="0"/>
        <w:rPr>
          <w:rFonts w:cs="Times New Roman"/>
          <w:color w:val="auto"/>
        </w:rPr>
      </w:pPr>
      <w:bookmarkStart w:id="164" w:name="_Ref8916"/>
      <w:r>
        <w:rPr>
          <w:color w:val="auto"/>
        </w:rPr>
        <w:t>表</w:t>
      </w:r>
      <w:r>
        <w:rPr>
          <w:rFonts w:hint="eastAsia"/>
          <w:color w:val="auto"/>
          <w:lang w:val="en-US" w:eastAsia="zh-CN"/>
        </w:rPr>
        <w:t>3.7-1</w:t>
      </w:r>
      <w:r>
        <w:rPr>
          <w:rFonts w:cs="Times New Roman"/>
          <w:color w:val="auto"/>
        </w:rPr>
        <w:t xml:space="preserve">  工程占地情况一览表</w:t>
      </w:r>
    </w:p>
    <w:bookmarkEnd w:id="164"/>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805"/>
        <w:gridCol w:w="2221"/>
        <w:gridCol w:w="895"/>
        <w:gridCol w:w="873"/>
        <w:gridCol w:w="923"/>
        <w:gridCol w:w="2688"/>
      </w:tblGrid>
      <w:tr w14:paraId="7987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79" w:type="pct"/>
            <w:vMerge w:val="restart"/>
            <w:shd w:val="clear" w:color="auto" w:fill="auto"/>
            <w:vAlign w:val="center"/>
          </w:tcPr>
          <w:p w14:paraId="75C35E8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用地</w:t>
            </w:r>
          </w:p>
        </w:tc>
        <w:tc>
          <w:tcPr>
            <w:tcW w:w="1321" w:type="pct"/>
            <w:vMerge w:val="restart"/>
            <w:shd w:val="clear" w:color="auto" w:fill="auto"/>
            <w:vAlign w:val="center"/>
          </w:tcPr>
          <w:p w14:paraId="25E539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600" w:type="pct"/>
            <w:gridSpan w:val="3"/>
            <w:shd w:val="clear" w:color="auto" w:fill="auto"/>
            <w:vAlign w:val="center"/>
          </w:tcPr>
          <w:p w14:paraId="0341961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占地面积（hm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1598" w:type="pct"/>
            <w:vMerge w:val="restart"/>
            <w:shd w:val="clear" w:color="auto" w:fill="auto"/>
            <w:vAlign w:val="center"/>
          </w:tcPr>
          <w:p w14:paraId="50BFD6F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占地类型</w:t>
            </w:r>
          </w:p>
        </w:tc>
      </w:tr>
      <w:tr w14:paraId="691C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79" w:type="pct"/>
            <w:vMerge w:val="continue"/>
            <w:shd w:val="clear" w:color="auto" w:fill="E7E6E6" w:themeFill="background2"/>
            <w:vAlign w:val="center"/>
          </w:tcPr>
          <w:p w14:paraId="34F7FCF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1321" w:type="pct"/>
            <w:vMerge w:val="continue"/>
            <w:shd w:val="clear" w:color="auto" w:fill="E7E6E6" w:themeFill="background2"/>
            <w:vAlign w:val="center"/>
          </w:tcPr>
          <w:p w14:paraId="454CF4A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532" w:type="pct"/>
            <w:shd w:val="clear" w:color="auto" w:fill="auto"/>
            <w:vAlign w:val="center"/>
          </w:tcPr>
          <w:p w14:paraId="4A2103C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永久</w:t>
            </w:r>
          </w:p>
        </w:tc>
        <w:tc>
          <w:tcPr>
            <w:tcW w:w="519" w:type="pct"/>
            <w:shd w:val="clear" w:color="auto" w:fill="auto"/>
            <w:vAlign w:val="center"/>
          </w:tcPr>
          <w:p w14:paraId="7CCE7CE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临时</w:t>
            </w:r>
          </w:p>
        </w:tc>
        <w:tc>
          <w:tcPr>
            <w:tcW w:w="549" w:type="pct"/>
            <w:shd w:val="clear" w:color="auto" w:fill="auto"/>
            <w:vAlign w:val="center"/>
          </w:tcPr>
          <w:p w14:paraId="5E1A806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合计</w:t>
            </w:r>
          </w:p>
        </w:tc>
        <w:tc>
          <w:tcPr>
            <w:tcW w:w="1598" w:type="pct"/>
            <w:vMerge w:val="continue"/>
            <w:shd w:val="clear" w:color="auto" w:fill="E7E6E6" w:themeFill="background2"/>
            <w:vAlign w:val="center"/>
          </w:tcPr>
          <w:p w14:paraId="2A5DE21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r>
      <w:tr w14:paraId="7F39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79" w:type="pct"/>
            <w:vAlign w:val="center"/>
          </w:tcPr>
          <w:p w14:paraId="525CE0C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站场</w:t>
            </w:r>
          </w:p>
        </w:tc>
        <w:tc>
          <w:tcPr>
            <w:tcW w:w="1321" w:type="pct"/>
            <w:vAlign w:val="center"/>
          </w:tcPr>
          <w:p w14:paraId="3F1071A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阀池3</w:t>
            </w:r>
            <w:r>
              <w:rPr>
                <w:rFonts w:hint="default" w:ascii="Times New Roman" w:hAnsi="Times New Roman" w:eastAsia="宋体" w:cs="Times New Roman"/>
                <w:color w:val="auto"/>
                <w:sz w:val="21"/>
                <w:szCs w:val="21"/>
              </w:rPr>
              <w:t>座</w:t>
            </w:r>
          </w:p>
        </w:tc>
        <w:tc>
          <w:tcPr>
            <w:tcW w:w="532" w:type="pct"/>
            <w:vAlign w:val="center"/>
          </w:tcPr>
          <w:p w14:paraId="6D2D1D6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0.0012</w:t>
            </w:r>
          </w:p>
        </w:tc>
        <w:tc>
          <w:tcPr>
            <w:tcW w:w="519" w:type="pct"/>
            <w:vAlign w:val="center"/>
          </w:tcPr>
          <w:p w14:paraId="34E2596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49" w:type="pct"/>
            <w:shd w:val="clear" w:color="auto" w:fill="auto"/>
            <w:vAlign w:val="center"/>
          </w:tcPr>
          <w:p w14:paraId="4097D57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0.0012</w:t>
            </w:r>
          </w:p>
        </w:tc>
        <w:tc>
          <w:tcPr>
            <w:tcW w:w="1598" w:type="pct"/>
            <w:shd w:val="clear" w:color="auto" w:fill="auto"/>
            <w:vAlign w:val="center"/>
          </w:tcPr>
          <w:p w14:paraId="684F736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灌木林地、其他草地</w:t>
            </w:r>
          </w:p>
        </w:tc>
      </w:tr>
      <w:tr w14:paraId="545D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79" w:type="pct"/>
            <w:vMerge w:val="restart"/>
            <w:vAlign w:val="center"/>
          </w:tcPr>
          <w:p w14:paraId="534FF05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管线</w:t>
            </w:r>
          </w:p>
        </w:tc>
        <w:tc>
          <w:tcPr>
            <w:tcW w:w="1321" w:type="pct"/>
            <w:vAlign w:val="center"/>
          </w:tcPr>
          <w:p w14:paraId="21256F5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乌尔禾区管线4条，长度7.92km</w:t>
            </w:r>
          </w:p>
        </w:tc>
        <w:tc>
          <w:tcPr>
            <w:tcW w:w="532" w:type="pct"/>
            <w:vAlign w:val="center"/>
          </w:tcPr>
          <w:p w14:paraId="0E3B607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19" w:type="pct"/>
            <w:vAlign w:val="center"/>
          </w:tcPr>
          <w:p w14:paraId="00FAD4D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3.564</w:t>
            </w:r>
          </w:p>
        </w:tc>
        <w:tc>
          <w:tcPr>
            <w:tcW w:w="549" w:type="pct"/>
            <w:shd w:val="clear" w:color="auto" w:fill="auto"/>
            <w:vAlign w:val="center"/>
          </w:tcPr>
          <w:p w14:paraId="7569085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3.564</w:t>
            </w:r>
          </w:p>
        </w:tc>
        <w:tc>
          <w:tcPr>
            <w:tcW w:w="1598" w:type="pct"/>
            <w:shd w:val="clear" w:color="auto" w:fill="auto"/>
            <w:vAlign w:val="center"/>
          </w:tcPr>
          <w:p w14:paraId="6764403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灌木林地、其他草地、天然牧草地</w:t>
            </w:r>
          </w:p>
        </w:tc>
      </w:tr>
      <w:tr w14:paraId="70B7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79" w:type="pct"/>
            <w:vMerge w:val="continue"/>
            <w:vAlign w:val="center"/>
          </w:tcPr>
          <w:p w14:paraId="3F00643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321" w:type="pct"/>
            <w:vAlign w:val="center"/>
          </w:tcPr>
          <w:p w14:paraId="03BC385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和布克赛尔蒙古自治县管线14条，长度12.79km</w:t>
            </w:r>
          </w:p>
        </w:tc>
        <w:tc>
          <w:tcPr>
            <w:tcW w:w="532" w:type="pct"/>
            <w:vAlign w:val="center"/>
          </w:tcPr>
          <w:p w14:paraId="136FD59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9" w:type="pct"/>
            <w:vAlign w:val="center"/>
          </w:tcPr>
          <w:p w14:paraId="1D2B146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10.232</w:t>
            </w:r>
          </w:p>
        </w:tc>
        <w:tc>
          <w:tcPr>
            <w:tcW w:w="549" w:type="pct"/>
            <w:shd w:val="clear" w:color="auto" w:fill="auto"/>
            <w:vAlign w:val="center"/>
          </w:tcPr>
          <w:p w14:paraId="15E4C40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10.232</w:t>
            </w:r>
          </w:p>
        </w:tc>
        <w:tc>
          <w:tcPr>
            <w:tcW w:w="1598" w:type="pct"/>
            <w:shd w:val="clear" w:color="auto" w:fill="auto"/>
            <w:vAlign w:val="center"/>
          </w:tcPr>
          <w:p w14:paraId="1636223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灌木林地、天然牧草地、盐田及采矿用地、公路用地、农村道路、裸土地</w:t>
            </w:r>
          </w:p>
        </w:tc>
      </w:tr>
      <w:tr w14:paraId="6A38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00" w:type="pct"/>
            <w:gridSpan w:val="2"/>
            <w:vAlign w:val="center"/>
          </w:tcPr>
          <w:p w14:paraId="0E1094B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532" w:type="pct"/>
            <w:shd w:val="clear" w:color="auto" w:fill="auto"/>
            <w:vAlign w:val="center"/>
          </w:tcPr>
          <w:p w14:paraId="6BD8025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0.0012</w:t>
            </w:r>
          </w:p>
        </w:tc>
        <w:tc>
          <w:tcPr>
            <w:tcW w:w="519" w:type="pct"/>
            <w:shd w:val="clear" w:color="auto" w:fill="auto"/>
            <w:vAlign w:val="center"/>
          </w:tcPr>
          <w:p w14:paraId="6824C2F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13.796</w:t>
            </w:r>
          </w:p>
        </w:tc>
        <w:tc>
          <w:tcPr>
            <w:tcW w:w="549" w:type="pct"/>
            <w:shd w:val="clear" w:color="auto" w:fill="auto"/>
            <w:vAlign w:val="center"/>
          </w:tcPr>
          <w:p w14:paraId="60178C4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13.7972</w:t>
            </w:r>
          </w:p>
        </w:tc>
        <w:tc>
          <w:tcPr>
            <w:tcW w:w="1598" w:type="pct"/>
            <w:shd w:val="clear" w:color="auto" w:fill="auto"/>
            <w:vAlign w:val="center"/>
          </w:tcPr>
          <w:p w14:paraId="06F6828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14:paraId="12C89891">
      <w:pPr>
        <w:pStyle w:val="5"/>
        <w:bidi w:val="0"/>
        <w:rPr>
          <w:rFonts w:hint="default"/>
          <w:color w:val="auto"/>
          <w:lang w:val="en-US" w:eastAsia="zh-CN"/>
        </w:rPr>
      </w:pPr>
      <w:r>
        <w:rPr>
          <w:rFonts w:hint="eastAsia"/>
          <w:color w:val="auto"/>
          <w:lang w:val="en-US" w:eastAsia="zh-CN"/>
        </w:rPr>
        <w:t>3.7.2土石方平衡</w:t>
      </w:r>
    </w:p>
    <w:p w14:paraId="7661D6A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本工程建设主要土方开挖量为管线、阀池施工。</w:t>
      </w:r>
    </w:p>
    <w:p w14:paraId="1E62E9C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color w:val="auto"/>
        </w:rPr>
      </w:pPr>
      <w:r>
        <w:rPr>
          <w:rFonts w:hint="eastAsia" w:ascii="Times New Roman" w:hAnsi="Times New Roman" w:eastAsia="宋体" w:cstheme="minorBidi"/>
          <w:color w:val="auto"/>
          <w:kern w:val="2"/>
          <w:sz w:val="24"/>
          <w:szCs w:val="24"/>
          <w:lang w:val="en-US" w:eastAsia="zh-CN" w:bidi="ar-SA"/>
        </w:rPr>
        <w:t>按照施工方案，阀池挖方全部用于管线沿线平整及护坡，管线挖方全部回填。项目土石方平衡见</w:t>
      </w:r>
      <w:r>
        <w:rPr>
          <w:rFonts w:hint="default" w:ascii="Times New Roman" w:hAnsi="Times New Roman" w:eastAsia="宋体" w:cstheme="minorBidi"/>
          <w:color w:val="auto"/>
          <w:kern w:val="2"/>
          <w:sz w:val="24"/>
          <w:szCs w:val="24"/>
          <w:lang w:val="en-US" w:eastAsia="zh-CN" w:bidi="ar-SA"/>
        </w:rPr>
        <w:fldChar w:fldCharType="begin"/>
      </w:r>
      <w:r>
        <w:rPr>
          <w:rFonts w:hint="default" w:ascii="Times New Roman" w:hAnsi="Times New Roman" w:eastAsia="宋体" w:cstheme="minorBidi"/>
          <w:color w:val="auto"/>
          <w:kern w:val="2"/>
          <w:sz w:val="24"/>
          <w:szCs w:val="24"/>
          <w:lang w:val="en-US" w:eastAsia="zh-CN" w:bidi="ar-SA"/>
        </w:rPr>
        <w:instrText xml:space="preserve"> REF _Ref169786306 \h </w:instrText>
      </w:r>
      <w:r>
        <w:rPr>
          <w:rFonts w:hint="default" w:ascii="Times New Roman" w:hAnsi="Times New Roman" w:eastAsia="宋体" w:cstheme="minorBidi"/>
          <w:color w:val="auto"/>
          <w:kern w:val="2"/>
          <w:sz w:val="24"/>
          <w:szCs w:val="24"/>
          <w:lang w:val="en-US" w:eastAsia="zh-CN" w:bidi="ar-SA"/>
        </w:rPr>
        <w:fldChar w:fldCharType="separate"/>
      </w:r>
      <w:r>
        <w:rPr>
          <w:rFonts w:hint="eastAsia" w:ascii="Times New Roman" w:hAnsi="Times New Roman" w:eastAsia="宋体" w:cstheme="minorBidi"/>
          <w:color w:val="auto"/>
          <w:kern w:val="2"/>
          <w:sz w:val="24"/>
          <w:szCs w:val="24"/>
          <w:lang w:val="en-US" w:eastAsia="zh-CN" w:bidi="ar-SA"/>
        </w:rPr>
        <w:t>表3</w:t>
      </w:r>
      <w:r>
        <w:rPr>
          <w:rFonts w:hint="default" w:ascii="Times New Roman" w:hAnsi="Times New Roman" w:eastAsia="宋体" w:cstheme="minorBidi"/>
          <w:color w:val="auto"/>
          <w:kern w:val="2"/>
          <w:sz w:val="24"/>
          <w:szCs w:val="24"/>
          <w:lang w:val="en-US" w:eastAsia="zh-CN" w:bidi="ar-SA"/>
        </w:rPr>
        <w:fldChar w:fldCharType="end"/>
      </w:r>
      <w:r>
        <w:rPr>
          <w:rFonts w:hint="eastAsia" w:ascii="Times New Roman" w:hAnsi="Times New Roman" w:eastAsia="宋体" w:cstheme="minorBidi"/>
          <w:color w:val="auto"/>
          <w:kern w:val="2"/>
          <w:sz w:val="24"/>
          <w:szCs w:val="24"/>
          <w:lang w:val="en-US" w:eastAsia="zh-CN" w:bidi="ar-SA"/>
        </w:rPr>
        <w:t>.7-2。</w:t>
      </w:r>
    </w:p>
    <w:p w14:paraId="0B482554">
      <w:pPr>
        <w:pStyle w:val="43"/>
        <w:bidi w:val="0"/>
        <w:rPr>
          <w:rFonts w:cs="Times New Roman"/>
          <w:color w:val="auto"/>
        </w:rPr>
      </w:pPr>
      <w:bookmarkStart w:id="165" w:name="_Ref169786306"/>
      <w:r>
        <w:rPr>
          <w:rFonts w:cs="Times New Roman"/>
          <w:color w:val="auto"/>
        </w:rPr>
        <w:t>表</w:t>
      </w:r>
      <w:bookmarkEnd w:id="165"/>
      <w:r>
        <w:rPr>
          <w:rFonts w:hint="eastAsia" w:cs="Times New Roman"/>
          <w:color w:val="auto"/>
          <w:lang w:val="en-US" w:eastAsia="zh-CN"/>
        </w:rPr>
        <w:t>3.7-2</w:t>
      </w:r>
      <w:r>
        <w:rPr>
          <w:rFonts w:cs="Times New Roman"/>
          <w:color w:val="auto"/>
        </w:rPr>
        <w:t xml:space="preserve">  项目土石方平衡表  单位：</w:t>
      </w:r>
      <w:r>
        <w:rPr>
          <w:rFonts w:hint="eastAsia" w:cs="Times New Roman"/>
          <w:color w:val="auto"/>
          <w:lang w:val="en-US" w:eastAsia="zh-CN"/>
        </w:rPr>
        <w:t>万</w:t>
      </w:r>
      <w:r>
        <w:rPr>
          <w:rFonts w:cs="Times New Roman"/>
          <w:color w:val="auto"/>
        </w:rPr>
        <w:t>m</w:t>
      </w:r>
      <w:r>
        <w:rPr>
          <w:rFonts w:cs="Times New Roman"/>
          <w:color w:val="auto"/>
          <w:vertAlign w:val="superscript"/>
        </w:rPr>
        <w:t>3</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669"/>
        <w:gridCol w:w="3063"/>
        <w:gridCol w:w="1225"/>
        <w:gridCol w:w="1225"/>
        <w:gridCol w:w="1226"/>
      </w:tblGrid>
      <w:tr w14:paraId="6433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14:paraId="5FA53BC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工程名称</w:t>
            </w:r>
          </w:p>
        </w:tc>
        <w:tc>
          <w:tcPr>
            <w:tcW w:w="1820" w:type="pct"/>
            <w:tcBorders>
              <w:top w:val="single" w:color="auto" w:sz="4" w:space="0"/>
              <w:left w:val="single" w:color="auto" w:sz="4" w:space="0"/>
              <w:bottom w:val="single" w:color="auto" w:sz="4" w:space="0"/>
              <w:right w:val="single" w:color="auto" w:sz="4" w:space="0"/>
            </w:tcBorders>
            <w:shd w:val="clear" w:color="auto" w:fill="auto"/>
            <w:vAlign w:val="center"/>
          </w:tcPr>
          <w:p w14:paraId="595388A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2D86B9F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挖方</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54F6342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填方</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14:paraId="367A201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弃方</w:t>
            </w:r>
          </w:p>
        </w:tc>
      </w:tr>
      <w:tr w14:paraId="7B7A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14:paraId="0E33C8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阀池</w:t>
            </w:r>
          </w:p>
        </w:tc>
        <w:tc>
          <w:tcPr>
            <w:tcW w:w="1820" w:type="pct"/>
            <w:tcBorders>
              <w:top w:val="single" w:color="auto" w:sz="4" w:space="0"/>
              <w:left w:val="single" w:color="auto" w:sz="4" w:space="0"/>
              <w:bottom w:val="single" w:color="auto" w:sz="4" w:space="0"/>
              <w:right w:val="single" w:color="auto" w:sz="4" w:space="0"/>
            </w:tcBorders>
            <w:shd w:val="clear" w:color="auto" w:fill="auto"/>
            <w:vAlign w:val="center"/>
          </w:tcPr>
          <w:p w14:paraId="6FDAF03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座</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5453772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37AE559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14:paraId="765B7C7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0D89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992" w:type="pct"/>
            <w:vMerge w:val="restart"/>
            <w:tcBorders>
              <w:top w:val="single" w:color="auto" w:sz="4" w:space="0"/>
              <w:left w:val="single" w:color="auto" w:sz="4" w:space="0"/>
              <w:right w:val="single" w:color="auto" w:sz="4" w:space="0"/>
            </w:tcBorders>
            <w:shd w:val="clear" w:color="auto" w:fill="auto"/>
            <w:vAlign w:val="center"/>
          </w:tcPr>
          <w:p w14:paraId="60E24E4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管线工程管沟</w:t>
            </w:r>
          </w:p>
        </w:tc>
        <w:tc>
          <w:tcPr>
            <w:tcW w:w="1820" w:type="pct"/>
            <w:tcBorders>
              <w:top w:val="single" w:color="auto" w:sz="4" w:space="0"/>
              <w:left w:val="single" w:color="auto" w:sz="4" w:space="0"/>
              <w:bottom w:val="single" w:color="auto" w:sz="4" w:space="0"/>
              <w:right w:val="single" w:color="auto" w:sz="4" w:space="0"/>
            </w:tcBorders>
            <w:shd w:val="clear" w:color="auto" w:fill="auto"/>
            <w:vAlign w:val="center"/>
          </w:tcPr>
          <w:p w14:paraId="33FD5519">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乌尔禾区管线4条，长度7.92km</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709D2CA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2.843</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63F7951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2.843</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14:paraId="1F32847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4E5B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992" w:type="pct"/>
            <w:vMerge w:val="continue"/>
            <w:tcBorders>
              <w:left w:val="single" w:color="auto" w:sz="4" w:space="0"/>
              <w:bottom w:val="single" w:color="auto" w:sz="4" w:space="0"/>
              <w:right w:val="single" w:color="auto" w:sz="4" w:space="0"/>
            </w:tcBorders>
            <w:shd w:val="clear" w:color="auto" w:fill="auto"/>
            <w:vAlign w:val="center"/>
          </w:tcPr>
          <w:p w14:paraId="1217DAF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820" w:type="pct"/>
            <w:tcBorders>
              <w:top w:val="single" w:color="auto" w:sz="4" w:space="0"/>
              <w:left w:val="single" w:color="auto" w:sz="4" w:space="0"/>
              <w:bottom w:val="single" w:color="auto" w:sz="4" w:space="0"/>
              <w:right w:val="single" w:color="auto" w:sz="4" w:space="0"/>
            </w:tcBorders>
            <w:shd w:val="clear" w:color="auto" w:fill="auto"/>
            <w:vAlign w:val="center"/>
          </w:tcPr>
          <w:p w14:paraId="126F80F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和布克赛尔蒙古自治县管线14条，长度12.79km</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7AEE7E9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4.592</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4C1250E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4.592</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14:paraId="60CF1B0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r>
      <w:tr w14:paraId="3ECB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81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A8B0F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4C9720C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7.441</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3FFD9F3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7.441</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14:paraId="25277A0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bl>
    <w:p w14:paraId="61FD1E43">
      <w:pPr>
        <w:pStyle w:val="2"/>
        <w:bidi w:val="0"/>
        <w:rPr>
          <w:rFonts w:hint="default"/>
          <w:color w:val="auto"/>
          <w:lang w:val="en-US" w:eastAsia="zh-CN"/>
        </w:rPr>
      </w:pPr>
      <w:bookmarkStart w:id="166" w:name="_Toc10385"/>
      <w:r>
        <w:rPr>
          <w:rFonts w:hint="eastAsia"/>
          <w:color w:val="auto"/>
          <w:lang w:val="en-US" w:eastAsia="zh-CN"/>
        </w:rPr>
        <w:t>3.8项目平衡分析</w:t>
      </w:r>
      <w:bookmarkEnd w:id="166"/>
    </w:p>
    <w:p w14:paraId="75AD57D1">
      <w:pPr>
        <w:pStyle w:val="5"/>
        <w:bidi w:val="0"/>
        <w:rPr>
          <w:rFonts w:hint="default"/>
          <w:color w:val="auto"/>
          <w:lang w:val="en-US" w:eastAsia="zh-CN"/>
        </w:rPr>
      </w:pPr>
      <w:r>
        <w:rPr>
          <w:rFonts w:hint="eastAsia"/>
          <w:color w:val="auto"/>
          <w:lang w:val="en-US" w:eastAsia="zh-CN"/>
        </w:rPr>
        <w:t>3.8.1水平衡分析</w:t>
      </w:r>
    </w:p>
    <w:p w14:paraId="622C26A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根据工程开发方案，本工程水平衡见表3.8-1，水平衡示意图见图3.8-1。</w:t>
      </w:r>
    </w:p>
    <w:p w14:paraId="31272F07">
      <w:pPr>
        <w:pStyle w:val="43"/>
        <w:bidi w:val="0"/>
        <w:rPr>
          <w:rFonts w:cs="Times New Roman"/>
          <w:color w:val="auto"/>
        </w:rPr>
      </w:pPr>
      <w:bookmarkStart w:id="167" w:name="_Ref22410"/>
      <w:r>
        <w:rPr>
          <w:color w:val="auto"/>
        </w:rPr>
        <w:t>表</w:t>
      </w:r>
      <w:bookmarkEnd w:id="167"/>
      <w:r>
        <w:rPr>
          <w:rFonts w:hint="eastAsia"/>
          <w:color w:val="auto"/>
          <w:lang w:val="en-US" w:eastAsia="zh-CN"/>
        </w:rPr>
        <w:t>3.8-1</w:t>
      </w:r>
      <w:r>
        <w:rPr>
          <w:rFonts w:cs="Times New Roman"/>
          <w:color w:val="auto"/>
        </w:rPr>
        <w:t xml:space="preserve">  水平衡表  单位：m</w:t>
      </w:r>
      <w:r>
        <w:rPr>
          <w:rFonts w:cs="Times New Roman"/>
          <w:color w:val="auto"/>
          <w:vertAlign w:val="superscript"/>
        </w:rPr>
        <w:t>3</w:t>
      </w:r>
      <w:r>
        <w:rPr>
          <w:rFonts w:cs="Times New Roman"/>
          <w:color w:val="auto"/>
        </w:rPr>
        <w:t>/d</w:t>
      </w:r>
    </w:p>
    <w:tbl>
      <w:tblPr>
        <w:tblStyle w:val="46"/>
        <w:tblW w:w="50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696"/>
        <w:gridCol w:w="851"/>
        <w:gridCol w:w="809"/>
        <w:gridCol w:w="864"/>
        <w:gridCol w:w="688"/>
        <w:gridCol w:w="832"/>
        <w:gridCol w:w="906"/>
        <w:gridCol w:w="1592"/>
        <w:gridCol w:w="1283"/>
      </w:tblGrid>
      <w:tr w14:paraId="6845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jc w:val="center"/>
        </w:trPr>
        <w:tc>
          <w:tcPr>
            <w:tcW w:w="403" w:type="pct"/>
            <w:vMerge w:val="restart"/>
            <w:shd w:val="clear" w:color="auto" w:fill="auto"/>
            <w:vAlign w:val="center"/>
          </w:tcPr>
          <w:p w14:paraId="04303800">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用水工序</w:t>
            </w:r>
          </w:p>
        </w:tc>
        <w:tc>
          <w:tcPr>
            <w:tcW w:w="492" w:type="pct"/>
            <w:vMerge w:val="restart"/>
            <w:shd w:val="clear" w:color="auto" w:fill="auto"/>
            <w:vAlign w:val="center"/>
          </w:tcPr>
          <w:p w14:paraId="7AA5AF10">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来源</w:t>
            </w:r>
          </w:p>
        </w:tc>
        <w:tc>
          <w:tcPr>
            <w:tcW w:w="968" w:type="pct"/>
            <w:gridSpan w:val="2"/>
            <w:shd w:val="clear" w:color="auto" w:fill="auto"/>
            <w:vAlign w:val="center"/>
          </w:tcPr>
          <w:p w14:paraId="7D206F06">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投入</w:t>
            </w:r>
          </w:p>
        </w:tc>
        <w:tc>
          <w:tcPr>
            <w:tcW w:w="398" w:type="pct"/>
            <w:vMerge w:val="restart"/>
            <w:shd w:val="clear" w:color="auto" w:fill="auto"/>
            <w:vAlign w:val="center"/>
          </w:tcPr>
          <w:p w14:paraId="26A12AA7">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循环水</w:t>
            </w:r>
          </w:p>
        </w:tc>
        <w:tc>
          <w:tcPr>
            <w:tcW w:w="1005" w:type="pct"/>
            <w:gridSpan w:val="2"/>
            <w:shd w:val="clear" w:color="auto" w:fill="auto"/>
            <w:vAlign w:val="center"/>
          </w:tcPr>
          <w:p w14:paraId="348DDA60">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产出</w:t>
            </w:r>
          </w:p>
        </w:tc>
        <w:tc>
          <w:tcPr>
            <w:tcW w:w="921" w:type="pct"/>
            <w:vMerge w:val="restart"/>
            <w:shd w:val="clear" w:color="auto" w:fill="auto"/>
            <w:vAlign w:val="center"/>
          </w:tcPr>
          <w:p w14:paraId="0FD65038">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去向</w:t>
            </w:r>
          </w:p>
        </w:tc>
        <w:tc>
          <w:tcPr>
            <w:tcW w:w="742" w:type="pct"/>
            <w:vMerge w:val="restart"/>
            <w:shd w:val="clear" w:color="auto" w:fill="auto"/>
            <w:vAlign w:val="center"/>
          </w:tcPr>
          <w:p w14:paraId="27087E55">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1AB3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03" w:type="pct"/>
            <w:vMerge w:val="continue"/>
            <w:shd w:val="clear" w:color="auto" w:fill="auto"/>
            <w:vAlign w:val="center"/>
          </w:tcPr>
          <w:p w14:paraId="0EE97FCA">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p>
        </w:tc>
        <w:tc>
          <w:tcPr>
            <w:tcW w:w="492" w:type="pct"/>
            <w:vMerge w:val="continue"/>
            <w:shd w:val="clear" w:color="auto" w:fill="auto"/>
            <w:vAlign w:val="center"/>
          </w:tcPr>
          <w:p w14:paraId="69BE28B6">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p>
        </w:tc>
        <w:tc>
          <w:tcPr>
            <w:tcW w:w="468" w:type="pct"/>
            <w:shd w:val="clear" w:color="auto" w:fill="auto"/>
            <w:vAlign w:val="center"/>
          </w:tcPr>
          <w:p w14:paraId="52A16E9E">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新鲜水</w:t>
            </w:r>
          </w:p>
        </w:tc>
        <w:tc>
          <w:tcPr>
            <w:tcW w:w="500" w:type="pct"/>
            <w:shd w:val="clear" w:color="auto" w:fill="auto"/>
            <w:vAlign w:val="center"/>
          </w:tcPr>
          <w:p w14:paraId="0FB3E81F">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回用水</w:t>
            </w:r>
          </w:p>
        </w:tc>
        <w:tc>
          <w:tcPr>
            <w:tcW w:w="398" w:type="pct"/>
            <w:vMerge w:val="continue"/>
            <w:shd w:val="clear" w:color="auto" w:fill="auto"/>
            <w:vAlign w:val="center"/>
          </w:tcPr>
          <w:p w14:paraId="4014651D">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p>
        </w:tc>
        <w:tc>
          <w:tcPr>
            <w:tcW w:w="481" w:type="pct"/>
            <w:shd w:val="clear" w:color="auto" w:fill="auto"/>
            <w:vAlign w:val="center"/>
          </w:tcPr>
          <w:p w14:paraId="26138E5C">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损耗</w:t>
            </w:r>
          </w:p>
        </w:tc>
        <w:tc>
          <w:tcPr>
            <w:tcW w:w="523" w:type="pct"/>
            <w:shd w:val="clear" w:color="auto" w:fill="auto"/>
            <w:vAlign w:val="center"/>
          </w:tcPr>
          <w:p w14:paraId="0F67EA42">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利用</w:t>
            </w:r>
          </w:p>
        </w:tc>
        <w:tc>
          <w:tcPr>
            <w:tcW w:w="921" w:type="pct"/>
            <w:vMerge w:val="continue"/>
            <w:shd w:val="clear" w:color="auto" w:fill="auto"/>
            <w:vAlign w:val="center"/>
          </w:tcPr>
          <w:p w14:paraId="4E16E456">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p>
        </w:tc>
        <w:tc>
          <w:tcPr>
            <w:tcW w:w="742" w:type="pct"/>
            <w:vMerge w:val="continue"/>
            <w:shd w:val="clear" w:color="auto" w:fill="auto"/>
            <w:vAlign w:val="center"/>
          </w:tcPr>
          <w:p w14:paraId="556B9BCA">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b/>
                <w:bCs/>
                <w:color w:val="auto"/>
                <w:sz w:val="21"/>
                <w:szCs w:val="21"/>
              </w:rPr>
            </w:pPr>
          </w:p>
        </w:tc>
      </w:tr>
      <w:tr w14:paraId="21AE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03" w:type="pct"/>
            <w:shd w:val="clear" w:color="auto" w:fill="auto"/>
            <w:vAlign w:val="center"/>
          </w:tcPr>
          <w:p w14:paraId="23CFF559">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油田注水</w:t>
            </w:r>
          </w:p>
        </w:tc>
        <w:tc>
          <w:tcPr>
            <w:tcW w:w="492" w:type="pct"/>
            <w:shd w:val="clear" w:color="auto" w:fill="auto"/>
            <w:vAlign w:val="center"/>
          </w:tcPr>
          <w:p w14:paraId="5F67B83A">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采出水</w:t>
            </w:r>
          </w:p>
        </w:tc>
        <w:tc>
          <w:tcPr>
            <w:tcW w:w="468" w:type="pct"/>
            <w:shd w:val="clear" w:color="auto" w:fill="auto"/>
            <w:vAlign w:val="center"/>
          </w:tcPr>
          <w:p w14:paraId="36A89FFA">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0" w:type="pct"/>
            <w:shd w:val="clear" w:color="auto" w:fill="auto"/>
            <w:vAlign w:val="center"/>
          </w:tcPr>
          <w:p w14:paraId="60401F2C">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328.5</w:t>
            </w:r>
          </w:p>
        </w:tc>
        <w:tc>
          <w:tcPr>
            <w:tcW w:w="398" w:type="pct"/>
            <w:shd w:val="clear" w:color="auto" w:fill="auto"/>
            <w:vAlign w:val="center"/>
          </w:tcPr>
          <w:p w14:paraId="243D8EDF">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1" w:type="pct"/>
            <w:shd w:val="clear" w:color="auto" w:fill="auto"/>
            <w:vAlign w:val="center"/>
          </w:tcPr>
          <w:p w14:paraId="7EB522D0">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16.43</w:t>
            </w:r>
          </w:p>
        </w:tc>
        <w:tc>
          <w:tcPr>
            <w:tcW w:w="523" w:type="pct"/>
            <w:shd w:val="clear" w:color="auto" w:fill="auto"/>
            <w:vAlign w:val="center"/>
          </w:tcPr>
          <w:p w14:paraId="7D4FEEEC">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312.07</w:t>
            </w:r>
          </w:p>
        </w:tc>
        <w:tc>
          <w:tcPr>
            <w:tcW w:w="921" w:type="pct"/>
            <w:vMerge w:val="restart"/>
            <w:shd w:val="clear" w:color="auto" w:fill="auto"/>
            <w:vAlign w:val="center"/>
          </w:tcPr>
          <w:p w14:paraId="6A687CA7">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val="en-US" w:eastAsia="zh-CN"/>
              </w:rPr>
              <w:t>百联站</w:t>
            </w:r>
            <w:r>
              <w:rPr>
                <w:rFonts w:hint="default" w:ascii="Times New Roman" w:hAnsi="Times New Roman" w:cs="Times New Roman"/>
                <w:color w:val="auto"/>
                <w:sz w:val="21"/>
                <w:szCs w:val="21"/>
              </w:rPr>
              <w:t>采出水系统处理达标后回注</w:t>
            </w:r>
          </w:p>
        </w:tc>
        <w:tc>
          <w:tcPr>
            <w:tcW w:w="742" w:type="pct"/>
            <w:shd w:val="clear" w:color="auto" w:fill="auto"/>
            <w:vAlign w:val="center"/>
          </w:tcPr>
          <w:p w14:paraId="3B47DF1C">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仅核算转产能</w:t>
            </w:r>
            <w:r>
              <w:rPr>
                <w:rFonts w:hint="default" w:ascii="Times New Roman" w:hAnsi="Times New Roman" w:cs="Times New Roman"/>
                <w:color w:val="auto"/>
                <w:sz w:val="21"/>
                <w:szCs w:val="21"/>
              </w:rPr>
              <w:t>井</w:t>
            </w: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口</w:t>
            </w:r>
          </w:p>
        </w:tc>
      </w:tr>
      <w:tr w14:paraId="622C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03" w:type="pct"/>
            <w:shd w:val="clear" w:color="auto" w:fill="auto"/>
            <w:vAlign w:val="center"/>
          </w:tcPr>
          <w:p w14:paraId="2CF4951E">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井下</w:t>
            </w:r>
            <w:r>
              <w:rPr>
                <w:rFonts w:hint="default" w:ascii="Times New Roman" w:hAnsi="Times New Roman" w:cs="Times New Roman"/>
                <w:color w:val="auto"/>
                <w:sz w:val="21"/>
                <w:szCs w:val="21"/>
              </w:rPr>
              <w:t>作业</w:t>
            </w:r>
          </w:p>
        </w:tc>
        <w:tc>
          <w:tcPr>
            <w:tcW w:w="492" w:type="pct"/>
            <w:shd w:val="clear" w:color="auto" w:fill="auto"/>
            <w:vAlign w:val="center"/>
          </w:tcPr>
          <w:p w14:paraId="0C502ABB">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新鲜水</w:t>
            </w:r>
          </w:p>
        </w:tc>
        <w:tc>
          <w:tcPr>
            <w:tcW w:w="468" w:type="pct"/>
            <w:tcBorders>
              <w:bottom w:val="single" w:color="auto" w:sz="4" w:space="0"/>
            </w:tcBorders>
            <w:shd w:val="clear" w:color="auto" w:fill="auto"/>
            <w:vAlign w:val="center"/>
          </w:tcPr>
          <w:p w14:paraId="035FC1A1">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2.98</w:t>
            </w:r>
          </w:p>
        </w:tc>
        <w:tc>
          <w:tcPr>
            <w:tcW w:w="500" w:type="pct"/>
            <w:tcBorders>
              <w:bottom w:val="single" w:color="auto" w:sz="4" w:space="0"/>
            </w:tcBorders>
            <w:shd w:val="clear" w:color="auto" w:fill="auto"/>
            <w:vAlign w:val="center"/>
          </w:tcPr>
          <w:p w14:paraId="480C931E">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98" w:type="pct"/>
            <w:tcBorders>
              <w:bottom w:val="single" w:color="auto" w:sz="4" w:space="0"/>
            </w:tcBorders>
            <w:shd w:val="clear" w:color="auto" w:fill="auto"/>
            <w:vAlign w:val="center"/>
          </w:tcPr>
          <w:p w14:paraId="0884C397">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1" w:type="pct"/>
            <w:tcBorders>
              <w:bottom w:val="single" w:color="auto" w:sz="4" w:space="0"/>
            </w:tcBorders>
            <w:shd w:val="clear" w:color="auto" w:fill="auto"/>
            <w:vAlign w:val="center"/>
          </w:tcPr>
          <w:p w14:paraId="11D27EAE">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p>
        </w:tc>
        <w:tc>
          <w:tcPr>
            <w:tcW w:w="523" w:type="pct"/>
            <w:tcBorders>
              <w:bottom w:val="single" w:color="auto" w:sz="4" w:space="0"/>
            </w:tcBorders>
            <w:shd w:val="clear" w:color="auto" w:fill="auto"/>
            <w:vAlign w:val="center"/>
          </w:tcPr>
          <w:p w14:paraId="1AE5236B">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2.83</w:t>
            </w:r>
          </w:p>
        </w:tc>
        <w:tc>
          <w:tcPr>
            <w:tcW w:w="921" w:type="pct"/>
            <w:vMerge w:val="continue"/>
            <w:shd w:val="clear" w:color="auto" w:fill="auto"/>
            <w:vAlign w:val="center"/>
          </w:tcPr>
          <w:p w14:paraId="7486CBD0">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p>
        </w:tc>
        <w:tc>
          <w:tcPr>
            <w:tcW w:w="742" w:type="pct"/>
            <w:shd w:val="clear" w:color="auto" w:fill="auto"/>
            <w:vAlign w:val="center"/>
          </w:tcPr>
          <w:p w14:paraId="604F8EE0">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单井用水量约</w:t>
            </w:r>
            <w:r>
              <w:rPr>
                <w:rFonts w:hint="eastAsia" w:cs="Times New Roman"/>
                <w:color w:val="auto"/>
                <w:sz w:val="21"/>
                <w:szCs w:val="21"/>
                <w:lang w:val="en-US" w:eastAsia="zh-CN"/>
              </w:rPr>
              <w:t>197</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/次，两年1次，</w:t>
            </w:r>
            <w:r>
              <w:rPr>
                <w:rFonts w:hint="eastAsia" w:ascii="Times New Roman" w:hAnsi="Times New Roman" w:cs="Times New Roman"/>
                <w:color w:val="auto"/>
                <w:sz w:val="21"/>
                <w:szCs w:val="21"/>
                <w:lang w:val="en-US" w:eastAsia="zh-CN"/>
              </w:rPr>
              <w:t>转产能</w:t>
            </w:r>
            <w:r>
              <w:rPr>
                <w:rFonts w:hint="default" w:ascii="Times New Roman" w:hAnsi="Times New Roman" w:cs="Times New Roman"/>
                <w:color w:val="auto"/>
                <w:sz w:val="21"/>
                <w:szCs w:val="21"/>
              </w:rPr>
              <w:t>井</w:t>
            </w: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口</w:t>
            </w:r>
          </w:p>
        </w:tc>
      </w:tr>
      <w:tr w14:paraId="6523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403" w:type="pct"/>
            <w:shd w:val="clear" w:color="auto" w:fill="auto"/>
            <w:vAlign w:val="center"/>
          </w:tcPr>
          <w:p w14:paraId="4B72149E">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492" w:type="pct"/>
            <w:shd w:val="clear" w:color="auto" w:fill="auto"/>
            <w:vAlign w:val="center"/>
          </w:tcPr>
          <w:p w14:paraId="1C21BE04">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8" w:type="pct"/>
            <w:tcBorders>
              <w:top w:val="single" w:color="auto" w:sz="4" w:space="0"/>
              <w:left w:val="nil"/>
              <w:bottom w:val="single" w:color="auto" w:sz="4" w:space="0"/>
              <w:right w:val="single" w:color="auto" w:sz="4" w:space="0"/>
            </w:tcBorders>
            <w:shd w:val="clear" w:color="auto" w:fill="auto"/>
            <w:vAlign w:val="center"/>
          </w:tcPr>
          <w:p w14:paraId="6CE0C065">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2.98</w:t>
            </w:r>
          </w:p>
        </w:tc>
        <w:tc>
          <w:tcPr>
            <w:tcW w:w="500" w:type="pct"/>
            <w:tcBorders>
              <w:top w:val="single" w:color="auto" w:sz="4" w:space="0"/>
              <w:left w:val="single" w:color="auto" w:sz="4" w:space="0"/>
              <w:bottom w:val="single" w:color="auto" w:sz="4" w:space="0"/>
              <w:right w:val="single" w:color="auto" w:sz="4" w:space="0"/>
            </w:tcBorders>
            <w:shd w:val="clear" w:color="auto" w:fill="auto"/>
            <w:vAlign w:val="center"/>
          </w:tcPr>
          <w:p w14:paraId="3AB52C72">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328.5</w:t>
            </w:r>
          </w:p>
        </w:tc>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13C025DC">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2543CD24">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w:t>
            </w:r>
            <w:r>
              <w:rPr>
                <w:rFonts w:hint="eastAsia" w:cs="Times New Roman"/>
                <w:color w:val="auto"/>
                <w:sz w:val="21"/>
                <w:szCs w:val="21"/>
                <w:lang w:val="en-US" w:eastAsia="zh-CN"/>
              </w:rPr>
              <w:t>58</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5AE1A70">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314.90</w:t>
            </w:r>
          </w:p>
        </w:tc>
        <w:tc>
          <w:tcPr>
            <w:tcW w:w="921" w:type="pct"/>
            <w:tcBorders>
              <w:left w:val="single" w:color="auto" w:sz="4" w:space="0"/>
            </w:tcBorders>
            <w:shd w:val="clear" w:color="auto" w:fill="auto"/>
            <w:vAlign w:val="center"/>
          </w:tcPr>
          <w:p w14:paraId="71B1EE40">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42" w:type="pct"/>
            <w:shd w:val="clear" w:color="auto" w:fill="auto"/>
            <w:vAlign w:val="center"/>
          </w:tcPr>
          <w:p w14:paraId="7AC3953A">
            <w:pPr>
              <w:pStyle w:val="44"/>
              <w:keepNext w:val="0"/>
              <w:keepLines w:val="0"/>
              <w:pageBreakBefore w:val="0"/>
              <w:widowControl/>
              <w:kinsoku/>
              <w:wordWrap/>
              <w:overflowPunct/>
              <w:topLinePunct w:val="0"/>
              <w:autoSpaceDE/>
              <w:autoSpaceDN/>
              <w:bidi w:val="0"/>
              <w:adjustRightInd/>
              <w:snapToGrid/>
              <w:spacing w:after="16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tbl>
      <w:tblPr>
        <w:tblStyle w:val="28"/>
        <w:tblW w:w="4999"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0"/>
      </w:tblGrid>
      <w:tr w14:paraId="47465F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5000" w:type="pct"/>
            <w:tcBorders>
              <w:tl2br w:val="nil"/>
              <w:tr2bl w:val="nil"/>
            </w:tcBorders>
            <w:vAlign w:val="center"/>
          </w:tcPr>
          <w:p w14:paraId="0FFB685B">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object>
                <v:shape id="_x0000_i1029" o:spt="75" type="#_x0000_t75" style="height:231.55pt;width:415.2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p>
        </w:tc>
      </w:tr>
      <w:tr w14:paraId="320076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5000" w:type="pct"/>
            <w:tcBorders>
              <w:tl2br w:val="nil"/>
              <w:tr2bl w:val="nil"/>
            </w:tcBorders>
            <w:vAlign w:val="center"/>
          </w:tcPr>
          <w:p w14:paraId="4D85D7B4">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图3.8-1  水平衡示意图  单位m</w:t>
            </w:r>
            <w:r>
              <w:rPr>
                <w:rFonts w:hint="eastAsia" w:ascii="Times New Roman" w:hAnsi="Times New Roman" w:eastAsia="宋体"/>
                <w:b/>
                <w:bCs/>
                <w:color w:val="auto"/>
                <w:sz w:val="21"/>
                <w:szCs w:val="21"/>
                <w:vertAlign w:val="superscript"/>
                <w:lang w:val="en-US" w:eastAsia="zh-CN"/>
              </w:rPr>
              <w:t>3</w:t>
            </w:r>
            <w:r>
              <w:rPr>
                <w:rFonts w:hint="eastAsia" w:ascii="Times New Roman" w:hAnsi="Times New Roman" w:eastAsia="宋体"/>
                <w:b/>
                <w:bCs/>
                <w:color w:val="auto"/>
                <w:sz w:val="21"/>
                <w:szCs w:val="21"/>
                <w:vertAlign w:val="baseline"/>
                <w:lang w:val="en-US" w:eastAsia="zh-CN"/>
              </w:rPr>
              <w:t>/d</w:t>
            </w:r>
          </w:p>
        </w:tc>
      </w:tr>
    </w:tbl>
    <w:p w14:paraId="5E28E512">
      <w:pPr>
        <w:pStyle w:val="5"/>
        <w:bidi w:val="0"/>
        <w:rPr>
          <w:rFonts w:hint="default"/>
          <w:color w:val="auto"/>
          <w:lang w:val="en-US" w:eastAsia="zh-CN"/>
        </w:rPr>
      </w:pPr>
      <w:r>
        <w:rPr>
          <w:rFonts w:hint="eastAsia"/>
          <w:color w:val="auto"/>
          <w:lang w:val="en-US" w:eastAsia="zh-CN"/>
        </w:rPr>
        <w:t>3.8.2伴生气平衡分析</w:t>
      </w:r>
    </w:p>
    <w:p w14:paraId="2E5E8C1B">
      <w:pPr>
        <w:pStyle w:val="33"/>
        <w:bidi w:val="0"/>
        <w:rPr>
          <w:color w:val="auto"/>
        </w:rPr>
      </w:pPr>
      <w:r>
        <w:rPr>
          <w:color w:val="auto"/>
        </w:rPr>
        <w:t>本</w:t>
      </w:r>
      <w:r>
        <w:rPr>
          <w:rFonts w:hint="eastAsia"/>
          <w:color w:val="auto"/>
          <w:lang w:val="en-US" w:eastAsia="zh-CN"/>
        </w:rPr>
        <w:t>工程</w:t>
      </w:r>
      <w:r>
        <w:rPr>
          <w:color w:val="auto"/>
        </w:rPr>
        <w:t>伴生气产生量</w:t>
      </w:r>
      <w:r>
        <w:rPr>
          <w:rFonts w:hint="eastAsia"/>
          <w:color w:val="auto"/>
          <w:lang w:val="en-US" w:eastAsia="zh-CN"/>
        </w:rPr>
        <w:t>621.97</w:t>
      </w:r>
      <w:r>
        <w:rPr>
          <w:color w:val="auto"/>
        </w:rPr>
        <w:t>×10</w:t>
      </w:r>
      <w:r>
        <w:rPr>
          <w:color w:val="auto"/>
          <w:vertAlign w:val="superscript"/>
        </w:rPr>
        <w:t>4</w:t>
      </w:r>
      <w:r>
        <w:rPr>
          <w:color w:val="auto"/>
        </w:rPr>
        <w:t>m</w:t>
      </w:r>
      <w:r>
        <w:rPr>
          <w:color w:val="auto"/>
          <w:vertAlign w:val="superscript"/>
        </w:rPr>
        <w:t>3</w:t>
      </w:r>
      <w:r>
        <w:rPr>
          <w:color w:val="auto"/>
        </w:rPr>
        <w:t>/a</w:t>
      </w:r>
      <w:r>
        <w:rPr>
          <w:rFonts w:hint="eastAsia"/>
          <w:color w:val="auto"/>
          <w:lang w:eastAsia="zh-CN"/>
        </w:rPr>
        <w:t>（</w:t>
      </w:r>
      <w:r>
        <w:rPr>
          <w:rFonts w:hint="eastAsia"/>
          <w:color w:val="auto"/>
          <w:lang w:val="en-US" w:eastAsia="zh-CN"/>
        </w:rPr>
        <w:t>含改密闭</w:t>
      </w:r>
      <w:r>
        <w:rPr>
          <w:rFonts w:hint="eastAsia"/>
          <w:color w:val="auto"/>
          <w:lang w:eastAsia="zh-CN"/>
        </w:rPr>
        <w:t>），</w:t>
      </w:r>
      <w:r>
        <w:rPr>
          <w:color w:val="auto"/>
        </w:rPr>
        <w:t>伴生气损耗主要是油气集输过程中的无组织损耗，占伴生气产量的0.2%</w:t>
      </w:r>
      <w:r>
        <w:rPr>
          <w:rFonts w:hint="eastAsia"/>
          <w:color w:val="auto"/>
          <w:lang w:eastAsia="zh-CN"/>
        </w:rPr>
        <w:t>；</w:t>
      </w:r>
      <w:r>
        <w:rPr>
          <w:color w:val="auto"/>
        </w:rPr>
        <w:t>伴生气综合利用率为</w:t>
      </w:r>
      <w:r>
        <w:rPr>
          <w:rFonts w:hint="eastAsia"/>
          <w:color w:val="auto"/>
          <w:lang w:val="en-US" w:eastAsia="zh-CN"/>
        </w:rPr>
        <w:t>99.8</w:t>
      </w:r>
      <w:r>
        <w:rPr>
          <w:color w:val="auto"/>
        </w:rPr>
        <w:t>%，具体情况见</w:t>
      </w:r>
      <w:r>
        <w:rPr>
          <w:rFonts w:hint="default"/>
          <w:color w:val="auto"/>
          <w:lang w:val="en-US"/>
        </w:rPr>
        <w:fldChar w:fldCharType="begin"/>
      </w:r>
      <w:r>
        <w:rPr>
          <w:rFonts w:hint="default"/>
          <w:color w:val="auto"/>
          <w:lang w:val="en-US"/>
        </w:rPr>
        <w:instrText xml:space="preserve"> REF _Ref24748 \h </w:instrText>
      </w:r>
      <w:r>
        <w:rPr>
          <w:rFonts w:hint="default"/>
          <w:color w:val="auto"/>
          <w:lang w:val="en-US"/>
        </w:rPr>
        <w:fldChar w:fldCharType="separate"/>
      </w:r>
      <w:r>
        <w:rPr>
          <w:color w:val="auto"/>
        </w:rPr>
        <w:t>表</w:t>
      </w:r>
      <w:r>
        <w:rPr>
          <w:rFonts w:hint="eastAsia"/>
          <w:color w:val="auto"/>
          <w:lang w:val="en-US" w:eastAsia="zh-CN"/>
        </w:rPr>
        <w:t>3</w:t>
      </w:r>
      <w:r>
        <w:rPr>
          <w:rFonts w:hint="default"/>
          <w:color w:val="auto"/>
          <w:lang w:val="en-US"/>
        </w:rPr>
        <w:fldChar w:fldCharType="end"/>
      </w:r>
      <w:r>
        <w:rPr>
          <w:rFonts w:hint="eastAsia"/>
          <w:color w:val="auto"/>
          <w:lang w:val="en-US" w:eastAsia="zh-CN"/>
        </w:rPr>
        <w:t>.8-2</w:t>
      </w:r>
      <w:r>
        <w:rPr>
          <w:color w:val="auto"/>
        </w:rPr>
        <w:t>。</w:t>
      </w:r>
    </w:p>
    <w:p w14:paraId="00179934">
      <w:pPr>
        <w:pStyle w:val="43"/>
        <w:bidi w:val="0"/>
        <w:rPr>
          <w:rFonts w:cs="Times New Roman"/>
          <w:color w:val="auto"/>
        </w:rPr>
      </w:pPr>
      <w:bookmarkStart w:id="168" w:name="_Ref24748"/>
      <w:r>
        <w:rPr>
          <w:color w:val="auto"/>
        </w:rPr>
        <w:t>表</w:t>
      </w:r>
      <w:bookmarkEnd w:id="168"/>
      <w:r>
        <w:rPr>
          <w:rFonts w:hint="eastAsia"/>
          <w:color w:val="auto"/>
          <w:lang w:val="en-US" w:eastAsia="zh-CN"/>
        </w:rPr>
        <w:t>3.8-2</w:t>
      </w:r>
      <w:r>
        <w:rPr>
          <w:rFonts w:cs="Times New Roman"/>
          <w:color w:val="auto"/>
        </w:rPr>
        <w:t xml:space="preserve">  项目伴生气平衡表</w:t>
      </w:r>
    </w:p>
    <w:tbl>
      <w:tblPr>
        <w:tblStyle w:val="28"/>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3600"/>
        <w:gridCol w:w="1726"/>
        <w:gridCol w:w="2369"/>
      </w:tblGrid>
      <w:tr w14:paraId="5AB7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shd w:val="clear" w:color="auto" w:fill="auto"/>
            <w:vAlign w:val="center"/>
          </w:tcPr>
          <w:p w14:paraId="04877F4D">
            <w:pPr>
              <w:bidi w:val="0"/>
              <w:jc w:val="center"/>
              <w:rPr>
                <w:rFonts w:hint="default"/>
                <w:b/>
                <w:bCs/>
                <w:color w:val="auto"/>
                <w:lang w:val="en-US" w:eastAsia="zh-CN"/>
              </w:rPr>
            </w:pPr>
            <w:bookmarkStart w:id="169" w:name="_Toc4190"/>
            <w:r>
              <w:rPr>
                <w:rFonts w:hint="default"/>
                <w:b/>
                <w:bCs/>
                <w:color w:val="auto"/>
              </w:rPr>
              <w:t>序号</w:t>
            </w:r>
          </w:p>
        </w:tc>
        <w:tc>
          <w:tcPr>
            <w:tcW w:w="3600" w:type="dxa"/>
            <w:shd w:val="clear" w:color="auto" w:fill="auto"/>
            <w:vAlign w:val="center"/>
          </w:tcPr>
          <w:p w14:paraId="40B3C64F">
            <w:pPr>
              <w:bidi w:val="0"/>
              <w:jc w:val="center"/>
              <w:rPr>
                <w:rFonts w:hint="default"/>
                <w:b/>
                <w:bCs/>
                <w:color w:val="auto"/>
                <w:lang w:val="en-US" w:eastAsia="zh-CN"/>
              </w:rPr>
            </w:pPr>
            <w:r>
              <w:rPr>
                <w:rFonts w:hint="default"/>
                <w:b/>
                <w:bCs/>
                <w:color w:val="auto"/>
              </w:rPr>
              <w:t>分类</w:t>
            </w:r>
          </w:p>
        </w:tc>
        <w:tc>
          <w:tcPr>
            <w:tcW w:w="1726" w:type="dxa"/>
            <w:shd w:val="clear" w:color="auto" w:fill="auto"/>
            <w:vAlign w:val="center"/>
          </w:tcPr>
          <w:p w14:paraId="2A89B960">
            <w:pPr>
              <w:bidi w:val="0"/>
              <w:jc w:val="center"/>
              <w:rPr>
                <w:rFonts w:hint="default"/>
                <w:b/>
                <w:bCs/>
                <w:color w:val="auto"/>
                <w:lang w:val="en-US" w:eastAsia="zh-CN"/>
              </w:rPr>
            </w:pPr>
            <w:r>
              <w:rPr>
                <w:rFonts w:hint="default"/>
                <w:b/>
                <w:bCs/>
                <w:color w:val="auto"/>
              </w:rPr>
              <w:t>数量</w:t>
            </w:r>
          </w:p>
        </w:tc>
        <w:tc>
          <w:tcPr>
            <w:tcW w:w="2369" w:type="dxa"/>
            <w:shd w:val="clear" w:color="auto" w:fill="auto"/>
            <w:vAlign w:val="center"/>
          </w:tcPr>
          <w:p w14:paraId="0907B5A0">
            <w:pPr>
              <w:bidi w:val="0"/>
              <w:jc w:val="center"/>
              <w:rPr>
                <w:rFonts w:hint="default"/>
                <w:b/>
                <w:bCs/>
                <w:color w:val="auto"/>
                <w:lang w:val="en-US" w:eastAsia="zh-CN"/>
              </w:rPr>
            </w:pPr>
            <w:r>
              <w:rPr>
                <w:rFonts w:hint="default"/>
                <w:b/>
                <w:bCs/>
                <w:color w:val="auto"/>
              </w:rPr>
              <w:t>占伴生气总产量比例</w:t>
            </w:r>
          </w:p>
        </w:tc>
      </w:tr>
      <w:tr w14:paraId="6325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shd w:val="clear" w:color="auto" w:fill="auto"/>
            <w:vAlign w:val="center"/>
          </w:tcPr>
          <w:p w14:paraId="64D4DBED">
            <w:pPr>
              <w:bidi w:val="0"/>
              <w:jc w:val="center"/>
              <w:rPr>
                <w:rFonts w:hint="default"/>
                <w:color w:val="auto"/>
                <w:lang w:val="en-US" w:eastAsia="zh-CN"/>
              </w:rPr>
            </w:pPr>
            <w:r>
              <w:rPr>
                <w:rFonts w:hint="default"/>
                <w:color w:val="auto"/>
              </w:rPr>
              <w:t>1</w:t>
            </w:r>
          </w:p>
        </w:tc>
        <w:tc>
          <w:tcPr>
            <w:tcW w:w="3600" w:type="dxa"/>
            <w:shd w:val="clear" w:color="auto" w:fill="auto"/>
            <w:vAlign w:val="center"/>
          </w:tcPr>
          <w:p w14:paraId="164C3A5E">
            <w:pPr>
              <w:bidi w:val="0"/>
              <w:jc w:val="center"/>
              <w:rPr>
                <w:rFonts w:hint="default"/>
                <w:color w:val="auto"/>
                <w:lang w:val="en-US" w:eastAsia="zh-CN"/>
              </w:rPr>
            </w:pPr>
            <w:r>
              <w:rPr>
                <w:rFonts w:hint="default"/>
                <w:color w:val="auto"/>
              </w:rPr>
              <w:t>伴生气量（10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/a）</w:t>
            </w:r>
          </w:p>
        </w:tc>
        <w:tc>
          <w:tcPr>
            <w:tcW w:w="1726" w:type="dxa"/>
            <w:shd w:val="clear" w:color="auto" w:fill="auto"/>
            <w:vAlign w:val="center"/>
          </w:tcPr>
          <w:p w14:paraId="33EE5D31">
            <w:pPr>
              <w:bidi w:val="0"/>
              <w:jc w:val="center"/>
              <w:rPr>
                <w:rFonts w:hint="default"/>
                <w:color w:val="auto"/>
                <w:lang w:val="en-US" w:eastAsia="zh-CN"/>
              </w:rPr>
            </w:pPr>
            <w:r>
              <w:rPr>
                <w:rFonts w:hint="eastAsia"/>
                <w:color w:val="auto"/>
                <w:lang w:val="en-US" w:eastAsia="zh-CN"/>
              </w:rPr>
              <w:t>621.97</w:t>
            </w:r>
          </w:p>
        </w:tc>
        <w:tc>
          <w:tcPr>
            <w:tcW w:w="2369" w:type="dxa"/>
            <w:shd w:val="clear" w:color="auto" w:fill="auto"/>
            <w:vAlign w:val="center"/>
          </w:tcPr>
          <w:p w14:paraId="3814A125">
            <w:pPr>
              <w:bidi w:val="0"/>
              <w:jc w:val="center"/>
              <w:rPr>
                <w:rFonts w:hint="default"/>
                <w:color w:val="auto"/>
                <w:lang w:val="en-US" w:eastAsia="zh-CN"/>
              </w:rPr>
            </w:pPr>
            <w:r>
              <w:rPr>
                <w:rFonts w:hint="default"/>
                <w:color w:val="auto"/>
              </w:rPr>
              <w:t>100.0</w:t>
            </w:r>
          </w:p>
        </w:tc>
      </w:tr>
      <w:tr w14:paraId="75DD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shd w:val="clear" w:color="auto" w:fill="auto"/>
            <w:vAlign w:val="center"/>
          </w:tcPr>
          <w:p w14:paraId="6315EA1F">
            <w:pPr>
              <w:bidi w:val="0"/>
              <w:jc w:val="center"/>
              <w:rPr>
                <w:rFonts w:hint="default"/>
                <w:color w:val="auto"/>
                <w:lang w:val="en-US" w:eastAsia="zh-CN"/>
              </w:rPr>
            </w:pPr>
            <w:r>
              <w:rPr>
                <w:rFonts w:hint="default"/>
                <w:color w:val="auto"/>
              </w:rPr>
              <w:t>2</w:t>
            </w:r>
          </w:p>
        </w:tc>
        <w:tc>
          <w:tcPr>
            <w:tcW w:w="3600" w:type="dxa"/>
            <w:shd w:val="clear" w:color="auto" w:fill="auto"/>
            <w:vAlign w:val="center"/>
          </w:tcPr>
          <w:p w14:paraId="67D87E2E">
            <w:pPr>
              <w:bidi w:val="0"/>
              <w:jc w:val="center"/>
              <w:rPr>
                <w:rFonts w:hint="default"/>
                <w:color w:val="auto"/>
                <w:lang w:val="en-US" w:eastAsia="zh-CN"/>
              </w:rPr>
            </w:pPr>
            <w:r>
              <w:rPr>
                <w:rFonts w:hint="default"/>
                <w:color w:val="auto"/>
              </w:rPr>
              <w:t>综合利用量（10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/a）</w:t>
            </w:r>
          </w:p>
        </w:tc>
        <w:tc>
          <w:tcPr>
            <w:tcW w:w="1726" w:type="dxa"/>
            <w:shd w:val="clear" w:color="auto" w:fill="auto"/>
            <w:vAlign w:val="center"/>
          </w:tcPr>
          <w:p w14:paraId="2BDC3797">
            <w:pPr>
              <w:bidi w:val="0"/>
              <w:jc w:val="center"/>
              <w:rPr>
                <w:rFonts w:hint="default"/>
                <w:color w:val="auto"/>
                <w:lang w:val="en-US" w:eastAsia="zh-CN"/>
              </w:rPr>
            </w:pPr>
            <w:r>
              <w:rPr>
                <w:rFonts w:hint="eastAsia"/>
                <w:color w:val="auto"/>
                <w:lang w:val="en-US" w:eastAsia="zh-CN"/>
              </w:rPr>
              <w:t>620.73</w:t>
            </w:r>
          </w:p>
        </w:tc>
        <w:tc>
          <w:tcPr>
            <w:tcW w:w="2369" w:type="dxa"/>
            <w:shd w:val="clear" w:color="auto" w:fill="auto"/>
            <w:vAlign w:val="center"/>
          </w:tcPr>
          <w:p w14:paraId="07EF9043">
            <w:pPr>
              <w:bidi w:val="0"/>
              <w:jc w:val="center"/>
              <w:rPr>
                <w:rFonts w:hint="default"/>
                <w:color w:val="auto"/>
                <w:lang w:val="en-US" w:eastAsia="zh-CN"/>
              </w:rPr>
            </w:pPr>
            <w:r>
              <w:rPr>
                <w:rFonts w:hint="default"/>
                <w:color w:val="auto"/>
              </w:rPr>
              <w:t>99.8</w:t>
            </w:r>
          </w:p>
        </w:tc>
      </w:tr>
      <w:tr w14:paraId="3573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shd w:val="clear" w:color="auto" w:fill="auto"/>
            <w:vAlign w:val="center"/>
          </w:tcPr>
          <w:p w14:paraId="1451587A">
            <w:pPr>
              <w:bidi w:val="0"/>
              <w:jc w:val="center"/>
              <w:rPr>
                <w:rFonts w:hint="default"/>
                <w:color w:val="auto"/>
                <w:lang w:val="en-US" w:eastAsia="zh-CN"/>
              </w:rPr>
            </w:pPr>
            <w:r>
              <w:rPr>
                <w:rFonts w:hint="default"/>
                <w:color w:val="auto"/>
              </w:rPr>
              <w:t>3</w:t>
            </w:r>
          </w:p>
        </w:tc>
        <w:tc>
          <w:tcPr>
            <w:tcW w:w="3600" w:type="dxa"/>
            <w:shd w:val="clear" w:color="auto" w:fill="auto"/>
            <w:vAlign w:val="center"/>
          </w:tcPr>
          <w:p w14:paraId="5DF628B8">
            <w:pPr>
              <w:bidi w:val="0"/>
              <w:jc w:val="center"/>
              <w:rPr>
                <w:rFonts w:hint="default"/>
                <w:color w:val="auto"/>
                <w:lang w:val="en-US" w:eastAsia="zh-CN"/>
              </w:rPr>
            </w:pPr>
            <w:r>
              <w:rPr>
                <w:rFonts w:hint="default"/>
                <w:color w:val="auto"/>
              </w:rPr>
              <w:t>开发过程气体损耗量（10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/a）</w:t>
            </w:r>
          </w:p>
        </w:tc>
        <w:tc>
          <w:tcPr>
            <w:tcW w:w="1726" w:type="dxa"/>
            <w:shd w:val="clear" w:color="auto" w:fill="auto"/>
            <w:vAlign w:val="center"/>
          </w:tcPr>
          <w:p w14:paraId="3E113C8B">
            <w:pPr>
              <w:bidi w:val="0"/>
              <w:jc w:val="center"/>
              <w:rPr>
                <w:rFonts w:hint="default"/>
                <w:color w:val="auto"/>
                <w:lang w:val="en-US" w:eastAsia="zh-CN"/>
              </w:rPr>
            </w:pPr>
            <w:r>
              <w:rPr>
                <w:rFonts w:hint="eastAsia"/>
                <w:color w:val="auto"/>
                <w:lang w:val="en-US" w:eastAsia="zh-CN"/>
              </w:rPr>
              <w:t>1.24</w:t>
            </w:r>
          </w:p>
        </w:tc>
        <w:tc>
          <w:tcPr>
            <w:tcW w:w="2369" w:type="dxa"/>
            <w:shd w:val="clear" w:color="auto" w:fill="auto"/>
            <w:vAlign w:val="center"/>
          </w:tcPr>
          <w:p w14:paraId="01CB8DF3">
            <w:pPr>
              <w:bidi w:val="0"/>
              <w:jc w:val="center"/>
              <w:rPr>
                <w:rFonts w:hint="default"/>
                <w:color w:val="auto"/>
                <w:lang w:val="en-US" w:eastAsia="zh-CN"/>
              </w:rPr>
            </w:pPr>
            <w:r>
              <w:rPr>
                <w:rFonts w:hint="default"/>
                <w:color w:val="auto"/>
              </w:rPr>
              <w:t>0.2</w:t>
            </w:r>
          </w:p>
        </w:tc>
      </w:tr>
    </w:tbl>
    <w:p w14:paraId="289E7788">
      <w:pPr>
        <w:pStyle w:val="2"/>
        <w:bidi w:val="0"/>
        <w:rPr>
          <w:rFonts w:hint="default"/>
          <w:color w:val="auto"/>
          <w:lang w:val="en-US" w:eastAsia="zh-CN"/>
        </w:rPr>
      </w:pPr>
      <w:r>
        <w:rPr>
          <w:rFonts w:hint="eastAsia"/>
          <w:color w:val="auto"/>
          <w:lang w:val="en-US" w:eastAsia="zh-CN"/>
        </w:rPr>
        <w:t>3.9工程分析</w:t>
      </w:r>
      <w:bookmarkEnd w:id="169"/>
    </w:p>
    <w:p w14:paraId="5BB266CE">
      <w:pPr>
        <w:pStyle w:val="5"/>
        <w:bidi w:val="0"/>
        <w:rPr>
          <w:rFonts w:hint="default"/>
          <w:color w:val="auto"/>
          <w:lang w:val="en-US" w:eastAsia="zh-CN"/>
        </w:rPr>
      </w:pPr>
      <w:r>
        <w:rPr>
          <w:rFonts w:hint="eastAsia"/>
          <w:color w:val="auto"/>
          <w:lang w:val="en-US" w:eastAsia="zh-CN"/>
        </w:rPr>
        <w:t>3.9.1污染影响因素分析</w:t>
      </w:r>
    </w:p>
    <w:p w14:paraId="21485630">
      <w:pPr>
        <w:pStyle w:val="6"/>
        <w:bidi w:val="0"/>
        <w:rPr>
          <w:rFonts w:hint="default"/>
          <w:color w:val="auto"/>
          <w:lang w:val="en-US" w:eastAsia="zh-CN"/>
        </w:rPr>
      </w:pPr>
      <w:r>
        <w:rPr>
          <w:rFonts w:hint="eastAsia"/>
          <w:color w:val="auto"/>
          <w:lang w:val="en-US" w:eastAsia="zh-CN"/>
        </w:rPr>
        <w:t>3.9.1.1施工期污染因素分析</w:t>
      </w:r>
    </w:p>
    <w:p w14:paraId="68773C20">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1、施工期工艺流程分析</w:t>
      </w:r>
    </w:p>
    <w:p w14:paraId="4A07898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项目施工期为地面工程建设，主要包括集油管线的敷设、井场设备的安装和阀池的建设等建设，此外还包括供电、通信等工程。单罐井改密闭集输后现场单罐目前不进行拆除，后期根据其他井场需要再进行拆除，故本次不对其拆除进行影响分析。地面工程建设破坏地表植被，改变地表形态，对景观环境产生一定影响。</w:t>
      </w:r>
    </w:p>
    <w:p w14:paraId="53375A2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（1）施工工艺</w:t>
      </w:r>
    </w:p>
    <w:p w14:paraId="5F2294D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管线施工均采用埋地敷设，管线管底标高-1.8m，根据工程方案，本次拟建管线大开挖穿越油田内部简易道路</w:t>
      </w:r>
      <w:r>
        <w:rPr>
          <w:rFonts w:hint="eastAsia" w:cstheme="minorBidi"/>
          <w:color w:val="auto"/>
          <w:kern w:val="2"/>
          <w:sz w:val="24"/>
          <w:szCs w:val="24"/>
          <w:lang w:val="en-US" w:eastAsia="zh-CN" w:bidi="ar-SA"/>
        </w:rPr>
        <w:t>2</w:t>
      </w:r>
      <w:r>
        <w:rPr>
          <w:rFonts w:hint="eastAsia" w:ascii="Times New Roman" w:hAnsi="Times New Roman" w:eastAsia="宋体" w:cstheme="minorBidi"/>
          <w:color w:val="auto"/>
          <w:kern w:val="2"/>
          <w:sz w:val="24"/>
          <w:szCs w:val="24"/>
          <w:lang w:val="en-US" w:eastAsia="zh-CN" w:bidi="ar-SA"/>
        </w:rPr>
        <w:t>处，</w:t>
      </w:r>
      <w:r>
        <w:rPr>
          <w:rFonts w:hint="default" w:ascii="Times New Roman" w:hAnsi="Times New Roman" w:eastAsia="宋体" w:cstheme="minorBidi"/>
          <w:color w:val="auto"/>
          <w:kern w:val="2"/>
          <w:sz w:val="24"/>
          <w:szCs w:val="24"/>
          <w:lang w:val="en-US" w:eastAsia="zh-CN" w:bidi="ar-SA"/>
        </w:rPr>
        <w:t>并设套管保护，穿越完毕后恢复原有路面</w:t>
      </w:r>
      <w:r>
        <w:rPr>
          <w:rFonts w:hint="eastAsia" w:ascii="Times New Roman" w:hAnsi="Times New Roman" w:eastAsia="宋体" w:cstheme="minorBidi"/>
          <w:color w:val="auto"/>
          <w:kern w:val="2"/>
          <w:sz w:val="24"/>
          <w:szCs w:val="24"/>
          <w:lang w:val="en-US" w:eastAsia="zh-CN" w:bidi="ar-SA"/>
        </w:rPr>
        <w:t>；顶管穿越油田沥青道路</w:t>
      </w:r>
      <w:r>
        <w:rPr>
          <w:rFonts w:hint="eastAsia" w:cstheme="minorBidi"/>
          <w:color w:val="auto"/>
          <w:kern w:val="2"/>
          <w:sz w:val="24"/>
          <w:szCs w:val="24"/>
          <w:lang w:val="en-US" w:eastAsia="zh-CN" w:bidi="ar-SA"/>
        </w:rPr>
        <w:t>3处</w:t>
      </w:r>
      <w:r>
        <w:rPr>
          <w:rFonts w:hint="eastAsia" w:ascii="Times New Roman" w:hAnsi="Times New Roman" w:eastAsia="宋体" w:cstheme="minorBidi"/>
          <w:color w:val="auto"/>
          <w:kern w:val="2"/>
          <w:sz w:val="24"/>
          <w:szCs w:val="24"/>
          <w:lang w:val="en-US" w:eastAsia="zh-CN" w:bidi="ar-SA"/>
        </w:rPr>
        <w:t>和防洪坝1处。</w:t>
      </w:r>
    </w:p>
    <w:p w14:paraId="354EDF6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（2）施工时序</w:t>
      </w:r>
    </w:p>
    <w:p w14:paraId="20B9C0A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①施工放线、场地清理</w:t>
      </w:r>
    </w:p>
    <w:p w14:paraId="4AE6862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管道施工初期，首先要对施工作业带进行清理和平整，根据施工图坐标点施工放线，并撒白灰线作为施工作业带边界，最后清理施工现场，以便施工人员、车辆、管材等进入施工场地。本工程乌尔禾区管线施工作业带宽度为4.5m，和布克赛尔蒙古自治县管线施工作业带宽度为8m。</w:t>
      </w:r>
    </w:p>
    <w:p w14:paraId="57E9444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②管沟开挖/穿越</w:t>
      </w:r>
    </w:p>
    <w:p w14:paraId="2744A0B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管沟开挖/穿越以机械为主，仍为辅的方式。施工前按照设计图纸及各个区域的地质情况向施工人员做好管沟断面的开挖要求（开挖深度及边坡比）、堆土位置及技术要求等交底工作。管沟开挖过程中，应经常检查管沟开挖尺寸，确保管沟成型质量。管沟开挖应分层开挖、分层堆放，分层回填。管沟成型后，应进行检查。</w:t>
      </w:r>
    </w:p>
    <w:p w14:paraId="599A6BC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③管道运输、布管</w:t>
      </w:r>
    </w:p>
    <w:p w14:paraId="2A5D79A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管道装卸运输时应采取保护措施，防止对防腐层损坏，管道运输至现场后应用专用吊具小心吊放，按指定位置卸管，管道运输和布管在管沟堆土的另一侧进行，布管过程中不允许地面</w:t>
      </w:r>
      <w:r>
        <w:rPr>
          <w:rFonts w:hint="eastAsia" w:cstheme="minorBidi"/>
          <w:color w:val="auto"/>
          <w:kern w:val="2"/>
          <w:sz w:val="24"/>
          <w:szCs w:val="24"/>
          <w:lang w:val="en-US" w:eastAsia="zh-CN" w:bidi="ar-SA"/>
        </w:rPr>
        <w:t>拖拉</w:t>
      </w:r>
      <w:r>
        <w:rPr>
          <w:rFonts w:hint="eastAsia" w:ascii="Times New Roman" w:hAnsi="Times New Roman" w:eastAsia="宋体" w:cstheme="minorBidi"/>
          <w:color w:val="auto"/>
          <w:kern w:val="2"/>
          <w:sz w:val="24"/>
          <w:szCs w:val="24"/>
          <w:lang w:val="en-US" w:eastAsia="zh-CN" w:bidi="ar-SA"/>
        </w:rPr>
        <w:t>。施工单位检查验收，合格后方可使用。</w:t>
      </w:r>
    </w:p>
    <w:p w14:paraId="5D6DA9F0">
      <w:pPr>
        <w:pStyle w:val="33"/>
        <w:bidi w:val="0"/>
        <w:rPr>
          <w:rFonts w:hint="default"/>
          <w:color w:val="auto"/>
          <w:lang w:val="en-US" w:eastAsia="zh-CN"/>
        </w:rPr>
      </w:pPr>
      <w:r>
        <w:rPr>
          <w:rFonts w:hint="eastAsia"/>
          <w:color w:val="auto"/>
          <w:lang w:val="en-US" w:eastAsia="zh-CN"/>
        </w:rPr>
        <w:t>④焊接、防腐、补口、补伤</w:t>
      </w:r>
    </w:p>
    <w:p w14:paraId="22B9CBC5">
      <w:pPr>
        <w:pStyle w:val="33"/>
        <w:bidi w:val="0"/>
        <w:rPr>
          <w:rFonts w:hint="eastAsia"/>
          <w:color w:val="auto"/>
          <w:lang w:val="en-US" w:eastAsia="zh-CN"/>
        </w:rPr>
      </w:pPr>
      <w:r>
        <w:rPr>
          <w:rFonts w:hint="eastAsia"/>
          <w:color w:val="auto"/>
          <w:lang w:val="en-US" w:eastAsia="zh-CN"/>
        </w:rPr>
        <w:t>管道焊接前，施工单位应进行焊接性能试验，管道焊接施焊人员持有特种作业资格证书并持证上岗。管道焊接检查坡口，清除坡口表面及其两侧至少20mm范围内的铁锈、水分和灰尘，焊缝表面整齐均匀无裂纹、未熔合、气孔、夹渣、凹陷及其他缺陷。</w:t>
      </w:r>
    </w:p>
    <w:p w14:paraId="78B452E4">
      <w:pPr>
        <w:pStyle w:val="3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埋地钢管防腐层采用熔结环氧粉末一次成膜结构，防腐层厚度≥300μm；钢管和热塑性塑料内衬玻璃钢复合管的保温层采用聚氨酯泡沫塑料，厚度≥30mm，保温管轴向偏心量±3mm；防护层采用聚乙烯专用料，厚度≥1.4mm。采用</w:t>
      </w:r>
      <w:r>
        <w:rPr>
          <w:rFonts w:hint="eastAsia" w:ascii="宋体" w:hAnsi="宋体" w:eastAsia="宋体" w:cs="宋体"/>
          <w:color w:val="auto"/>
          <w:lang w:val="en-US" w:eastAsia="zh-CN"/>
        </w:rPr>
        <w:t>“一步法”成</w:t>
      </w:r>
      <w:r>
        <w:rPr>
          <w:rFonts w:hint="default" w:ascii="Times New Roman" w:hAnsi="Times New Roman" w:cs="Times New Roman"/>
          <w:color w:val="auto"/>
          <w:lang w:val="en-US" w:eastAsia="zh-CN"/>
        </w:rPr>
        <w:t>型工艺。柔性复合管保温层及防护层由管道厂家自带。</w:t>
      </w:r>
    </w:p>
    <w:p w14:paraId="75D3ED43">
      <w:pPr>
        <w:pStyle w:val="3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防腐层有漏点、机械损伤等缺陷时应进行补伤，补伤时，应先对漏点或损伤进行清理，并将其周围50mm范围内搭接处的防腐层用粗砂纸打磨粗糙，然后采用刷涂或刮涂进行修补；对破损处已裸露的钢表面应进行人工除锈处理，等级达到ST3级，补涂涂层实干后应再次进行漏点检查并合格。</w:t>
      </w:r>
    </w:p>
    <w:p w14:paraId="3338679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⑤下管入沟</w:t>
      </w:r>
    </w:p>
    <w:p w14:paraId="3CCD0E6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default" w:ascii="Times New Roman" w:hAnsi="Times New Roman" w:eastAsia="宋体" w:cstheme="minorBidi"/>
          <w:color w:val="auto"/>
          <w:kern w:val="2"/>
          <w:sz w:val="24"/>
          <w:szCs w:val="24"/>
          <w:lang w:val="en-US" w:eastAsia="zh-CN" w:bidi="ar-SA"/>
        </w:rPr>
        <w:t>管道下沟前应将沟内平整清除干净，管道下沟起吊必须用专用吊具，吊管间距不大于17m，起吊高度1m，起吊点距管道环向焊缝距离不小于2m，轻放至管沟内，严防损伤管道及其防腐层。</w:t>
      </w:r>
    </w:p>
    <w:p w14:paraId="5A82FBD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⑥清管、试压、覆土</w:t>
      </w:r>
    </w:p>
    <w:p w14:paraId="155C0CF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清管在进行试压前必须采用清管器进行清管，并不应少于四次。清管应确保将管道内的污物清除干净。</w:t>
      </w:r>
    </w:p>
    <w:p w14:paraId="73D11C3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管道应采用无腐蚀性洁净水作为试压介质，进行强度和严密性试压，其力值、允许降稳时间应满足</w:t>
      </w:r>
      <w:r>
        <w:rPr>
          <w:rFonts w:hint="eastAsia" w:cstheme="minorBidi"/>
          <w:color w:val="auto"/>
          <w:kern w:val="2"/>
          <w:sz w:val="24"/>
          <w:szCs w:val="24"/>
          <w:lang w:val="en-US" w:eastAsia="zh-CN" w:bidi="ar-SA"/>
        </w:rPr>
        <w:t>相关</w:t>
      </w:r>
      <w:r>
        <w:rPr>
          <w:rFonts w:hint="eastAsia" w:ascii="Times New Roman" w:hAnsi="Times New Roman" w:eastAsia="宋体" w:cstheme="minorBidi"/>
          <w:color w:val="auto"/>
          <w:kern w:val="2"/>
          <w:sz w:val="24"/>
          <w:szCs w:val="24"/>
          <w:lang w:val="en-US" w:eastAsia="zh-CN" w:bidi="ar-SA"/>
        </w:rPr>
        <w:t>规范要求，对于不合格的管段查出原因及时泄压修补后重新试直至满足要求。</w:t>
      </w:r>
    </w:p>
    <w:p w14:paraId="268988F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回填前，应先检查管槽底部是否平整，管道在槽底是否有悬空的现象，管道下面的回填土是否夯实，管槽中的砖、石、木块等杂物是否清除干净，管道间距是否符合设计要求。即回填前，应检查管槽和管道的施工质量，不符合要求者不得回填；回填时应先用人工回填软土将管道的两侧填实，保证管顶以上软土厚度大于300mm，切不可有尖角石块、大土块、冻土块，然后再用机械设备沿槽壁缓慢回填；管沟回填后按规范修整管堤。</w:t>
      </w:r>
    </w:p>
    <w:p w14:paraId="7036AF5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⑦验收、投运</w:t>
      </w:r>
    </w:p>
    <w:p w14:paraId="64592BB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验收、投运应符合有关管道规范，组织各部门按照有关规定进行验收后投运。</w:t>
      </w:r>
    </w:p>
    <w:p w14:paraId="04EB1B2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施工工艺流程及产污环节示意图见图3.9-1。</w:t>
      </w:r>
    </w:p>
    <w:tbl>
      <w:tblPr>
        <w:tblStyle w:val="28"/>
        <w:tblW w:w="4999"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0"/>
      </w:tblGrid>
      <w:tr w14:paraId="5512BC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5000" w:type="pct"/>
            <w:tcBorders>
              <w:tl2br w:val="nil"/>
              <w:tr2bl w:val="nil"/>
            </w:tcBorders>
            <w:vAlign w:val="center"/>
          </w:tcPr>
          <w:p w14:paraId="5E69C95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object>
                <v:shape id="_x0000_i1030" o:spt="75" type="#_x0000_t75" style="height:354.8pt;width:415.2pt;" o:ole="t" filled="f" o:preferrelative="t" stroked="f" coordsize="21600,21600">
                  <v:path/>
                  <v:fill on="f" focussize="0,0"/>
                  <v:stroke on="f"/>
                  <v:imagedata r:id="rId21" o:title=""/>
                  <o:lock v:ext="edit" aspectratio="f"/>
                  <w10:wrap type="none"/>
                  <w10:anchorlock/>
                </v:shape>
                <o:OLEObject Type="Embed" ProgID="Visio.Drawing.15" ShapeID="_x0000_i1030" DrawAspect="Content" ObjectID="_1468075730" r:id="rId20">
                  <o:LockedField>false</o:LockedField>
                </o:OLEObject>
              </w:object>
            </w:r>
          </w:p>
        </w:tc>
      </w:tr>
      <w:tr w14:paraId="361A57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5000" w:type="pct"/>
            <w:tcBorders>
              <w:tl2br w:val="nil"/>
              <w:tr2bl w:val="nil"/>
            </w:tcBorders>
            <w:vAlign w:val="center"/>
          </w:tcPr>
          <w:p w14:paraId="7F266DBC">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图3.9-1  施工期工艺流程及产污环节示意图</w:t>
            </w:r>
          </w:p>
        </w:tc>
      </w:tr>
    </w:tbl>
    <w:p w14:paraId="5DA17EC0">
      <w:pPr>
        <w:pStyle w:val="33"/>
        <w:bidi w:val="0"/>
        <w:rPr>
          <w:rFonts w:hint="default"/>
          <w:color w:val="auto"/>
          <w:lang w:val="en-US" w:eastAsia="zh-CN"/>
        </w:rPr>
      </w:pPr>
      <w:r>
        <w:rPr>
          <w:rFonts w:hint="eastAsia"/>
          <w:color w:val="auto"/>
          <w:lang w:val="en-US" w:eastAsia="zh-CN"/>
        </w:rPr>
        <w:t>2、施工期产污环节分析</w:t>
      </w:r>
    </w:p>
    <w:p w14:paraId="49983CA6">
      <w:pPr>
        <w:pStyle w:val="33"/>
        <w:bidi w:val="0"/>
        <w:rPr>
          <w:color w:val="auto"/>
        </w:rPr>
      </w:pPr>
      <w:r>
        <w:rPr>
          <w:color w:val="auto"/>
        </w:rPr>
        <w:t>综上，施工期主要污染源及污染</w:t>
      </w:r>
      <w:r>
        <w:rPr>
          <w:rFonts w:hint="eastAsia"/>
          <w:color w:val="auto"/>
          <w:lang w:val="en-US" w:eastAsia="zh-CN"/>
        </w:rPr>
        <w:t>因素</w:t>
      </w:r>
      <w:r>
        <w:rPr>
          <w:color w:val="auto"/>
        </w:rPr>
        <w:t>见</w:t>
      </w:r>
      <w:r>
        <w:rPr>
          <w:color w:val="auto"/>
        </w:rPr>
        <w:fldChar w:fldCharType="begin"/>
      </w:r>
      <w:r>
        <w:rPr>
          <w:color w:val="auto"/>
        </w:rPr>
        <w:instrText xml:space="preserve"> REF _Ref106790060 \h  \* MERGEFORMAT </w:instrText>
      </w:r>
      <w:r>
        <w:rPr>
          <w:color w:val="auto"/>
        </w:rPr>
        <w:fldChar w:fldCharType="separate"/>
      </w:r>
      <w:r>
        <w:rPr>
          <w:color w:val="auto"/>
        </w:rPr>
        <w:t>表</w:t>
      </w:r>
      <w:r>
        <w:rPr>
          <w:rFonts w:hint="eastAsia"/>
          <w:color w:val="auto"/>
          <w:lang w:val="en-US" w:eastAsia="zh-CN"/>
        </w:rPr>
        <w:t>3</w:t>
      </w:r>
      <w:r>
        <w:rPr>
          <w:color w:val="auto"/>
        </w:rPr>
        <w:fldChar w:fldCharType="end"/>
      </w:r>
      <w:r>
        <w:rPr>
          <w:rFonts w:hint="eastAsia"/>
          <w:color w:val="auto"/>
          <w:lang w:val="en-US" w:eastAsia="zh-CN"/>
        </w:rPr>
        <w:t>.9-1</w:t>
      </w:r>
      <w:r>
        <w:rPr>
          <w:color w:val="auto"/>
        </w:rPr>
        <w:t>。</w:t>
      </w:r>
    </w:p>
    <w:p w14:paraId="3FE8B399">
      <w:pPr>
        <w:pStyle w:val="43"/>
        <w:bidi w:val="0"/>
        <w:rPr>
          <w:rFonts w:cs="Times New Roman"/>
          <w:color w:val="auto"/>
        </w:rPr>
      </w:pPr>
      <w:bookmarkStart w:id="170" w:name="_Ref106790060"/>
      <w:r>
        <w:rPr>
          <w:rFonts w:cs="Times New Roman"/>
          <w:color w:val="auto"/>
        </w:rPr>
        <w:t>表</w:t>
      </w:r>
      <w:bookmarkEnd w:id="170"/>
      <w:r>
        <w:rPr>
          <w:rFonts w:hint="eastAsia" w:cs="Times New Roman"/>
          <w:color w:val="auto"/>
          <w:lang w:val="en-US" w:eastAsia="zh-CN"/>
        </w:rPr>
        <w:t>3.9-1</w:t>
      </w:r>
      <w:r>
        <w:rPr>
          <w:rFonts w:cs="Times New Roman"/>
          <w:color w:val="auto"/>
        </w:rPr>
        <w:t xml:space="preserve">  施工期主要污染影响因素表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1217"/>
        <w:gridCol w:w="2665"/>
        <w:gridCol w:w="688"/>
        <w:gridCol w:w="1999"/>
        <w:gridCol w:w="1834"/>
      </w:tblGrid>
      <w:tr w14:paraId="15FC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jc w:val="center"/>
        </w:trPr>
        <w:tc>
          <w:tcPr>
            <w:tcW w:w="724" w:type="pct"/>
            <w:shd w:val="clear" w:color="auto" w:fill="auto"/>
            <w:vAlign w:val="center"/>
          </w:tcPr>
          <w:p w14:paraId="316E2C08">
            <w:pPr>
              <w:pStyle w:val="34"/>
              <w:bidi w:val="0"/>
              <w:rPr>
                <w:rFonts w:hint="default"/>
                <w:b/>
                <w:bCs/>
                <w:color w:val="auto"/>
              </w:rPr>
            </w:pPr>
            <w:r>
              <w:rPr>
                <w:rFonts w:hint="default"/>
                <w:b/>
                <w:bCs/>
                <w:color w:val="auto"/>
              </w:rPr>
              <w:t>作业内容</w:t>
            </w:r>
          </w:p>
        </w:tc>
        <w:tc>
          <w:tcPr>
            <w:tcW w:w="1585" w:type="pct"/>
            <w:shd w:val="clear" w:color="auto" w:fill="auto"/>
            <w:vAlign w:val="center"/>
          </w:tcPr>
          <w:p w14:paraId="6E5FE115">
            <w:pPr>
              <w:pStyle w:val="34"/>
              <w:bidi w:val="0"/>
              <w:rPr>
                <w:rFonts w:hint="default"/>
                <w:b/>
                <w:bCs/>
                <w:color w:val="auto"/>
              </w:rPr>
            </w:pPr>
            <w:r>
              <w:rPr>
                <w:rFonts w:hint="default"/>
                <w:b/>
                <w:bCs/>
                <w:color w:val="auto"/>
              </w:rPr>
              <w:t>主要污染物</w:t>
            </w:r>
          </w:p>
        </w:tc>
        <w:tc>
          <w:tcPr>
            <w:tcW w:w="409" w:type="pct"/>
            <w:shd w:val="clear" w:color="auto" w:fill="auto"/>
            <w:vAlign w:val="center"/>
          </w:tcPr>
          <w:p w14:paraId="65FBB0C9">
            <w:pPr>
              <w:pStyle w:val="34"/>
              <w:bidi w:val="0"/>
              <w:rPr>
                <w:rFonts w:hint="default"/>
                <w:b/>
                <w:bCs/>
                <w:color w:val="auto"/>
              </w:rPr>
            </w:pPr>
            <w:r>
              <w:rPr>
                <w:rFonts w:hint="default"/>
                <w:b/>
                <w:bCs/>
                <w:color w:val="auto"/>
              </w:rPr>
              <w:t>产生位置</w:t>
            </w:r>
          </w:p>
        </w:tc>
        <w:tc>
          <w:tcPr>
            <w:tcW w:w="1189" w:type="pct"/>
            <w:shd w:val="clear" w:color="auto" w:fill="auto"/>
            <w:vAlign w:val="center"/>
          </w:tcPr>
          <w:p w14:paraId="5C403C2B">
            <w:pPr>
              <w:pStyle w:val="34"/>
              <w:bidi w:val="0"/>
              <w:rPr>
                <w:rFonts w:hint="default"/>
                <w:b/>
                <w:bCs/>
                <w:color w:val="auto"/>
              </w:rPr>
            </w:pPr>
            <w:r>
              <w:rPr>
                <w:rFonts w:hint="default"/>
                <w:b/>
                <w:bCs/>
                <w:color w:val="auto"/>
              </w:rPr>
              <w:t>环境受体</w:t>
            </w:r>
          </w:p>
        </w:tc>
        <w:tc>
          <w:tcPr>
            <w:tcW w:w="1091" w:type="pct"/>
            <w:shd w:val="clear" w:color="auto" w:fill="auto"/>
            <w:vAlign w:val="center"/>
          </w:tcPr>
          <w:p w14:paraId="7AC47D27">
            <w:pPr>
              <w:pStyle w:val="34"/>
              <w:bidi w:val="0"/>
              <w:rPr>
                <w:rFonts w:hint="default"/>
                <w:b/>
                <w:bCs/>
                <w:color w:val="auto"/>
              </w:rPr>
            </w:pPr>
            <w:r>
              <w:rPr>
                <w:rFonts w:hint="default"/>
                <w:b/>
                <w:bCs/>
                <w:color w:val="auto"/>
              </w:rPr>
              <w:t>污染源性质</w:t>
            </w:r>
          </w:p>
        </w:tc>
      </w:tr>
      <w:tr w14:paraId="53A1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724" w:type="pct"/>
            <w:vMerge w:val="restart"/>
            <w:shd w:val="clear" w:color="auto" w:fill="auto"/>
            <w:vAlign w:val="center"/>
          </w:tcPr>
          <w:p w14:paraId="2603729E">
            <w:pPr>
              <w:pStyle w:val="34"/>
              <w:bidi w:val="0"/>
              <w:rPr>
                <w:rFonts w:hint="eastAsia" w:eastAsia="宋体"/>
                <w:color w:val="auto"/>
                <w:lang w:eastAsia="zh-CN"/>
              </w:rPr>
            </w:pPr>
            <w:r>
              <w:rPr>
                <w:rFonts w:hint="eastAsia"/>
                <w:color w:val="auto"/>
                <w:lang w:val="en-US" w:eastAsia="zh-CN"/>
              </w:rPr>
              <w:t>地面</w:t>
            </w:r>
            <w:r>
              <w:rPr>
                <w:rFonts w:hint="default"/>
                <w:color w:val="auto"/>
              </w:rPr>
              <w:t>工程</w:t>
            </w:r>
            <w:r>
              <w:rPr>
                <w:rFonts w:hint="eastAsia"/>
                <w:color w:val="auto"/>
                <w:lang w:eastAsia="zh-CN"/>
              </w:rPr>
              <w:t>（</w:t>
            </w:r>
            <w:r>
              <w:rPr>
                <w:rFonts w:hint="eastAsia"/>
                <w:color w:val="auto"/>
                <w:lang w:val="en-US" w:eastAsia="zh-CN"/>
              </w:rPr>
              <w:t>管线、阀池、设备安装等</w:t>
            </w:r>
            <w:r>
              <w:rPr>
                <w:rFonts w:hint="eastAsia"/>
                <w:color w:val="auto"/>
                <w:lang w:eastAsia="zh-CN"/>
              </w:rPr>
              <w:t>）</w:t>
            </w:r>
          </w:p>
        </w:tc>
        <w:tc>
          <w:tcPr>
            <w:tcW w:w="1585" w:type="pct"/>
            <w:shd w:val="clear" w:color="auto" w:fill="auto"/>
            <w:vAlign w:val="center"/>
          </w:tcPr>
          <w:p w14:paraId="3C72CB83">
            <w:pPr>
              <w:pStyle w:val="34"/>
              <w:bidi w:val="0"/>
              <w:rPr>
                <w:rFonts w:hint="default"/>
                <w:color w:val="auto"/>
              </w:rPr>
            </w:pPr>
            <w:r>
              <w:rPr>
                <w:rFonts w:hint="default"/>
                <w:color w:val="auto"/>
              </w:rPr>
              <w:t>平整施工带、开挖管沟等临时占地</w:t>
            </w:r>
          </w:p>
        </w:tc>
        <w:tc>
          <w:tcPr>
            <w:tcW w:w="409" w:type="pct"/>
            <w:vMerge w:val="restart"/>
            <w:shd w:val="clear" w:color="auto" w:fill="auto"/>
            <w:vAlign w:val="center"/>
          </w:tcPr>
          <w:p w14:paraId="7FB3F5A8">
            <w:pPr>
              <w:pStyle w:val="34"/>
              <w:bidi w:val="0"/>
              <w:rPr>
                <w:rFonts w:hint="default"/>
                <w:color w:val="auto"/>
              </w:rPr>
            </w:pPr>
            <w:r>
              <w:rPr>
                <w:rFonts w:hint="default"/>
                <w:color w:val="auto"/>
              </w:rPr>
              <w:t>工程建设地带</w:t>
            </w:r>
          </w:p>
        </w:tc>
        <w:tc>
          <w:tcPr>
            <w:tcW w:w="1189" w:type="pct"/>
            <w:shd w:val="clear" w:color="auto" w:fill="auto"/>
            <w:vAlign w:val="center"/>
          </w:tcPr>
          <w:p w14:paraId="09682FA0">
            <w:pPr>
              <w:pStyle w:val="34"/>
              <w:bidi w:val="0"/>
              <w:rPr>
                <w:rFonts w:hint="default"/>
                <w:color w:val="auto"/>
              </w:rPr>
            </w:pPr>
            <w:r>
              <w:rPr>
                <w:rFonts w:hint="default"/>
                <w:color w:val="auto"/>
              </w:rPr>
              <w:t>土壤及植被</w:t>
            </w:r>
          </w:p>
        </w:tc>
        <w:tc>
          <w:tcPr>
            <w:tcW w:w="1091" w:type="pct"/>
            <w:vMerge w:val="restart"/>
            <w:shd w:val="clear" w:color="auto" w:fill="auto"/>
            <w:vAlign w:val="center"/>
          </w:tcPr>
          <w:p w14:paraId="4B3D090E">
            <w:pPr>
              <w:pStyle w:val="34"/>
              <w:bidi w:val="0"/>
              <w:rPr>
                <w:rFonts w:hint="default"/>
                <w:color w:val="auto"/>
              </w:rPr>
            </w:pPr>
            <w:r>
              <w:rPr>
                <w:rFonts w:hint="default"/>
                <w:color w:val="auto"/>
              </w:rPr>
              <w:t>永久占地改变原土地利用性质；临时占地可逐渐实现迹地恢复；其余污染随施工作业结束而消失</w:t>
            </w:r>
          </w:p>
        </w:tc>
      </w:tr>
      <w:tr w14:paraId="716A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724" w:type="pct"/>
            <w:vMerge w:val="continue"/>
            <w:shd w:val="clear" w:color="auto" w:fill="auto"/>
            <w:vAlign w:val="center"/>
          </w:tcPr>
          <w:p w14:paraId="12AE2A0E">
            <w:pPr>
              <w:pStyle w:val="34"/>
              <w:bidi w:val="0"/>
              <w:rPr>
                <w:rFonts w:hint="default"/>
                <w:color w:val="auto"/>
              </w:rPr>
            </w:pPr>
          </w:p>
        </w:tc>
        <w:tc>
          <w:tcPr>
            <w:tcW w:w="1585" w:type="pct"/>
            <w:shd w:val="clear" w:color="auto" w:fill="auto"/>
            <w:vAlign w:val="center"/>
          </w:tcPr>
          <w:p w14:paraId="071D1295">
            <w:pPr>
              <w:pStyle w:val="34"/>
              <w:bidi w:val="0"/>
              <w:rPr>
                <w:rFonts w:hint="default"/>
                <w:color w:val="auto"/>
              </w:rPr>
            </w:pPr>
            <w:r>
              <w:rPr>
                <w:rFonts w:hint="default"/>
                <w:color w:val="auto"/>
              </w:rPr>
              <w:t>施工设备、车辆尾气</w:t>
            </w:r>
          </w:p>
        </w:tc>
        <w:tc>
          <w:tcPr>
            <w:tcW w:w="409" w:type="pct"/>
            <w:vMerge w:val="continue"/>
            <w:shd w:val="clear" w:color="auto" w:fill="auto"/>
            <w:vAlign w:val="center"/>
          </w:tcPr>
          <w:p w14:paraId="0778F4ED">
            <w:pPr>
              <w:pStyle w:val="34"/>
              <w:bidi w:val="0"/>
              <w:rPr>
                <w:rFonts w:hint="default"/>
                <w:color w:val="auto"/>
              </w:rPr>
            </w:pPr>
          </w:p>
        </w:tc>
        <w:tc>
          <w:tcPr>
            <w:tcW w:w="1189" w:type="pct"/>
            <w:shd w:val="clear" w:color="auto" w:fill="auto"/>
            <w:vAlign w:val="center"/>
          </w:tcPr>
          <w:p w14:paraId="3460D368">
            <w:pPr>
              <w:pStyle w:val="34"/>
              <w:bidi w:val="0"/>
              <w:rPr>
                <w:rFonts w:hint="default"/>
                <w:color w:val="auto"/>
              </w:rPr>
            </w:pPr>
            <w:r>
              <w:rPr>
                <w:rFonts w:hint="default"/>
                <w:color w:val="auto"/>
              </w:rPr>
              <w:t>环境空气</w:t>
            </w:r>
          </w:p>
        </w:tc>
        <w:tc>
          <w:tcPr>
            <w:tcW w:w="1091" w:type="pct"/>
            <w:vMerge w:val="continue"/>
            <w:shd w:val="clear" w:color="auto" w:fill="auto"/>
            <w:vAlign w:val="center"/>
          </w:tcPr>
          <w:p w14:paraId="2BFD9D14">
            <w:pPr>
              <w:pStyle w:val="34"/>
              <w:bidi w:val="0"/>
              <w:rPr>
                <w:rFonts w:hint="default"/>
                <w:color w:val="auto"/>
              </w:rPr>
            </w:pPr>
          </w:p>
        </w:tc>
      </w:tr>
      <w:tr w14:paraId="6F05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724" w:type="pct"/>
            <w:vMerge w:val="continue"/>
            <w:shd w:val="clear" w:color="auto" w:fill="auto"/>
            <w:vAlign w:val="center"/>
          </w:tcPr>
          <w:p w14:paraId="462ED62A">
            <w:pPr>
              <w:pStyle w:val="34"/>
              <w:bidi w:val="0"/>
              <w:rPr>
                <w:rFonts w:hint="default"/>
                <w:color w:val="auto"/>
              </w:rPr>
            </w:pPr>
          </w:p>
        </w:tc>
        <w:tc>
          <w:tcPr>
            <w:tcW w:w="1585" w:type="pct"/>
            <w:shd w:val="clear" w:color="auto" w:fill="auto"/>
            <w:vAlign w:val="center"/>
          </w:tcPr>
          <w:p w14:paraId="437FCBAA">
            <w:pPr>
              <w:pStyle w:val="34"/>
              <w:bidi w:val="0"/>
              <w:rPr>
                <w:rFonts w:hint="default" w:eastAsia="宋体"/>
                <w:color w:val="auto"/>
                <w:lang w:val="en-US" w:eastAsia="zh-CN"/>
              </w:rPr>
            </w:pPr>
            <w:r>
              <w:rPr>
                <w:rFonts w:hint="eastAsia"/>
                <w:color w:val="auto"/>
                <w:lang w:val="en-US" w:eastAsia="zh-CN"/>
              </w:rPr>
              <w:t>管线试压废水</w:t>
            </w:r>
          </w:p>
        </w:tc>
        <w:tc>
          <w:tcPr>
            <w:tcW w:w="409" w:type="pct"/>
            <w:vMerge w:val="continue"/>
            <w:shd w:val="clear" w:color="auto" w:fill="auto"/>
            <w:vAlign w:val="center"/>
          </w:tcPr>
          <w:p w14:paraId="4E005C36">
            <w:pPr>
              <w:pStyle w:val="34"/>
              <w:bidi w:val="0"/>
              <w:rPr>
                <w:rFonts w:hint="default"/>
                <w:color w:val="auto"/>
              </w:rPr>
            </w:pPr>
          </w:p>
        </w:tc>
        <w:tc>
          <w:tcPr>
            <w:tcW w:w="1189" w:type="pct"/>
            <w:shd w:val="clear" w:color="auto" w:fill="auto"/>
            <w:vAlign w:val="center"/>
          </w:tcPr>
          <w:p w14:paraId="1295F780">
            <w:pPr>
              <w:pStyle w:val="34"/>
              <w:bidi w:val="0"/>
              <w:rPr>
                <w:rFonts w:hint="eastAsia" w:eastAsia="宋体"/>
                <w:color w:val="auto"/>
                <w:lang w:val="en-US" w:eastAsia="zh-CN"/>
              </w:rPr>
            </w:pPr>
            <w:r>
              <w:rPr>
                <w:rFonts w:hint="eastAsia"/>
                <w:color w:val="auto"/>
                <w:lang w:val="en-US" w:eastAsia="zh-CN"/>
              </w:rPr>
              <w:t>/</w:t>
            </w:r>
          </w:p>
        </w:tc>
        <w:tc>
          <w:tcPr>
            <w:tcW w:w="1091" w:type="pct"/>
            <w:vMerge w:val="continue"/>
            <w:shd w:val="clear" w:color="auto" w:fill="auto"/>
            <w:vAlign w:val="center"/>
          </w:tcPr>
          <w:p w14:paraId="29D71F00">
            <w:pPr>
              <w:pStyle w:val="34"/>
              <w:bidi w:val="0"/>
              <w:rPr>
                <w:rFonts w:hint="default"/>
                <w:color w:val="auto"/>
              </w:rPr>
            </w:pPr>
          </w:p>
        </w:tc>
      </w:tr>
      <w:tr w14:paraId="5E5E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724" w:type="pct"/>
            <w:vMerge w:val="continue"/>
            <w:shd w:val="clear" w:color="auto" w:fill="auto"/>
            <w:vAlign w:val="center"/>
          </w:tcPr>
          <w:p w14:paraId="31261A15">
            <w:pPr>
              <w:pStyle w:val="34"/>
              <w:bidi w:val="0"/>
              <w:rPr>
                <w:rFonts w:hint="default"/>
                <w:color w:val="auto"/>
              </w:rPr>
            </w:pPr>
          </w:p>
        </w:tc>
        <w:tc>
          <w:tcPr>
            <w:tcW w:w="1585" w:type="pct"/>
            <w:shd w:val="clear" w:color="auto" w:fill="auto"/>
            <w:vAlign w:val="center"/>
          </w:tcPr>
          <w:p w14:paraId="359F5843">
            <w:pPr>
              <w:pStyle w:val="34"/>
              <w:bidi w:val="0"/>
              <w:rPr>
                <w:rFonts w:hint="default"/>
                <w:color w:val="auto"/>
              </w:rPr>
            </w:pPr>
            <w:r>
              <w:rPr>
                <w:rFonts w:hint="default"/>
                <w:color w:val="auto"/>
              </w:rPr>
              <w:t>施工设备、车辆噪声</w:t>
            </w:r>
          </w:p>
        </w:tc>
        <w:tc>
          <w:tcPr>
            <w:tcW w:w="409" w:type="pct"/>
            <w:vMerge w:val="continue"/>
            <w:shd w:val="clear" w:color="auto" w:fill="auto"/>
            <w:vAlign w:val="center"/>
          </w:tcPr>
          <w:p w14:paraId="0966DB60">
            <w:pPr>
              <w:pStyle w:val="34"/>
              <w:bidi w:val="0"/>
              <w:rPr>
                <w:rFonts w:hint="default"/>
                <w:color w:val="auto"/>
              </w:rPr>
            </w:pPr>
          </w:p>
        </w:tc>
        <w:tc>
          <w:tcPr>
            <w:tcW w:w="1189" w:type="pct"/>
            <w:shd w:val="clear" w:color="auto" w:fill="auto"/>
            <w:vAlign w:val="center"/>
          </w:tcPr>
          <w:p w14:paraId="02E0E12D">
            <w:pPr>
              <w:pStyle w:val="34"/>
              <w:bidi w:val="0"/>
              <w:rPr>
                <w:rFonts w:hint="default"/>
                <w:color w:val="auto"/>
              </w:rPr>
            </w:pPr>
            <w:r>
              <w:rPr>
                <w:rFonts w:hint="default"/>
                <w:color w:val="auto"/>
              </w:rPr>
              <w:t>声环境</w:t>
            </w:r>
          </w:p>
        </w:tc>
        <w:tc>
          <w:tcPr>
            <w:tcW w:w="1091" w:type="pct"/>
            <w:vMerge w:val="continue"/>
            <w:shd w:val="clear" w:color="auto" w:fill="auto"/>
            <w:vAlign w:val="center"/>
          </w:tcPr>
          <w:p w14:paraId="2CA51F71">
            <w:pPr>
              <w:pStyle w:val="34"/>
              <w:bidi w:val="0"/>
              <w:rPr>
                <w:rFonts w:hint="default"/>
                <w:color w:val="auto"/>
              </w:rPr>
            </w:pPr>
          </w:p>
        </w:tc>
      </w:tr>
      <w:tr w14:paraId="729E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724" w:type="pct"/>
            <w:vMerge w:val="continue"/>
            <w:shd w:val="clear" w:color="auto" w:fill="auto"/>
            <w:vAlign w:val="center"/>
          </w:tcPr>
          <w:p w14:paraId="1B28E067">
            <w:pPr>
              <w:pStyle w:val="34"/>
              <w:bidi w:val="0"/>
              <w:rPr>
                <w:rFonts w:hint="default"/>
                <w:color w:val="auto"/>
              </w:rPr>
            </w:pPr>
          </w:p>
        </w:tc>
        <w:tc>
          <w:tcPr>
            <w:tcW w:w="1585" w:type="pct"/>
            <w:shd w:val="clear" w:color="auto" w:fill="auto"/>
            <w:vAlign w:val="center"/>
          </w:tcPr>
          <w:p w14:paraId="6204E0A8">
            <w:pPr>
              <w:pStyle w:val="34"/>
              <w:bidi w:val="0"/>
              <w:rPr>
                <w:rFonts w:hint="default"/>
                <w:color w:val="auto"/>
              </w:rPr>
            </w:pPr>
            <w:r>
              <w:rPr>
                <w:rFonts w:hint="default"/>
                <w:color w:val="auto"/>
              </w:rPr>
              <w:t>施工固体废物、生活垃圾</w:t>
            </w:r>
          </w:p>
        </w:tc>
        <w:tc>
          <w:tcPr>
            <w:tcW w:w="409" w:type="pct"/>
            <w:vMerge w:val="continue"/>
            <w:shd w:val="clear" w:color="auto" w:fill="auto"/>
            <w:vAlign w:val="center"/>
          </w:tcPr>
          <w:p w14:paraId="4F700CED">
            <w:pPr>
              <w:pStyle w:val="34"/>
              <w:bidi w:val="0"/>
              <w:rPr>
                <w:rFonts w:hint="default"/>
                <w:color w:val="auto"/>
              </w:rPr>
            </w:pPr>
          </w:p>
        </w:tc>
        <w:tc>
          <w:tcPr>
            <w:tcW w:w="1189" w:type="pct"/>
            <w:shd w:val="clear" w:color="auto" w:fill="auto"/>
            <w:vAlign w:val="center"/>
          </w:tcPr>
          <w:p w14:paraId="347D0A39">
            <w:pPr>
              <w:pStyle w:val="34"/>
              <w:bidi w:val="0"/>
              <w:rPr>
                <w:rFonts w:hint="default"/>
                <w:color w:val="auto"/>
              </w:rPr>
            </w:pPr>
            <w:r>
              <w:rPr>
                <w:rFonts w:hint="default"/>
                <w:color w:val="auto"/>
              </w:rPr>
              <w:t>土壤、水体</w:t>
            </w:r>
          </w:p>
        </w:tc>
        <w:tc>
          <w:tcPr>
            <w:tcW w:w="1091" w:type="pct"/>
            <w:vMerge w:val="continue"/>
            <w:shd w:val="clear" w:color="auto" w:fill="auto"/>
            <w:vAlign w:val="center"/>
          </w:tcPr>
          <w:p w14:paraId="5716531F">
            <w:pPr>
              <w:pStyle w:val="34"/>
              <w:bidi w:val="0"/>
              <w:rPr>
                <w:rFonts w:hint="default"/>
                <w:color w:val="auto"/>
              </w:rPr>
            </w:pPr>
          </w:p>
        </w:tc>
      </w:tr>
    </w:tbl>
    <w:p w14:paraId="1334690B">
      <w:pPr>
        <w:pStyle w:val="6"/>
        <w:bidi w:val="0"/>
        <w:rPr>
          <w:rFonts w:hint="default"/>
          <w:color w:val="auto"/>
          <w:lang w:val="en-US" w:eastAsia="zh-CN"/>
        </w:rPr>
      </w:pPr>
      <w:r>
        <w:rPr>
          <w:rFonts w:hint="eastAsia"/>
          <w:color w:val="auto"/>
          <w:lang w:val="en-US" w:eastAsia="zh-CN"/>
        </w:rPr>
        <w:t>3.9.1.2运营期污染因素分析</w:t>
      </w:r>
    </w:p>
    <w:p w14:paraId="4943E43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1、运营期工艺流程分析</w:t>
      </w:r>
    </w:p>
    <w:p w14:paraId="21B911B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（1）油气开采、集输工程</w:t>
      </w:r>
      <w:r>
        <w:rPr>
          <w:rFonts w:hint="eastAsia" w:cstheme="minorBidi"/>
          <w:color w:val="auto"/>
          <w:kern w:val="2"/>
          <w:sz w:val="24"/>
          <w:szCs w:val="24"/>
          <w:lang w:val="en-US" w:eastAsia="zh-CN" w:bidi="ar-SA"/>
        </w:rPr>
        <w:t>运营</w:t>
      </w:r>
      <w:r>
        <w:rPr>
          <w:rFonts w:hint="eastAsia" w:ascii="Times New Roman" w:hAnsi="Times New Roman" w:eastAsia="宋体" w:cstheme="minorBidi"/>
          <w:color w:val="auto"/>
          <w:kern w:val="2"/>
          <w:sz w:val="24"/>
          <w:szCs w:val="24"/>
          <w:lang w:val="en-US" w:eastAsia="zh-CN" w:bidi="ar-SA"/>
        </w:rPr>
        <w:t>期主要工艺过程</w:t>
      </w:r>
    </w:p>
    <w:p w14:paraId="7A07AA6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cstheme="minorBidi"/>
          <w:color w:val="auto"/>
          <w:kern w:val="2"/>
          <w:sz w:val="24"/>
          <w:szCs w:val="24"/>
          <w:lang w:val="en-US" w:eastAsia="zh-CN" w:bidi="ar-SA"/>
        </w:rPr>
        <w:t>运营</w:t>
      </w:r>
      <w:r>
        <w:rPr>
          <w:rFonts w:hint="eastAsia" w:ascii="Times New Roman" w:hAnsi="Times New Roman" w:eastAsia="宋体" w:cstheme="minorBidi"/>
          <w:color w:val="auto"/>
          <w:kern w:val="2"/>
          <w:sz w:val="24"/>
          <w:szCs w:val="24"/>
          <w:lang w:val="en-US" w:eastAsia="zh-CN" w:bidi="ar-SA"/>
        </w:rPr>
        <w:t>期为采油、油气集输、油气处理时段以及定期进行的井下作业。</w:t>
      </w:r>
    </w:p>
    <w:p w14:paraId="58FDA8F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①采油</w:t>
      </w:r>
    </w:p>
    <w:p w14:paraId="08B34E1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采油是借助油层的自身压力或使用机械方式，使原油从地下储油层产出的工艺过程。</w:t>
      </w:r>
    </w:p>
    <w:p w14:paraId="3A2ABC5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②井下作业</w:t>
      </w:r>
    </w:p>
    <w:p w14:paraId="7C7FC2A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井下作业是维持和改善油井正常生产能力，所采取的各种井下技术措施的统称。油井大修是利用一定的工具，采用一定的措施处理油井事故，恢复油井正常</w:t>
      </w:r>
      <w:r>
        <w:rPr>
          <w:rFonts w:hint="eastAsia" w:cstheme="minorBidi"/>
          <w:color w:val="auto"/>
          <w:kern w:val="2"/>
          <w:sz w:val="24"/>
          <w:szCs w:val="24"/>
          <w:lang w:val="en-US" w:eastAsia="zh-CN" w:bidi="ar-SA"/>
        </w:rPr>
        <w:t>生产</w:t>
      </w:r>
      <w:r>
        <w:rPr>
          <w:rFonts w:hint="eastAsia" w:ascii="Times New Roman" w:hAnsi="Times New Roman" w:eastAsia="宋体" w:cstheme="minorBidi"/>
          <w:color w:val="auto"/>
          <w:kern w:val="2"/>
          <w:sz w:val="24"/>
          <w:szCs w:val="24"/>
          <w:lang w:val="en-US" w:eastAsia="zh-CN" w:bidi="ar-SA"/>
        </w:rPr>
        <w:t>的作业过程。</w:t>
      </w:r>
    </w:p>
    <w:p w14:paraId="27D3251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井下作业的主要内容可归纳为以下三个方面：</w:t>
      </w:r>
    </w:p>
    <w:p w14:paraId="14B7155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修井作业：如对发生故障或损坏的油管、抽油杆、抽油泵等井下设备和工具提出、修理更换再下入井内，以及抽吸、捞砂、机械清蜡等。</w:t>
      </w:r>
    </w:p>
    <w:p w14:paraId="03AD84B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井内的循环作业：如冲砂、热洗、循环泥浆泵及挤水泥等。</w:t>
      </w:r>
    </w:p>
    <w:p w14:paraId="5D8623A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旋转作业：如钻砂堵、钻水泥塞、扩孔、重钻、侧钻及修补套管等。</w:t>
      </w:r>
    </w:p>
    <w:p w14:paraId="2973F3A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③油气集输</w:t>
      </w:r>
    </w:p>
    <w:p w14:paraId="2B3FA08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油气集输就是将油井中采出的原油和伴生气，输送或运入阀池、计量站、转油站、联合站等进行计量和油、气、水分离，分离出的伴生气主要作为油田生产用燃料或综合利用，分离出的油田采出水处理达标后作为回注水，处理后的原油经脱水计量后，经管线外输。</w:t>
      </w:r>
    </w:p>
    <w:p w14:paraId="61B12C8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2、运营期产污环节分析</w:t>
      </w:r>
    </w:p>
    <w:p w14:paraId="4B39530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①采油过程可能造成的污染主要有井口装置损坏泄漏的原油对土壤与注入水对地下水的影响，以及油井井口挥发的烃类气体对大气环境的影响。</w:t>
      </w:r>
    </w:p>
    <w:p w14:paraId="09C86C6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②采出水处理系统处理过程中可能产生的少量烃类气体挥发。</w:t>
      </w:r>
    </w:p>
    <w:p w14:paraId="73A30DC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③修井作业中产生的落地油、固体废物、压裂返排液等。</w:t>
      </w:r>
    </w:p>
    <w:p w14:paraId="113FC6F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⑤油气集输过程产生的污染物主要为挥发性烃类气体、油田采出水、含油污泥、跑冒滴渗漏的原油与油田采出水、机泵噪声等。</w:t>
      </w:r>
    </w:p>
    <w:p w14:paraId="72374A5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综上，</w:t>
      </w:r>
      <w:r>
        <w:rPr>
          <w:rFonts w:hint="eastAsia" w:cstheme="minorBidi"/>
          <w:color w:val="auto"/>
          <w:kern w:val="2"/>
          <w:sz w:val="24"/>
          <w:szCs w:val="24"/>
          <w:lang w:val="en-US" w:eastAsia="zh-CN" w:bidi="ar-SA"/>
        </w:rPr>
        <w:t>运营</w:t>
      </w:r>
      <w:r>
        <w:rPr>
          <w:rFonts w:hint="eastAsia" w:ascii="Times New Roman" w:hAnsi="Times New Roman" w:eastAsia="宋体" w:cstheme="minorBidi"/>
          <w:color w:val="auto"/>
          <w:kern w:val="2"/>
          <w:sz w:val="24"/>
          <w:szCs w:val="24"/>
          <w:lang w:val="en-US" w:eastAsia="zh-CN" w:bidi="ar-SA"/>
        </w:rPr>
        <w:t>期主要污染源及污染因素见</w:t>
      </w:r>
      <w:r>
        <w:rPr>
          <w:rFonts w:hint="default" w:ascii="Times New Roman" w:hAnsi="Times New Roman" w:eastAsia="宋体" w:cstheme="minorBidi"/>
          <w:color w:val="auto"/>
          <w:kern w:val="2"/>
          <w:sz w:val="24"/>
          <w:szCs w:val="24"/>
          <w:lang w:val="en-US" w:eastAsia="zh-CN" w:bidi="ar-SA"/>
        </w:rPr>
        <w:fldChar w:fldCharType="begin"/>
      </w:r>
      <w:r>
        <w:rPr>
          <w:rFonts w:hint="default" w:ascii="Times New Roman" w:hAnsi="Times New Roman" w:eastAsia="宋体" w:cstheme="minorBidi"/>
          <w:color w:val="auto"/>
          <w:kern w:val="2"/>
          <w:sz w:val="24"/>
          <w:szCs w:val="24"/>
          <w:lang w:val="en-US" w:eastAsia="zh-CN" w:bidi="ar-SA"/>
        </w:rPr>
        <w:instrText xml:space="preserve"> REF _Ref2384 \h </w:instrText>
      </w:r>
      <w:r>
        <w:rPr>
          <w:rFonts w:hint="default" w:ascii="Times New Roman" w:hAnsi="Times New Roman" w:eastAsia="宋体" w:cstheme="minorBidi"/>
          <w:color w:val="auto"/>
          <w:kern w:val="2"/>
          <w:sz w:val="24"/>
          <w:szCs w:val="24"/>
          <w:lang w:val="en-US" w:eastAsia="zh-CN" w:bidi="ar-SA"/>
        </w:rPr>
        <w:fldChar w:fldCharType="separate"/>
      </w:r>
      <w:r>
        <w:rPr>
          <w:rFonts w:hint="eastAsia" w:ascii="Times New Roman" w:hAnsi="Times New Roman" w:eastAsia="宋体" w:cstheme="minorBidi"/>
          <w:color w:val="auto"/>
          <w:kern w:val="2"/>
          <w:sz w:val="24"/>
          <w:szCs w:val="24"/>
          <w:lang w:val="en-US" w:eastAsia="zh-CN" w:bidi="ar-SA"/>
        </w:rPr>
        <w:t>表3</w:t>
      </w:r>
      <w:r>
        <w:rPr>
          <w:rFonts w:hint="default" w:ascii="Times New Roman" w:hAnsi="Times New Roman" w:eastAsia="宋体" w:cstheme="minorBidi"/>
          <w:color w:val="auto"/>
          <w:kern w:val="2"/>
          <w:sz w:val="24"/>
          <w:szCs w:val="24"/>
          <w:lang w:val="en-US" w:eastAsia="zh-CN" w:bidi="ar-SA"/>
        </w:rPr>
        <w:fldChar w:fldCharType="end"/>
      </w:r>
      <w:r>
        <w:rPr>
          <w:rFonts w:hint="eastAsia" w:ascii="Times New Roman" w:hAnsi="Times New Roman" w:eastAsia="宋体" w:cstheme="minorBidi"/>
          <w:color w:val="auto"/>
          <w:kern w:val="2"/>
          <w:sz w:val="24"/>
          <w:szCs w:val="24"/>
          <w:lang w:val="en-US" w:eastAsia="zh-CN" w:bidi="ar-SA"/>
        </w:rPr>
        <w:t>.9-2。</w:t>
      </w:r>
    </w:p>
    <w:p w14:paraId="392ABF7B">
      <w:pPr>
        <w:pStyle w:val="43"/>
        <w:bidi w:val="0"/>
        <w:rPr>
          <w:rFonts w:cs="Times New Roman"/>
          <w:color w:val="auto"/>
        </w:rPr>
      </w:pPr>
      <w:bookmarkStart w:id="171" w:name="_Ref2384"/>
      <w:r>
        <w:rPr>
          <w:color w:val="auto"/>
        </w:rPr>
        <w:t>表</w:t>
      </w:r>
      <w:bookmarkEnd w:id="171"/>
      <w:r>
        <w:rPr>
          <w:rFonts w:hint="eastAsia"/>
          <w:color w:val="auto"/>
          <w:lang w:val="en-US" w:eastAsia="zh-CN"/>
        </w:rPr>
        <w:t>3.9-2</w:t>
      </w:r>
      <w:r>
        <w:rPr>
          <w:rFonts w:cs="Times New Roman"/>
          <w:color w:val="auto"/>
        </w:rPr>
        <w:t xml:space="preserve">  </w:t>
      </w:r>
      <w:r>
        <w:rPr>
          <w:rFonts w:hint="eastAsia" w:cs="Times New Roman"/>
          <w:color w:val="auto"/>
          <w:lang w:eastAsia="zh-CN"/>
        </w:rPr>
        <w:t>运营</w:t>
      </w:r>
      <w:r>
        <w:rPr>
          <w:rFonts w:cs="Times New Roman"/>
          <w:color w:val="auto"/>
        </w:rPr>
        <w:t>期主要污染影响因素表</w:t>
      </w:r>
    </w:p>
    <w:tbl>
      <w:tblPr>
        <w:tblStyle w:val="4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1058"/>
        <w:gridCol w:w="2990"/>
        <w:gridCol w:w="965"/>
        <w:gridCol w:w="2078"/>
        <w:gridCol w:w="1312"/>
      </w:tblGrid>
      <w:tr w14:paraId="6DD8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71" w:hRule="atLeast"/>
          <w:tblHeader/>
          <w:jc w:val="center"/>
        </w:trPr>
        <w:tc>
          <w:tcPr>
            <w:tcW w:w="629" w:type="pct"/>
            <w:shd w:val="clear" w:color="auto" w:fill="auto"/>
            <w:vAlign w:val="center"/>
          </w:tcPr>
          <w:p w14:paraId="48A80A10">
            <w:pPr>
              <w:bidi w:val="0"/>
              <w:spacing w:after="160" w:line="259" w:lineRule="auto"/>
              <w:jc w:val="center"/>
              <w:rPr>
                <w:rFonts w:hint="eastAsia"/>
                <w:b/>
                <w:bCs/>
                <w:color w:val="auto"/>
              </w:rPr>
            </w:pPr>
            <w:r>
              <w:rPr>
                <w:rFonts w:hint="eastAsia"/>
                <w:b/>
                <w:bCs/>
                <w:color w:val="auto"/>
              </w:rPr>
              <w:t>作业内容</w:t>
            </w:r>
          </w:p>
        </w:tc>
        <w:tc>
          <w:tcPr>
            <w:tcW w:w="1778" w:type="pct"/>
            <w:shd w:val="clear" w:color="auto" w:fill="auto"/>
            <w:vAlign w:val="center"/>
          </w:tcPr>
          <w:p w14:paraId="125C0B35">
            <w:pPr>
              <w:bidi w:val="0"/>
              <w:spacing w:after="160" w:line="259" w:lineRule="auto"/>
              <w:jc w:val="center"/>
              <w:rPr>
                <w:rFonts w:hint="eastAsia"/>
                <w:b/>
                <w:bCs/>
                <w:color w:val="auto"/>
              </w:rPr>
            </w:pPr>
            <w:r>
              <w:rPr>
                <w:rFonts w:hint="eastAsia"/>
                <w:b/>
                <w:bCs/>
                <w:color w:val="auto"/>
              </w:rPr>
              <w:t>主要污染物</w:t>
            </w:r>
          </w:p>
        </w:tc>
        <w:tc>
          <w:tcPr>
            <w:tcW w:w="574" w:type="pct"/>
            <w:shd w:val="clear" w:color="auto" w:fill="auto"/>
            <w:vAlign w:val="center"/>
          </w:tcPr>
          <w:p w14:paraId="44763D05">
            <w:pPr>
              <w:bidi w:val="0"/>
              <w:spacing w:after="160" w:line="259" w:lineRule="auto"/>
              <w:jc w:val="center"/>
              <w:rPr>
                <w:rFonts w:hint="eastAsia"/>
                <w:b/>
                <w:bCs/>
                <w:color w:val="auto"/>
              </w:rPr>
            </w:pPr>
            <w:r>
              <w:rPr>
                <w:rFonts w:hint="eastAsia"/>
                <w:b/>
                <w:bCs/>
                <w:color w:val="auto"/>
              </w:rPr>
              <w:t>产生位置</w:t>
            </w:r>
          </w:p>
        </w:tc>
        <w:tc>
          <w:tcPr>
            <w:tcW w:w="1236" w:type="pct"/>
            <w:shd w:val="clear" w:color="auto" w:fill="auto"/>
            <w:vAlign w:val="center"/>
          </w:tcPr>
          <w:p w14:paraId="4D1F074E">
            <w:pPr>
              <w:bidi w:val="0"/>
              <w:spacing w:after="160" w:line="259" w:lineRule="auto"/>
              <w:jc w:val="center"/>
              <w:rPr>
                <w:rFonts w:hint="eastAsia"/>
                <w:b/>
                <w:bCs/>
                <w:color w:val="auto"/>
              </w:rPr>
            </w:pPr>
            <w:r>
              <w:rPr>
                <w:rFonts w:hint="eastAsia"/>
                <w:b/>
                <w:bCs/>
                <w:color w:val="auto"/>
              </w:rPr>
              <w:t>环境受体</w:t>
            </w:r>
          </w:p>
        </w:tc>
        <w:tc>
          <w:tcPr>
            <w:tcW w:w="780" w:type="pct"/>
            <w:shd w:val="clear" w:color="auto" w:fill="auto"/>
            <w:vAlign w:val="center"/>
          </w:tcPr>
          <w:p w14:paraId="08DEFA0C">
            <w:pPr>
              <w:bidi w:val="0"/>
              <w:spacing w:after="160" w:line="259" w:lineRule="auto"/>
              <w:jc w:val="center"/>
              <w:rPr>
                <w:rFonts w:hint="eastAsia"/>
                <w:b/>
                <w:bCs/>
                <w:color w:val="auto"/>
              </w:rPr>
            </w:pPr>
            <w:r>
              <w:rPr>
                <w:rFonts w:hint="eastAsia"/>
                <w:b/>
                <w:bCs/>
                <w:color w:val="auto"/>
              </w:rPr>
              <w:t>污染源性质</w:t>
            </w:r>
          </w:p>
        </w:tc>
      </w:tr>
      <w:tr w14:paraId="19BC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629" w:type="pct"/>
            <w:vMerge w:val="restart"/>
            <w:shd w:val="clear" w:color="auto" w:fill="auto"/>
            <w:vAlign w:val="center"/>
          </w:tcPr>
          <w:p w14:paraId="7A8DCA73">
            <w:pPr>
              <w:bidi w:val="0"/>
              <w:spacing w:after="160" w:line="259" w:lineRule="auto"/>
              <w:jc w:val="center"/>
              <w:rPr>
                <w:rFonts w:hint="eastAsia"/>
                <w:color w:val="auto"/>
              </w:rPr>
            </w:pPr>
            <w:r>
              <w:rPr>
                <w:rFonts w:hint="eastAsia"/>
                <w:color w:val="auto"/>
              </w:rPr>
              <w:t>采油作业及原油集输</w:t>
            </w:r>
          </w:p>
        </w:tc>
        <w:tc>
          <w:tcPr>
            <w:tcW w:w="1778" w:type="pct"/>
            <w:shd w:val="clear" w:color="auto" w:fill="auto"/>
            <w:vAlign w:val="center"/>
          </w:tcPr>
          <w:p w14:paraId="1C0525A9">
            <w:pPr>
              <w:bidi w:val="0"/>
              <w:spacing w:after="160" w:line="259" w:lineRule="auto"/>
              <w:jc w:val="center"/>
              <w:rPr>
                <w:rFonts w:hint="eastAsia"/>
                <w:color w:val="auto"/>
              </w:rPr>
            </w:pPr>
            <w:r>
              <w:rPr>
                <w:rFonts w:hint="eastAsia"/>
                <w:color w:val="auto"/>
              </w:rPr>
              <w:t>采出水</w:t>
            </w:r>
          </w:p>
        </w:tc>
        <w:tc>
          <w:tcPr>
            <w:tcW w:w="574" w:type="pct"/>
            <w:vMerge w:val="restart"/>
            <w:shd w:val="clear" w:color="auto" w:fill="auto"/>
            <w:vAlign w:val="center"/>
          </w:tcPr>
          <w:p w14:paraId="2084928C">
            <w:pPr>
              <w:bidi w:val="0"/>
              <w:spacing w:after="160" w:line="259" w:lineRule="auto"/>
              <w:jc w:val="center"/>
              <w:rPr>
                <w:rFonts w:hint="eastAsia"/>
                <w:color w:val="auto"/>
              </w:rPr>
            </w:pPr>
            <w:r>
              <w:rPr>
                <w:rFonts w:hint="eastAsia"/>
                <w:color w:val="auto"/>
              </w:rPr>
              <w:t>井场</w:t>
            </w:r>
          </w:p>
        </w:tc>
        <w:tc>
          <w:tcPr>
            <w:tcW w:w="1236" w:type="pct"/>
            <w:shd w:val="clear" w:color="auto" w:fill="auto"/>
            <w:vAlign w:val="center"/>
          </w:tcPr>
          <w:p w14:paraId="09956E1A">
            <w:pPr>
              <w:bidi w:val="0"/>
              <w:spacing w:after="160" w:line="259" w:lineRule="auto"/>
              <w:jc w:val="center"/>
              <w:rPr>
                <w:rFonts w:hint="eastAsia"/>
                <w:color w:val="auto"/>
              </w:rPr>
            </w:pPr>
            <w:r>
              <w:rPr>
                <w:rFonts w:hint="eastAsia"/>
                <w:color w:val="auto"/>
              </w:rPr>
              <w:t>地下水</w:t>
            </w:r>
          </w:p>
        </w:tc>
        <w:tc>
          <w:tcPr>
            <w:tcW w:w="780" w:type="pct"/>
            <w:vMerge w:val="restart"/>
            <w:shd w:val="clear" w:color="auto" w:fill="auto"/>
            <w:vAlign w:val="center"/>
          </w:tcPr>
          <w:p w14:paraId="54ED4569">
            <w:pPr>
              <w:bidi w:val="0"/>
              <w:spacing w:after="160" w:line="259" w:lineRule="auto"/>
              <w:jc w:val="center"/>
              <w:rPr>
                <w:rFonts w:hint="eastAsia"/>
                <w:color w:val="auto"/>
              </w:rPr>
            </w:pPr>
            <w:r>
              <w:rPr>
                <w:rFonts w:hint="eastAsia"/>
                <w:color w:val="auto"/>
              </w:rPr>
              <w:t>持续性污染</w:t>
            </w:r>
          </w:p>
        </w:tc>
      </w:tr>
      <w:tr w14:paraId="0CD1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629" w:type="pct"/>
            <w:vMerge w:val="continue"/>
            <w:shd w:val="clear" w:color="auto" w:fill="auto"/>
            <w:vAlign w:val="center"/>
          </w:tcPr>
          <w:p w14:paraId="62801563">
            <w:pPr>
              <w:bidi w:val="0"/>
              <w:spacing w:after="160" w:line="259" w:lineRule="auto"/>
              <w:jc w:val="center"/>
              <w:rPr>
                <w:rFonts w:hint="eastAsia"/>
                <w:color w:val="auto"/>
              </w:rPr>
            </w:pPr>
          </w:p>
        </w:tc>
        <w:tc>
          <w:tcPr>
            <w:tcW w:w="1778" w:type="pct"/>
            <w:shd w:val="clear" w:color="auto" w:fill="auto"/>
            <w:vAlign w:val="center"/>
          </w:tcPr>
          <w:p w14:paraId="07CFD515">
            <w:pPr>
              <w:bidi w:val="0"/>
              <w:spacing w:after="160" w:line="259" w:lineRule="auto"/>
              <w:jc w:val="center"/>
              <w:rPr>
                <w:rFonts w:hint="eastAsia"/>
                <w:color w:val="auto"/>
              </w:rPr>
            </w:pPr>
            <w:r>
              <w:rPr>
                <w:rFonts w:hint="eastAsia"/>
                <w:color w:val="auto"/>
              </w:rPr>
              <w:t>烃类气体</w:t>
            </w:r>
          </w:p>
        </w:tc>
        <w:tc>
          <w:tcPr>
            <w:tcW w:w="574" w:type="pct"/>
            <w:vMerge w:val="continue"/>
            <w:shd w:val="clear" w:color="auto" w:fill="auto"/>
            <w:vAlign w:val="center"/>
          </w:tcPr>
          <w:p w14:paraId="11F3C72A">
            <w:pPr>
              <w:bidi w:val="0"/>
              <w:spacing w:after="160" w:line="259" w:lineRule="auto"/>
              <w:jc w:val="center"/>
              <w:rPr>
                <w:rFonts w:hint="eastAsia"/>
                <w:color w:val="auto"/>
              </w:rPr>
            </w:pPr>
          </w:p>
        </w:tc>
        <w:tc>
          <w:tcPr>
            <w:tcW w:w="1236" w:type="pct"/>
            <w:shd w:val="clear" w:color="auto" w:fill="auto"/>
            <w:vAlign w:val="center"/>
          </w:tcPr>
          <w:p w14:paraId="0F4E2F43">
            <w:pPr>
              <w:bidi w:val="0"/>
              <w:spacing w:after="160" w:line="259" w:lineRule="auto"/>
              <w:jc w:val="center"/>
              <w:rPr>
                <w:rFonts w:hint="eastAsia"/>
                <w:color w:val="auto"/>
              </w:rPr>
            </w:pPr>
            <w:r>
              <w:rPr>
                <w:rFonts w:hint="eastAsia"/>
                <w:color w:val="auto"/>
              </w:rPr>
              <w:t>环境空气</w:t>
            </w:r>
          </w:p>
        </w:tc>
        <w:tc>
          <w:tcPr>
            <w:tcW w:w="780" w:type="pct"/>
            <w:vMerge w:val="continue"/>
            <w:shd w:val="clear" w:color="auto" w:fill="auto"/>
            <w:vAlign w:val="center"/>
          </w:tcPr>
          <w:p w14:paraId="78A7B6B3">
            <w:pPr>
              <w:bidi w:val="0"/>
              <w:spacing w:after="160" w:line="259" w:lineRule="auto"/>
              <w:jc w:val="center"/>
              <w:rPr>
                <w:rFonts w:hint="eastAsia"/>
                <w:color w:val="auto"/>
              </w:rPr>
            </w:pPr>
          </w:p>
        </w:tc>
      </w:tr>
      <w:tr w14:paraId="6669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629" w:type="pct"/>
            <w:vMerge w:val="continue"/>
            <w:shd w:val="clear" w:color="auto" w:fill="auto"/>
            <w:vAlign w:val="center"/>
          </w:tcPr>
          <w:p w14:paraId="42588395">
            <w:pPr>
              <w:bidi w:val="0"/>
              <w:spacing w:after="160" w:line="259" w:lineRule="auto"/>
              <w:jc w:val="center"/>
              <w:rPr>
                <w:rFonts w:hint="eastAsia"/>
                <w:color w:val="auto"/>
              </w:rPr>
            </w:pPr>
          </w:p>
        </w:tc>
        <w:tc>
          <w:tcPr>
            <w:tcW w:w="1778" w:type="pct"/>
            <w:shd w:val="clear" w:color="auto" w:fill="auto"/>
            <w:vAlign w:val="center"/>
          </w:tcPr>
          <w:p w14:paraId="16CD4904">
            <w:pPr>
              <w:bidi w:val="0"/>
              <w:spacing w:after="160" w:line="259" w:lineRule="auto"/>
              <w:jc w:val="center"/>
              <w:rPr>
                <w:rFonts w:hint="eastAsia"/>
                <w:color w:val="auto"/>
              </w:rPr>
            </w:pPr>
            <w:r>
              <w:rPr>
                <w:rFonts w:hint="eastAsia"/>
                <w:color w:val="auto"/>
              </w:rPr>
              <w:t>油泥、废防渗材料等危险废物</w:t>
            </w:r>
          </w:p>
        </w:tc>
        <w:tc>
          <w:tcPr>
            <w:tcW w:w="574" w:type="pct"/>
            <w:vMerge w:val="continue"/>
            <w:shd w:val="clear" w:color="auto" w:fill="auto"/>
            <w:vAlign w:val="center"/>
          </w:tcPr>
          <w:p w14:paraId="068C4584">
            <w:pPr>
              <w:bidi w:val="0"/>
              <w:spacing w:after="160" w:line="259" w:lineRule="auto"/>
              <w:jc w:val="center"/>
              <w:rPr>
                <w:rFonts w:hint="eastAsia"/>
                <w:color w:val="auto"/>
              </w:rPr>
            </w:pPr>
          </w:p>
        </w:tc>
        <w:tc>
          <w:tcPr>
            <w:tcW w:w="1236" w:type="pct"/>
            <w:shd w:val="clear" w:color="auto" w:fill="auto"/>
            <w:vAlign w:val="center"/>
          </w:tcPr>
          <w:p w14:paraId="36283CA2">
            <w:pPr>
              <w:bidi w:val="0"/>
              <w:spacing w:after="160" w:line="259" w:lineRule="auto"/>
              <w:jc w:val="center"/>
              <w:rPr>
                <w:rFonts w:hint="eastAsia"/>
                <w:color w:val="auto"/>
              </w:rPr>
            </w:pPr>
            <w:r>
              <w:rPr>
                <w:rFonts w:hint="eastAsia"/>
                <w:color w:val="auto"/>
              </w:rPr>
              <w:t>土壤</w:t>
            </w:r>
          </w:p>
        </w:tc>
        <w:tc>
          <w:tcPr>
            <w:tcW w:w="780" w:type="pct"/>
            <w:vMerge w:val="continue"/>
            <w:shd w:val="clear" w:color="auto" w:fill="auto"/>
            <w:vAlign w:val="center"/>
          </w:tcPr>
          <w:p w14:paraId="67F3191B">
            <w:pPr>
              <w:bidi w:val="0"/>
              <w:spacing w:after="160" w:line="259" w:lineRule="auto"/>
              <w:jc w:val="center"/>
              <w:rPr>
                <w:rFonts w:hint="eastAsia"/>
                <w:color w:val="auto"/>
              </w:rPr>
            </w:pPr>
          </w:p>
        </w:tc>
      </w:tr>
      <w:tr w14:paraId="7945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629" w:type="pct"/>
            <w:vMerge w:val="continue"/>
            <w:shd w:val="clear" w:color="auto" w:fill="auto"/>
            <w:vAlign w:val="center"/>
          </w:tcPr>
          <w:p w14:paraId="53B124F1">
            <w:pPr>
              <w:bidi w:val="0"/>
              <w:spacing w:after="160" w:line="259" w:lineRule="auto"/>
              <w:jc w:val="center"/>
              <w:rPr>
                <w:rFonts w:hint="eastAsia"/>
                <w:color w:val="auto"/>
              </w:rPr>
            </w:pPr>
          </w:p>
        </w:tc>
        <w:tc>
          <w:tcPr>
            <w:tcW w:w="1778" w:type="pct"/>
            <w:shd w:val="clear" w:color="auto" w:fill="auto"/>
            <w:vAlign w:val="center"/>
          </w:tcPr>
          <w:p w14:paraId="79BDB6E9">
            <w:pPr>
              <w:bidi w:val="0"/>
              <w:spacing w:after="160" w:line="259" w:lineRule="auto"/>
              <w:jc w:val="center"/>
              <w:rPr>
                <w:rFonts w:hint="eastAsia"/>
                <w:color w:val="auto"/>
              </w:rPr>
            </w:pPr>
            <w:r>
              <w:rPr>
                <w:rFonts w:hint="eastAsia"/>
                <w:color w:val="auto"/>
              </w:rPr>
              <w:t>设备噪声</w:t>
            </w:r>
          </w:p>
        </w:tc>
        <w:tc>
          <w:tcPr>
            <w:tcW w:w="574" w:type="pct"/>
            <w:vMerge w:val="continue"/>
            <w:shd w:val="clear" w:color="auto" w:fill="auto"/>
            <w:vAlign w:val="center"/>
          </w:tcPr>
          <w:p w14:paraId="18FD4260">
            <w:pPr>
              <w:bidi w:val="0"/>
              <w:spacing w:after="160" w:line="259" w:lineRule="auto"/>
              <w:jc w:val="center"/>
              <w:rPr>
                <w:rFonts w:hint="eastAsia"/>
                <w:color w:val="auto"/>
              </w:rPr>
            </w:pPr>
          </w:p>
        </w:tc>
        <w:tc>
          <w:tcPr>
            <w:tcW w:w="1236" w:type="pct"/>
            <w:shd w:val="clear" w:color="auto" w:fill="auto"/>
            <w:vAlign w:val="center"/>
          </w:tcPr>
          <w:p w14:paraId="3CA8B443">
            <w:pPr>
              <w:bidi w:val="0"/>
              <w:spacing w:after="160" w:line="259" w:lineRule="auto"/>
              <w:jc w:val="center"/>
              <w:rPr>
                <w:rFonts w:hint="eastAsia"/>
                <w:color w:val="auto"/>
              </w:rPr>
            </w:pPr>
            <w:r>
              <w:rPr>
                <w:rFonts w:hint="eastAsia"/>
                <w:color w:val="auto"/>
              </w:rPr>
              <w:t>声环境</w:t>
            </w:r>
          </w:p>
        </w:tc>
        <w:tc>
          <w:tcPr>
            <w:tcW w:w="780" w:type="pct"/>
            <w:vMerge w:val="continue"/>
            <w:shd w:val="clear" w:color="auto" w:fill="auto"/>
            <w:vAlign w:val="center"/>
          </w:tcPr>
          <w:p w14:paraId="7932BB26">
            <w:pPr>
              <w:bidi w:val="0"/>
              <w:spacing w:after="160" w:line="259" w:lineRule="auto"/>
              <w:jc w:val="center"/>
              <w:rPr>
                <w:rFonts w:hint="eastAsia"/>
                <w:color w:val="auto"/>
              </w:rPr>
            </w:pPr>
          </w:p>
        </w:tc>
      </w:tr>
      <w:tr w14:paraId="6D8F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629" w:type="pct"/>
            <w:vMerge w:val="continue"/>
            <w:shd w:val="clear" w:color="auto" w:fill="auto"/>
            <w:vAlign w:val="center"/>
          </w:tcPr>
          <w:p w14:paraId="1E36902B">
            <w:pPr>
              <w:bidi w:val="0"/>
              <w:spacing w:after="160" w:line="259" w:lineRule="auto"/>
              <w:jc w:val="center"/>
              <w:rPr>
                <w:rFonts w:hint="eastAsia"/>
                <w:color w:val="auto"/>
              </w:rPr>
            </w:pPr>
          </w:p>
        </w:tc>
        <w:tc>
          <w:tcPr>
            <w:tcW w:w="1778" w:type="pct"/>
            <w:shd w:val="clear" w:color="auto" w:fill="auto"/>
            <w:vAlign w:val="center"/>
          </w:tcPr>
          <w:p w14:paraId="35868AA1">
            <w:pPr>
              <w:bidi w:val="0"/>
              <w:spacing w:after="160" w:line="259" w:lineRule="auto"/>
              <w:jc w:val="center"/>
              <w:rPr>
                <w:rFonts w:hint="eastAsia"/>
                <w:color w:val="auto"/>
              </w:rPr>
            </w:pPr>
            <w:r>
              <w:rPr>
                <w:rFonts w:hint="eastAsia"/>
                <w:color w:val="auto"/>
              </w:rPr>
              <w:t>原油泄漏、含油污水泄漏</w:t>
            </w:r>
          </w:p>
        </w:tc>
        <w:tc>
          <w:tcPr>
            <w:tcW w:w="574" w:type="pct"/>
            <w:vMerge w:val="continue"/>
            <w:shd w:val="clear" w:color="auto" w:fill="auto"/>
            <w:vAlign w:val="center"/>
          </w:tcPr>
          <w:p w14:paraId="621A96E4">
            <w:pPr>
              <w:bidi w:val="0"/>
              <w:spacing w:after="160" w:line="259" w:lineRule="auto"/>
              <w:jc w:val="center"/>
              <w:rPr>
                <w:rFonts w:hint="eastAsia"/>
                <w:color w:val="auto"/>
              </w:rPr>
            </w:pPr>
          </w:p>
        </w:tc>
        <w:tc>
          <w:tcPr>
            <w:tcW w:w="1236" w:type="pct"/>
            <w:shd w:val="clear" w:color="auto" w:fill="auto"/>
            <w:vAlign w:val="center"/>
          </w:tcPr>
          <w:p w14:paraId="042BBF8A">
            <w:pPr>
              <w:bidi w:val="0"/>
              <w:spacing w:after="160" w:line="259" w:lineRule="auto"/>
              <w:jc w:val="center"/>
              <w:rPr>
                <w:rFonts w:hint="eastAsia"/>
                <w:color w:val="auto"/>
              </w:rPr>
            </w:pPr>
            <w:r>
              <w:rPr>
                <w:rFonts w:hint="eastAsia"/>
                <w:color w:val="auto"/>
              </w:rPr>
              <w:t>土壤、地下水</w:t>
            </w:r>
          </w:p>
        </w:tc>
        <w:tc>
          <w:tcPr>
            <w:tcW w:w="780" w:type="pct"/>
            <w:shd w:val="clear" w:color="auto" w:fill="auto"/>
            <w:vAlign w:val="center"/>
          </w:tcPr>
          <w:p w14:paraId="751FA149">
            <w:pPr>
              <w:bidi w:val="0"/>
              <w:spacing w:after="160" w:line="259" w:lineRule="auto"/>
              <w:jc w:val="center"/>
              <w:rPr>
                <w:rFonts w:hint="eastAsia"/>
                <w:color w:val="auto"/>
              </w:rPr>
            </w:pPr>
            <w:r>
              <w:rPr>
                <w:rFonts w:hint="eastAsia"/>
                <w:color w:val="auto"/>
              </w:rPr>
              <w:t>事故状态</w:t>
            </w:r>
          </w:p>
        </w:tc>
      </w:tr>
      <w:tr w14:paraId="5928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629" w:type="pct"/>
            <w:vMerge w:val="restart"/>
            <w:shd w:val="clear" w:color="auto" w:fill="auto"/>
            <w:vAlign w:val="center"/>
          </w:tcPr>
          <w:p w14:paraId="74C5A250">
            <w:pPr>
              <w:bidi w:val="0"/>
              <w:spacing w:after="160" w:line="259" w:lineRule="auto"/>
              <w:jc w:val="center"/>
              <w:rPr>
                <w:rFonts w:hint="eastAsia"/>
                <w:color w:val="auto"/>
              </w:rPr>
            </w:pPr>
            <w:r>
              <w:rPr>
                <w:rFonts w:hint="eastAsia"/>
                <w:color w:val="auto"/>
              </w:rPr>
              <w:t>井下作业</w:t>
            </w:r>
          </w:p>
        </w:tc>
        <w:tc>
          <w:tcPr>
            <w:tcW w:w="1778" w:type="pct"/>
            <w:shd w:val="clear" w:color="auto" w:fill="auto"/>
            <w:vAlign w:val="center"/>
          </w:tcPr>
          <w:p w14:paraId="7EC1CFF5">
            <w:pPr>
              <w:bidi w:val="0"/>
              <w:spacing w:after="160" w:line="259" w:lineRule="auto"/>
              <w:jc w:val="center"/>
              <w:rPr>
                <w:rFonts w:hint="eastAsia"/>
                <w:color w:val="auto"/>
              </w:rPr>
            </w:pPr>
            <w:r>
              <w:rPr>
                <w:rFonts w:hint="eastAsia"/>
                <w:color w:val="auto"/>
              </w:rPr>
              <w:t>落地油</w:t>
            </w:r>
          </w:p>
        </w:tc>
        <w:tc>
          <w:tcPr>
            <w:tcW w:w="574" w:type="pct"/>
            <w:vMerge w:val="restart"/>
            <w:shd w:val="clear" w:color="auto" w:fill="auto"/>
            <w:vAlign w:val="center"/>
          </w:tcPr>
          <w:p w14:paraId="7F6B58F2">
            <w:pPr>
              <w:bidi w:val="0"/>
              <w:spacing w:after="160" w:line="259" w:lineRule="auto"/>
              <w:jc w:val="center"/>
              <w:rPr>
                <w:rFonts w:hint="eastAsia"/>
                <w:color w:val="auto"/>
              </w:rPr>
            </w:pPr>
            <w:r>
              <w:rPr>
                <w:rFonts w:hint="eastAsia"/>
                <w:color w:val="auto"/>
              </w:rPr>
              <w:t>井场</w:t>
            </w:r>
          </w:p>
        </w:tc>
        <w:tc>
          <w:tcPr>
            <w:tcW w:w="1236" w:type="pct"/>
            <w:shd w:val="clear" w:color="auto" w:fill="auto"/>
            <w:vAlign w:val="center"/>
          </w:tcPr>
          <w:p w14:paraId="55D2A9BA">
            <w:pPr>
              <w:bidi w:val="0"/>
              <w:spacing w:after="160" w:line="259" w:lineRule="auto"/>
              <w:jc w:val="center"/>
              <w:rPr>
                <w:rFonts w:hint="eastAsia"/>
                <w:color w:val="auto"/>
              </w:rPr>
            </w:pPr>
            <w:r>
              <w:rPr>
                <w:rFonts w:hint="eastAsia"/>
                <w:color w:val="auto"/>
              </w:rPr>
              <w:t>土壤</w:t>
            </w:r>
          </w:p>
        </w:tc>
        <w:tc>
          <w:tcPr>
            <w:tcW w:w="780" w:type="pct"/>
            <w:vMerge w:val="restart"/>
            <w:shd w:val="clear" w:color="auto" w:fill="auto"/>
            <w:vAlign w:val="center"/>
          </w:tcPr>
          <w:p w14:paraId="148A6C60">
            <w:pPr>
              <w:bidi w:val="0"/>
              <w:spacing w:after="160" w:line="259" w:lineRule="auto"/>
              <w:jc w:val="center"/>
              <w:rPr>
                <w:rFonts w:hint="eastAsia"/>
                <w:color w:val="auto"/>
              </w:rPr>
            </w:pPr>
            <w:r>
              <w:rPr>
                <w:rFonts w:hint="eastAsia"/>
                <w:color w:val="auto"/>
              </w:rPr>
              <w:t>间歇性污染</w:t>
            </w:r>
          </w:p>
        </w:tc>
      </w:tr>
      <w:tr w14:paraId="0299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629" w:type="pct"/>
            <w:vMerge w:val="continue"/>
            <w:shd w:val="clear" w:color="auto" w:fill="auto"/>
            <w:vAlign w:val="center"/>
          </w:tcPr>
          <w:p w14:paraId="45C5CD28">
            <w:pPr>
              <w:bidi w:val="0"/>
              <w:spacing w:after="160" w:line="259" w:lineRule="auto"/>
              <w:jc w:val="center"/>
              <w:rPr>
                <w:rFonts w:hint="eastAsia"/>
                <w:color w:val="auto"/>
              </w:rPr>
            </w:pPr>
          </w:p>
        </w:tc>
        <w:tc>
          <w:tcPr>
            <w:tcW w:w="1778" w:type="pct"/>
            <w:shd w:val="clear" w:color="auto" w:fill="auto"/>
            <w:vAlign w:val="center"/>
          </w:tcPr>
          <w:p w14:paraId="76EAAFDC">
            <w:pPr>
              <w:bidi w:val="0"/>
              <w:spacing w:after="160" w:line="259" w:lineRule="auto"/>
              <w:jc w:val="center"/>
              <w:rPr>
                <w:rFonts w:hint="default"/>
                <w:color w:val="auto"/>
                <w:lang w:val="en-US" w:eastAsia="zh-CN"/>
              </w:rPr>
            </w:pPr>
            <w:r>
              <w:rPr>
                <w:rFonts w:hint="eastAsia"/>
                <w:color w:val="auto"/>
              </w:rPr>
              <w:t>修井废水、洗井废水</w:t>
            </w:r>
            <w:r>
              <w:rPr>
                <w:rFonts w:hint="eastAsia"/>
                <w:color w:val="auto"/>
                <w:lang w:eastAsia="zh-CN"/>
              </w:rPr>
              <w:t>、</w:t>
            </w:r>
            <w:r>
              <w:rPr>
                <w:rFonts w:hint="eastAsia"/>
                <w:color w:val="auto"/>
                <w:lang w:val="en-US" w:eastAsia="zh-CN"/>
              </w:rPr>
              <w:t>压裂废液等</w:t>
            </w:r>
          </w:p>
        </w:tc>
        <w:tc>
          <w:tcPr>
            <w:tcW w:w="574" w:type="pct"/>
            <w:vMerge w:val="continue"/>
            <w:shd w:val="clear" w:color="auto" w:fill="auto"/>
            <w:vAlign w:val="center"/>
          </w:tcPr>
          <w:p w14:paraId="5B675EE3">
            <w:pPr>
              <w:bidi w:val="0"/>
              <w:spacing w:after="160" w:line="259" w:lineRule="auto"/>
              <w:jc w:val="center"/>
              <w:rPr>
                <w:rFonts w:hint="eastAsia"/>
                <w:color w:val="auto"/>
              </w:rPr>
            </w:pPr>
          </w:p>
        </w:tc>
        <w:tc>
          <w:tcPr>
            <w:tcW w:w="1236" w:type="pct"/>
            <w:shd w:val="clear" w:color="auto" w:fill="auto"/>
            <w:vAlign w:val="center"/>
          </w:tcPr>
          <w:p w14:paraId="247FFA12">
            <w:pPr>
              <w:bidi w:val="0"/>
              <w:spacing w:after="160" w:line="259" w:lineRule="auto"/>
              <w:jc w:val="center"/>
              <w:rPr>
                <w:rFonts w:hint="eastAsia"/>
                <w:color w:val="auto"/>
              </w:rPr>
            </w:pPr>
            <w:r>
              <w:rPr>
                <w:rFonts w:hint="eastAsia"/>
                <w:color w:val="auto"/>
              </w:rPr>
              <w:t>土壤</w:t>
            </w:r>
          </w:p>
        </w:tc>
        <w:tc>
          <w:tcPr>
            <w:tcW w:w="780" w:type="pct"/>
            <w:vMerge w:val="continue"/>
            <w:shd w:val="clear" w:color="auto" w:fill="auto"/>
            <w:vAlign w:val="center"/>
          </w:tcPr>
          <w:p w14:paraId="7A62BA8F">
            <w:pPr>
              <w:bidi w:val="0"/>
              <w:spacing w:after="160" w:line="259" w:lineRule="auto"/>
              <w:jc w:val="center"/>
              <w:rPr>
                <w:rFonts w:hint="eastAsia"/>
                <w:color w:val="auto"/>
              </w:rPr>
            </w:pPr>
          </w:p>
        </w:tc>
      </w:tr>
      <w:tr w14:paraId="4206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629" w:type="pct"/>
            <w:vMerge w:val="continue"/>
            <w:shd w:val="clear" w:color="auto" w:fill="auto"/>
            <w:vAlign w:val="center"/>
          </w:tcPr>
          <w:p w14:paraId="1423C56A">
            <w:pPr>
              <w:bidi w:val="0"/>
              <w:spacing w:after="160" w:line="259" w:lineRule="auto"/>
              <w:jc w:val="center"/>
              <w:rPr>
                <w:rFonts w:hint="eastAsia"/>
                <w:color w:val="auto"/>
              </w:rPr>
            </w:pPr>
          </w:p>
        </w:tc>
        <w:tc>
          <w:tcPr>
            <w:tcW w:w="1778" w:type="pct"/>
            <w:shd w:val="clear" w:color="auto" w:fill="auto"/>
            <w:vAlign w:val="center"/>
          </w:tcPr>
          <w:p w14:paraId="5E510C23">
            <w:pPr>
              <w:bidi w:val="0"/>
              <w:spacing w:after="160" w:line="259" w:lineRule="auto"/>
              <w:jc w:val="center"/>
              <w:rPr>
                <w:rFonts w:hint="eastAsia"/>
                <w:color w:val="auto"/>
              </w:rPr>
            </w:pPr>
            <w:r>
              <w:rPr>
                <w:rFonts w:hint="eastAsia"/>
                <w:color w:val="auto"/>
              </w:rPr>
              <w:t>噪声</w:t>
            </w:r>
          </w:p>
        </w:tc>
        <w:tc>
          <w:tcPr>
            <w:tcW w:w="574" w:type="pct"/>
            <w:vMerge w:val="continue"/>
            <w:shd w:val="clear" w:color="auto" w:fill="auto"/>
            <w:vAlign w:val="center"/>
          </w:tcPr>
          <w:p w14:paraId="161DDEAD">
            <w:pPr>
              <w:bidi w:val="0"/>
              <w:spacing w:after="160" w:line="259" w:lineRule="auto"/>
              <w:jc w:val="center"/>
              <w:rPr>
                <w:rFonts w:hint="eastAsia"/>
                <w:color w:val="auto"/>
              </w:rPr>
            </w:pPr>
          </w:p>
        </w:tc>
        <w:tc>
          <w:tcPr>
            <w:tcW w:w="1236" w:type="pct"/>
            <w:shd w:val="clear" w:color="auto" w:fill="auto"/>
            <w:vAlign w:val="center"/>
          </w:tcPr>
          <w:p w14:paraId="26FFA94C">
            <w:pPr>
              <w:bidi w:val="0"/>
              <w:spacing w:after="160" w:line="259" w:lineRule="auto"/>
              <w:jc w:val="center"/>
              <w:rPr>
                <w:rFonts w:hint="eastAsia"/>
                <w:color w:val="auto"/>
              </w:rPr>
            </w:pPr>
            <w:r>
              <w:rPr>
                <w:rFonts w:hint="eastAsia"/>
                <w:color w:val="auto"/>
              </w:rPr>
              <w:t>声环境</w:t>
            </w:r>
          </w:p>
        </w:tc>
        <w:tc>
          <w:tcPr>
            <w:tcW w:w="780" w:type="pct"/>
            <w:vMerge w:val="continue"/>
            <w:shd w:val="clear" w:color="auto" w:fill="auto"/>
            <w:vAlign w:val="center"/>
          </w:tcPr>
          <w:p w14:paraId="218BF024">
            <w:pPr>
              <w:bidi w:val="0"/>
              <w:spacing w:after="160" w:line="259" w:lineRule="auto"/>
              <w:jc w:val="center"/>
              <w:rPr>
                <w:rFonts w:hint="eastAsia"/>
                <w:color w:val="auto"/>
              </w:rPr>
            </w:pPr>
          </w:p>
        </w:tc>
      </w:tr>
    </w:tbl>
    <w:p w14:paraId="5BB4BF7F">
      <w:pPr>
        <w:pStyle w:val="6"/>
        <w:bidi w:val="0"/>
        <w:rPr>
          <w:rFonts w:hint="default"/>
          <w:color w:val="auto"/>
          <w:lang w:val="en-US" w:eastAsia="zh-CN"/>
        </w:rPr>
      </w:pPr>
      <w:r>
        <w:rPr>
          <w:rFonts w:hint="eastAsia"/>
          <w:color w:val="auto"/>
          <w:lang w:val="en-US" w:eastAsia="zh-CN"/>
        </w:rPr>
        <w:t>3.9.1.3退役期污染因素分析</w:t>
      </w:r>
    </w:p>
    <w:p w14:paraId="20FF673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1、退役期工艺流程分析</w:t>
      </w:r>
    </w:p>
    <w:p w14:paraId="40D75A7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退役期为油井服务期满后，停运、关闭、恢复土地使用功能的时段。闭井后作业内容包括拆除井场的采油设备、设施，封闭出油层段和采油井口，拆除地面管线等施工过程。其中，封井措施的主要工序如下：</w:t>
      </w:r>
    </w:p>
    <w:p w14:paraId="39F8BC1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①井口处理</w:t>
      </w:r>
    </w:p>
    <w:p w14:paraId="526D39F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压井后安装井控井口，井口应具备注入压井、放空循环、总控3套控制阀门</w:t>
      </w:r>
      <w:r>
        <w:rPr>
          <w:rFonts w:hint="eastAsia" w:cstheme="minorBidi"/>
          <w:color w:val="auto"/>
          <w:kern w:val="2"/>
          <w:sz w:val="24"/>
          <w:szCs w:val="24"/>
          <w:lang w:val="en-US" w:eastAsia="zh-CN" w:bidi="ar-SA"/>
        </w:rPr>
        <w:t>且</w:t>
      </w:r>
      <w:r>
        <w:rPr>
          <w:rFonts w:hint="eastAsia" w:ascii="Times New Roman" w:hAnsi="Times New Roman" w:eastAsia="宋体" w:cstheme="minorBidi"/>
          <w:color w:val="auto"/>
          <w:kern w:val="2"/>
          <w:sz w:val="24"/>
          <w:szCs w:val="24"/>
          <w:lang w:val="en-US" w:eastAsia="zh-CN" w:bidi="ar-SA"/>
        </w:rPr>
        <w:t>具备取油压、取套压、洗井、压井等条件。要求井口与防喷器、简易防喷控制装置具有良好的</w:t>
      </w:r>
      <w:r>
        <w:rPr>
          <w:rFonts w:hint="eastAsia" w:cstheme="minorBidi"/>
          <w:color w:val="auto"/>
          <w:kern w:val="2"/>
          <w:sz w:val="24"/>
          <w:szCs w:val="24"/>
          <w:lang w:val="en-US" w:eastAsia="zh-CN" w:bidi="ar-SA"/>
        </w:rPr>
        <w:t>适配</w:t>
      </w:r>
      <w:r>
        <w:rPr>
          <w:rFonts w:hint="eastAsia" w:ascii="Times New Roman" w:hAnsi="Times New Roman" w:eastAsia="宋体" w:cstheme="minorBidi"/>
          <w:color w:val="auto"/>
          <w:kern w:val="2"/>
          <w:sz w:val="24"/>
          <w:szCs w:val="24"/>
          <w:lang w:val="en-US" w:eastAsia="zh-CN" w:bidi="ar-SA"/>
        </w:rPr>
        <w:t>性能。</w:t>
      </w:r>
    </w:p>
    <w:p w14:paraId="45996EC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②套内处理</w:t>
      </w:r>
    </w:p>
    <w:p w14:paraId="73DE191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套内处理的目的是使射孔井段底界5m以上无任何落物存在。通过通井、冲砂、刮套、验窜、热洗5套常规程序确保井筒内无落物、砂埋，套管壁无杂质、结垢、油污等，并对井下有故障情况尤其是套损漏失情况进行判断。如遇落物卡阻井，根据井筒内落物、卡阻类型，选取针对性的打捞、解卡工具及管柱进行处理。如遇套管变形井，根据套变具体形式，采取大修冲胀、磨铣等整形或打通道工具管柱实施治套，之后试挤，根据设计要求下入分段或循环封井管柱，实施套内封井。对于产气量显著下降，已无继续开采价值的油井进行封井，采用混凝土灌注法。</w:t>
      </w:r>
    </w:p>
    <w:p w14:paraId="646717E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③套外处理</w:t>
      </w:r>
    </w:p>
    <w:p w14:paraId="16E85E4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为避免对地下水产生污染，对固井质量不合格、易发生管外窜槽井，套管外水泥返高未到地面的井实施大修，并采用循环固井方式封堵套外，从而使含水层与生产层段和地表之间形成有效隔离，使其免受地层流体或地表水窜入的污染，实现永久封固。</w:t>
      </w:r>
    </w:p>
    <w:p w14:paraId="6F3D639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④封后井口处理</w:t>
      </w:r>
    </w:p>
    <w:p w14:paraId="3E415DF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封后井进行定位，建账存档，便于以后调档查阅；封井完成后割掉井口，加装专用的可开启式封井井口帽子，下卧至地下0.5m以下；在井口位置做永久</w:t>
      </w:r>
      <w:r>
        <w:rPr>
          <w:rFonts w:hint="eastAsia" w:cstheme="minorBidi"/>
          <w:color w:val="auto"/>
          <w:kern w:val="2"/>
          <w:sz w:val="24"/>
          <w:szCs w:val="24"/>
          <w:lang w:val="en-US" w:eastAsia="zh-CN" w:bidi="ar-SA"/>
        </w:rPr>
        <w:t>标识</w:t>
      </w:r>
      <w:r>
        <w:rPr>
          <w:rFonts w:hint="eastAsia" w:ascii="Times New Roman" w:hAnsi="Times New Roman" w:eastAsia="宋体" w:cstheme="minorBidi"/>
          <w:color w:val="auto"/>
          <w:kern w:val="2"/>
          <w:sz w:val="24"/>
          <w:szCs w:val="24"/>
          <w:lang w:val="en-US" w:eastAsia="zh-CN" w:bidi="ar-SA"/>
        </w:rPr>
        <w:t>，注明井号，指示风险，围栏圈闭保护，严禁在上面建任何建筑物，并要求周边建筑物必须有一定的安全距离。</w:t>
      </w:r>
    </w:p>
    <w:p w14:paraId="5FC5BE6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退役期产污环节主要是采油设备、部分输油管线的拆除和清理过程产生的落地油、含油污泥以及废弃设备管线和建筑垃圾等固体废物；封井前通洗井和管线清理废水等。</w:t>
      </w:r>
    </w:p>
    <w:p w14:paraId="5116AC0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⑤生态修复措施</w:t>
      </w:r>
    </w:p>
    <w:p w14:paraId="2D71A39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井口封闭后，对井场和道路占地进行生态恢复，恢复原有用地功能。</w:t>
      </w:r>
    </w:p>
    <w:p w14:paraId="1B54F74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油田退役期作业产生的污染物主要是采油设备、部分输油管线的拆除过程会产生落地油。</w:t>
      </w:r>
    </w:p>
    <w:p w14:paraId="32BE48A0">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2、退役期产污环节分析</w:t>
      </w:r>
    </w:p>
    <w:p w14:paraId="52336A03">
      <w:pPr>
        <w:pStyle w:val="33"/>
        <w:bidi w:val="0"/>
        <w:rPr>
          <w:color w:val="auto"/>
        </w:rPr>
      </w:pPr>
      <w:r>
        <w:rPr>
          <w:color w:val="auto"/>
        </w:rPr>
        <w:t>退役期采油设备的拆除、井场构筑物的拆除等，施工机械的进驻会导致施工扬尘、施工废水、施工噪声、建筑垃圾及部分落地油，并且会增加临时占地对地表造成扰动。</w:t>
      </w:r>
    </w:p>
    <w:p w14:paraId="52E1E9E4">
      <w:pPr>
        <w:pStyle w:val="33"/>
        <w:bidi w:val="0"/>
        <w:rPr>
          <w:color w:val="auto"/>
        </w:rPr>
      </w:pPr>
      <w:r>
        <w:rPr>
          <w:color w:val="auto"/>
        </w:rPr>
        <w:t>退役期主要污染源及污染</w:t>
      </w:r>
      <w:r>
        <w:rPr>
          <w:rFonts w:hint="eastAsia"/>
          <w:color w:val="auto"/>
          <w:lang w:val="en-US" w:eastAsia="zh-CN"/>
        </w:rPr>
        <w:t>因素</w:t>
      </w:r>
      <w:r>
        <w:rPr>
          <w:color w:val="auto"/>
        </w:rPr>
        <w:t>见</w:t>
      </w:r>
      <w:r>
        <w:rPr>
          <w:rFonts w:hint="default"/>
          <w:color w:val="auto"/>
          <w:lang w:val="en-US"/>
        </w:rPr>
        <w:fldChar w:fldCharType="begin"/>
      </w:r>
      <w:r>
        <w:rPr>
          <w:rFonts w:hint="default"/>
          <w:color w:val="auto"/>
          <w:lang w:val="en-US"/>
        </w:rPr>
        <w:instrText xml:space="preserve"> REF _Ref3560 \h </w:instrText>
      </w:r>
      <w:r>
        <w:rPr>
          <w:rFonts w:hint="default"/>
          <w:color w:val="auto"/>
          <w:lang w:val="en-US"/>
        </w:rPr>
        <w:fldChar w:fldCharType="separate"/>
      </w:r>
      <w:r>
        <w:rPr>
          <w:color w:val="auto"/>
        </w:rPr>
        <w:t>表</w:t>
      </w:r>
      <w:r>
        <w:rPr>
          <w:rFonts w:hint="eastAsia"/>
          <w:color w:val="auto"/>
          <w:lang w:val="en-US" w:eastAsia="zh-CN"/>
        </w:rPr>
        <w:t>3</w:t>
      </w:r>
      <w:r>
        <w:rPr>
          <w:rFonts w:hint="default"/>
          <w:color w:val="auto"/>
          <w:lang w:val="en-US"/>
        </w:rPr>
        <w:fldChar w:fldCharType="end"/>
      </w:r>
      <w:r>
        <w:rPr>
          <w:rFonts w:hint="eastAsia"/>
          <w:color w:val="auto"/>
          <w:lang w:val="en-US" w:eastAsia="zh-CN"/>
        </w:rPr>
        <w:t>.9-3</w:t>
      </w:r>
      <w:r>
        <w:rPr>
          <w:color w:val="auto"/>
        </w:rPr>
        <w:t>。</w:t>
      </w:r>
    </w:p>
    <w:p w14:paraId="5AF80071">
      <w:pPr>
        <w:pStyle w:val="43"/>
        <w:bidi w:val="0"/>
        <w:rPr>
          <w:rFonts w:cs="Times New Roman"/>
          <w:color w:val="auto"/>
        </w:rPr>
      </w:pPr>
      <w:bookmarkStart w:id="172" w:name="_Ref3560"/>
      <w:r>
        <w:rPr>
          <w:color w:val="auto"/>
        </w:rPr>
        <w:t>表</w:t>
      </w:r>
      <w:bookmarkEnd w:id="172"/>
      <w:r>
        <w:rPr>
          <w:rFonts w:hint="eastAsia"/>
          <w:color w:val="auto"/>
          <w:lang w:val="en-US" w:eastAsia="zh-CN"/>
        </w:rPr>
        <w:t>3.9-3</w:t>
      </w:r>
      <w:r>
        <w:rPr>
          <w:rFonts w:cs="Times New Roman"/>
          <w:color w:val="auto"/>
        </w:rPr>
        <w:t xml:space="preserve">  退役期主要污染影响因素表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1676"/>
        <w:gridCol w:w="1685"/>
        <w:gridCol w:w="1685"/>
        <w:gridCol w:w="1685"/>
        <w:gridCol w:w="1677"/>
      </w:tblGrid>
      <w:tr w14:paraId="36C5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trPr>
        <w:tc>
          <w:tcPr>
            <w:tcW w:w="997" w:type="pct"/>
            <w:shd w:val="clear" w:color="auto" w:fill="auto"/>
            <w:vAlign w:val="center"/>
          </w:tcPr>
          <w:p w14:paraId="1D0CE84C">
            <w:pPr>
              <w:bidi w:val="0"/>
              <w:spacing w:after="160" w:line="259" w:lineRule="auto"/>
              <w:jc w:val="center"/>
              <w:rPr>
                <w:rFonts w:hint="eastAsia"/>
                <w:b/>
                <w:bCs/>
                <w:color w:val="auto"/>
              </w:rPr>
            </w:pPr>
            <w:r>
              <w:rPr>
                <w:rFonts w:hint="eastAsia"/>
                <w:b/>
                <w:bCs/>
                <w:color w:val="auto"/>
              </w:rPr>
              <w:t>作业内容</w:t>
            </w:r>
          </w:p>
        </w:tc>
        <w:tc>
          <w:tcPr>
            <w:tcW w:w="1002" w:type="pct"/>
            <w:shd w:val="clear" w:color="auto" w:fill="auto"/>
            <w:vAlign w:val="center"/>
          </w:tcPr>
          <w:p w14:paraId="005FD193">
            <w:pPr>
              <w:bidi w:val="0"/>
              <w:spacing w:after="160" w:line="259" w:lineRule="auto"/>
              <w:jc w:val="center"/>
              <w:rPr>
                <w:rFonts w:hint="eastAsia"/>
                <w:b/>
                <w:bCs/>
                <w:color w:val="auto"/>
              </w:rPr>
            </w:pPr>
            <w:r>
              <w:rPr>
                <w:rFonts w:hint="eastAsia"/>
                <w:b/>
                <w:bCs/>
                <w:color w:val="auto"/>
              </w:rPr>
              <w:t>主要污染物</w:t>
            </w:r>
          </w:p>
        </w:tc>
        <w:tc>
          <w:tcPr>
            <w:tcW w:w="1002" w:type="pct"/>
            <w:shd w:val="clear" w:color="auto" w:fill="auto"/>
            <w:vAlign w:val="center"/>
          </w:tcPr>
          <w:p w14:paraId="68CE469F">
            <w:pPr>
              <w:bidi w:val="0"/>
              <w:spacing w:after="160" w:line="259" w:lineRule="auto"/>
              <w:jc w:val="center"/>
              <w:rPr>
                <w:rFonts w:hint="eastAsia"/>
                <w:b/>
                <w:bCs/>
                <w:color w:val="auto"/>
              </w:rPr>
            </w:pPr>
            <w:r>
              <w:rPr>
                <w:rFonts w:hint="eastAsia"/>
                <w:b/>
                <w:bCs/>
                <w:color w:val="auto"/>
              </w:rPr>
              <w:t>产生位置</w:t>
            </w:r>
          </w:p>
        </w:tc>
        <w:tc>
          <w:tcPr>
            <w:tcW w:w="1002" w:type="pct"/>
            <w:shd w:val="clear" w:color="auto" w:fill="auto"/>
            <w:vAlign w:val="center"/>
          </w:tcPr>
          <w:p w14:paraId="6BD851DE">
            <w:pPr>
              <w:bidi w:val="0"/>
              <w:spacing w:after="160" w:line="259" w:lineRule="auto"/>
              <w:jc w:val="center"/>
              <w:rPr>
                <w:rFonts w:hint="eastAsia"/>
                <w:b/>
                <w:bCs/>
                <w:color w:val="auto"/>
              </w:rPr>
            </w:pPr>
            <w:r>
              <w:rPr>
                <w:rFonts w:hint="eastAsia"/>
                <w:b/>
                <w:bCs/>
                <w:color w:val="auto"/>
              </w:rPr>
              <w:t>环境受体</w:t>
            </w:r>
          </w:p>
        </w:tc>
        <w:tc>
          <w:tcPr>
            <w:tcW w:w="997" w:type="pct"/>
            <w:shd w:val="clear" w:color="auto" w:fill="auto"/>
            <w:vAlign w:val="center"/>
          </w:tcPr>
          <w:p w14:paraId="48E6F1B7">
            <w:pPr>
              <w:bidi w:val="0"/>
              <w:spacing w:after="160" w:line="259" w:lineRule="auto"/>
              <w:jc w:val="center"/>
              <w:rPr>
                <w:rFonts w:hint="eastAsia"/>
                <w:b/>
                <w:bCs/>
                <w:color w:val="auto"/>
              </w:rPr>
            </w:pPr>
            <w:r>
              <w:rPr>
                <w:rFonts w:hint="eastAsia"/>
                <w:b/>
                <w:bCs/>
                <w:color w:val="auto"/>
              </w:rPr>
              <w:t>污染源性质</w:t>
            </w:r>
          </w:p>
        </w:tc>
      </w:tr>
      <w:tr w14:paraId="7AE6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trPr>
        <w:tc>
          <w:tcPr>
            <w:tcW w:w="997" w:type="pct"/>
            <w:vMerge w:val="restart"/>
            <w:shd w:val="clear" w:color="auto" w:fill="auto"/>
            <w:vAlign w:val="center"/>
          </w:tcPr>
          <w:p w14:paraId="09269ECB">
            <w:pPr>
              <w:bidi w:val="0"/>
              <w:spacing w:after="160" w:line="259" w:lineRule="auto"/>
              <w:jc w:val="center"/>
              <w:rPr>
                <w:rFonts w:hint="eastAsia"/>
                <w:color w:val="auto"/>
              </w:rPr>
            </w:pPr>
            <w:r>
              <w:rPr>
                <w:rFonts w:hint="eastAsia"/>
                <w:color w:val="auto"/>
              </w:rPr>
              <w:t>拆除作业</w:t>
            </w:r>
          </w:p>
        </w:tc>
        <w:tc>
          <w:tcPr>
            <w:tcW w:w="1002" w:type="pct"/>
            <w:shd w:val="clear" w:color="auto" w:fill="auto"/>
            <w:vAlign w:val="center"/>
          </w:tcPr>
          <w:p w14:paraId="70A42EA7">
            <w:pPr>
              <w:bidi w:val="0"/>
              <w:spacing w:after="160" w:line="259" w:lineRule="auto"/>
              <w:jc w:val="center"/>
              <w:rPr>
                <w:rFonts w:hint="eastAsia"/>
                <w:color w:val="auto"/>
              </w:rPr>
            </w:pPr>
            <w:r>
              <w:rPr>
                <w:rFonts w:hint="eastAsia"/>
                <w:color w:val="auto"/>
              </w:rPr>
              <w:t>施工扬尘、施工机械尾气</w:t>
            </w:r>
          </w:p>
        </w:tc>
        <w:tc>
          <w:tcPr>
            <w:tcW w:w="1002" w:type="pct"/>
            <w:vMerge w:val="restart"/>
            <w:shd w:val="clear" w:color="auto" w:fill="auto"/>
            <w:vAlign w:val="center"/>
          </w:tcPr>
          <w:p w14:paraId="109FF12A">
            <w:pPr>
              <w:bidi w:val="0"/>
              <w:spacing w:after="160" w:line="259" w:lineRule="auto"/>
              <w:jc w:val="center"/>
              <w:rPr>
                <w:rFonts w:hint="eastAsia"/>
                <w:color w:val="auto"/>
              </w:rPr>
            </w:pPr>
            <w:r>
              <w:rPr>
                <w:rFonts w:hint="eastAsia"/>
                <w:color w:val="auto"/>
              </w:rPr>
              <w:t>井场</w:t>
            </w:r>
          </w:p>
        </w:tc>
        <w:tc>
          <w:tcPr>
            <w:tcW w:w="1002" w:type="pct"/>
            <w:shd w:val="clear" w:color="auto" w:fill="auto"/>
            <w:vAlign w:val="center"/>
          </w:tcPr>
          <w:p w14:paraId="2F595F5F">
            <w:pPr>
              <w:bidi w:val="0"/>
              <w:spacing w:after="160" w:line="259" w:lineRule="auto"/>
              <w:jc w:val="center"/>
              <w:rPr>
                <w:rFonts w:hint="eastAsia"/>
                <w:color w:val="auto"/>
              </w:rPr>
            </w:pPr>
            <w:r>
              <w:rPr>
                <w:rFonts w:hint="eastAsia"/>
                <w:color w:val="auto"/>
              </w:rPr>
              <w:t>环境空气</w:t>
            </w:r>
          </w:p>
        </w:tc>
        <w:tc>
          <w:tcPr>
            <w:tcW w:w="997" w:type="pct"/>
            <w:vMerge w:val="restart"/>
            <w:shd w:val="clear" w:color="auto" w:fill="auto"/>
            <w:vAlign w:val="center"/>
          </w:tcPr>
          <w:p w14:paraId="28C2A077">
            <w:pPr>
              <w:bidi w:val="0"/>
              <w:spacing w:after="160" w:line="259" w:lineRule="auto"/>
              <w:jc w:val="center"/>
              <w:rPr>
                <w:rFonts w:hint="eastAsia"/>
                <w:color w:val="auto"/>
              </w:rPr>
            </w:pPr>
            <w:r>
              <w:rPr>
                <w:rFonts w:hint="eastAsia"/>
                <w:color w:val="auto"/>
              </w:rPr>
              <w:t>随拆除作业结束而消失</w:t>
            </w:r>
          </w:p>
        </w:tc>
      </w:tr>
      <w:tr w14:paraId="6734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trPr>
        <w:tc>
          <w:tcPr>
            <w:tcW w:w="997" w:type="pct"/>
            <w:vMerge w:val="continue"/>
            <w:shd w:val="clear" w:color="auto" w:fill="auto"/>
            <w:vAlign w:val="center"/>
          </w:tcPr>
          <w:p w14:paraId="3BBB884F">
            <w:pPr>
              <w:bidi w:val="0"/>
              <w:spacing w:after="160" w:line="259" w:lineRule="auto"/>
              <w:jc w:val="center"/>
              <w:rPr>
                <w:rFonts w:hint="eastAsia"/>
                <w:color w:val="auto"/>
              </w:rPr>
            </w:pPr>
          </w:p>
        </w:tc>
        <w:tc>
          <w:tcPr>
            <w:tcW w:w="1002" w:type="pct"/>
            <w:shd w:val="clear" w:color="auto" w:fill="auto"/>
            <w:vAlign w:val="center"/>
          </w:tcPr>
          <w:p w14:paraId="154EA925">
            <w:pPr>
              <w:bidi w:val="0"/>
              <w:spacing w:after="160" w:line="259" w:lineRule="auto"/>
              <w:jc w:val="center"/>
              <w:rPr>
                <w:rFonts w:hint="eastAsia"/>
                <w:color w:val="auto"/>
              </w:rPr>
            </w:pPr>
            <w:r>
              <w:rPr>
                <w:rFonts w:hint="eastAsia"/>
                <w:color w:val="auto"/>
              </w:rPr>
              <w:t>设备、车辆噪声</w:t>
            </w:r>
          </w:p>
        </w:tc>
        <w:tc>
          <w:tcPr>
            <w:tcW w:w="1002" w:type="pct"/>
            <w:vMerge w:val="continue"/>
            <w:shd w:val="clear" w:color="auto" w:fill="auto"/>
            <w:vAlign w:val="center"/>
          </w:tcPr>
          <w:p w14:paraId="6297B4F4">
            <w:pPr>
              <w:bidi w:val="0"/>
              <w:spacing w:after="160" w:line="259" w:lineRule="auto"/>
              <w:jc w:val="center"/>
              <w:rPr>
                <w:rFonts w:hint="eastAsia"/>
                <w:color w:val="auto"/>
              </w:rPr>
            </w:pPr>
          </w:p>
        </w:tc>
        <w:tc>
          <w:tcPr>
            <w:tcW w:w="1002" w:type="pct"/>
            <w:shd w:val="clear" w:color="auto" w:fill="auto"/>
            <w:vAlign w:val="center"/>
          </w:tcPr>
          <w:p w14:paraId="1CE95DC2">
            <w:pPr>
              <w:bidi w:val="0"/>
              <w:spacing w:after="160" w:line="259" w:lineRule="auto"/>
              <w:jc w:val="center"/>
              <w:rPr>
                <w:rFonts w:hint="eastAsia"/>
                <w:color w:val="auto"/>
              </w:rPr>
            </w:pPr>
            <w:r>
              <w:rPr>
                <w:rFonts w:hint="eastAsia"/>
                <w:color w:val="auto"/>
              </w:rPr>
              <w:t>声环境</w:t>
            </w:r>
          </w:p>
        </w:tc>
        <w:tc>
          <w:tcPr>
            <w:tcW w:w="997" w:type="pct"/>
            <w:vMerge w:val="continue"/>
            <w:shd w:val="clear" w:color="auto" w:fill="auto"/>
            <w:vAlign w:val="center"/>
          </w:tcPr>
          <w:p w14:paraId="3883FC7C">
            <w:pPr>
              <w:bidi w:val="0"/>
              <w:spacing w:after="160" w:line="259" w:lineRule="auto"/>
              <w:jc w:val="center"/>
              <w:rPr>
                <w:rFonts w:hint="eastAsia"/>
                <w:color w:val="auto"/>
              </w:rPr>
            </w:pPr>
          </w:p>
        </w:tc>
      </w:tr>
      <w:tr w14:paraId="654E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trPr>
        <w:tc>
          <w:tcPr>
            <w:tcW w:w="997" w:type="pct"/>
            <w:vMerge w:val="continue"/>
            <w:shd w:val="clear" w:color="auto" w:fill="auto"/>
            <w:vAlign w:val="center"/>
          </w:tcPr>
          <w:p w14:paraId="5BBBE7C5">
            <w:pPr>
              <w:bidi w:val="0"/>
              <w:spacing w:after="160" w:line="259" w:lineRule="auto"/>
              <w:jc w:val="center"/>
              <w:rPr>
                <w:rFonts w:hint="eastAsia"/>
                <w:color w:val="auto"/>
              </w:rPr>
            </w:pPr>
          </w:p>
        </w:tc>
        <w:tc>
          <w:tcPr>
            <w:tcW w:w="1002" w:type="pct"/>
            <w:shd w:val="clear" w:color="auto" w:fill="auto"/>
            <w:vAlign w:val="center"/>
          </w:tcPr>
          <w:p w14:paraId="210A3B55">
            <w:pPr>
              <w:bidi w:val="0"/>
              <w:spacing w:after="160" w:line="259" w:lineRule="auto"/>
              <w:jc w:val="center"/>
              <w:rPr>
                <w:rFonts w:hint="eastAsia"/>
                <w:color w:val="auto"/>
              </w:rPr>
            </w:pPr>
            <w:r>
              <w:rPr>
                <w:rFonts w:hint="eastAsia"/>
                <w:color w:val="auto"/>
              </w:rPr>
              <w:t>施工废水</w:t>
            </w:r>
          </w:p>
        </w:tc>
        <w:tc>
          <w:tcPr>
            <w:tcW w:w="1002" w:type="pct"/>
            <w:vMerge w:val="continue"/>
            <w:shd w:val="clear" w:color="auto" w:fill="auto"/>
            <w:vAlign w:val="center"/>
          </w:tcPr>
          <w:p w14:paraId="0FEBCAED">
            <w:pPr>
              <w:bidi w:val="0"/>
              <w:spacing w:after="160" w:line="259" w:lineRule="auto"/>
              <w:jc w:val="center"/>
              <w:rPr>
                <w:rFonts w:hint="eastAsia"/>
                <w:color w:val="auto"/>
              </w:rPr>
            </w:pPr>
          </w:p>
        </w:tc>
        <w:tc>
          <w:tcPr>
            <w:tcW w:w="1002" w:type="pct"/>
            <w:shd w:val="clear" w:color="auto" w:fill="auto"/>
            <w:vAlign w:val="center"/>
          </w:tcPr>
          <w:p w14:paraId="0CE05646">
            <w:pPr>
              <w:bidi w:val="0"/>
              <w:spacing w:after="160" w:line="259" w:lineRule="auto"/>
              <w:jc w:val="center"/>
              <w:rPr>
                <w:rFonts w:hint="eastAsia"/>
                <w:color w:val="auto"/>
              </w:rPr>
            </w:pPr>
            <w:r>
              <w:rPr>
                <w:rFonts w:hint="eastAsia"/>
                <w:color w:val="auto"/>
              </w:rPr>
              <w:t>地表水、地下水</w:t>
            </w:r>
          </w:p>
        </w:tc>
        <w:tc>
          <w:tcPr>
            <w:tcW w:w="997" w:type="pct"/>
            <w:vMerge w:val="continue"/>
            <w:shd w:val="clear" w:color="auto" w:fill="auto"/>
            <w:vAlign w:val="center"/>
          </w:tcPr>
          <w:p w14:paraId="1601B154">
            <w:pPr>
              <w:bidi w:val="0"/>
              <w:spacing w:after="160" w:line="259" w:lineRule="auto"/>
              <w:jc w:val="center"/>
              <w:rPr>
                <w:rFonts w:hint="eastAsia"/>
                <w:color w:val="auto"/>
              </w:rPr>
            </w:pPr>
          </w:p>
        </w:tc>
      </w:tr>
      <w:tr w14:paraId="5B05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trPr>
        <w:tc>
          <w:tcPr>
            <w:tcW w:w="997" w:type="pct"/>
            <w:vMerge w:val="continue"/>
            <w:shd w:val="clear" w:color="auto" w:fill="auto"/>
            <w:vAlign w:val="center"/>
          </w:tcPr>
          <w:p w14:paraId="4C642152">
            <w:pPr>
              <w:bidi w:val="0"/>
              <w:spacing w:after="160" w:line="259" w:lineRule="auto"/>
              <w:jc w:val="center"/>
              <w:rPr>
                <w:rFonts w:hint="eastAsia"/>
                <w:color w:val="auto"/>
              </w:rPr>
            </w:pPr>
          </w:p>
        </w:tc>
        <w:tc>
          <w:tcPr>
            <w:tcW w:w="1002" w:type="pct"/>
            <w:shd w:val="clear" w:color="auto" w:fill="auto"/>
            <w:vAlign w:val="center"/>
          </w:tcPr>
          <w:p w14:paraId="374EF6A3">
            <w:pPr>
              <w:bidi w:val="0"/>
              <w:spacing w:after="160" w:line="259" w:lineRule="auto"/>
              <w:jc w:val="center"/>
              <w:rPr>
                <w:rFonts w:hint="eastAsia"/>
                <w:color w:val="auto"/>
              </w:rPr>
            </w:pPr>
            <w:r>
              <w:rPr>
                <w:rFonts w:hint="eastAsia"/>
                <w:color w:val="auto"/>
              </w:rPr>
              <w:t>落地油、建筑垃圾</w:t>
            </w:r>
          </w:p>
        </w:tc>
        <w:tc>
          <w:tcPr>
            <w:tcW w:w="1002" w:type="pct"/>
            <w:vMerge w:val="continue"/>
            <w:shd w:val="clear" w:color="auto" w:fill="auto"/>
            <w:vAlign w:val="center"/>
          </w:tcPr>
          <w:p w14:paraId="7927A9A6">
            <w:pPr>
              <w:bidi w:val="0"/>
              <w:spacing w:after="160" w:line="259" w:lineRule="auto"/>
              <w:jc w:val="center"/>
              <w:rPr>
                <w:rFonts w:hint="eastAsia"/>
                <w:color w:val="auto"/>
              </w:rPr>
            </w:pPr>
          </w:p>
        </w:tc>
        <w:tc>
          <w:tcPr>
            <w:tcW w:w="1002" w:type="pct"/>
            <w:shd w:val="clear" w:color="auto" w:fill="auto"/>
            <w:vAlign w:val="center"/>
          </w:tcPr>
          <w:p w14:paraId="12E930A2">
            <w:pPr>
              <w:bidi w:val="0"/>
              <w:spacing w:after="160" w:line="259" w:lineRule="auto"/>
              <w:jc w:val="center"/>
              <w:rPr>
                <w:rFonts w:hint="eastAsia"/>
                <w:color w:val="auto"/>
              </w:rPr>
            </w:pPr>
            <w:r>
              <w:rPr>
                <w:rFonts w:hint="eastAsia"/>
                <w:color w:val="auto"/>
              </w:rPr>
              <w:t>土壤、地下水</w:t>
            </w:r>
          </w:p>
        </w:tc>
        <w:tc>
          <w:tcPr>
            <w:tcW w:w="997" w:type="pct"/>
            <w:vMerge w:val="continue"/>
            <w:shd w:val="clear" w:color="auto" w:fill="auto"/>
            <w:vAlign w:val="center"/>
          </w:tcPr>
          <w:p w14:paraId="4A10B9FC">
            <w:pPr>
              <w:bidi w:val="0"/>
              <w:spacing w:after="160" w:line="259" w:lineRule="auto"/>
              <w:jc w:val="center"/>
              <w:rPr>
                <w:rFonts w:hint="eastAsia"/>
                <w:color w:val="auto"/>
              </w:rPr>
            </w:pPr>
          </w:p>
        </w:tc>
      </w:tr>
    </w:tbl>
    <w:p w14:paraId="3EA2E23F">
      <w:pPr>
        <w:pStyle w:val="5"/>
        <w:bidi w:val="0"/>
        <w:rPr>
          <w:rFonts w:hint="default"/>
          <w:color w:val="auto"/>
          <w:lang w:val="en-US" w:eastAsia="zh-CN"/>
        </w:rPr>
      </w:pPr>
      <w:r>
        <w:rPr>
          <w:rFonts w:hint="eastAsia"/>
          <w:color w:val="auto"/>
          <w:lang w:val="en-US" w:eastAsia="zh-CN"/>
        </w:rPr>
        <w:t>3.9.2生态影响因素分析</w:t>
      </w:r>
    </w:p>
    <w:p w14:paraId="7D691EF1">
      <w:pPr>
        <w:pStyle w:val="6"/>
        <w:bidi w:val="0"/>
        <w:rPr>
          <w:rFonts w:hint="default"/>
          <w:color w:val="auto"/>
          <w:lang w:val="en-US" w:eastAsia="zh-CN"/>
        </w:rPr>
      </w:pPr>
      <w:r>
        <w:rPr>
          <w:rFonts w:hint="eastAsia"/>
          <w:color w:val="auto"/>
          <w:lang w:val="en-US" w:eastAsia="zh-CN"/>
        </w:rPr>
        <w:t>3.9.2.1施工期生态影响因素分析</w:t>
      </w:r>
    </w:p>
    <w:p w14:paraId="3D29E91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（1）占用土地、压占破坏土地植被</w:t>
      </w:r>
    </w:p>
    <w:p w14:paraId="3D11B61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工程占地包括永久占地和临时占地。临时占地包括管线施工临时占地。永久占地包括井场、阀池等。永久占用的土地将永久性</w:t>
      </w:r>
      <w:r>
        <w:rPr>
          <w:rFonts w:hint="eastAsia" w:cstheme="minorBidi"/>
          <w:color w:val="auto"/>
          <w:kern w:val="2"/>
          <w:sz w:val="24"/>
          <w:szCs w:val="24"/>
          <w:lang w:val="en-US" w:eastAsia="zh-CN" w:bidi="ar-SA"/>
        </w:rPr>
        <w:t>地</w:t>
      </w:r>
      <w:r>
        <w:rPr>
          <w:rFonts w:hint="eastAsia" w:ascii="Times New Roman" w:hAnsi="Times New Roman" w:eastAsia="宋体" w:cstheme="minorBidi"/>
          <w:color w:val="auto"/>
          <w:kern w:val="2"/>
          <w:sz w:val="24"/>
          <w:szCs w:val="24"/>
          <w:lang w:val="en-US" w:eastAsia="zh-CN" w:bidi="ar-SA"/>
        </w:rPr>
        <w:t>改变土地利用结构和功能，临时占地将在短期改变土地利用的结构和功能，但施工结束后，经过2～3年后可恢复原有使用功能。</w:t>
      </w:r>
    </w:p>
    <w:p w14:paraId="69E7D35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（2）破坏植被</w:t>
      </w:r>
    </w:p>
    <w:p w14:paraId="53AC8FE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施工期对植物的影响主要有占地面</w:t>
      </w:r>
      <w:r>
        <w:rPr>
          <w:rFonts w:hint="eastAsia" w:cstheme="minorBidi"/>
          <w:color w:val="auto"/>
          <w:kern w:val="2"/>
          <w:sz w:val="24"/>
          <w:szCs w:val="24"/>
          <w:lang w:val="en-US" w:eastAsia="zh-CN" w:bidi="ar-SA"/>
        </w:rPr>
        <w:t>积和</w:t>
      </w:r>
      <w:r>
        <w:rPr>
          <w:rFonts w:hint="eastAsia" w:ascii="Times New Roman" w:hAnsi="Times New Roman" w:eastAsia="宋体" w:cstheme="minorBidi"/>
          <w:color w:val="auto"/>
          <w:kern w:val="2"/>
          <w:sz w:val="24"/>
          <w:szCs w:val="24"/>
          <w:lang w:val="en-US" w:eastAsia="zh-CN" w:bidi="ar-SA"/>
        </w:rPr>
        <w:t>原有植物的清理、占压及施工人群的干扰。工程不但造成直接破坏区的植被剥离，还将对间接破坏区的植被造成压占，将造成局部区域生物量的减少。</w:t>
      </w:r>
    </w:p>
    <w:p w14:paraId="3989079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（3）破坏、污染土壤</w:t>
      </w:r>
    </w:p>
    <w:p w14:paraId="58F8A97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工程对土壤的影响主要表现为对土壤性质、土壤肥力的影响和土壤污染三个方面。工程土方的开挖和回填，将造成土壤结构的改变，进而导致土壤肥力的降低，对当地植被的生长和产量造成一定影响。</w:t>
      </w:r>
    </w:p>
    <w:p w14:paraId="74C53C5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（4）扰动地表，引起新的土壤侵蚀、水土流失</w:t>
      </w:r>
    </w:p>
    <w:p w14:paraId="418EAF3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评价区主要土壤侵蚀类型为风力侵蚀，工程施工活动将破坏地表植被，改变地表形态，如不</w:t>
      </w:r>
      <w:r>
        <w:rPr>
          <w:rFonts w:hint="eastAsia" w:cstheme="minorBidi"/>
          <w:color w:val="auto"/>
          <w:kern w:val="2"/>
          <w:sz w:val="24"/>
          <w:szCs w:val="24"/>
          <w:lang w:val="en-US" w:eastAsia="zh-CN" w:bidi="ar-SA"/>
        </w:rPr>
        <w:t>及时</w:t>
      </w:r>
      <w:r>
        <w:rPr>
          <w:rFonts w:hint="eastAsia" w:ascii="Times New Roman" w:hAnsi="Times New Roman" w:eastAsia="宋体" w:cstheme="minorBidi"/>
          <w:color w:val="auto"/>
          <w:kern w:val="2"/>
          <w:sz w:val="24"/>
          <w:szCs w:val="24"/>
          <w:lang w:val="en-US" w:eastAsia="zh-CN" w:bidi="ar-SA"/>
        </w:rPr>
        <w:t>进行恢复和重建，土壤的新坡面扰动可能成为新的侵蚀点加重水土流失。</w:t>
      </w:r>
    </w:p>
    <w:p w14:paraId="2194FC6B">
      <w:pPr>
        <w:pStyle w:val="6"/>
        <w:bidi w:val="0"/>
        <w:rPr>
          <w:rFonts w:hint="default"/>
          <w:color w:val="auto"/>
          <w:lang w:val="en-US" w:eastAsia="zh-CN"/>
        </w:rPr>
      </w:pPr>
      <w:r>
        <w:rPr>
          <w:rFonts w:hint="eastAsia"/>
          <w:color w:val="auto"/>
          <w:lang w:val="en-US" w:eastAsia="zh-CN"/>
        </w:rPr>
        <w:t>3.9.2.2运营期生态影响因素分析</w:t>
      </w:r>
    </w:p>
    <w:p w14:paraId="13D9FE8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项目建成后，临时占地得到有效</w:t>
      </w:r>
      <w:r>
        <w:rPr>
          <w:rFonts w:hint="eastAsia" w:cstheme="minorBidi"/>
          <w:color w:val="auto"/>
          <w:kern w:val="2"/>
          <w:sz w:val="24"/>
          <w:szCs w:val="24"/>
          <w:lang w:val="en-US" w:eastAsia="zh-CN" w:bidi="ar-SA"/>
        </w:rPr>
        <w:t>地</w:t>
      </w:r>
      <w:r>
        <w:rPr>
          <w:rFonts w:hint="eastAsia" w:ascii="Times New Roman" w:hAnsi="Times New Roman" w:eastAsia="宋体" w:cstheme="minorBidi"/>
          <w:color w:val="auto"/>
          <w:kern w:val="2"/>
          <w:sz w:val="24"/>
          <w:szCs w:val="24"/>
          <w:lang w:val="en-US" w:eastAsia="zh-CN" w:bidi="ar-SA"/>
        </w:rPr>
        <w:t>填充平整、恢复植被。采油过程对生态环境的影响主要是当原油管道发生破裂泄漏后，对土壤环境、地下水环境造成影响。</w:t>
      </w:r>
    </w:p>
    <w:p w14:paraId="1592CC29">
      <w:pPr>
        <w:pStyle w:val="6"/>
        <w:bidi w:val="0"/>
        <w:rPr>
          <w:rFonts w:hint="default"/>
          <w:color w:val="auto"/>
          <w:lang w:val="en-US" w:eastAsia="zh-CN"/>
        </w:rPr>
      </w:pPr>
      <w:r>
        <w:rPr>
          <w:rFonts w:hint="eastAsia"/>
          <w:color w:val="auto"/>
          <w:lang w:val="en-US" w:eastAsia="zh-CN"/>
        </w:rPr>
        <w:t>3.9.2.3退役期生态影响因素分析</w:t>
      </w:r>
    </w:p>
    <w:p w14:paraId="587021E2">
      <w:pPr>
        <w:pStyle w:val="33"/>
        <w:bidi w:val="0"/>
        <w:rPr>
          <w:rFonts w:hint="eastAsia"/>
          <w:color w:val="auto"/>
          <w:lang w:val="en-US" w:eastAsia="zh-CN"/>
        </w:rPr>
      </w:pPr>
      <w:r>
        <w:rPr>
          <w:rFonts w:hint="eastAsia"/>
          <w:color w:val="auto"/>
          <w:lang w:val="en-US" w:eastAsia="zh-CN"/>
        </w:rPr>
        <w:t>随着油田开采的不断进行，其储量逐渐下降，最终油区产能建设工程将进入退役期。当油田开发接近尾声时，地面集输工程各种机械设备将停止使用，进驻其中的油田开发工作人员将陆续撤离油田区域，由此带来的大气污染物、生产废水、生活污水、噪声及固体废物等对环境的影响将会消失。</w:t>
      </w:r>
    </w:p>
    <w:p w14:paraId="17C60B31">
      <w:pPr>
        <w:pStyle w:val="33"/>
        <w:bidi w:val="0"/>
        <w:rPr>
          <w:rFonts w:hint="eastAsia"/>
          <w:color w:val="auto"/>
          <w:lang w:val="en-US" w:eastAsia="zh-CN"/>
        </w:rPr>
      </w:pPr>
      <w:r>
        <w:rPr>
          <w:rFonts w:hint="eastAsia"/>
          <w:color w:val="auto"/>
          <w:lang w:val="en-US" w:eastAsia="zh-CN"/>
        </w:rPr>
        <w:t>地面集输工程退役后将进行一系列清理工作，包括地面设施拆除、清理等，将会产生少量扬尘和固体废物，因此，在地面集输工程退役施工操作中应注意采取降尘措施；同时要将产生的建筑垃圾集中进行收集，应外运至政府指定场地堆放，危险废物应外运至有资质单位安全处置。</w:t>
      </w:r>
    </w:p>
    <w:p w14:paraId="0E498721">
      <w:pPr>
        <w:pStyle w:val="5"/>
        <w:bidi w:val="0"/>
        <w:rPr>
          <w:rFonts w:hint="default"/>
          <w:color w:val="auto"/>
          <w:lang w:val="en-US" w:eastAsia="zh-CN"/>
        </w:rPr>
      </w:pPr>
      <w:r>
        <w:rPr>
          <w:rFonts w:hint="eastAsia"/>
          <w:color w:val="auto"/>
          <w:lang w:val="en-US" w:eastAsia="zh-CN"/>
        </w:rPr>
        <w:t>3.9.3污染源分析及源强核算</w:t>
      </w:r>
    </w:p>
    <w:p w14:paraId="3AD5AF42">
      <w:pPr>
        <w:pStyle w:val="6"/>
        <w:bidi w:val="0"/>
        <w:rPr>
          <w:rFonts w:hint="default"/>
          <w:color w:val="auto"/>
          <w:lang w:val="en-US" w:eastAsia="zh-CN"/>
        </w:rPr>
      </w:pPr>
      <w:r>
        <w:rPr>
          <w:rFonts w:hint="eastAsia"/>
          <w:color w:val="auto"/>
          <w:lang w:val="en-US" w:eastAsia="zh-CN"/>
        </w:rPr>
        <w:t>3.9.3.1施工期污染源核算</w:t>
      </w:r>
    </w:p>
    <w:p w14:paraId="6FA814D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1、施工期废气</w:t>
      </w:r>
    </w:p>
    <w:p w14:paraId="4C3535C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（1）施工扬尘</w:t>
      </w:r>
    </w:p>
    <w:p w14:paraId="3C1E421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扬尘污染主要发生在管沟开挖、基础处理、材料运输和土方回填等环节中。</w:t>
      </w:r>
    </w:p>
    <w:p w14:paraId="0FC5ECC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现场的扬尘主要来源于场地平整、管沟开挖以及材料现场堆放造成的扬尘，管线、阀池等地面工程建设过程中，进行土石方开挖将破坏原有土壤及植被，致使地表产尘增加；运输过程中的扬尘主要来源于设备拉运、材料的运输等过程造成的扬尘，建筑材料的运输、装卸过程及堆放期间产生的地面扬尘，属于无组织排放，会造成井场、管道、道路沿线及其附近一带环境空气TSP浓度增高，其中施工区内车辆运输引起的道路扬尘约占场地扬尘总量的50%以上，道路扬尘的起尘量与运输车辆的车速、载重量、轮胎与地面的接触面积及路面含尘量、空气湿度有关。</w:t>
      </w:r>
    </w:p>
    <w:p w14:paraId="75B1F07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center"/>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position w:val="-24"/>
          <w:sz w:val="24"/>
          <w:szCs w:val="24"/>
          <w:lang w:val="en-US" w:eastAsia="zh-CN" w:bidi="ar-SA"/>
        </w:rPr>
        <w:object>
          <v:shape id="_x0000_i1031" o:spt="75" type="#_x0000_t75" style="height:31pt;width:171pt;" o:ole="t" filled="f" o:preferrelative="t" stroked="f" coordsize="21600,21600">
            <v:path/>
            <v:fill on="f" focussize="0,0"/>
            <v:stroke on="f"/>
            <v:imagedata r:id="rId23" o:title=""/>
            <o:lock v:ext="edit" aspectratio="t"/>
            <w10:wrap type="none"/>
            <w10:anchorlock/>
          </v:shape>
          <o:OLEObject Type="Embed" ProgID="Equation.KSEE3" ShapeID="_x0000_i1031" DrawAspect="Content" ObjectID="_1468075731" r:id="rId22">
            <o:LockedField>false</o:LockedField>
          </o:OLEObject>
        </w:object>
      </w:r>
    </w:p>
    <w:p w14:paraId="0F16EA7C">
      <w:pPr>
        <w:pStyle w:val="37"/>
        <w:bidi w:val="0"/>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式中：Qp—交通运输起尘量，kg/km·辆；</w:t>
      </w:r>
    </w:p>
    <w:p w14:paraId="6DADA94D">
      <w:pPr>
        <w:pStyle w:val="3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 xml:space="preserve">V—车辆行驶速度，km/h(取20)； </w:t>
      </w:r>
    </w:p>
    <w:p w14:paraId="2DC338A5">
      <w:pPr>
        <w:pStyle w:val="3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P—路面状况，以每平方米路面灰尘覆盖率来表示，kg/m</w:t>
      </w:r>
      <w:r>
        <w:rPr>
          <w:rFonts w:hint="eastAsia" w:ascii="Times New Roman" w:hAnsi="Times New Roman" w:eastAsia="宋体" w:cstheme="minorBidi"/>
          <w:color w:val="auto"/>
          <w:kern w:val="2"/>
          <w:sz w:val="24"/>
          <w:szCs w:val="24"/>
          <w:vertAlign w:val="superscript"/>
          <w:lang w:val="en-US" w:eastAsia="zh-CN" w:bidi="ar-SA"/>
        </w:rPr>
        <w:t>2</w:t>
      </w:r>
      <w:r>
        <w:rPr>
          <w:rFonts w:hint="eastAsia" w:ascii="Times New Roman" w:hAnsi="Times New Roman" w:eastAsia="宋体" w:cstheme="minorBidi"/>
          <w:color w:val="auto"/>
          <w:kern w:val="2"/>
          <w:sz w:val="24"/>
          <w:szCs w:val="24"/>
          <w:lang w:val="en-US" w:eastAsia="zh-CN" w:bidi="ar-SA"/>
        </w:rPr>
        <w:t>(取0.8)；</w:t>
      </w:r>
    </w:p>
    <w:p w14:paraId="0D8522FC">
      <w:pPr>
        <w:pStyle w:val="3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M—车辆载重，t/辆(取20)；根据计算，项目所在区域车辆起尘量为1.72kg/(km·辆)。</w:t>
      </w:r>
    </w:p>
    <w:p w14:paraId="30B2F956">
      <w:pPr>
        <w:pStyle w:val="33"/>
        <w:bidi w:val="0"/>
        <w:rPr>
          <w:rFonts w:hint="default"/>
          <w:color w:val="auto"/>
          <w:lang w:val="en-US" w:eastAsia="zh-CN"/>
        </w:rPr>
      </w:pPr>
      <w:r>
        <w:rPr>
          <w:rFonts w:hint="eastAsia"/>
          <w:color w:val="auto"/>
          <w:lang w:val="en-US" w:eastAsia="zh-CN"/>
        </w:rPr>
        <w:t>（2）</w:t>
      </w:r>
      <w:r>
        <w:rPr>
          <w:rFonts w:hint="default"/>
          <w:color w:val="auto"/>
          <w:lang w:val="en-US" w:eastAsia="zh-CN"/>
        </w:rPr>
        <w:t>施工机械和运输车辆尾气</w:t>
      </w:r>
    </w:p>
    <w:p w14:paraId="478ED696">
      <w:pPr>
        <w:pStyle w:val="33"/>
        <w:bidi w:val="0"/>
        <w:rPr>
          <w:rFonts w:hint="default"/>
          <w:color w:val="auto"/>
          <w:lang w:val="en-US" w:eastAsia="zh-CN"/>
        </w:rPr>
      </w:pPr>
      <w:r>
        <w:rPr>
          <w:rFonts w:hint="default"/>
          <w:color w:val="auto"/>
          <w:lang w:val="en-US" w:eastAsia="zh-CN"/>
        </w:rPr>
        <w:t>施工过程中使用的施工机械主要包括挖掘机、装载机、推土机等。施工机械以柴油为燃料，将产生一定量废气，其污染物主要有CO、NOx、SO</w:t>
      </w:r>
      <w:r>
        <w:rPr>
          <w:rFonts w:hint="default"/>
          <w:color w:val="auto"/>
          <w:vertAlign w:val="subscript"/>
          <w:lang w:val="en-US" w:eastAsia="zh-CN"/>
        </w:rPr>
        <w:t>2</w:t>
      </w:r>
      <w:r>
        <w:rPr>
          <w:rFonts w:hint="default"/>
          <w:color w:val="auto"/>
          <w:lang w:val="en-US" w:eastAsia="zh-CN"/>
        </w:rPr>
        <w:t>等，属于无组织排放。</w:t>
      </w:r>
    </w:p>
    <w:p w14:paraId="350FB03E">
      <w:pPr>
        <w:pStyle w:val="33"/>
        <w:bidi w:val="0"/>
        <w:rPr>
          <w:color w:val="auto"/>
        </w:rPr>
      </w:pPr>
      <w:r>
        <w:rPr>
          <w:rFonts w:hint="default"/>
          <w:color w:val="auto"/>
        </w:rPr>
        <w:t>建筑材料堆放及机械的拉运需要的运输车辆较多，车辆排放的尾气会对大气环境造成一定污染。根据调查，每辆车日耗油量约11.52kg（其中70%为柴油、30%为汽油），每辆车平均日排放烃类物质0.025kg、NOx为0.034kg。本次区块产能建设工程施工期初步估算各类运输车辆约</w:t>
      </w:r>
      <w:r>
        <w:rPr>
          <w:rFonts w:hint="eastAsia"/>
          <w:color w:val="auto"/>
          <w:lang w:val="en-US" w:eastAsia="zh-CN"/>
        </w:rPr>
        <w:t>20</w:t>
      </w:r>
      <w:r>
        <w:rPr>
          <w:rFonts w:hint="default"/>
          <w:color w:val="auto"/>
        </w:rPr>
        <w:t>辆，预计可排放烃类物质0.</w:t>
      </w:r>
      <w:r>
        <w:rPr>
          <w:rFonts w:hint="eastAsia"/>
          <w:color w:val="auto"/>
          <w:lang w:val="en-US" w:eastAsia="zh-CN"/>
        </w:rPr>
        <w:t>5</w:t>
      </w:r>
      <w:r>
        <w:rPr>
          <w:rFonts w:hint="default"/>
          <w:color w:val="auto"/>
        </w:rPr>
        <w:t>kg/d、NOx为</w:t>
      </w:r>
      <w:r>
        <w:rPr>
          <w:rFonts w:hint="eastAsia"/>
          <w:color w:val="auto"/>
          <w:lang w:val="en-US" w:eastAsia="zh-CN"/>
        </w:rPr>
        <w:t>0.68</w:t>
      </w:r>
      <w:r>
        <w:rPr>
          <w:rFonts w:hint="default"/>
          <w:color w:val="auto"/>
        </w:rPr>
        <w:t>kg/d。</w:t>
      </w:r>
    </w:p>
    <w:p w14:paraId="7140B7A4">
      <w:pPr>
        <w:pStyle w:val="33"/>
        <w:bidi w:val="0"/>
        <w:rPr>
          <w:rFonts w:hint="default"/>
          <w:color w:val="auto"/>
          <w:lang w:val="en-US" w:eastAsia="zh-CN"/>
        </w:rPr>
      </w:pPr>
      <w:r>
        <w:rPr>
          <w:rFonts w:hint="eastAsia"/>
          <w:color w:val="auto"/>
          <w:lang w:val="en-US" w:eastAsia="zh-CN"/>
        </w:rPr>
        <w:t>（3）管道焊接烟气</w:t>
      </w:r>
    </w:p>
    <w:p w14:paraId="109CE46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管道焊接废气是一种十分复杂的物质，主要成分为Fe</w:t>
      </w:r>
      <w:r>
        <w:rPr>
          <w:rFonts w:hint="eastAsia" w:ascii="Times New Roman" w:hAnsi="Times New Roman" w:eastAsia="宋体" w:cstheme="minorBidi"/>
          <w:color w:val="auto"/>
          <w:kern w:val="2"/>
          <w:sz w:val="24"/>
          <w:szCs w:val="24"/>
          <w:vertAlign w:val="subscript"/>
          <w:lang w:val="en-US" w:eastAsia="zh-CN" w:bidi="ar-SA"/>
        </w:rPr>
        <w:t>2</w:t>
      </w:r>
      <w:r>
        <w:rPr>
          <w:rFonts w:hint="eastAsia" w:ascii="Times New Roman" w:hAnsi="Times New Roman" w:eastAsia="宋体" w:cstheme="minorBidi"/>
          <w:color w:val="auto"/>
          <w:kern w:val="2"/>
          <w:sz w:val="24"/>
          <w:szCs w:val="24"/>
          <w:lang w:val="en-US" w:eastAsia="zh-CN" w:bidi="ar-SA"/>
        </w:rPr>
        <w:t>O</w:t>
      </w:r>
      <w:r>
        <w:rPr>
          <w:rFonts w:hint="eastAsia" w:ascii="Times New Roman" w:hAnsi="Times New Roman" w:eastAsia="宋体" w:cstheme="minorBidi"/>
          <w:color w:val="auto"/>
          <w:kern w:val="2"/>
          <w:sz w:val="24"/>
          <w:szCs w:val="24"/>
          <w:vertAlign w:val="subscript"/>
          <w:lang w:val="en-US" w:eastAsia="zh-CN" w:bidi="ar-SA"/>
        </w:rPr>
        <w:t>3</w:t>
      </w:r>
      <w:r>
        <w:rPr>
          <w:rFonts w:hint="eastAsia" w:ascii="Times New Roman" w:hAnsi="Times New Roman" w:eastAsia="宋体" w:cstheme="minorBidi"/>
          <w:color w:val="auto"/>
          <w:kern w:val="2"/>
          <w:sz w:val="24"/>
          <w:szCs w:val="24"/>
          <w:lang w:val="en-US" w:eastAsia="zh-CN" w:bidi="ar-SA"/>
        </w:rPr>
        <w:t>、MnO</w:t>
      </w:r>
      <w:r>
        <w:rPr>
          <w:rFonts w:hint="eastAsia" w:ascii="Times New Roman" w:hAnsi="Times New Roman" w:eastAsia="宋体" w:cstheme="minorBidi"/>
          <w:color w:val="auto"/>
          <w:kern w:val="2"/>
          <w:sz w:val="24"/>
          <w:szCs w:val="24"/>
          <w:vertAlign w:val="subscript"/>
          <w:lang w:val="en-US" w:eastAsia="zh-CN" w:bidi="ar-SA"/>
        </w:rPr>
        <w:t>2</w:t>
      </w:r>
      <w:r>
        <w:rPr>
          <w:rFonts w:hint="eastAsia" w:ascii="Times New Roman" w:hAnsi="Times New Roman" w:eastAsia="宋体" w:cstheme="minorBidi"/>
          <w:color w:val="auto"/>
          <w:kern w:val="2"/>
          <w:sz w:val="24"/>
          <w:szCs w:val="24"/>
          <w:lang w:val="en-US" w:eastAsia="zh-CN" w:bidi="ar-SA"/>
        </w:rPr>
        <w:t>以及有害气体CO、NOx和O</w:t>
      </w:r>
      <w:r>
        <w:rPr>
          <w:rFonts w:hint="eastAsia" w:ascii="Times New Roman" w:hAnsi="Times New Roman" w:eastAsia="宋体" w:cstheme="minorBidi"/>
          <w:color w:val="auto"/>
          <w:kern w:val="2"/>
          <w:sz w:val="24"/>
          <w:szCs w:val="24"/>
          <w:vertAlign w:val="subscript"/>
          <w:lang w:val="en-US" w:eastAsia="zh-CN" w:bidi="ar-SA"/>
        </w:rPr>
        <w:t>3</w:t>
      </w:r>
      <w:r>
        <w:rPr>
          <w:rFonts w:hint="eastAsia" w:ascii="Times New Roman" w:hAnsi="Times New Roman" w:eastAsia="宋体" w:cstheme="minorBidi"/>
          <w:color w:val="auto"/>
          <w:kern w:val="2"/>
          <w:sz w:val="24"/>
          <w:szCs w:val="24"/>
          <w:lang w:val="en-US" w:eastAsia="zh-CN" w:bidi="ar-SA"/>
        </w:rPr>
        <w:t>，由于有毒有害气体产生量不大，且气体成分复杂，较难对各个组分进行定量，本次环评选取焊接烟尘作为主要污染物进行定量化分析。根据论文《不同焊接工艺的焊接烟气污染特征》，焊接时发尘量可按100-200mg/min计算，本工程管道工程建设时焊接过程发尘量按150mg/min进行核算，本项目管线工程施工量较小，每天管道焊接时间按3h核算，本项目地面工程施工期为3个月，则本工程管道焊接废气产生量为0.0024t。</w:t>
      </w:r>
    </w:p>
    <w:p w14:paraId="50F0FEF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（4）管道防腐废气</w:t>
      </w:r>
    </w:p>
    <w:p w14:paraId="219C2950">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项目埋地钢管防腐层采用熔结环氧粉末一次成膜结构，喷涂和涂敷防腐材料时将产生少量防腐废气，其污染因子可按照非甲烷总烃分析，污染物的产生量按0.2kg/t原料计算，防腐原料用量按2t核算，则本项目防腐废气产生量约为0.0004t。</w:t>
      </w:r>
    </w:p>
    <w:p w14:paraId="532868C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2、废水</w:t>
      </w:r>
    </w:p>
    <w:p w14:paraId="4019BEB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施工期废水主要为管道试压水及施工人员生活</w:t>
      </w:r>
      <w:r>
        <w:rPr>
          <w:rFonts w:hint="eastAsia" w:cstheme="minorBidi"/>
          <w:color w:val="auto"/>
          <w:kern w:val="2"/>
          <w:sz w:val="24"/>
          <w:szCs w:val="24"/>
          <w:lang w:val="en-US" w:eastAsia="zh-CN" w:bidi="ar-SA"/>
        </w:rPr>
        <w:t>污水</w:t>
      </w:r>
      <w:r>
        <w:rPr>
          <w:rFonts w:hint="eastAsia" w:ascii="Times New Roman" w:hAnsi="Times New Roman" w:eastAsia="宋体" w:cstheme="minorBidi"/>
          <w:color w:val="auto"/>
          <w:kern w:val="2"/>
          <w:sz w:val="24"/>
          <w:szCs w:val="24"/>
          <w:lang w:val="en-US" w:eastAsia="zh-CN" w:bidi="ar-SA"/>
        </w:rPr>
        <w:t>。</w:t>
      </w:r>
    </w:p>
    <w:p w14:paraId="52456C8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（1）管道试压水</w:t>
      </w:r>
    </w:p>
    <w:p w14:paraId="2047247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管道工程分段试压以测试管道的强度和严密性，本工程管道采用无腐蚀性洁净水作为试压介质。本项目新建管线合计20.71km，产生的试压废水按照每千米2.5m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计算，则本项目管道试压废水量约为</w:t>
      </w:r>
      <w:r>
        <w:rPr>
          <w:rFonts w:hint="eastAsia" w:cstheme="minorBidi"/>
          <w:color w:val="auto"/>
          <w:kern w:val="2"/>
          <w:sz w:val="24"/>
          <w:szCs w:val="24"/>
          <w:lang w:val="en-US" w:eastAsia="zh-CN" w:bidi="ar-SA"/>
        </w:rPr>
        <w:t>51.78</w:t>
      </w:r>
      <w:r>
        <w:rPr>
          <w:rFonts w:hint="eastAsia" w:ascii="Times New Roman" w:hAnsi="Times New Roman" w:eastAsia="宋体" w:cstheme="minorBidi"/>
          <w:color w:val="auto"/>
          <w:kern w:val="2"/>
          <w:sz w:val="24"/>
          <w:szCs w:val="24"/>
          <w:lang w:val="en-US" w:eastAsia="zh-CN" w:bidi="ar-SA"/>
        </w:rPr>
        <w:t>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。管道分段试压，试压水由管线输送至百联站采出水处理系统处理后回注。</w:t>
      </w:r>
    </w:p>
    <w:p w14:paraId="7D17FE2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（2）生活污水</w:t>
      </w:r>
    </w:p>
    <w:p w14:paraId="44981E40">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施工队在百口泉采油厂建设有生活基地，施工期施工人员生活污水依托生活基地内既有设施，最终进入乌尔禾区生活污水处理厂处理。地面施工人数约为</w:t>
      </w:r>
      <w:r>
        <w:rPr>
          <w:rFonts w:hint="eastAsia" w:cstheme="minorBidi"/>
          <w:color w:val="auto"/>
          <w:kern w:val="2"/>
          <w:sz w:val="24"/>
          <w:szCs w:val="24"/>
          <w:lang w:val="en-US" w:eastAsia="zh-CN" w:bidi="ar-SA"/>
        </w:rPr>
        <w:t>20</w:t>
      </w:r>
      <w:r>
        <w:rPr>
          <w:rFonts w:hint="eastAsia" w:ascii="Times New Roman" w:hAnsi="Times New Roman" w:eastAsia="宋体" w:cstheme="minorBidi"/>
          <w:color w:val="auto"/>
          <w:kern w:val="2"/>
          <w:sz w:val="24"/>
          <w:szCs w:val="24"/>
          <w:lang w:val="en-US" w:eastAsia="zh-CN" w:bidi="ar-SA"/>
        </w:rPr>
        <w:t>人，施工期约为</w:t>
      </w:r>
      <w:r>
        <w:rPr>
          <w:rFonts w:hint="eastAsia" w:cstheme="minorBidi"/>
          <w:color w:val="auto"/>
          <w:kern w:val="2"/>
          <w:sz w:val="24"/>
          <w:szCs w:val="24"/>
          <w:lang w:val="en-US" w:eastAsia="zh-CN" w:bidi="ar-SA"/>
        </w:rPr>
        <w:t>9</w:t>
      </w:r>
      <w:r>
        <w:rPr>
          <w:rFonts w:hint="eastAsia" w:ascii="Times New Roman" w:hAnsi="Times New Roman" w:eastAsia="宋体" w:cstheme="minorBidi"/>
          <w:color w:val="auto"/>
          <w:kern w:val="2"/>
          <w:sz w:val="24"/>
          <w:szCs w:val="24"/>
          <w:lang w:val="en-US" w:eastAsia="zh-CN" w:bidi="ar-SA"/>
        </w:rPr>
        <w:t>0天，按每人每天用水量50L计算，则施工期生活污水用量为</w:t>
      </w:r>
      <w:r>
        <w:rPr>
          <w:rFonts w:hint="eastAsia" w:cstheme="minorBidi"/>
          <w:color w:val="auto"/>
          <w:kern w:val="2"/>
          <w:sz w:val="24"/>
          <w:szCs w:val="24"/>
          <w:lang w:val="en-US" w:eastAsia="zh-CN" w:bidi="ar-SA"/>
        </w:rPr>
        <w:t>9</w:t>
      </w:r>
      <w:r>
        <w:rPr>
          <w:rFonts w:hint="eastAsia" w:ascii="Times New Roman" w:hAnsi="Times New Roman" w:eastAsia="宋体" w:cstheme="minorBidi"/>
          <w:color w:val="auto"/>
          <w:kern w:val="2"/>
          <w:sz w:val="24"/>
          <w:szCs w:val="24"/>
          <w:lang w:val="en-US" w:eastAsia="zh-CN" w:bidi="ar-SA"/>
        </w:rPr>
        <w:t>0m</w:t>
      </w:r>
      <w:r>
        <w:rPr>
          <w:rFonts w:hint="eastAsia" w:ascii="Times New Roman" w:hAnsi="Times New Roman" w:eastAsia="宋体" w:cstheme="minorBidi"/>
          <w:color w:val="auto"/>
          <w:kern w:val="2"/>
          <w:sz w:val="24"/>
          <w:szCs w:val="24"/>
          <w:vertAlign w:val="superscript"/>
          <w:lang w:val="en-US" w:eastAsia="zh-CN" w:bidi="ar-SA"/>
        </w:rPr>
        <w:t>3</w:t>
      </w:r>
      <w:r>
        <w:rPr>
          <w:rFonts w:hint="eastAsia" w:cstheme="minorBidi"/>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生活污水排放量按用水量的80%计算，即</w:t>
      </w:r>
      <w:r>
        <w:rPr>
          <w:rFonts w:hint="eastAsia" w:cstheme="minorBidi"/>
          <w:color w:val="auto"/>
          <w:kern w:val="2"/>
          <w:sz w:val="24"/>
          <w:szCs w:val="24"/>
          <w:lang w:val="en-US" w:eastAsia="zh-CN" w:bidi="ar-SA"/>
        </w:rPr>
        <w:t>72</w:t>
      </w:r>
      <w:r>
        <w:rPr>
          <w:rFonts w:hint="eastAsia" w:ascii="Times New Roman" w:hAnsi="Times New Roman" w:eastAsia="宋体" w:cstheme="minorBidi"/>
          <w:color w:val="auto"/>
          <w:kern w:val="2"/>
          <w:sz w:val="24"/>
          <w:szCs w:val="24"/>
          <w:lang w:val="en-US" w:eastAsia="zh-CN" w:bidi="ar-SA"/>
        </w:rPr>
        <w:t>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w:t>
      </w:r>
      <w:r>
        <w:rPr>
          <w:rFonts w:hint="eastAsia" w:cstheme="minorBidi"/>
          <w:color w:val="auto"/>
          <w:kern w:val="2"/>
          <w:sz w:val="24"/>
          <w:szCs w:val="24"/>
          <w:lang w:val="en-US" w:eastAsia="zh-CN" w:bidi="ar-SA"/>
        </w:rPr>
        <w:t>0.8</w:t>
      </w:r>
      <w:r>
        <w:rPr>
          <w:rFonts w:hint="eastAsia" w:ascii="Times New Roman" w:hAnsi="Times New Roman" w:eastAsia="宋体" w:cstheme="minorBidi"/>
          <w:color w:val="auto"/>
          <w:kern w:val="2"/>
          <w:sz w:val="24"/>
          <w:szCs w:val="24"/>
          <w:lang w:val="en-US" w:eastAsia="zh-CN" w:bidi="ar-SA"/>
        </w:rPr>
        <w:t>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/d）。</w:t>
      </w:r>
    </w:p>
    <w:p w14:paraId="6BF1A92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cstheme="minorBidi"/>
          <w:color w:val="auto"/>
          <w:kern w:val="2"/>
          <w:sz w:val="24"/>
          <w:szCs w:val="24"/>
          <w:lang w:val="en-US" w:eastAsia="zh-CN" w:bidi="ar-SA"/>
        </w:rPr>
        <w:t>3、噪声</w:t>
      </w:r>
    </w:p>
    <w:p w14:paraId="24A3A78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施工期噪声影响具有临时性和流动性的特点，主要噪声源包括管线施工中的装载机、推土机等施工机械等。按声源性质又可分为流动声源。施工期主要噪声源及源强见</w:t>
      </w:r>
      <w:r>
        <w:rPr>
          <w:rFonts w:hint="eastAsia" w:ascii="Times New Roman" w:hAnsi="Times New Roman" w:eastAsia="宋体" w:cstheme="minorBidi"/>
          <w:color w:val="auto"/>
          <w:kern w:val="2"/>
          <w:sz w:val="24"/>
          <w:szCs w:val="24"/>
          <w:lang w:val="en-US" w:eastAsia="zh-CN" w:bidi="ar-SA"/>
        </w:rPr>
        <w:fldChar w:fldCharType="begin"/>
      </w:r>
      <w:r>
        <w:rPr>
          <w:rFonts w:hint="eastAsia" w:ascii="Times New Roman" w:hAnsi="Times New Roman" w:eastAsia="宋体" w:cstheme="minorBidi"/>
          <w:color w:val="auto"/>
          <w:kern w:val="2"/>
          <w:sz w:val="24"/>
          <w:szCs w:val="24"/>
          <w:lang w:val="en-US" w:eastAsia="zh-CN" w:bidi="ar-SA"/>
        </w:rPr>
        <w:instrText xml:space="preserve"> REF _Ref91542109 \h  \* MERGEFORMAT </w:instrText>
      </w:r>
      <w:r>
        <w:rPr>
          <w:rFonts w:hint="eastAsia" w:ascii="Times New Roman" w:hAnsi="Times New Roman" w:eastAsia="宋体" w:cstheme="minorBidi"/>
          <w:color w:val="auto"/>
          <w:kern w:val="2"/>
          <w:sz w:val="24"/>
          <w:szCs w:val="24"/>
          <w:lang w:val="en-US" w:eastAsia="zh-CN" w:bidi="ar-SA"/>
        </w:rPr>
        <w:fldChar w:fldCharType="separate"/>
      </w:r>
      <w:r>
        <w:rPr>
          <w:rFonts w:hint="eastAsia" w:ascii="Times New Roman" w:hAnsi="Times New Roman" w:eastAsia="宋体" w:cstheme="minorBidi"/>
          <w:color w:val="auto"/>
          <w:kern w:val="2"/>
          <w:sz w:val="24"/>
          <w:szCs w:val="24"/>
          <w:lang w:val="en-US" w:eastAsia="zh-CN" w:bidi="ar-SA"/>
        </w:rPr>
        <w:t>表3</w:t>
      </w:r>
      <w:r>
        <w:rPr>
          <w:rFonts w:hint="eastAsia" w:ascii="Times New Roman" w:hAnsi="Times New Roman" w:eastAsia="宋体" w:cstheme="minorBidi"/>
          <w:color w:val="auto"/>
          <w:kern w:val="2"/>
          <w:sz w:val="24"/>
          <w:szCs w:val="24"/>
          <w:lang w:val="en-US" w:eastAsia="zh-CN" w:bidi="ar-SA"/>
        </w:rPr>
        <w:fldChar w:fldCharType="end"/>
      </w:r>
      <w:r>
        <w:rPr>
          <w:rFonts w:hint="eastAsia" w:ascii="Times New Roman" w:hAnsi="Times New Roman" w:eastAsia="宋体" w:cstheme="minorBidi"/>
          <w:color w:val="auto"/>
          <w:kern w:val="2"/>
          <w:sz w:val="24"/>
          <w:szCs w:val="24"/>
          <w:lang w:val="en-US" w:eastAsia="zh-CN" w:bidi="ar-SA"/>
        </w:rPr>
        <w:t>.9-4，施工期部分装置采取了消声、</w:t>
      </w:r>
      <w:r>
        <w:rPr>
          <w:rFonts w:hint="eastAsia" w:cstheme="minorBidi"/>
          <w:color w:val="auto"/>
          <w:kern w:val="2"/>
          <w:sz w:val="24"/>
          <w:szCs w:val="24"/>
          <w:lang w:val="en-US" w:eastAsia="zh-CN" w:bidi="ar-SA"/>
        </w:rPr>
        <w:t>减振</w:t>
      </w:r>
      <w:r>
        <w:rPr>
          <w:rFonts w:hint="eastAsia" w:ascii="Times New Roman" w:hAnsi="Times New Roman" w:eastAsia="宋体" w:cstheme="minorBidi"/>
          <w:color w:val="auto"/>
          <w:kern w:val="2"/>
          <w:sz w:val="24"/>
          <w:szCs w:val="24"/>
          <w:lang w:val="en-US" w:eastAsia="zh-CN" w:bidi="ar-SA"/>
        </w:rPr>
        <w:t>、软连接等降噪</w:t>
      </w:r>
      <w:r>
        <w:rPr>
          <w:rFonts w:hint="eastAsia" w:cstheme="minorBidi"/>
          <w:color w:val="auto"/>
          <w:kern w:val="2"/>
          <w:sz w:val="24"/>
          <w:szCs w:val="24"/>
          <w:lang w:val="en-US" w:eastAsia="zh-CN" w:bidi="ar-SA"/>
        </w:rPr>
        <w:t>减振措施</w:t>
      </w:r>
      <w:r>
        <w:rPr>
          <w:rFonts w:hint="eastAsia" w:ascii="Times New Roman" w:hAnsi="Times New Roman" w:eastAsia="宋体" w:cstheme="minorBidi"/>
          <w:color w:val="auto"/>
          <w:kern w:val="2"/>
          <w:sz w:val="24"/>
          <w:szCs w:val="24"/>
          <w:lang w:val="en-US" w:eastAsia="zh-CN" w:bidi="ar-SA"/>
        </w:rPr>
        <w:t>，有一定的降噪效果。</w:t>
      </w:r>
    </w:p>
    <w:p w14:paraId="4C8A869F">
      <w:pPr>
        <w:pStyle w:val="43"/>
        <w:bidi w:val="0"/>
        <w:rPr>
          <w:rFonts w:cs="Times New Roman"/>
          <w:color w:val="auto"/>
        </w:rPr>
      </w:pPr>
      <w:bookmarkStart w:id="173" w:name="_Ref91542109"/>
    </w:p>
    <w:p w14:paraId="426F4C94">
      <w:pPr>
        <w:pStyle w:val="43"/>
        <w:bidi w:val="0"/>
        <w:rPr>
          <w:rFonts w:cs="Times New Roman"/>
          <w:color w:val="auto"/>
        </w:rPr>
      </w:pPr>
      <w:r>
        <w:rPr>
          <w:rFonts w:cs="Times New Roman"/>
          <w:color w:val="auto"/>
        </w:rPr>
        <w:t>表</w:t>
      </w:r>
      <w:bookmarkEnd w:id="173"/>
      <w:r>
        <w:rPr>
          <w:rFonts w:hint="eastAsia" w:cs="Times New Roman"/>
          <w:color w:val="auto"/>
          <w:lang w:val="en-US" w:eastAsia="zh-CN"/>
        </w:rPr>
        <w:t>3.9-4</w:t>
      </w:r>
      <w:r>
        <w:rPr>
          <w:rFonts w:cs="Times New Roman"/>
          <w:color w:val="auto"/>
        </w:rPr>
        <w:t xml:space="preserve">  主要噪声源统计表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1277"/>
        <w:gridCol w:w="1781"/>
        <w:gridCol w:w="1401"/>
        <w:gridCol w:w="1391"/>
        <w:gridCol w:w="1458"/>
        <w:gridCol w:w="1100"/>
      </w:tblGrid>
      <w:tr w14:paraId="5057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cantSplit/>
          <w:trHeight w:val="369" w:hRule="atLeast"/>
          <w:jc w:val="center"/>
        </w:trPr>
        <w:tc>
          <w:tcPr>
            <w:tcW w:w="760" w:type="pct"/>
            <w:shd w:val="clear" w:color="auto" w:fill="auto"/>
            <w:vAlign w:val="center"/>
          </w:tcPr>
          <w:p w14:paraId="6DEF3F1F">
            <w:pPr>
              <w:pStyle w:val="34"/>
              <w:bidi w:val="0"/>
              <w:rPr>
                <w:rFonts w:hint="default"/>
                <w:b/>
                <w:bCs/>
                <w:color w:val="auto"/>
              </w:rPr>
            </w:pPr>
            <w:r>
              <w:rPr>
                <w:rFonts w:hint="default"/>
                <w:b/>
                <w:bCs/>
                <w:color w:val="auto"/>
              </w:rPr>
              <w:t>噪声源位置</w:t>
            </w:r>
          </w:p>
        </w:tc>
        <w:tc>
          <w:tcPr>
            <w:tcW w:w="1059" w:type="pct"/>
            <w:shd w:val="clear" w:color="auto" w:fill="auto"/>
            <w:vAlign w:val="center"/>
          </w:tcPr>
          <w:p w14:paraId="5CDF58CC">
            <w:pPr>
              <w:pStyle w:val="34"/>
              <w:bidi w:val="0"/>
              <w:rPr>
                <w:rFonts w:hint="default"/>
                <w:b/>
                <w:bCs/>
                <w:color w:val="auto"/>
              </w:rPr>
            </w:pPr>
            <w:r>
              <w:rPr>
                <w:rFonts w:hint="default"/>
                <w:b/>
                <w:bCs/>
                <w:color w:val="auto"/>
              </w:rPr>
              <w:t>设备名称</w:t>
            </w:r>
          </w:p>
        </w:tc>
        <w:tc>
          <w:tcPr>
            <w:tcW w:w="833" w:type="pct"/>
            <w:shd w:val="clear" w:color="auto" w:fill="auto"/>
            <w:vAlign w:val="center"/>
          </w:tcPr>
          <w:p w14:paraId="1ED0BE2B">
            <w:pPr>
              <w:pStyle w:val="34"/>
              <w:bidi w:val="0"/>
              <w:rPr>
                <w:rFonts w:hint="default"/>
                <w:b/>
                <w:bCs/>
                <w:color w:val="auto"/>
              </w:rPr>
            </w:pPr>
            <w:r>
              <w:rPr>
                <w:rFonts w:hint="default"/>
                <w:b/>
                <w:bCs/>
                <w:color w:val="auto"/>
              </w:rPr>
              <w:t>数量</w:t>
            </w:r>
          </w:p>
        </w:tc>
        <w:tc>
          <w:tcPr>
            <w:tcW w:w="827" w:type="pct"/>
            <w:shd w:val="clear" w:color="auto" w:fill="auto"/>
            <w:vAlign w:val="center"/>
          </w:tcPr>
          <w:p w14:paraId="6CD1D5AD">
            <w:pPr>
              <w:pStyle w:val="34"/>
              <w:bidi w:val="0"/>
              <w:rPr>
                <w:rFonts w:hint="default"/>
                <w:b/>
                <w:bCs/>
                <w:color w:val="auto"/>
              </w:rPr>
            </w:pPr>
            <w:r>
              <w:rPr>
                <w:rFonts w:hint="default"/>
                <w:b/>
                <w:bCs/>
                <w:color w:val="auto"/>
              </w:rPr>
              <w:t>声源强度</w:t>
            </w:r>
          </w:p>
        </w:tc>
        <w:tc>
          <w:tcPr>
            <w:tcW w:w="867" w:type="pct"/>
            <w:shd w:val="clear" w:color="auto" w:fill="auto"/>
            <w:vAlign w:val="center"/>
          </w:tcPr>
          <w:p w14:paraId="2EB6B478">
            <w:pPr>
              <w:pStyle w:val="34"/>
              <w:bidi w:val="0"/>
              <w:rPr>
                <w:rFonts w:hint="default"/>
                <w:b/>
                <w:bCs/>
                <w:color w:val="auto"/>
              </w:rPr>
            </w:pPr>
            <w:r>
              <w:rPr>
                <w:rFonts w:hint="default"/>
                <w:b/>
                <w:bCs/>
                <w:color w:val="auto"/>
              </w:rPr>
              <w:t>声源性质</w:t>
            </w:r>
          </w:p>
        </w:tc>
        <w:tc>
          <w:tcPr>
            <w:tcW w:w="652" w:type="pct"/>
            <w:shd w:val="clear" w:color="auto" w:fill="auto"/>
            <w:vAlign w:val="center"/>
          </w:tcPr>
          <w:p w14:paraId="45C2C20D">
            <w:pPr>
              <w:pStyle w:val="34"/>
              <w:bidi w:val="0"/>
              <w:rPr>
                <w:rFonts w:hint="default"/>
                <w:b/>
                <w:bCs/>
                <w:color w:val="auto"/>
              </w:rPr>
            </w:pPr>
            <w:r>
              <w:rPr>
                <w:rFonts w:hint="default"/>
                <w:b/>
                <w:bCs/>
                <w:color w:val="auto"/>
              </w:rPr>
              <w:t>备注</w:t>
            </w:r>
          </w:p>
        </w:tc>
      </w:tr>
      <w:tr w14:paraId="458B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760" w:type="pct"/>
            <w:shd w:val="clear" w:color="auto" w:fill="auto"/>
            <w:vAlign w:val="center"/>
          </w:tcPr>
          <w:p w14:paraId="23316D43">
            <w:pPr>
              <w:pStyle w:val="34"/>
              <w:bidi w:val="0"/>
              <w:rPr>
                <w:rFonts w:hint="default"/>
                <w:color w:val="auto"/>
                <w:lang w:val="en-US" w:eastAsia="zh-CN"/>
              </w:rPr>
            </w:pPr>
            <w:r>
              <w:rPr>
                <w:rFonts w:hint="default"/>
                <w:color w:val="auto"/>
              </w:rPr>
              <w:t>地面工程施工</w:t>
            </w:r>
          </w:p>
        </w:tc>
        <w:tc>
          <w:tcPr>
            <w:tcW w:w="1059" w:type="pct"/>
            <w:shd w:val="clear" w:color="auto" w:fill="auto"/>
            <w:vAlign w:val="center"/>
          </w:tcPr>
          <w:p w14:paraId="12B2A01E">
            <w:pPr>
              <w:pStyle w:val="34"/>
              <w:bidi w:val="0"/>
              <w:rPr>
                <w:rFonts w:hint="default"/>
                <w:color w:val="auto"/>
                <w:lang w:val="en-US" w:eastAsia="zh-CN"/>
              </w:rPr>
            </w:pPr>
            <w:r>
              <w:rPr>
                <w:rFonts w:hint="default"/>
                <w:color w:val="auto"/>
              </w:rPr>
              <w:t>推土机、装载机、焊机等</w:t>
            </w:r>
          </w:p>
        </w:tc>
        <w:tc>
          <w:tcPr>
            <w:tcW w:w="833" w:type="pct"/>
            <w:shd w:val="clear" w:color="auto" w:fill="auto"/>
            <w:vAlign w:val="center"/>
          </w:tcPr>
          <w:p w14:paraId="75E77492">
            <w:pPr>
              <w:pStyle w:val="34"/>
              <w:bidi w:val="0"/>
              <w:rPr>
                <w:rFonts w:hint="default"/>
                <w:color w:val="auto"/>
                <w:lang w:val="en-US" w:eastAsia="zh-CN"/>
              </w:rPr>
            </w:pPr>
            <w:r>
              <w:rPr>
                <w:rFonts w:hint="default"/>
                <w:color w:val="auto"/>
              </w:rPr>
              <w:t>若干</w:t>
            </w:r>
          </w:p>
        </w:tc>
        <w:tc>
          <w:tcPr>
            <w:tcW w:w="827" w:type="pct"/>
            <w:shd w:val="clear" w:color="auto" w:fill="auto"/>
            <w:vAlign w:val="center"/>
          </w:tcPr>
          <w:p w14:paraId="662328B1">
            <w:pPr>
              <w:pStyle w:val="34"/>
              <w:bidi w:val="0"/>
              <w:rPr>
                <w:rFonts w:hint="default"/>
                <w:color w:val="auto"/>
                <w:lang w:val="en-US" w:eastAsia="zh-CN"/>
              </w:rPr>
            </w:pPr>
            <w:r>
              <w:rPr>
                <w:rFonts w:hint="default"/>
                <w:color w:val="auto"/>
              </w:rPr>
              <w:t>90~95</w:t>
            </w:r>
          </w:p>
        </w:tc>
        <w:tc>
          <w:tcPr>
            <w:tcW w:w="867" w:type="pct"/>
            <w:shd w:val="clear" w:color="auto" w:fill="auto"/>
            <w:vAlign w:val="center"/>
          </w:tcPr>
          <w:p w14:paraId="682DE73E">
            <w:pPr>
              <w:pStyle w:val="34"/>
              <w:bidi w:val="0"/>
              <w:rPr>
                <w:rFonts w:hint="default"/>
                <w:color w:val="auto"/>
                <w:lang w:val="en-US" w:eastAsia="zh-CN"/>
              </w:rPr>
            </w:pPr>
            <w:r>
              <w:rPr>
                <w:rFonts w:hint="default"/>
                <w:color w:val="auto"/>
              </w:rPr>
              <w:t>流动声源</w:t>
            </w:r>
          </w:p>
        </w:tc>
        <w:tc>
          <w:tcPr>
            <w:tcW w:w="652" w:type="pct"/>
            <w:shd w:val="clear" w:color="auto" w:fill="auto"/>
            <w:vAlign w:val="center"/>
          </w:tcPr>
          <w:p w14:paraId="1AAF14E7">
            <w:pPr>
              <w:pStyle w:val="34"/>
              <w:bidi w:val="0"/>
              <w:rPr>
                <w:rFonts w:hint="default"/>
                <w:color w:val="auto"/>
              </w:rPr>
            </w:pPr>
            <w:r>
              <w:rPr>
                <w:rFonts w:hint="default"/>
                <w:color w:val="auto"/>
              </w:rPr>
              <w:t>施工结束后噪声即消失</w:t>
            </w:r>
          </w:p>
        </w:tc>
      </w:tr>
      <w:tr w14:paraId="3FF2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5000" w:type="pct"/>
            <w:gridSpan w:val="6"/>
            <w:shd w:val="clear" w:color="auto" w:fill="auto"/>
            <w:vAlign w:val="center"/>
          </w:tcPr>
          <w:p w14:paraId="1010FED2">
            <w:pPr>
              <w:pStyle w:val="34"/>
              <w:bidi w:val="0"/>
              <w:jc w:val="both"/>
              <w:rPr>
                <w:rFonts w:hint="default"/>
                <w:color w:val="auto"/>
              </w:rPr>
            </w:pPr>
            <w:r>
              <w:rPr>
                <w:rFonts w:hint="default"/>
                <w:color w:val="auto"/>
              </w:rPr>
              <w:t>注：</w:t>
            </w:r>
            <w:r>
              <w:rPr>
                <w:rFonts w:hint="eastAsia"/>
                <w:color w:val="auto"/>
                <w:lang w:val="en-US" w:eastAsia="zh-CN"/>
              </w:rPr>
              <w:t>声源源强为</w:t>
            </w:r>
            <w:r>
              <w:rPr>
                <w:rFonts w:hint="default"/>
                <w:color w:val="auto"/>
              </w:rPr>
              <w:t>距离声源5m处声压级。</w:t>
            </w:r>
          </w:p>
        </w:tc>
      </w:tr>
    </w:tbl>
    <w:p w14:paraId="4EBD75D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cstheme="minorBidi"/>
          <w:color w:val="auto"/>
          <w:kern w:val="2"/>
          <w:sz w:val="24"/>
          <w:szCs w:val="24"/>
          <w:lang w:val="en-US" w:eastAsia="zh-CN" w:bidi="ar-SA"/>
        </w:rPr>
        <w:t>4、固体废物</w:t>
      </w:r>
    </w:p>
    <w:p w14:paraId="444E61E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施工期固体废物主要为施工人员生活垃圾、施工废料、施工土方。</w:t>
      </w:r>
    </w:p>
    <w:p w14:paraId="79FE402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（1）生活垃圾</w:t>
      </w:r>
    </w:p>
    <w:p w14:paraId="01CCE14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施工期施工人数约为</w:t>
      </w:r>
      <w:r>
        <w:rPr>
          <w:rFonts w:hint="eastAsia" w:cstheme="minorBidi"/>
          <w:color w:val="auto"/>
          <w:kern w:val="2"/>
          <w:sz w:val="24"/>
          <w:szCs w:val="24"/>
          <w:lang w:val="en-US" w:eastAsia="zh-CN" w:bidi="ar-SA"/>
        </w:rPr>
        <w:t>2</w:t>
      </w:r>
      <w:r>
        <w:rPr>
          <w:rFonts w:hint="eastAsia" w:ascii="Times New Roman" w:hAnsi="Times New Roman" w:eastAsia="宋体" w:cstheme="minorBidi"/>
          <w:color w:val="auto"/>
          <w:kern w:val="2"/>
          <w:sz w:val="24"/>
          <w:szCs w:val="24"/>
          <w:lang w:val="en-US" w:eastAsia="zh-CN" w:bidi="ar-SA"/>
        </w:rPr>
        <w:t>0人，施工期约为</w:t>
      </w:r>
      <w:r>
        <w:rPr>
          <w:rFonts w:hint="eastAsia" w:cstheme="minorBidi"/>
          <w:color w:val="auto"/>
          <w:kern w:val="2"/>
          <w:sz w:val="24"/>
          <w:szCs w:val="24"/>
          <w:lang w:val="en-US" w:eastAsia="zh-CN" w:bidi="ar-SA"/>
        </w:rPr>
        <w:t>9</w:t>
      </w:r>
      <w:r>
        <w:rPr>
          <w:rFonts w:hint="eastAsia" w:ascii="Times New Roman" w:hAnsi="Times New Roman" w:eastAsia="宋体" w:cstheme="minorBidi"/>
          <w:color w:val="auto"/>
          <w:kern w:val="2"/>
          <w:sz w:val="24"/>
          <w:szCs w:val="24"/>
          <w:lang w:val="en-US" w:eastAsia="zh-CN" w:bidi="ar-SA"/>
        </w:rPr>
        <w:t>0天，平均每人每天产生生活垃圾0.5kg，施工期产生生活垃圾为</w:t>
      </w:r>
      <w:r>
        <w:rPr>
          <w:rFonts w:hint="eastAsia" w:cstheme="minorBidi"/>
          <w:color w:val="auto"/>
          <w:kern w:val="2"/>
          <w:sz w:val="24"/>
          <w:szCs w:val="24"/>
          <w:lang w:val="en-US" w:eastAsia="zh-CN" w:bidi="ar-SA"/>
        </w:rPr>
        <w:t>0.9</w:t>
      </w:r>
      <w:r>
        <w:rPr>
          <w:rFonts w:hint="eastAsia" w:ascii="Times New Roman" w:hAnsi="Times New Roman" w:eastAsia="宋体" w:cstheme="minorBidi"/>
          <w:color w:val="auto"/>
          <w:kern w:val="2"/>
          <w:sz w:val="24"/>
          <w:szCs w:val="24"/>
          <w:lang w:val="en-US" w:eastAsia="zh-CN" w:bidi="ar-SA"/>
        </w:rPr>
        <w:t>t，由施工单位清运至乌尔禾区生活垃圾填埋场填埋处理。</w:t>
      </w:r>
    </w:p>
    <w:p w14:paraId="25FB50D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（2）施工废料</w:t>
      </w:r>
    </w:p>
    <w:p w14:paraId="53CEB45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施工过程中会产生少量的管材废边角料、废包装物、废保温材料等施工废料，施工废料产生量约为0.</w:t>
      </w:r>
      <w:r>
        <w:rPr>
          <w:rFonts w:hint="eastAsia" w:cstheme="minorBidi"/>
          <w:color w:val="auto"/>
          <w:kern w:val="2"/>
          <w:sz w:val="24"/>
          <w:szCs w:val="24"/>
          <w:lang w:val="en-US" w:eastAsia="zh-CN" w:bidi="ar-SA"/>
        </w:rPr>
        <w:t>05</w:t>
      </w:r>
      <w:r>
        <w:rPr>
          <w:rFonts w:hint="eastAsia" w:ascii="Times New Roman" w:hAnsi="Times New Roman" w:eastAsia="宋体" w:cstheme="minorBidi"/>
          <w:color w:val="auto"/>
          <w:kern w:val="2"/>
          <w:sz w:val="24"/>
          <w:szCs w:val="24"/>
          <w:lang w:val="en-US" w:eastAsia="zh-CN" w:bidi="ar-SA"/>
        </w:rPr>
        <w:t>t，</w:t>
      </w:r>
      <w:r>
        <w:rPr>
          <w:rFonts w:hint="eastAsia" w:cstheme="minorBidi"/>
          <w:color w:val="auto"/>
          <w:kern w:val="2"/>
          <w:sz w:val="24"/>
          <w:szCs w:val="24"/>
          <w:lang w:val="en-US" w:eastAsia="zh-CN" w:bidi="ar-SA"/>
        </w:rPr>
        <w:t>按要求分类回收或</w:t>
      </w:r>
      <w:r>
        <w:rPr>
          <w:rFonts w:hint="eastAsia" w:ascii="Times New Roman" w:hAnsi="Times New Roman" w:eastAsia="宋体" w:cstheme="minorBidi"/>
          <w:color w:val="auto"/>
          <w:kern w:val="2"/>
          <w:sz w:val="24"/>
          <w:szCs w:val="24"/>
          <w:lang w:val="en-US" w:eastAsia="zh-CN" w:bidi="ar-SA"/>
        </w:rPr>
        <w:t>集中收集后送至乌尔禾区建筑垃圾填埋场填埋处理。</w:t>
      </w:r>
    </w:p>
    <w:p w14:paraId="09FD305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（3）土石方</w:t>
      </w:r>
    </w:p>
    <w:p w14:paraId="31F9A8B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本工程施工期土方开挖主要为管线、阀池施工，土石方就地平衡，无废弃土石方。</w:t>
      </w:r>
    </w:p>
    <w:p w14:paraId="69B1DEF4">
      <w:pPr>
        <w:pStyle w:val="6"/>
        <w:bidi w:val="0"/>
        <w:rPr>
          <w:rFonts w:hint="default"/>
          <w:color w:val="auto"/>
          <w:lang w:val="en-US" w:eastAsia="zh-CN"/>
        </w:rPr>
      </w:pPr>
      <w:r>
        <w:rPr>
          <w:rFonts w:hint="eastAsia"/>
          <w:color w:val="auto"/>
          <w:lang w:val="en-US" w:eastAsia="zh-CN"/>
        </w:rPr>
        <w:t>3.9.3.2运营期污染源核算</w:t>
      </w:r>
    </w:p>
    <w:p w14:paraId="6A10DE6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1、废气</w:t>
      </w:r>
    </w:p>
    <w:p w14:paraId="0A13625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本工程运营期废气主要为油气集输过程挥发、泄漏将产生无组织排放的烃类。油田开发过程中烃类气体会随着原油一起被抽出油井，其主要成分为C</w:t>
      </w:r>
      <w:r>
        <w:rPr>
          <w:rFonts w:hint="eastAsia" w:ascii="Times New Roman" w:hAnsi="Times New Roman" w:eastAsia="宋体" w:cstheme="minorBidi"/>
          <w:color w:val="auto"/>
          <w:kern w:val="2"/>
          <w:sz w:val="24"/>
          <w:szCs w:val="24"/>
          <w:vertAlign w:val="subscript"/>
          <w:lang w:val="en-US" w:eastAsia="zh-CN" w:bidi="ar-SA"/>
        </w:rPr>
        <w:t>1</w:t>
      </w:r>
      <w:r>
        <w:rPr>
          <w:rFonts w:hint="eastAsia" w:ascii="Times New Roman" w:hAnsi="Times New Roman" w:eastAsia="宋体" w:cstheme="minorBidi"/>
          <w:color w:val="auto"/>
          <w:kern w:val="2"/>
          <w:sz w:val="24"/>
          <w:szCs w:val="24"/>
          <w:lang w:val="en-US" w:eastAsia="zh-CN" w:bidi="ar-SA"/>
        </w:rPr>
        <w:t>-C</w:t>
      </w:r>
      <w:r>
        <w:rPr>
          <w:rFonts w:hint="eastAsia" w:ascii="Times New Roman" w:hAnsi="Times New Roman" w:eastAsia="宋体" w:cstheme="minorBidi"/>
          <w:color w:val="auto"/>
          <w:kern w:val="2"/>
          <w:sz w:val="24"/>
          <w:szCs w:val="24"/>
          <w:vertAlign w:val="subscript"/>
          <w:lang w:val="en-US" w:eastAsia="zh-CN" w:bidi="ar-SA"/>
        </w:rPr>
        <w:t>5</w:t>
      </w:r>
      <w:r>
        <w:rPr>
          <w:rFonts w:hint="eastAsia" w:ascii="Times New Roman" w:hAnsi="Times New Roman" w:eastAsia="宋体" w:cstheme="minorBidi"/>
          <w:color w:val="auto"/>
          <w:kern w:val="2"/>
          <w:sz w:val="24"/>
          <w:szCs w:val="24"/>
          <w:lang w:val="en-US" w:eastAsia="zh-CN" w:bidi="ar-SA"/>
        </w:rPr>
        <w:t>的烃类物质，是油田开发的特征大气污染物。在原油开采与集输的过程中也会挥发、泄漏烃类气体，属无组织排放；集输过程中石油烃类的挥发主要来自采油井口挥发、控制阀门逸散等。</w:t>
      </w:r>
    </w:p>
    <w:p w14:paraId="121796A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根据《石油天然气开采业清洁生产指标体系的研究》（油气田环境保护，2003年3月，李何），对原油损耗调查结果表明，开放式流程损耗为1.4%～2.0%，密闭流程为0.5%。根据建设单位提供资料，当前采用的原油开采、集输工艺，可将密闭流程烃类损耗控制在0.2%以下，本次评价密闭流程取0.2%进行计算。本工程新增产能规模7.72×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t/a，根据实际生产情况，伴生气量按照地层原始油气比的50%到达地面计算，按下式估算</w:t>
      </w:r>
      <w:r>
        <w:rPr>
          <w:rFonts w:hint="eastAsia" w:cstheme="minorBidi"/>
          <w:color w:val="auto"/>
          <w:kern w:val="2"/>
          <w:sz w:val="24"/>
          <w:szCs w:val="24"/>
          <w:lang w:val="en-US" w:eastAsia="zh-CN" w:bidi="ar-SA"/>
        </w:rPr>
        <w:t>运营</w:t>
      </w:r>
      <w:r>
        <w:rPr>
          <w:rFonts w:hint="eastAsia" w:ascii="Times New Roman" w:hAnsi="Times New Roman" w:eastAsia="宋体" w:cstheme="minorBidi"/>
          <w:color w:val="auto"/>
          <w:kern w:val="2"/>
          <w:sz w:val="24"/>
          <w:szCs w:val="24"/>
          <w:lang w:val="en-US" w:eastAsia="zh-CN" w:bidi="ar-SA"/>
        </w:rPr>
        <w:t>期本项目伴生气非甲烷总烃无组织排放量0.56t/a。</w:t>
      </w:r>
    </w:p>
    <w:p w14:paraId="2E743A1E">
      <w:pPr>
        <w:pStyle w:val="4"/>
        <w:jc w:val="center"/>
        <w:rPr>
          <w:color w:val="auto"/>
        </w:rPr>
      </w:pPr>
      <w:r>
        <w:rPr>
          <w:color w:val="auto"/>
          <w:position w:val="-10"/>
        </w:rPr>
        <w:object>
          <v:shape id="_x0000_i1032" o:spt="75" type="#_x0000_t75" style="height:18.9pt;width:120.65pt;" o:ole="t" filled="f" o:preferrelative="t" stroked="f" coordsize="21600,21600">
            <v:path/>
            <v:fill on="f" focussize="0,0"/>
            <v:stroke on="f"/>
            <v:imagedata r:id="rId25" o:title=""/>
            <o:lock v:ext="edit" aspectratio="t"/>
            <w10:wrap type="none"/>
            <w10:anchorlock/>
          </v:shape>
          <o:OLEObject Type="Embed" ProgID="Equation.3" ShapeID="_x0000_i1032" DrawAspect="Content" ObjectID="_1468075732" r:id="rId24">
            <o:LockedField>false</o:LockedField>
          </o:OLEObject>
        </w:object>
      </w:r>
    </w:p>
    <w:p w14:paraId="6F371648">
      <w:pPr>
        <w:pStyle w:val="33"/>
        <w:bidi w:val="0"/>
        <w:rPr>
          <w:color w:val="auto"/>
        </w:rPr>
      </w:pPr>
      <w:r>
        <w:rPr>
          <w:color w:val="auto"/>
        </w:rPr>
        <w:t>式中：G—非甲烷总烃产生量，t/a；</w:t>
      </w:r>
    </w:p>
    <w:p w14:paraId="53FCE123">
      <w:pPr>
        <w:pStyle w:val="33"/>
        <w:bidi w:val="0"/>
        <w:rPr>
          <w:color w:val="auto"/>
        </w:rPr>
      </w:pPr>
      <w:r>
        <w:rPr>
          <w:color w:val="auto"/>
        </w:rPr>
        <w:t>M—原油产量，10</w:t>
      </w:r>
      <w:r>
        <w:rPr>
          <w:color w:val="auto"/>
          <w:vertAlign w:val="superscript"/>
        </w:rPr>
        <w:t>4</w:t>
      </w:r>
      <w:r>
        <w:rPr>
          <w:color w:val="auto"/>
        </w:rPr>
        <w:t>t/a；</w:t>
      </w:r>
    </w:p>
    <w:p w14:paraId="57EBCAA3">
      <w:pPr>
        <w:pStyle w:val="33"/>
        <w:bidi w:val="0"/>
        <w:rPr>
          <w:color w:val="auto"/>
        </w:rPr>
      </w:pPr>
      <w:r>
        <w:rPr>
          <w:color w:val="auto"/>
        </w:rPr>
        <w:t>η—油气集输系统损耗率，%（取值0.2%）；</w:t>
      </w:r>
    </w:p>
    <w:p w14:paraId="1D3E3A8B">
      <w:pPr>
        <w:pStyle w:val="33"/>
        <w:bidi w:val="0"/>
        <w:rPr>
          <w:color w:val="auto"/>
        </w:rPr>
      </w:pPr>
      <w:r>
        <w:rPr>
          <w:color w:val="auto"/>
        </w:rPr>
        <w:t>α—甲烷化系数（见</w:t>
      </w:r>
      <w:r>
        <w:rPr>
          <w:rFonts w:hint="default"/>
          <w:color w:val="auto"/>
          <w:lang w:val="en-US"/>
        </w:rPr>
        <w:fldChar w:fldCharType="begin"/>
      </w:r>
      <w:r>
        <w:rPr>
          <w:rFonts w:hint="default"/>
          <w:color w:val="auto"/>
          <w:lang w:val="en-US"/>
        </w:rPr>
        <w:instrText xml:space="preserve"> REF _Ref26839 \h </w:instrText>
      </w:r>
      <w:r>
        <w:rPr>
          <w:rFonts w:hint="default"/>
          <w:color w:val="auto"/>
          <w:lang w:val="en-US"/>
        </w:rPr>
        <w:fldChar w:fldCharType="separate"/>
      </w:r>
      <w:r>
        <w:rPr>
          <w:color w:val="auto"/>
        </w:rPr>
        <w:t>表</w:t>
      </w:r>
      <w:r>
        <w:rPr>
          <w:rFonts w:hint="eastAsia"/>
          <w:color w:val="auto"/>
          <w:lang w:val="en-US" w:eastAsia="zh-CN"/>
        </w:rPr>
        <w:t>3</w:t>
      </w:r>
      <w:r>
        <w:rPr>
          <w:rFonts w:hint="default"/>
          <w:color w:val="auto"/>
          <w:lang w:val="en-US"/>
        </w:rPr>
        <w:fldChar w:fldCharType="end"/>
      </w:r>
      <w:r>
        <w:rPr>
          <w:rFonts w:hint="eastAsia"/>
          <w:color w:val="auto"/>
          <w:lang w:val="en-US" w:eastAsia="zh-CN"/>
        </w:rPr>
        <w:t>.1-2，取均值0.86</w:t>
      </w:r>
      <w:r>
        <w:rPr>
          <w:color w:val="auto"/>
        </w:rPr>
        <w:t>）；</w:t>
      </w:r>
    </w:p>
    <w:p w14:paraId="180B225F">
      <w:pPr>
        <w:pStyle w:val="33"/>
        <w:bidi w:val="0"/>
        <w:rPr>
          <w:color w:val="auto"/>
        </w:rPr>
      </w:pPr>
      <w:r>
        <w:rPr>
          <w:color w:val="auto"/>
        </w:rPr>
        <w:t>ρ—伴生气密度（见</w:t>
      </w:r>
      <w:r>
        <w:rPr>
          <w:rFonts w:hint="default"/>
          <w:color w:val="auto"/>
          <w:lang w:val="en-US"/>
        </w:rPr>
        <w:fldChar w:fldCharType="begin"/>
      </w:r>
      <w:r>
        <w:rPr>
          <w:rFonts w:hint="default"/>
          <w:color w:val="auto"/>
          <w:lang w:val="en-US"/>
        </w:rPr>
        <w:instrText xml:space="preserve"> REF _Ref26839 \h </w:instrText>
      </w:r>
      <w:r>
        <w:rPr>
          <w:rFonts w:hint="default"/>
          <w:color w:val="auto"/>
          <w:lang w:val="en-US"/>
        </w:rPr>
        <w:fldChar w:fldCharType="separate"/>
      </w:r>
      <w:r>
        <w:rPr>
          <w:color w:val="auto"/>
        </w:rPr>
        <w:t>表</w:t>
      </w:r>
      <w:r>
        <w:rPr>
          <w:rFonts w:hint="eastAsia"/>
          <w:color w:val="auto"/>
          <w:lang w:val="en-US" w:eastAsia="zh-CN"/>
        </w:rPr>
        <w:t>3</w:t>
      </w:r>
      <w:r>
        <w:rPr>
          <w:rFonts w:hint="default"/>
          <w:color w:val="auto"/>
          <w:lang w:val="en-US"/>
        </w:rPr>
        <w:fldChar w:fldCharType="end"/>
      </w:r>
      <w:r>
        <w:rPr>
          <w:rFonts w:hint="eastAsia"/>
          <w:color w:val="auto"/>
          <w:lang w:val="en-US" w:eastAsia="zh-CN"/>
        </w:rPr>
        <w:t>.1-2，取均值0.90kg/m</w:t>
      </w:r>
      <w:r>
        <w:rPr>
          <w:rFonts w:hint="eastAsia"/>
          <w:color w:val="auto"/>
          <w:vertAlign w:val="superscript"/>
          <w:lang w:val="en-US" w:eastAsia="zh-CN"/>
        </w:rPr>
        <w:t>3</w:t>
      </w:r>
      <w:r>
        <w:rPr>
          <w:color w:val="auto"/>
        </w:rPr>
        <w:t>），t/m</w:t>
      </w:r>
      <w:r>
        <w:rPr>
          <w:color w:val="auto"/>
          <w:vertAlign w:val="superscript"/>
        </w:rPr>
        <w:t>3</w:t>
      </w:r>
      <w:r>
        <w:rPr>
          <w:color w:val="auto"/>
        </w:rPr>
        <w:t>；</w:t>
      </w:r>
    </w:p>
    <w:p w14:paraId="2357E2E4">
      <w:pPr>
        <w:pStyle w:val="33"/>
        <w:bidi w:val="0"/>
        <w:rPr>
          <w:color w:val="auto"/>
        </w:rPr>
      </w:pPr>
      <w:r>
        <w:rPr>
          <w:color w:val="auto"/>
        </w:rPr>
        <w:t>λ—气油比（</w:t>
      </w:r>
      <w:r>
        <w:rPr>
          <w:rFonts w:hint="eastAsia"/>
          <w:color w:val="auto"/>
          <w:lang w:val="en-US" w:eastAsia="zh-CN"/>
        </w:rPr>
        <w:t>根据建设单位提供数据，取值57.7</w:t>
      </w:r>
      <w:r>
        <w:rPr>
          <w:color w:val="auto"/>
        </w:rPr>
        <w:t>），m</w:t>
      </w:r>
      <w:r>
        <w:rPr>
          <w:color w:val="auto"/>
          <w:vertAlign w:val="superscript"/>
        </w:rPr>
        <w:t>3</w:t>
      </w:r>
      <w:r>
        <w:rPr>
          <w:color w:val="auto"/>
        </w:rPr>
        <w:t>/t；</w:t>
      </w:r>
    </w:p>
    <w:p w14:paraId="62592927">
      <w:pPr>
        <w:pStyle w:val="33"/>
        <w:bidi w:val="0"/>
        <w:rPr>
          <w:color w:val="auto"/>
          <w:lang w:val="zh-CN"/>
        </w:rPr>
      </w:pPr>
      <w:r>
        <w:rPr>
          <w:color w:val="auto"/>
        </w:rPr>
        <w:t>δ—伴生气实际产生系数，0.5。</w:t>
      </w:r>
    </w:p>
    <w:p w14:paraId="710A87E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2、废水</w:t>
      </w:r>
    </w:p>
    <w:p w14:paraId="6E3DEDE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运营期不新增劳动定员，工作人员由百口泉采油厂内部调配，故不新增生活废水。运营期废水主要为井下作业废（液）水及采出水。</w:t>
      </w:r>
    </w:p>
    <w:p w14:paraId="260DFE6B">
      <w:pPr>
        <w:pStyle w:val="33"/>
        <w:bidi w:val="0"/>
        <w:rPr>
          <w:rFonts w:hint="eastAsia" w:eastAsia="宋体"/>
          <w:color w:val="auto"/>
          <w:lang w:eastAsia="zh-CN"/>
        </w:rPr>
      </w:pPr>
      <w:r>
        <w:rPr>
          <w:rFonts w:hint="default"/>
          <w:color w:val="auto"/>
        </w:rPr>
        <w:t>（1）井下作业废</w:t>
      </w:r>
      <w:r>
        <w:rPr>
          <w:rFonts w:hint="eastAsia"/>
          <w:color w:val="auto"/>
          <w:lang w:eastAsia="zh-CN"/>
        </w:rPr>
        <w:t>（</w:t>
      </w:r>
      <w:r>
        <w:rPr>
          <w:rFonts w:hint="eastAsia"/>
          <w:color w:val="auto"/>
          <w:lang w:val="en-US" w:eastAsia="zh-CN"/>
        </w:rPr>
        <w:t>液</w:t>
      </w:r>
      <w:r>
        <w:rPr>
          <w:rFonts w:hint="eastAsia"/>
          <w:color w:val="auto"/>
          <w:lang w:eastAsia="zh-CN"/>
        </w:rPr>
        <w:t>）</w:t>
      </w:r>
      <w:r>
        <w:rPr>
          <w:rFonts w:hint="default"/>
          <w:color w:val="auto"/>
        </w:rPr>
        <w:t>水</w:t>
      </w:r>
    </w:p>
    <w:p w14:paraId="4530FC43">
      <w:pPr>
        <w:pStyle w:val="33"/>
        <w:bidi w:val="0"/>
        <w:rPr>
          <w:rFonts w:hint="default" w:ascii="Times New Roman" w:hAnsi="Times New Roman" w:eastAsia="宋体" w:cs="Times New Roman"/>
          <w:color w:val="auto"/>
        </w:rPr>
      </w:pPr>
      <w:r>
        <w:rPr>
          <w:rFonts w:hint="default"/>
          <w:color w:val="auto"/>
        </w:rPr>
        <w:t>拟建工程运营期井下作业主要包括大小修井、洗井等</w:t>
      </w:r>
      <w:r>
        <w:rPr>
          <w:rFonts w:hint="eastAsia"/>
          <w:color w:val="auto"/>
          <w:lang w:eastAsia="zh-CN"/>
        </w:rPr>
        <w:t>，</w:t>
      </w:r>
      <w:r>
        <w:rPr>
          <w:rFonts w:hint="default"/>
          <w:color w:val="auto"/>
        </w:rPr>
        <w:t>井下作业每2年1次。根据《排放源统计调查产排污核算方法和系数手册》（2021.6.11）中</w:t>
      </w:r>
      <w:r>
        <w:rPr>
          <w:rFonts w:hint="eastAsia" w:ascii="宋体" w:hAnsi="宋体" w:eastAsia="宋体" w:cs="宋体"/>
          <w:color w:val="auto"/>
        </w:rPr>
        <w:t>“</w:t>
      </w:r>
      <w:r>
        <w:rPr>
          <w:rFonts w:hint="default"/>
          <w:color w:val="auto"/>
        </w:rPr>
        <w:t>1120石油和天然气开采专业及辅助性活动行业系数手册</w:t>
      </w:r>
      <w:r>
        <w:rPr>
          <w:rFonts w:hint="eastAsia" w:ascii="宋体" w:hAnsi="宋体" w:eastAsia="宋体" w:cs="宋体"/>
          <w:color w:val="auto"/>
        </w:rPr>
        <w:t>”</w:t>
      </w:r>
      <w:r>
        <w:rPr>
          <w:rFonts w:hint="default"/>
          <w:color w:val="auto"/>
        </w:rPr>
        <w:t>（续表1）计算井下作业废水的产生量。</w:t>
      </w:r>
      <w:bookmarkStart w:id="174" w:name="_Hlk5211222"/>
    </w:p>
    <w:p w14:paraId="1AB88577">
      <w:pPr>
        <w:pStyle w:val="43"/>
        <w:bidi w:val="0"/>
        <w:rPr>
          <w:rFonts w:hint="default"/>
          <w:color w:val="auto"/>
        </w:rPr>
      </w:pPr>
      <w:r>
        <w:rPr>
          <w:rFonts w:hint="default"/>
          <w:color w:val="auto"/>
        </w:rPr>
        <w:t>表</w:t>
      </w:r>
      <w:r>
        <w:rPr>
          <w:rFonts w:hint="eastAsia"/>
          <w:color w:val="auto"/>
          <w:lang w:val="en-US" w:eastAsia="zh-CN"/>
        </w:rPr>
        <w:t>3.9-5</w:t>
      </w:r>
      <w:r>
        <w:rPr>
          <w:rFonts w:hint="default"/>
          <w:color w:val="auto"/>
        </w:rPr>
        <w:t xml:space="preserve">  与石油和天然气开采有关的服务活动产排污系数一览表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846"/>
        <w:gridCol w:w="921"/>
        <w:gridCol w:w="692"/>
        <w:gridCol w:w="1317"/>
        <w:gridCol w:w="1365"/>
        <w:gridCol w:w="910"/>
        <w:gridCol w:w="1124"/>
        <w:gridCol w:w="702"/>
      </w:tblGrid>
      <w:tr w14:paraId="605C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89" w:type="pct"/>
            <w:vAlign w:val="center"/>
          </w:tcPr>
          <w:p w14:paraId="46F8AA56">
            <w:pPr>
              <w:jc w:val="center"/>
              <w:rPr>
                <w:rFonts w:hint="default" w:ascii="Times New Roman" w:hAnsi="Times New Roman" w:cs="Times New Roman"/>
                <w:b/>
                <w:bCs/>
                <w:color w:val="auto"/>
              </w:rPr>
            </w:pPr>
            <w:r>
              <w:rPr>
                <w:rFonts w:hint="default" w:ascii="Times New Roman" w:hAnsi="Times New Roman" w:cs="Times New Roman"/>
                <w:b/>
                <w:bCs/>
                <w:color w:val="auto"/>
              </w:rPr>
              <w:t>产品</w:t>
            </w:r>
          </w:p>
          <w:p w14:paraId="6AB8B621">
            <w:pPr>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392" w:type="pct"/>
            <w:vAlign w:val="center"/>
          </w:tcPr>
          <w:p w14:paraId="5832ADA2">
            <w:pPr>
              <w:jc w:val="center"/>
              <w:rPr>
                <w:rFonts w:hint="default" w:ascii="Times New Roman" w:hAnsi="Times New Roman" w:cs="Times New Roman"/>
                <w:b/>
                <w:bCs/>
                <w:color w:val="auto"/>
              </w:rPr>
            </w:pPr>
            <w:r>
              <w:rPr>
                <w:rFonts w:hint="default" w:ascii="Times New Roman" w:hAnsi="Times New Roman" w:cs="Times New Roman"/>
                <w:b/>
                <w:bCs/>
                <w:color w:val="auto"/>
              </w:rPr>
              <w:t>原料</w:t>
            </w:r>
          </w:p>
          <w:p w14:paraId="5CD005FC">
            <w:pPr>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554" w:type="pct"/>
            <w:vAlign w:val="center"/>
          </w:tcPr>
          <w:p w14:paraId="436EBBB0">
            <w:pPr>
              <w:jc w:val="center"/>
              <w:rPr>
                <w:rFonts w:hint="default" w:ascii="Times New Roman" w:hAnsi="Times New Roman" w:cs="Times New Roman"/>
                <w:b/>
                <w:bCs/>
                <w:color w:val="auto"/>
              </w:rPr>
            </w:pPr>
            <w:r>
              <w:rPr>
                <w:rFonts w:hint="default" w:ascii="Times New Roman" w:hAnsi="Times New Roman" w:cs="Times New Roman"/>
                <w:b/>
                <w:bCs/>
                <w:color w:val="auto"/>
              </w:rPr>
              <w:t>工艺名称</w:t>
            </w:r>
          </w:p>
        </w:tc>
        <w:tc>
          <w:tcPr>
            <w:tcW w:w="420" w:type="pct"/>
            <w:vAlign w:val="center"/>
          </w:tcPr>
          <w:p w14:paraId="4F83D1F8">
            <w:pPr>
              <w:jc w:val="center"/>
              <w:rPr>
                <w:rFonts w:hint="default" w:ascii="Times New Roman" w:hAnsi="Times New Roman" w:cs="Times New Roman"/>
                <w:b/>
                <w:bCs/>
                <w:color w:val="auto"/>
              </w:rPr>
            </w:pPr>
            <w:r>
              <w:rPr>
                <w:rFonts w:hint="default" w:ascii="Times New Roman" w:hAnsi="Times New Roman" w:cs="Times New Roman"/>
                <w:b/>
                <w:bCs/>
                <w:color w:val="auto"/>
              </w:rPr>
              <w:t>规模等级</w:t>
            </w:r>
          </w:p>
        </w:tc>
        <w:tc>
          <w:tcPr>
            <w:tcW w:w="786" w:type="pct"/>
            <w:vAlign w:val="center"/>
          </w:tcPr>
          <w:p w14:paraId="15EE1BB7">
            <w:pPr>
              <w:jc w:val="center"/>
              <w:rPr>
                <w:rFonts w:hint="default" w:ascii="Times New Roman" w:hAnsi="Times New Roman" w:cs="Times New Roman"/>
                <w:b/>
                <w:bCs/>
                <w:color w:val="auto"/>
              </w:rPr>
            </w:pPr>
            <w:r>
              <w:rPr>
                <w:rFonts w:hint="default" w:ascii="Times New Roman" w:hAnsi="Times New Roman" w:cs="Times New Roman"/>
                <w:b/>
                <w:bCs/>
                <w:color w:val="auto"/>
              </w:rPr>
              <w:t>污染物指标</w:t>
            </w:r>
          </w:p>
        </w:tc>
        <w:tc>
          <w:tcPr>
            <w:tcW w:w="814" w:type="pct"/>
            <w:vAlign w:val="center"/>
          </w:tcPr>
          <w:p w14:paraId="062021E0">
            <w:pPr>
              <w:jc w:val="center"/>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547" w:type="pct"/>
            <w:vAlign w:val="center"/>
          </w:tcPr>
          <w:p w14:paraId="744BF7C3">
            <w:pPr>
              <w:jc w:val="center"/>
              <w:rPr>
                <w:rFonts w:hint="default" w:ascii="Times New Roman" w:hAnsi="Times New Roman" w:cs="Times New Roman"/>
                <w:b/>
                <w:bCs/>
                <w:color w:val="auto"/>
              </w:rPr>
            </w:pPr>
            <w:r>
              <w:rPr>
                <w:rFonts w:hint="default" w:ascii="Times New Roman" w:hAnsi="Times New Roman" w:cs="Times New Roman"/>
                <w:b/>
                <w:bCs/>
                <w:color w:val="auto"/>
              </w:rPr>
              <w:t>产污</w:t>
            </w:r>
          </w:p>
          <w:p w14:paraId="524ED334">
            <w:pPr>
              <w:jc w:val="center"/>
              <w:rPr>
                <w:rFonts w:hint="default" w:ascii="Times New Roman" w:hAnsi="Times New Roman" w:cs="Times New Roman"/>
                <w:b/>
                <w:bCs/>
                <w:color w:val="auto"/>
              </w:rPr>
            </w:pPr>
            <w:r>
              <w:rPr>
                <w:rFonts w:hint="default" w:ascii="Times New Roman" w:hAnsi="Times New Roman" w:cs="Times New Roman"/>
                <w:b/>
                <w:bCs/>
                <w:color w:val="auto"/>
              </w:rPr>
              <w:t>系数</w:t>
            </w:r>
          </w:p>
        </w:tc>
        <w:tc>
          <w:tcPr>
            <w:tcW w:w="673" w:type="pct"/>
            <w:vAlign w:val="center"/>
          </w:tcPr>
          <w:p w14:paraId="1825DE97">
            <w:pPr>
              <w:jc w:val="center"/>
              <w:rPr>
                <w:rFonts w:hint="default" w:ascii="Times New Roman" w:hAnsi="Times New Roman" w:cs="Times New Roman"/>
                <w:b/>
                <w:bCs/>
                <w:color w:val="auto"/>
              </w:rPr>
            </w:pPr>
            <w:r>
              <w:rPr>
                <w:rFonts w:hint="default" w:ascii="Times New Roman" w:hAnsi="Times New Roman" w:cs="Times New Roman"/>
                <w:b/>
                <w:bCs/>
                <w:color w:val="auto"/>
              </w:rPr>
              <w:t>末端治理技术名称</w:t>
            </w:r>
          </w:p>
        </w:tc>
        <w:tc>
          <w:tcPr>
            <w:tcW w:w="420" w:type="pct"/>
            <w:vAlign w:val="center"/>
          </w:tcPr>
          <w:p w14:paraId="012AA732">
            <w:pPr>
              <w:jc w:val="center"/>
              <w:rPr>
                <w:rFonts w:hint="default" w:ascii="Times New Roman" w:hAnsi="Times New Roman" w:cs="Times New Roman"/>
                <w:b/>
                <w:bCs/>
                <w:color w:val="auto"/>
              </w:rPr>
            </w:pPr>
            <w:r>
              <w:rPr>
                <w:rFonts w:hint="default" w:ascii="Times New Roman" w:hAnsi="Times New Roman" w:cs="Times New Roman"/>
                <w:b/>
                <w:bCs/>
                <w:color w:val="auto"/>
              </w:rPr>
              <w:t>排污系数</w:t>
            </w:r>
          </w:p>
        </w:tc>
      </w:tr>
      <w:bookmarkEnd w:id="174"/>
      <w:tr w14:paraId="5CB3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89" w:type="pct"/>
            <w:vMerge w:val="restart"/>
            <w:vAlign w:val="center"/>
          </w:tcPr>
          <w:p w14:paraId="3C200010">
            <w:pPr>
              <w:jc w:val="center"/>
              <w:rPr>
                <w:rFonts w:hint="default" w:ascii="Times New Roman" w:hAnsi="Times New Roman" w:cs="Times New Roman"/>
                <w:color w:val="auto"/>
              </w:rPr>
            </w:pPr>
            <w:r>
              <w:rPr>
                <w:rFonts w:hint="default" w:ascii="Times New Roman" w:hAnsi="Times New Roman" w:cs="Times New Roman"/>
                <w:color w:val="auto"/>
              </w:rPr>
              <w:t>井下作业</w:t>
            </w:r>
          </w:p>
        </w:tc>
        <w:tc>
          <w:tcPr>
            <w:tcW w:w="392" w:type="pct"/>
            <w:vMerge w:val="restart"/>
            <w:vAlign w:val="center"/>
          </w:tcPr>
          <w:p w14:paraId="09B0D6CA">
            <w:pPr>
              <w:jc w:val="center"/>
              <w:rPr>
                <w:rFonts w:hint="default" w:ascii="Times New Roman" w:hAnsi="Times New Roman" w:cs="Times New Roman"/>
                <w:color w:val="auto"/>
              </w:rPr>
            </w:pPr>
            <w:r>
              <w:rPr>
                <w:rFonts w:hint="default" w:ascii="Times New Roman" w:hAnsi="Times New Roman" w:cs="Times New Roman"/>
                <w:color w:val="auto"/>
              </w:rPr>
              <w:t>洗井液（水）</w:t>
            </w:r>
          </w:p>
        </w:tc>
        <w:tc>
          <w:tcPr>
            <w:tcW w:w="554" w:type="pct"/>
            <w:vMerge w:val="restart"/>
            <w:vAlign w:val="center"/>
          </w:tcPr>
          <w:p w14:paraId="28F83E9A">
            <w:pPr>
              <w:jc w:val="center"/>
              <w:rPr>
                <w:rFonts w:hint="default" w:ascii="Times New Roman" w:hAnsi="Times New Roman" w:cs="Times New Roman"/>
                <w:color w:val="auto"/>
              </w:rPr>
            </w:pPr>
            <w:r>
              <w:rPr>
                <w:rFonts w:hint="default" w:ascii="Times New Roman" w:hAnsi="Times New Roman" w:cs="Times New Roman"/>
                <w:color w:val="auto"/>
              </w:rPr>
              <w:t>非低渗透油井洗井作业</w:t>
            </w:r>
          </w:p>
        </w:tc>
        <w:tc>
          <w:tcPr>
            <w:tcW w:w="420" w:type="pct"/>
            <w:vMerge w:val="restart"/>
            <w:vAlign w:val="center"/>
          </w:tcPr>
          <w:p w14:paraId="559E2C50">
            <w:pPr>
              <w:jc w:val="center"/>
              <w:rPr>
                <w:rFonts w:hint="default" w:ascii="Times New Roman" w:hAnsi="Times New Roman" w:cs="Times New Roman"/>
                <w:color w:val="auto"/>
              </w:rPr>
            </w:pPr>
            <w:r>
              <w:rPr>
                <w:rFonts w:hint="default" w:ascii="Times New Roman" w:hAnsi="Times New Roman" w:cs="Times New Roman"/>
                <w:color w:val="auto"/>
              </w:rPr>
              <w:t>所有规模</w:t>
            </w:r>
          </w:p>
        </w:tc>
        <w:tc>
          <w:tcPr>
            <w:tcW w:w="786" w:type="pct"/>
            <w:vAlign w:val="center"/>
          </w:tcPr>
          <w:p w14:paraId="3F8C500B">
            <w:pPr>
              <w:jc w:val="center"/>
              <w:rPr>
                <w:rFonts w:hint="default" w:ascii="Times New Roman" w:hAnsi="Times New Roman" w:cs="Times New Roman"/>
                <w:color w:val="auto"/>
              </w:rPr>
            </w:pPr>
            <w:r>
              <w:rPr>
                <w:rFonts w:hint="default" w:ascii="Times New Roman" w:hAnsi="Times New Roman" w:cs="Times New Roman"/>
                <w:color w:val="auto"/>
              </w:rPr>
              <w:t>工业废水量</w:t>
            </w:r>
          </w:p>
        </w:tc>
        <w:tc>
          <w:tcPr>
            <w:tcW w:w="814" w:type="pct"/>
            <w:vAlign w:val="center"/>
          </w:tcPr>
          <w:p w14:paraId="09862041">
            <w:pPr>
              <w:jc w:val="center"/>
              <w:rPr>
                <w:rFonts w:hint="default" w:ascii="Times New Roman" w:hAnsi="Times New Roman" w:cs="Times New Roman"/>
                <w:color w:val="auto"/>
              </w:rPr>
            </w:pPr>
            <w:r>
              <w:rPr>
                <w:rFonts w:hint="default" w:ascii="Times New Roman" w:hAnsi="Times New Roman" w:cs="Times New Roman"/>
                <w:color w:val="auto"/>
              </w:rPr>
              <w:t>t/井次-产品</w:t>
            </w:r>
          </w:p>
        </w:tc>
        <w:tc>
          <w:tcPr>
            <w:tcW w:w="547" w:type="pct"/>
            <w:vAlign w:val="center"/>
          </w:tcPr>
          <w:p w14:paraId="364647B0">
            <w:pPr>
              <w:jc w:val="center"/>
              <w:rPr>
                <w:rFonts w:hint="default" w:ascii="Times New Roman" w:hAnsi="Times New Roman" w:cs="Times New Roman"/>
                <w:color w:val="auto"/>
              </w:rPr>
            </w:pPr>
            <w:r>
              <w:rPr>
                <w:rFonts w:hint="default" w:ascii="Times New Roman" w:hAnsi="Times New Roman" w:cs="Times New Roman"/>
                <w:color w:val="auto"/>
              </w:rPr>
              <w:t>76.0</w:t>
            </w:r>
          </w:p>
        </w:tc>
        <w:tc>
          <w:tcPr>
            <w:tcW w:w="673" w:type="pct"/>
            <w:vMerge w:val="restart"/>
            <w:vAlign w:val="center"/>
          </w:tcPr>
          <w:p w14:paraId="09770249">
            <w:pPr>
              <w:jc w:val="center"/>
              <w:rPr>
                <w:rFonts w:hint="default" w:ascii="Times New Roman" w:hAnsi="Times New Roman" w:cs="Times New Roman"/>
                <w:color w:val="auto"/>
              </w:rPr>
            </w:pPr>
            <w:r>
              <w:rPr>
                <w:rFonts w:hint="default" w:ascii="Times New Roman" w:hAnsi="Times New Roman" w:cs="Times New Roman"/>
                <w:color w:val="auto"/>
              </w:rPr>
              <w:t>回收回注</w:t>
            </w:r>
          </w:p>
        </w:tc>
        <w:tc>
          <w:tcPr>
            <w:tcW w:w="420" w:type="pct"/>
            <w:vAlign w:val="center"/>
          </w:tcPr>
          <w:p w14:paraId="0008F7B4">
            <w:pPr>
              <w:jc w:val="center"/>
              <w:rPr>
                <w:rFonts w:hint="default" w:ascii="Times New Roman" w:hAnsi="Times New Roman" w:cs="Times New Roman"/>
                <w:color w:val="auto"/>
              </w:rPr>
            </w:pPr>
            <w:r>
              <w:rPr>
                <w:rFonts w:hint="default" w:ascii="Times New Roman" w:hAnsi="Times New Roman" w:cs="Times New Roman"/>
                <w:color w:val="auto"/>
              </w:rPr>
              <w:t>0</w:t>
            </w:r>
          </w:p>
        </w:tc>
      </w:tr>
      <w:tr w14:paraId="3301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89" w:type="pct"/>
            <w:vMerge w:val="continue"/>
            <w:vAlign w:val="center"/>
          </w:tcPr>
          <w:p w14:paraId="7BCEEDD9">
            <w:pPr>
              <w:jc w:val="center"/>
              <w:rPr>
                <w:rFonts w:hint="default" w:ascii="Times New Roman" w:hAnsi="Times New Roman" w:cs="Times New Roman"/>
                <w:color w:val="auto"/>
              </w:rPr>
            </w:pPr>
          </w:p>
        </w:tc>
        <w:tc>
          <w:tcPr>
            <w:tcW w:w="392" w:type="pct"/>
            <w:vMerge w:val="continue"/>
            <w:vAlign w:val="center"/>
          </w:tcPr>
          <w:p w14:paraId="0922714B">
            <w:pPr>
              <w:jc w:val="center"/>
              <w:rPr>
                <w:rFonts w:hint="default" w:ascii="Times New Roman" w:hAnsi="Times New Roman" w:cs="Times New Roman"/>
                <w:color w:val="auto"/>
              </w:rPr>
            </w:pPr>
          </w:p>
        </w:tc>
        <w:tc>
          <w:tcPr>
            <w:tcW w:w="554" w:type="pct"/>
            <w:vMerge w:val="continue"/>
            <w:vAlign w:val="center"/>
          </w:tcPr>
          <w:p w14:paraId="157B7AFC">
            <w:pPr>
              <w:jc w:val="center"/>
              <w:rPr>
                <w:rFonts w:hint="default" w:ascii="Times New Roman" w:hAnsi="Times New Roman" w:cs="Times New Roman"/>
                <w:color w:val="auto"/>
              </w:rPr>
            </w:pPr>
          </w:p>
        </w:tc>
        <w:tc>
          <w:tcPr>
            <w:tcW w:w="420" w:type="pct"/>
            <w:vMerge w:val="continue"/>
            <w:vAlign w:val="center"/>
          </w:tcPr>
          <w:p w14:paraId="6F493D48">
            <w:pPr>
              <w:jc w:val="center"/>
              <w:rPr>
                <w:rFonts w:hint="default" w:ascii="Times New Roman" w:hAnsi="Times New Roman" w:cs="Times New Roman"/>
                <w:color w:val="auto"/>
              </w:rPr>
            </w:pPr>
          </w:p>
        </w:tc>
        <w:tc>
          <w:tcPr>
            <w:tcW w:w="786" w:type="pct"/>
            <w:vAlign w:val="center"/>
          </w:tcPr>
          <w:p w14:paraId="4E7DC6AA">
            <w:pPr>
              <w:jc w:val="center"/>
              <w:rPr>
                <w:rFonts w:hint="default" w:ascii="Times New Roman" w:hAnsi="Times New Roman" w:cs="Times New Roman"/>
                <w:color w:val="auto"/>
              </w:rPr>
            </w:pPr>
            <w:r>
              <w:rPr>
                <w:rFonts w:hint="default" w:ascii="Times New Roman" w:hAnsi="Times New Roman" w:cs="Times New Roman"/>
                <w:color w:val="auto"/>
              </w:rPr>
              <w:t>化学需氧量</w:t>
            </w:r>
          </w:p>
        </w:tc>
        <w:tc>
          <w:tcPr>
            <w:tcW w:w="814" w:type="pct"/>
            <w:vAlign w:val="center"/>
          </w:tcPr>
          <w:p w14:paraId="3AC4A4A6">
            <w:pPr>
              <w:jc w:val="center"/>
              <w:rPr>
                <w:rFonts w:hint="default" w:ascii="Times New Roman" w:hAnsi="Times New Roman" w:cs="Times New Roman"/>
                <w:color w:val="auto"/>
              </w:rPr>
            </w:pPr>
            <w:r>
              <w:rPr>
                <w:rFonts w:hint="default" w:ascii="Times New Roman" w:hAnsi="Times New Roman" w:cs="Times New Roman"/>
                <w:color w:val="auto"/>
              </w:rPr>
              <w:t>g/井次-产品</w:t>
            </w:r>
          </w:p>
        </w:tc>
        <w:tc>
          <w:tcPr>
            <w:tcW w:w="547" w:type="pct"/>
            <w:vAlign w:val="center"/>
          </w:tcPr>
          <w:p w14:paraId="6D2292C8">
            <w:pPr>
              <w:jc w:val="center"/>
              <w:rPr>
                <w:rFonts w:hint="default" w:ascii="Times New Roman" w:hAnsi="Times New Roman" w:cs="Times New Roman"/>
                <w:color w:val="auto"/>
              </w:rPr>
            </w:pPr>
            <w:r>
              <w:rPr>
                <w:rFonts w:hint="default" w:ascii="Times New Roman" w:hAnsi="Times New Roman" w:cs="Times New Roman"/>
                <w:color w:val="auto"/>
              </w:rPr>
              <w:t>104525</w:t>
            </w:r>
          </w:p>
        </w:tc>
        <w:tc>
          <w:tcPr>
            <w:tcW w:w="673" w:type="pct"/>
            <w:vMerge w:val="continue"/>
            <w:vAlign w:val="center"/>
          </w:tcPr>
          <w:p w14:paraId="2222E102">
            <w:pPr>
              <w:jc w:val="center"/>
              <w:rPr>
                <w:rFonts w:hint="default" w:ascii="Times New Roman" w:hAnsi="Times New Roman" w:cs="Times New Roman"/>
                <w:color w:val="auto"/>
              </w:rPr>
            </w:pPr>
          </w:p>
        </w:tc>
        <w:tc>
          <w:tcPr>
            <w:tcW w:w="420" w:type="pct"/>
            <w:vAlign w:val="center"/>
          </w:tcPr>
          <w:p w14:paraId="546EF251">
            <w:pPr>
              <w:jc w:val="center"/>
              <w:rPr>
                <w:rFonts w:hint="default" w:ascii="Times New Roman" w:hAnsi="Times New Roman" w:cs="Times New Roman"/>
                <w:color w:val="auto"/>
              </w:rPr>
            </w:pPr>
            <w:r>
              <w:rPr>
                <w:rFonts w:hint="default" w:ascii="Times New Roman" w:hAnsi="Times New Roman" w:cs="Times New Roman"/>
                <w:color w:val="auto"/>
              </w:rPr>
              <w:t>0</w:t>
            </w:r>
          </w:p>
        </w:tc>
      </w:tr>
      <w:tr w14:paraId="7157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89" w:type="pct"/>
            <w:vMerge w:val="continue"/>
            <w:vAlign w:val="center"/>
          </w:tcPr>
          <w:p w14:paraId="026658E3">
            <w:pPr>
              <w:jc w:val="center"/>
              <w:rPr>
                <w:rFonts w:hint="default" w:ascii="Times New Roman" w:hAnsi="Times New Roman" w:cs="Times New Roman"/>
                <w:color w:val="auto"/>
              </w:rPr>
            </w:pPr>
          </w:p>
        </w:tc>
        <w:tc>
          <w:tcPr>
            <w:tcW w:w="392" w:type="pct"/>
            <w:vMerge w:val="continue"/>
            <w:vAlign w:val="center"/>
          </w:tcPr>
          <w:p w14:paraId="3E7DDCF7">
            <w:pPr>
              <w:jc w:val="center"/>
              <w:rPr>
                <w:rFonts w:hint="default" w:ascii="Times New Roman" w:hAnsi="Times New Roman" w:cs="Times New Roman"/>
                <w:color w:val="auto"/>
              </w:rPr>
            </w:pPr>
          </w:p>
        </w:tc>
        <w:tc>
          <w:tcPr>
            <w:tcW w:w="554" w:type="pct"/>
            <w:vMerge w:val="continue"/>
            <w:vAlign w:val="center"/>
          </w:tcPr>
          <w:p w14:paraId="33B71650">
            <w:pPr>
              <w:jc w:val="center"/>
              <w:rPr>
                <w:rFonts w:hint="default" w:ascii="Times New Roman" w:hAnsi="Times New Roman" w:cs="Times New Roman"/>
                <w:color w:val="auto"/>
              </w:rPr>
            </w:pPr>
          </w:p>
        </w:tc>
        <w:tc>
          <w:tcPr>
            <w:tcW w:w="420" w:type="pct"/>
            <w:vMerge w:val="continue"/>
            <w:vAlign w:val="center"/>
          </w:tcPr>
          <w:p w14:paraId="3B91ED92">
            <w:pPr>
              <w:jc w:val="center"/>
              <w:rPr>
                <w:rFonts w:hint="default" w:ascii="Times New Roman" w:hAnsi="Times New Roman" w:cs="Times New Roman"/>
                <w:color w:val="auto"/>
              </w:rPr>
            </w:pPr>
          </w:p>
        </w:tc>
        <w:tc>
          <w:tcPr>
            <w:tcW w:w="786" w:type="pct"/>
            <w:vAlign w:val="center"/>
          </w:tcPr>
          <w:p w14:paraId="77E99753">
            <w:pPr>
              <w:jc w:val="center"/>
              <w:rPr>
                <w:rFonts w:hint="default" w:ascii="Times New Roman" w:hAnsi="Times New Roman" w:cs="Times New Roman"/>
                <w:color w:val="auto"/>
              </w:rPr>
            </w:pPr>
            <w:r>
              <w:rPr>
                <w:rFonts w:hint="default" w:ascii="Times New Roman" w:hAnsi="Times New Roman" w:cs="Times New Roman"/>
                <w:color w:val="auto"/>
              </w:rPr>
              <w:t>石油类</w:t>
            </w:r>
          </w:p>
        </w:tc>
        <w:tc>
          <w:tcPr>
            <w:tcW w:w="814" w:type="pct"/>
            <w:vAlign w:val="center"/>
          </w:tcPr>
          <w:p w14:paraId="07EFB516">
            <w:pPr>
              <w:jc w:val="center"/>
              <w:rPr>
                <w:rFonts w:hint="default" w:ascii="Times New Roman" w:hAnsi="Times New Roman" w:cs="Times New Roman"/>
                <w:color w:val="auto"/>
              </w:rPr>
            </w:pPr>
            <w:r>
              <w:rPr>
                <w:rFonts w:hint="default" w:ascii="Times New Roman" w:hAnsi="Times New Roman" w:cs="Times New Roman"/>
                <w:color w:val="auto"/>
              </w:rPr>
              <w:t>g/井次-产品</w:t>
            </w:r>
          </w:p>
        </w:tc>
        <w:tc>
          <w:tcPr>
            <w:tcW w:w="547" w:type="pct"/>
            <w:vAlign w:val="center"/>
          </w:tcPr>
          <w:p w14:paraId="4C0D05BF">
            <w:pPr>
              <w:jc w:val="center"/>
              <w:rPr>
                <w:rFonts w:hint="default" w:ascii="Times New Roman" w:hAnsi="Times New Roman" w:cs="Times New Roman"/>
                <w:color w:val="auto"/>
              </w:rPr>
            </w:pPr>
            <w:r>
              <w:rPr>
                <w:rFonts w:hint="default" w:ascii="Times New Roman" w:hAnsi="Times New Roman" w:cs="Times New Roman"/>
                <w:color w:val="auto"/>
              </w:rPr>
              <w:t>17645</w:t>
            </w:r>
          </w:p>
        </w:tc>
        <w:tc>
          <w:tcPr>
            <w:tcW w:w="673" w:type="pct"/>
            <w:vMerge w:val="continue"/>
            <w:vAlign w:val="center"/>
          </w:tcPr>
          <w:p w14:paraId="2184ECCC">
            <w:pPr>
              <w:jc w:val="center"/>
              <w:rPr>
                <w:rFonts w:hint="default" w:ascii="Times New Roman" w:hAnsi="Times New Roman" w:cs="Times New Roman"/>
                <w:color w:val="auto"/>
              </w:rPr>
            </w:pPr>
          </w:p>
        </w:tc>
        <w:tc>
          <w:tcPr>
            <w:tcW w:w="420" w:type="pct"/>
            <w:vAlign w:val="center"/>
          </w:tcPr>
          <w:p w14:paraId="7CEB6245">
            <w:pPr>
              <w:jc w:val="center"/>
              <w:rPr>
                <w:rFonts w:hint="default" w:ascii="Times New Roman" w:hAnsi="Times New Roman" w:cs="Times New Roman"/>
                <w:color w:val="auto"/>
              </w:rPr>
            </w:pPr>
            <w:r>
              <w:rPr>
                <w:rFonts w:hint="default" w:ascii="Times New Roman" w:hAnsi="Times New Roman" w:cs="Times New Roman"/>
                <w:color w:val="auto"/>
              </w:rPr>
              <w:t>0</w:t>
            </w:r>
          </w:p>
        </w:tc>
      </w:tr>
      <w:tr w14:paraId="375D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9"/>
            <w:vAlign w:val="center"/>
          </w:tcPr>
          <w:p w14:paraId="489A4CFE">
            <w:pPr>
              <w:jc w:val="left"/>
              <w:rPr>
                <w:rFonts w:hint="default" w:ascii="Times New Roman" w:hAnsi="Times New Roman" w:cs="Times New Roman"/>
                <w:color w:val="auto"/>
              </w:rPr>
            </w:pPr>
            <w:r>
              <w:rPr>
                <w:rFonts w:hint="default" w:ascii="Times New Roman" w:hAnsi="Times New Roman" w:cs="Times New Roman"/>
                <w:color w:val="auto"/>
              </w:rPr>
              <w:t>注：洗井废水全部用于回注，不外排，故排污系数为0。</w:t>
            </w:r>
          </w:p>
        </w:tc>
      </w:tr>
    </w:tbl>
    <w:p w14:paraId="3ECD4F2B">
      <w:pPr>
        <w:pStyle w:val="33"/>
        <w:bidi w:val="0"/>
        <w:rPr>
          <w:rFonts w:hint="default"/>
          <w:color w:val="auto"/>
        </w:rPr>
      </w:pPr>
      <w:r>
        <w:rPr>
          <w:rFonts w:hint="default"/>
          <w:color w:val="auto"/>
        </w:rPr>
        <w:t>计算结果详见表</w:t>
      </w:r>
      <w:r>
        <w:rPr>
          <w:rFonts w:hint="eastAsia"/>
          <w:color w:val="auto"/>
          <w:lang w:val="en-US" w:eastAsia="zh-CN"/>
        </w:rPr>
        <w:t>3.9-6</w:t>
      </w:r>
      <w:r>
        <w:rPr>
          <w:rFonts w:hint="default"/>
          <w:color w:val="auto"/>
        </w:rPr>
        <w:t>。</w:t>
      </w:r>
      <w:bookmarkStart w:id="175" w:name="_Hlk20135089"/>
    </w:p>
    <w:bookmarkEnd w:id="175"/>
    <w:p w14:paraId="6320CD03">
      <w:pPr>
        <w:pStyle w:val="43"/>
        <w:bidi w:val="0"/>
        <w:rPr>
          <w:rFonts w:hint="default"/>
          <w:color w:val="auto"/>
        </w:rPr>
      </w:pPr>
      <w:r>
        <w:rPr>
          <w:rFonts w:hint="default"/>
          <w:color w:val="auto"/>
        </w:rPr>
        <w:t>表3.</w:t>
      </w:r>
      <w:r>
        <w:rPr>
          <w:rFonts w:hint="eastAsia"/>
          <w:color w:val="auto"/>
          <w:lang w:val="en-US" w:eastAsia="zh-CN"/>
        </w:rPr>
        <w:t xml:space="preserve">9-6 </w:t>
      </w:r>
      <w:r>
        <w:rPr>
          <w:rFonts w:hint="default"/>
          <w:color w:val="auto"/>
        </w:rPr>
        <w:t xml:space="preserve"> 井下作业废水产生量一览表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2451"/>
        <w:gridCol w:w="1952"/>
        <w:gridCol w:w="2071"/>
      </w:tblGrid>
      <w:tr w14:paraId="4BB3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00" w:type="pct"/>
            <w:vAlign w:val="center"/>
          </w:tcPr>
          <w:p w14:paraId="2B73D120">
            <w:pPr>
              <w:rPr>
                <w:rFonts w:hint="default" w:ascii="Times New Roman" w:hAnsi="Times New Roman" w:cs="Times New Roman"/>
                <w:b/>
                <w:bCs/>
                <w:color w:val="auto"/>
              </w:rPr>
            </w:pPr>
            <w:r>
              <w:rPr>
                <w:rFonts w:hint="default" w:ascii="Times New Roman" w:hAnsi="Times New Roman" w:cs="Times New Roman"/>
                <w:b/>
                <w:bCs/>
                <w:color w:val="auto"/>
              </w:rPr>
              <w:t>污染物指标</w:t>
            </w:r>
          </w:p>
        </w:tc>
        <w:tc>
          <w:tcPr>
            <w:tcW w:w="1438" w:type="pct"/>
            <w:vAlign w:val="center"/>
          </w:tcPr>
          <w:p w14:paraId="0F60544D">
            <w:pPr>
              <w:rPr>
                <w:rFonts w:hint="default" w:ascii="Times New Roman" w:hAnsi="Times New Roman" w:cs="Times New Roman"/>
                <w:b/>
                <w:bCs/>
                <w:color w:val="auto"/>
              </w:rPr>
            </w:pPr>
            <w:r>
              <w:rPr>
                <w:rFonts w:hint="default" w:ascii="Times New Roman" w:hAnsi="Times New Roman" w:cs="Times New Roman"/>
                <w:b/>
                <w:bCs/>
                <w:color w:val="auto"/>
              </w:rPr>
              <w:t>产污系数</w:t>
            </w:r>
          </w:p>
        </w:tc>
        <w:tc>
          <w:tcPr>
            <w:tcW w:w="1145" w:type="pct"/>
            <w:vAlign w:val="center"/>
          </w:tcPr>
          <w:p w14:paraId="7F652CD7">
            <w:pPr>
              <w:rPr>
                <w:rFonts w:hint="default" w:ascii="Times New Roman" w:hAnsi="Times New Roman" w:cs="Times New Roman"/>
                <w:b/>
                <w:bCs/>
                <w:color w:val="auto"/>
              </w:rPr>
            </w:pPr>
            <w:r>
              <w:rPr>
                <w:rFonts w:hint="default" w:ascii="Times New Roman" w:hAnsi="Times New Roman" w:cs="Times New Roman"/>
                <w:b/>
                <w:bCs/>
                <w:color w:val="auto"/>
              </w:rPr>
              <w:t>产生量（t/次）</w:t>
            </w:r>
          </w:p>
        </w:tc>
        <w:tc>
          <w:tcPr>
            <w:tcW w:w="1215" w:type="pct"/>
            <w:vAlign w:val="center"/>
          </w:tcPr>
          <w:p w14:paraId="554ABA94">
            <w:pPr>
              <w:rPr>
                <w:rFonts w:hint="default" w:ascii="Times New Roman" w:hAnsi="Times New Roman" w:cs="Times New Roman"/>
                <w:b/>
                <w:bCs/>
                <w:color w:val="auto"/>
              </w:rPr>
            </w:pPr>
            <w:r>
              <w:rPr>
                <w:rFonts w:hint="default" w:ascii="Times New Roman" w:hAnsi="Times New Roman" w:cs="Times New Roman"/>
                <w:b/>
                <w:bCs/>
                <w:color w:val="auto"/>
              </w:rPr>
              <w:t>产生浓度（mg/L）</w:t>
            </w:r>
          </w:p>
        </w:tc>
      </w:tr>
      <w:tr w14:paraId="6319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00" w:type="pct"/>
            <w:vAlign w:val="center"/>
          </w:tcPr>
          <w:p w14:paraId="3ACA673B">
            <w:pPr>
              <w:jc w:val="center"/>
              <w:rPr>
                <w:rFonts w:hint="default" w:ascii="Times New Roman" w:hAnsi="Times New Roman" w:cs="Times New Roman"/>
                <w:color w:val="auto"/>
              </w:rPr>
            </w:pPr>
            <w:r>
              <w:rPr>
                <w:rFonts w:hint="default" w:ascii="Times New Roman" w:hAnsi="Times New Roman" w:cs="Times New Roman"/>
                <w:color w:val="auto"/>
              </w:rPr>
              <w:t>工业废水量</w:t>
            </w:r>
          </w:p>
        </w:tc>
        <w:tc>
          <w:tcPr>
            <w:tcW w:w="1438" w:type="pct"/>
            <w:vAlign w:val="center"/>
          </w:tcPr>
          <w:p w14:paraId="1E401FB0">
            <w:pPr>
              <w:jc w:val="center"/>
              <w:rPr>
                <w:rFonts w:hint="default" w:ascii="Times New Roman" w:hAnsi="Times New Roman" w:cs="Times New Roman"/>
                <w:color w:val="auto"/>
              </w:rPr>
            </w:pPr>
            <w:r>
              <w:rPr>
                <w:rFonts w:hint="default" w:ascii="Times New Roman" w:hAnsi="Times New Roman" w:cs="Times New Roman"/>
                <w:color w:val="auto"/>
              </w:rPr>
              <w:t>76.0t/井次－产品</w:t>
            </w:r>
          </w:p>
        </w:tc>
        <w:tc>
          <w:tcPr>
            <w:tcW w:w="1145" w:type="pct"/>
            <w:vAlign w:val="center"/>
          </w:tcPr>
          <w:p w14:paraId="5DD935B9">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760</w:t>
            </w:r>
          </w:p>
        </w:tc>
        <w:tc>
          <w:tcPr>
            <w:tcW w:w="1215" w:type="pct"/>
            <w:vAlign w:val="center"/>
          </w:tcPr>
          <w:p w14:paraId="41E385C0">
            <w:pPr>
              <w:jc w:val="center"/>
              <w:rPr>
                <w:rFonts w:hint="default" w:ascii="Times New Roman" w:hAnsi="Times New Roman" w:cs="Times New Roman"/>
                <w:color w:val="auto"/>
              </w:rPr>
            </w:pPr>
            <w:r>
              <w:rPr>
                <w:rFonts w:hint="default" w:ascii="Times New Roman" w:hAnsi="Times New Roman" w:cs="Times New Roman"/>
                <w:color w:val="auto"/>
              </w:rPr>
              <w:t>/</w:t>
            </w:r>
          </w:p>
        </w:tc>
      </w:tr>
      <w:tr w14:paraId="0F20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00" w:type="pct"/>
            <w:vAlign w:val="center"/>
          </w:tcPr>
          <w:p w14:paraId="0973DCA9">
            <w:pPr>
              <w:jc w:val="center"/>
              <w:rPr>
                <w:rFonts w:hint="default" w:ascii="Times New Roman" w:hAnsi="Times New Roman" w:cs="Times New Roman"/>
                <w:color w:val="auto"/>
              </w:rPr>
            </w:pPr>
            <w:r>
              <w:rPr>
                <w:rFonts w:hint="default" w:ascii="Times New Roman" w:hAnsi="Times New Roman" w:cs="Times New Roman"/>
                <w:color w:val="auto"/>
              </w:rPr>
              <w:t>化学需氧量</w:t>
            </w:r>
          </w:p>
        </w:tc>
        <w:tc>
          <w:tcPr>
            <w:tcW w:w="1438" w:type="pct"/>
            <w:vAlign w:val="center"/>
          </w:tcPr>
          <w:p w14:paraId="690246D8">
            <w:pPr>
              <w:jc w:val="center"/>
              <w:rPr>
                <w:rFonts w:hint="default" w:ascii="Times New Roman" w:hAnsi="Times New Roman" w:cs="Times New Roman"/>
                <w:color w:val="auto"/>
              </w:rPr>
            </w:pPr>
            <w:r>
              <w:rPr>
                <w:rFonts w:hint="default" w:ascii="Times New Roman" w:hAnsi="Times New Roman" w:cs="Times New Roman"/>
                <w:color w:val="auto"/>
              </w:rPr>
              <w:t>104525g/井次－产品</w:t>
            </w:r>
          </w:p>
        </w:tc>
        <w:tc>
          <w:tcPr>
            <w:tcW w:w="1145" w:type="pct"/>
            <w:vAlign w:val="center"/>
          </w:tcPr>
          <w:p w14:paraId="5FC7C653">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1.05</w:t>
            </w:r>
          </w:p>
        </w:tc>
        <w:tc>
          <w:tcPr>
            <w:tcW w:w="1215" w:type="pct"/>
            <w:vAlign w:val="center"/>
          </w:tcPr>
          <w:p w14:paraId="6B99352A">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1381.58</w:t>
            </w:r>
          </w:p>
        </w:tc>
      </w:tr>
      <w:tr w14:paraId="23F2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00" w:type="pct"/>
            <w:vAlign w:val="center"/>
          </w:tcPr>
          <w:p w14:paraId="2C742BFE">
            <w:pPr>
              <w:jc w:val="center"/>
              <w:rPr>
                <w:rFonts w:hint="default" w:ascii="Times New Roman" w:hAnsi="Times New Roman" w:cs="Times New Roman"/>
                <w:color w:val="auto"/>
              </w:rPr>
            </w:pPr>
            <w:r>
              <w:rPr>
                <w:rFonts w:hint="default" w:ascii="Times New Roman" w:hAnsi="Times New Roman" w:cs="Times New Roman"/>
                <w:color w:val="auto"/>
              </w:rPr>
              <w:t>石油类</w:t>
            </w:r>
          </w:p>
        </w:tc>
        <w:tc>
          <w:tcPr>
            <w:tcW w:w="1438" w:type="pct"/>
            <w:vAlign w:val="center"/>
          </w:tcPr>
          <w:p w14:paraId="41DE4079">
            <w:pPr>
              <w:jc w:val="center"/>
              <w:rPr>
                <w:rFonts w:hint="default" w:ascii="Times New Roman" w:hAnsi="Times New Roman" w:cs="Times New Roman"/>
                <w:color w:val="auto"/>
              </w:rPr>
            </w:pPr>
            <w:r>
              <w:rPr>
                <w:rFonts w:hint="default" w:ascii="Times New Roman" w:hAnsi="Times New Roman" w:cs="Times New Roman"/>
                <w:color w:val="auto"/>
              </w:rPr>
              <w:t>17645g/井次-产品</w:t>
            </w:r>
          </w:p>
        </w:tc>
        <w:tc>
          <w:tcPr>
            <w:tcW w:w="1145" w:type="pct"/>
            <w:vAlign w:val="center"/>
          </w:tcPr>
          <w:p w14:paraId="3ABA9A0D">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0.18</w:t>
            </w:r>
          </w:p>
        </w:tc>
        <w:tc>
          <w:tcPr>
            <w:tcW w:w="1215" w:type="pct"/>
            <w:vAlign w:val="center"/>
          </w:tcPr>
          <w:p w14:paraId="1A1E04A5">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236.84</w:t>
            </w:r>
          </w:p>
        </w:tc>
      </w:tr>
    </w:tbl>
    <w:p w14:paraId="17418B35">
      <w:pPr>
        <w:pStyle w:val="33"/>
        <w:bidi w:val="0"/>
        <w:rPr>
          <w:rFonts w:hint="default"/>
          <w:color w:val="auto"/>
        </w:rPr>
      </w:pPr>
      <w:r>
        <w:rPr>
          <w:rFonts w:hint="eastAsia"/>
          <w:color w:val="auto"/>
          <w:lang w:eastAsia="zh-CN"/>
        </w:rPr>
        <w:t>根据</w:t>
      </w:r>
      <w:r>
        <w:rPr>
          <w:rFonts w:hint="default"/>
          <w:color w:val="auto"/>
        </w:rPr>
        <w:t>《排放源统计调查产排污核算方法和系数手册》（2021.6.11）</w:t>
      </w:r>
      <w:r>
        <w:rPr>
          <w:rFonts w:hint="eastAsia" w:ascii="宋体" w:hAnsi="宋体" w:eastAsia="宋体" w:cs="宋体"/>
          <w:color w:val="auto"/>
        </w:rPr>
        <w:t>“</w:t>
      </w:r>
      <w:r>
        <w:rPr>
          <w:rFonts w:hint="default"/>
          <w:color w:val="auto"/>
        </w:rPr>
        <w:t>1120石油和天然气开采专业及辅助性活动行业系数手册</w:t>
      </w:r>
      <w:r>
        <w:rPr>
          <w:rFonts w:hint="eastAsia" w:ascii="宋体" w:hAnsi="宋体" w:eastAsia="宋体" w:cs="宋体"/>
          <w:color w:val="auto"/>
        </w:rPr>
        <w:t>”</w:t>
      </w:r>
      <w:r>
        <w:rPr>
          <w:rFonts w:hint="default"/>
          <w:color w:val="auto"/>
        </w:rPr>
        <w:t>产污系数核算详见表</w:t>
      </w:r>
      <w:r>
        <w:rPr>
          <w:rFonts w:hint="eastAsia"/>
          <w:color w:val="auto"/>
          <w:lang w:val="en-US" w:eastAsia="zh-CN"/>
        </w:rPr>
        <w:t>3.9-7</w:t>
      </w:r>
      <w:r>
        <w:rPr>
          <w:rFonts w:hint="default"/>
          <w:color w:val="auto"/>
        </w:rPr>
        <w:t>。</w:t>
      </w:r>
    </w:p>
    <w:p w14:paraId="7B48AB8F">
      <w:pPr>
        <w:pStyle w:val="43"/>
        <w:bidi w:val="0"/>
        <w:rPr>
          <w:rFonts w:hint="default" w:ascii="Times New Roman" w:hAnsi="Times New Roman" w:cs="Times New Roman"/>
          <w:b/>
          <w:color w:val="auto"/>
          <w:szCs w:val="15"/>
        </w:rPr>
      </w:pPr>
      <w:r>
        <w:rPr>
          <w:rFonts w:hint="default"/>
          <w:color w:val="auto"/>
        </w:rPr>
        <w:t>表</w:t>
      </w:r>
      <w:r>
        <w:rPr>
          <w:rFonts w:hint="eastAsia"/>
          <w:color w:val="auto"/>
          <w:lang w:val="en-US" w:eastAsia="zh-CN"/>
        </w:rPr>
        <w:t xml:space="preserve">3.9-7 </w:t>
      </w:r>
      <w:r>
        <w:rPr>
          <w:rFonts w:hint="default"/>
          <w:color w:val="auto"/>
        </w:rPr>
        <w:t xml:space="preserve"> 井下作业废液产生量一览表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3"/>
        <w:gridCol w:w="977"/>
        <w:gridCol w:w="1290"/>
        <w:gridCol w:w="1479"/>
        <w:gridCol w:w="1061"/>
        <w:gridCol w:w="1245"/>
        <w:gridCol w:w="804"/>
        <w:gridCol w:w="814"/>
      </w:tblGrid>
      <w:tr w14:paraId="499F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08" w:type="pct"/>
            <w:vAlign w:val="center"/>
          </w:tcPr>
          <w:p w14:paraId="74C28103">
            <w:pPr>
              <w:jc w:val="center"/>
              <w:rPr>
                <w:rFonts w:hint="default" w:ascii="Times New Roman" w:hAnsi="Times New Roman" w:cs="Times New Roman"/>
                <w:b/>
                <w:bCs/>
                <w:color w:val="auto"/>
              </w:rPr>
            </w:pPr>
            <w:r>
              <w:rPr>
                <w:rFonts w:hint="default" w:ascii="Times New Roman" w:hAnsi="Times New Roman" w:cs="Times New Roman"/>
                <w:b/>
                <w:bCs/>
                <w:color w:val="auto"/>
              </w:rPr>
              <w:t>产品名称</w:t>
            </w:r>
          </w:p>
        </w:tc>
        <w:tc>
          <w:tcPr>
            <w:tcW w:w="584" w:type="pct"/>
            <w:vAlign w:val="center"/>
          </w:tcPr>
          <w:p w14:paraId="65A47F7B">
            <w:pPr>
              <w:jc w:val="center"/>
              <w:rPr>
                <w:rFonts w:hint="default" w:ascii="Times New Roman" w:hAnsi="Times New Roman" w:cs="Times New Roman"/>
                <w:b/>
                <w:bCs/>
                <w:color w:val="auto"/>
              </w:rPr>
            </w:pPr>
            <w:r>
              <w:rPr>
                <w:rFonts w:hint="default" w:ascii="Times New Roman" w:hAnsi="Times New Roman" w:cs="Times New Roman"/>
                <w:b/>
                <w:bCs/>
                <w:color w:val="auto"/>
              </w:rPr>
              <w:t>原料名称</w:t>
            </w:r>
          </w:p>
        </w:tc>
        <w:tc>
          <w:tcPr>
            <w:tcW w:w="772" w:type="pct"/>
            <w:vAlign w:val="center"/>
          </w:tcPr>
          <w:p w14:paraId="7288199C">
            <w:pPr>
              <w:jc w:val="center"/>
              <w:rPr>
                <w:rFonts w:hint="default" w:ascii="Times New Roman" w:hAnsi="Times New Roman" w:cs="Times New Roman"/>
                <w:b/>
                <w:bCs/>
                <w:color w:val="auto"/>
              </w:rPr>
            </w:pPr>
            <w:r>
              <w:rPr>
                <w:rFonts w:hint="default" w:ascii="Times New Roman" w:hAnsi="Times New Roman" w:cs="Times New Roman"/>
                <w:b/>
                <w:bCs/>
                <w:color w:val="auto"/>
              </w:rPr>
              <w:t>工艺名称</w:t>
            </w:r>
          </w:p>
        </w:tc>
        <w:tc>
          <w:tcPr>
            <w:tcW w:w="885" w:type="pct"/>
            <w:vAlign w:val="center"/>
          </w:tcPr>
          <w:p w14:paraId="151CD62E">
            <w:pPr>
              <w:jc w:val="center"/>
              <w:rPr>
                <w:rFonts w:hint="default" w:ascii="Times New Roman" w:hAnsi="Times New Roman" w:cs="Times New Roman"/>
                <w:b/>
                <w:bCs/>
                <w:color w:val="auto"/>
              </w:rPr>
            </w:pPr>
            <w:r>
              <w:rPr>
                <w:rFonts w:hint="default" w:ascii="Times New Roman" w:hAnsi="Times New Roman" w:cs="Times New Roman"/>
                <w:b/>
                <w:bCs/>
                <w:color w:val="auto"/>
              </w:rPr>
              <w:t>污染物指标项</w:t>
            </w:r>
          </w:p>
        </w:tc>
        <w:tc>
          <w:tcPr>
            <w:tcW w:w="635" w:type="pct"/>
            <w:vAlign w:val="center"/>
          </w:tcPr>
          <w:p w14:paraId="2F326B4A">
            <w:pPr>
              <w:jc w:val="center"/>
              <w:rPr>
                <w:rFonts w:hint="default" w:ascii="Times New Roman" w:hAnsi="Times New Roman" w:cs="Times New Roman"/>
                <w:b/>
                <w:bCs/>
                <w:color w:val="auto"/>
              </w:rPr>
            </w:pPr>
            <w:r>
              <w:rPr>
                <w:rFonts w:hint="default" w:ascii="Times New Roman" w:hAnsi="Times New Roman" w:cs="Times New Roman"/>
                <w:b/>
                <w:bCs/>
                <w:color w:val="auto"/>
              </w:rPr>
              <w:t>产物系数</w:t>
            </w:r>
          </w:p>
        </w:tc>
        <w:tc>
          <w:tcPr>
            <w:tcW w:w="745" w:type="pct"/>
            <w:vAlign w:val="center"/>
          </w:tcPr>
          <w:p w14:paraId="348F9430">
            <w:pPr>
              <w:jc w:val="center"/>
              <w:rPr>
                <w:rFonts w:hint="default" w:ascii="Times New Roman" w:hAnsi="Times New Roman" w:cs="Times New Roman"/>
                <w:b/>
                <w:bCs/>
                <w:color w:val="auto"/>
              </w:rPr>
            </w:pPr>
            <w:r>
              <w:rPr>
                <w:rFonts w:hint="default" w:ascii="Times New Roman" w:hAnsi="Times New Roman" w:cs="Times New Roman"/>
                <w:b/>
                <w:bCs/>
                <w:color w:val="auto"/>
              </w:rPr>
              <w:t>末端治理技术</w:t>
            </w:r>
          </w:p>
        </w:tc>
        <w:tc>
          <w:tcPr>
            <w:tcW w:w="481" w:type="pct"/>
            <w:vAlign w:val="center"/>
          </w:tcPr>
          <w:p w14:paraId="365AAFC1">
            <w:pPr>
              <w:jc w:val="center"/>
              <w:rPr>
                <w:rFonts w:hint="default" w:ascii="Times New Roman" w:hAnsi="Times New Roman" w:cs="Times New Roman"/>
                <w:b/>
                <w:bCs/>
                <w:color w:val="auto"/>
              </w:rPr>
            </w:pPr>
            <w:r>
              <w:rPr>
                <w:rFonts w:hint="default" w:ascii="Times New Roman" w:hAnsi="Times New Roman" w:cs="Times New Roman"/>
                <w:b/>
                <w:bCs/>
                <w:color w:val="auto"/>
              </w:rPr>
              <w:t>产生量t</w:t>
            </w:r>
          </w:p>
        </w:tc>
        <w:tc>
          <w:tcPr>
            <w:tcW w:w="487" w:type="pct"/>
            <w:vAlign w:val="center"/>
          </w:tcPr>
          <w:p w14:paraId="2DBD01A8">
            <w:pPr>
              <w:jc w:val="center"/>
              <w:rPr>
                <w:rFonts w:hint="default" w:ascii="Times New Roman" w:hAnsi="Times New Roman" w:cs="Times New Roman"/>
                <w:b/>
                <w:bCs/>
                <w:color w:val="auto"/>
              </w:rPr>
            </w:pPr>
            <w:r>
              <w:rPr>
                <w:rFonts w:hint="default" w:ascii="Times New Roman" w:hAnsi="Times New Roman" w:cs="Times New Roman"/>
                <w:b/>
                <w:bCs/>
                <w:color w:val="auto"/>
              </w:rPr>
              <w:t>排放量</w:t>
            </w:r>
          </w:p>
        </w:tc>
      </w:tr>
      <w:tr w14:paraId="2C5A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08" w:type="pct"/>
            <w:vAlign w:val="center"/>
          </w:tcPr>
          <w:p w14:paraId="24AD6027">
            <w:pPr>
              <w:jc w:val="center"/>
              <w:rPr>
                <w:rFonts w:hint="default" w:ascii="Times New Roman" w:hAnsi="Times New Roman" w:cs="Times New Roman"/>
                <w:color w:val="auto"/>
              </w:rPr>
            </w:pPr>
            <w:r>
              <w:rPr>
                <w:rFonts w:hint="default" w:ascii="Times New Roman" w:hAnsi="Times New Roman" w:cs="Times New Roman"/>
                <w:color w:val="auto"/>
              </w:rPr>
              <w:t>井下作业</w:t>
            </w:r>
          </w:p>
        </w:tc>
        <w:tc>
          <w:tcPr>
            <w:tcW w:w="584" w:type="pct"/>
            <w:shd w:val="clear" w:color="auto" w:fill="auto"/>
            <w:vAlign w:val="center"/>
          </w:tcPr>
          <w:p w14:paraId="36A4F779">
            <w:pPr>
              <w:pStyle w:val="63"/>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压裂液</w:t>
            </w:r>
          </w:p>
        </w:tc>
        <w:tc>
          <w:tcPr>
            <w:tcW w:w="772" w:type="pct"/>
            <w:shd w:val="clear" w:color="auto" w:fill="auto"/>
            <w:vAlign w:val="center"/>
          </w:tcPr>
          <w:p w14:paraId="6C176D16">
            <w:pPr>
              <w:pStyle w:val="63"/>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非</w:t>
            </w:r>
            <w:r>
              <w:rPr>
                <w:rFonts w:hint="default" w:ascii="Times New Roman" w:hAnsi="Times New Roman" w:eastAsia="宋体" w:cs="Times New Roman"/>
                <w:color w:val="auto"/>
                <w:sz w:val="21"/>
                <w:szCs w:val="21"/>
              </w:rPr>
              <w:t>低渗透油井加砂压裂</w:t>
            </w:r>
          </w:p>
        </w:tc>
        <w:tc>
          <w:tcPr>
            <w:tcW w:w="885" w:type="pct"/>
            <w:shd w:val="clear" w:color="auto" w:fill="auto"/>
            <w:vAlign w:val="center"/>
          </w:tcPr>
          <w:p w14:paraId="1991860B">
            <w:pPr>
              <w:pStyle w:val="63"/>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废压裂液（压裂返排液）</w:t>
            </w:r>
          </w:p>
        </w:tc>
        <w:tc>
          <w:tcPr>
            <w:tcW w:w="635" w:type="pct"/>
            <w:shd w:val="clear" w:color="auto" w:fill="auto"/>
            <w:vAlign w:val="center"/>
          </w:tcPr>
          <w:p w14:paraId="782DEE29">
            <w:pPr>
              <w:pStyle w:val="63"/>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119.94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/井</w:t>
            </w:r>
          </w:p>
        </w:tc>
        <w:tc>
          <w:tcPr>
            <w:tcW w:w="745" w:type="pct"/>
            <w:shd w:val="clear" w:color="auto" w:fill="auto"/>
            <w:vAlign w:val="center"/>
          </w:tcPr>
          <w:p w14:paraId="3DDF08E4">
            <w:pPr>
              <w:pStyle w:val="63"/>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无害化处理/处置/利用</w:t>
            </w:r>
          </w:p>
        </w:tc>
        <w:tc>
          <w:tcPr>
            <w:tcW w:w="481" w:type="pct"/>
            <w:shd w:val="clear" w:color="auto" w:fill="auto"/>
            <w:vAlign w:val="center"/>
          </w:tcPr>
          <w:p w14:paraId="0F85C199">
            <w:pPr>
              <w:pStyle w:val="63"/>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1199.4</w:t>
            </w:r>
          </w:p>
        </w:tc>
        <w:tc>
          <w:tcPr>
            <w:tcW w:w="487" w:type="pct"/>
            <w:shd w:val="clear" w:color="auto" w:fill="auto"/>
            <w:vAlign w:val="center"/>
          </w:tcPr>
          <w:p w14:paraId="4D9683F0">
            <w:pPr>
              <w:pStyle w:val="63"/>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p>
        </w:tc>
      </w:tr>
    </w:tbl>
    <w:p w14:paraId="600080FF">
      <w:pPr>
        <w:pStyle w:val="33"/>
        <w:bidi w:val="0"/>
        <w:rPr>
          <w:rFonts w:hint="eastAsia"/>
          <w:color w:val="auto"/>
          <w:lang w:val="en-US" w:eastAsia="zh-CN"/>
        </w:rPr>
      </w:pPr>
      <w:r>
        <w:rPr>
          <w:rFonts w:hint="default"/>
          <w:color w:val="auto"/>
        </w:rPr>
        <w:t>本</w:t>
      </w:r>
      <w:r>
        <w:rPr>
          <w:rFonts w:hint="eastAsia"/>
          <w:color w:val="auto"/>
          <w:lang w:val="en-US" w:eastAsia="zh-CN"/>
        </w:rPr>
        <w:t>工程</w:t>
      </w:r>
      <w:r>
        <w:rPr>
          <w:rFonts w:hint="default"/>
          <w:color w:val="auto"/>
        </w:rPr>
        <w:t>产生</w:t>
      </w:r>
      <w:r>
        <w:rPr>
          <w:rFonts w:hint="eastAsia"/>
          <w:color w:val="auto"/>
          <w:lang w:val="en-US" w:eastAsia="zh-CN"/>
        </w:rPr>
        <w:t>洗井液、</w:t>
      </w:r>
      <w:r>
        <w:rPr>
          <w:rFonts w:hint="default"/>
          <w:color w:val="auto"/>
        </w:rPr>
        <w:t>压裂返排液</w:t>
      </w:r>
      <w:r>
        <w:rPr>
          <w:rFonts w:hint="eastAsia"/>
          <w:color w:val="auto"/>
          <w:lang w:val="en-US" w:eastAsia="zh-CN"/>
        </w:rPr>
        <w:t>共1959.4m</w:t>
      </w:r>
      <w:r>
        <w:rPr>
          <w:rFonts w:hint="eastAsia"/>
          <w:color w:val="auto"/>
          <w:vertAlign w:val="superscript"/>
          <w:lang w:val="en-US" w:eastAsia="zh-CN"/>
        </w:rPr>
        <w:t>3</w:t>
      </w:r>
      <w:r>
        <w:rPr>
          <w:rFonts w:hint="eastAsia"/>
          <w:color w:val="auto"/>
          <w:lang w:val="en-US" w:eastAsia="zh-CN"/>
        </w:rPr>
        <w:t>，</w:t>
      </w:r>
      <w:r>
        <w:rPr>
          <w:rFonts w:hint="default"/>
          <w:color w:val="auto"/>
        </w:rPr>
        <w:t>通过罐车运至</w:t>
      </w:r>
      <w:r>
        <w:rPr>
          <w:rFonts w:hint="eastAsia"/>
          <w:color w:val="auto"/>
          <w:lang w:val="en-US" w:eastAsia="zh-CN"/>
        </w:rPr>
        <w:t>百联站采出水</w:t>
      </w:r>
      <w:r>
        <w:rPr>
          <w:rFonts w:hint="default"/>
          <w:color w:val="auto"/>
        </w:rPr>
        <w:t>处理系统处理，满足《碎屑岩油藏注水水质指标技术要求及分析方法》（SY/T5329-2022）标准限值后回注油藏。</w:t>
      </w:r>
    </w:p>
    <w:p w14:paraId="1206E6E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（2）采出水</w:t>
      </w:r>
    </w:p>
    <w:p w14:paraId="33B456C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default" w:ascii="Times New Roman" w:hAnsi="Times New Roman" w:eastAsia="宋体" w:cstheme="minorBidi"/>
          <w:color w:val="auto"/>
          <w:kern w:val="2"/>
          <w:sz w:val="24"/>
          <w:szCs w:val="24"/>
          <w:lang w:val="en-US" w:eastAsia="zh-CN" w:bidi="ar-SA"/>
        </w:rPr>
        <w:t>根据开发方案，本</w:t>
      </w:r>
      <w:r>
        <w:rPr>
          <w:rFonts w:hint="eastAsia" w:ascii="Times New Roman" w:hAnsi="Times New Roman" w:eastAsia="宋体" w:cstheme="minorBidi"/>
          <w:color w:val="auto"/>
          <w:kern w:val="2"/>
          <w:sz w:val="24"/>
          <w:szCs w:val="24"/>
          <w:lang w:val="en-US" w:eastAsia="zh-CN" w:bidi="ar-SA"/>
        </w:rPr>
        <w:t>工程10</w:t>
      </w:r>
      <w:r>
        <w:rPr>
          <w:rFonts w:hint="default" w:ascii="Times New Roman" w:hAnsi="Times New Roman" w:eastAsia="宋体" w:cstheme="minorBidi"/>
          <w:color w:val="auto"/>
          <w:kern w:val="2"/>
          <w:sz w:val="24"/>
          <w:szCs w:val="24"/>
          <w:lang w:val="en-US" w:eastAsia="zh-CN" w:bidi="ar-SA"/>
        </w:rPr>
        <w:t>口</w:t>
      </w:r>
      <w:r>
        <w:rPr>
          <w:rFonts w:hint="eastAsia" w:ascii="Times New Roman" w:hAnsi="Times New Roman" w:eastAsia="宋体" w:cstheme="minorBidi"/>
          <w:color w:val="auto"/>
          <w:kern w:val="2"/>
          <w:sz w:val="24"/>
          <w:szCs w:val="24"/>
          <w:lang w:val="en-US" w:eastAsia="zh-CN" w:bidi="ar-SA"/>
        </w:rPr>
        <w:t>转产能</w:t>
      </w:r>
      <w:r>
        <w:rPr>
          <w:rFonts w:hint="default" w:ascii="Times New Roman" w:hAnsi="Times New Roman" w:eastAsia="宋体" w:cstheme="minorBidi"/>
          <w:color w:val="auto"/>
          <w:kern w:val="2"/>
          <w:sz w:val="24"/>
          <w:szCs w:val="24"/>
          <w:lang w:val="en-US" w:eastAsia="zh-CN" w:bidi="ar-SA"/>
        </w:rPr>
        <w:t>井采出液</w:t>
      </w:r>
      <w:r>
        <w:rPr>
          <w:rFonts w:hint="eastAsia" w:ascii="Times New Roman" w:hAnsi="Times New Roman" w:eastAsia="宋体" w:cstheme="minorBidi"/>
          <w:color w:val="auto"/>
          <w:kern w:val="2"/>
          <w:sz w:val="24"/>
          <w:szCs w:val="24"/>
          <w:lang w:val="en-US" w:eastAsia="zh-CN" w:bidi="ar-SA"/>
        </w:rPr>
        <w:t>最终全部</w:t>
      </w:r>
      <w:r>
        <w:rPr>
          <w:rFonts w:hint="default" w:ascii="Times New Roman" w:hAnsi="Times New Roman" w:eastAsia="宋体" w:cstheme="minorBidi"/>
          <w:color w:val="auto"/>
          <w:kern w:val="2"/>
          <w:sz w:val="24"/>
          <w:szCs w:val="24"/>
          <w:lang w:val="en-US" w:eastAsia="zh-CN" w:bidi="ar-SA"/>
        </w:rPr>
        <w:t>进入</w:t>
      </w:r>
      <w:r>
        <w:rPr>
          <w:rFonts w:hint="eastAsia" w:ascii="Times New Roman" w:hAnsi="Times New Roman" w:eastAsia="宋体" w:cstheme="minorBidi"/>
          <w:color w:val="auto"/>
          <w:kern w:val="2"/>
          <w:sz w:val="24"/>
          <w:szCs w:val="24"/>
          <w:lang w:val="en-US" w:eastAsia="zh-CN" w:bidi="ar-SA"/>
        </w:rPr>
        <w:t>百联站原油处理系统</w:t>
      </w:r>
      <w:r>
        <w:rPr>
          <w:rFonts w:hint="default" w:ascii="Times New Roman" w:hAnsi="Times New Roman" w:eastAsia="宋体" w:cstheme="minorBidi"/>
          <w:color w:val="auto"/>
          <w:kern w:val="2"/>
          <w:sz w:val="24"/>
          <w:szCs w:val="24"/>
          <w:lang w:val="en-US" w:eastAsia="zh-CN" w:bidi="ar-SA"/>
        </w:rPr>
        <w:t>处理，</w:t>
      </w:r>
      <w:r>
        <w:rPr>
          <w:rFonts w:hint="eastAsia" w:ascii="Times New Roman" w:hAnsi="Times New Roman" w:eastAsia="宋体" w:cstheme="minorBidi"/>
          <w:color w:val="auto"/>
          <w:kern w:val="2"/>
          <w:sz w:val="24"/>
          <w:szCs w:val="24"/>
          <w:lang w:val="en-US" w:eastAsia="zh-CN" w:bidi="ar-SA"/>
        </w:rPr>
        <w:t>10</w:t>
      </w:r>
      <w:r>
        <w:rPr>
          <w:rFonts w:hint="default" w:ascii="Times New Roman" w:hAnsi="Times New Roman" w:eastAsia="宋体" w:cstheme="minorBidi"/>
          <w:color w:val="auto"/>
          <w:kern w:val="2"/>
          <w:sz w:val="24"/>
          <w:szCs w:val="24"/>
          <w:lang w:val="en-US" w:eastAsia="zh-CN" w:bidi="ar-SA"/>
        </w:rPr>
        <w:t>口井采出水最大产生量为</w:t>
      </w:r>
      <w:r>
        <w:rPr>
          <w:rFonts w:hint="eastAsia" w:cstheme="minorBidi"/>
          <w:color w:val="auto"/>
          <w:kern w:val="2"/>
          <w:sz w:val="24"/>
          <w:szCs w:val="24"/>
          <w:lang w:val="en-US" w:eastAsia="zh-CN" w:bidi="ar-SA"/>
        </w:rPr>
        <w:t>108405</w:t>
      </w:r>
      <w:r>
        <w:rPr>
          <w:rFonts w:hint="default" w:ascii="Times New Roman" w:hAnsi="Times New Roman" w:eastAsia="宋体" w:cstheme="minorBidi"/>
          <w:color w:val="auto"/>
          <w:kern w:val="2"/>
          <w:sz w:val="24"/>
          <w:szCs w:val="24"/>
          <w:lang w:val="en-US" w:eastAsia="zh-CN" w:bidi="ar-SA"/>
        </w:rPr>
        <w:t>m</w:t>
      </w:r>
      <w:r>
        <w:rPr>
          <w:rFonts w:hint="default" w:ascii="Times New Roman" w:hAnsi="Times New Roman" w:eastAsia="宋体" w:cstheme="minorBidi"/>
          <w:color w:val="auto"/>
          <w:kern w:val="2"/>
          <w:sz w:val="24"/>
          <w:szCs w:val="24"/>
          <w:vertAlign w:val="superscript"/>
          <w:lang w:val="en-US" w:eastAsia="zh-CN" w:bidi="ar-SA"/>
        </w:rPr>
        <w:t>3</w:t>
      </w:r>
      <w:r>
        <w:rPr>
          <w:rFonts w:hint="default" w:ascii="Times New Roman" w:hAnsi="Times New Roman" w:eastAsia="宋体" w:cstheme="minorBidi"/>
          <w:color w:val="auto"/>
          <w:kern w:val="2"/>
          <w:sz w:val="24"/>
          <w:szCs w:val="24"/>
          <w:lang w:val="en-US" w:eastAsia="zh-CN" w:bidi="ar-SA"/>
        </w:rPr>
        <w:t>/a（</w:t>
      </w:r>
      <w:r>
        <w:rPr>
          <w:rFonts w:hint="eastAsia" w:ascii="Times New Roman" w:hAnsi="Times New Roman" w:eastAsia="宋体" w:cstheme="minorBidi"/>
          <w:color w:val="auto"/>
          <w:kern w:val="2"/>
          <w:sz w:val="24"/>
          <w:szCs w:val="24"/>
          <w:lang w:val="en-US" w:eastAsia="zh-CN" w:bidi="ar-SA"/>
        </w:rPr>
        <w:t>328.5</w:t>
      </w:r>
      <w:r>
        <w:rPr>
          <w:rFonts w:hint="default" w:ascii="Times New Roman" w:hAnsi="Times New Roman" w:eastAsia="宋体" w:cstheme="minorBidi"/>
          <w:color w:val="auto"/>
          <w:kern w:val="2"/>
          <w:sz w:val="24"/>
          <w:szCs w:val="24"/>
          <w:lang w:val="en-US" w:eastAsia="zh-CN" w:bidi="ar-SA"/>
        </w:rPr>
        <w:t>m</w:t>
      </w:r>
      <w:r>
        <w:rPr>
          <w:rFonts w:hint="default" w:ascii="Times New Roman" w:hAnsi="Times New Roman" w:eastAsia="宋体" w:cstheme="minorBidi"/>
          <w:color w:val="auto"/>
          <w:kern w:val="2"/>
          <w:sz w:val="24"/>
          <w:szCs w:val="24"/>
          <w:vertAlign w:val="superscript"/>
          <w:lang w:val="en-US" w:eastAsia="zh-CN" w:bidi="ar-SA"/>
        </w:rPr>
        <w:t>3</w:t>
      </w:r>
      <w:r>
        <w:rPr>
          <w:rFonts w:hint="default" w:ascii="Times New Roman" w:hAnsi="Times New Roman" w:eastAsia="宋体" w:cstheme="minorBidi"/>
          <w:color w:val="auto"/>
          <w:kern w:val="2"/>
          <w:sz w:val="24"/>
          <w:szCs w:val="24"/>
          <w:lang w:val="en-US" w:eastAsia="zh-CN" w:bidi="ar-SA"/>
        </w:rPr>
        <w:t>/d），依托</w:t>
      </w:r>
      <w:r>
        <w:rPr>
          <w:rFonts w:hint="eastAsia" w:ascii="Times New Roman" w:hAnsi="Times New Roman" w:eastAsia="宋体" w:cstheme="minorBidi"/>
          <w:color w:val="auto"/>
          <w:kern w:val="2"/>
          <w:sz w:val="24"/>
          <w:szCs w:val="24"/>
          <w:lang w:val="en-US" w:eastAsia="zh-CN" w:bidi="ar-SA"/>
        </w:rPr>
        <w:t>百联站采出水</w:t>
      </w:r>
      <w:r>
        <w:rPr>
          <w:rFonts w:hint="default" w:ascii="Times New Roman" w:hAnsi="Times New Roman" w:eastAsia="宋体" w:cstheme="minorBidi"/>
          <w:color w:val="auto"/>
          <w:kern w:val="2"/>
          <w:sz w:val="24"/>
          <w:szCs w:val="24"/>
          <w:lang w:val="en-US" w:eastAsia="zh-CN" w:bidi="ar-SA"/>
        </w:rPr>
        <w:t>处理系统处理，处理达到《碎屑岩油藏注水水质指标技术要求及分析方法》(SY/T5329-2022)标准后回注，不外排。</w:t>
      </w:r>
    </w:p>
    <w:p w14:paraId="3EBCB1B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3、噪声</w:t>
      </w:r>
    </w:p>
    <w:p w14:paraId="423A9F7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运营期噪声源主要为井场、井下作业噪声及巡检车辆行驶噪声，噪声排放情况见表3.9-7。</w:t>
      </w:r>
    </w:p>
    <w:p w14:paraId="0703BF04">
      <w:pPr>
        <w:pStyle w:val="43"/>
        <w:bidi w:val="0"/>
        <w:rPr>
          <w:rFonts w:hint="default"/>
          <w:color w:val="auto"/>
        </w:rPr>
      </w:pPr>
      <w:bookmarkStart w:id="176" w:name="_Ref478381584"/>
      <w:r>
        <w:rPr>
          <w:rFonts w:hint="default"/>
          <w:color w:val="auto"/>
        </w:rPr>
        <w:t>表</w:t>
      </w:r>
      <w:bookmarkEnd w:id="176"/>
      <w:r>
        <w:rPr>
          <w:rFonts w:hint="default"/>
          <w:color w:val="auto"/>
        </w:rPr>
        <w:t>3.</w:t>
      </w:r>
      <w:r>
        <w:rPr>
          <w:rFonts w:hint="eastAsia"/>
          <w:color w:val="auto"/>
          <w:lang w:val="en-US" w:eastAsia="zh-CN"/>
        </w:rPr>
        <w:t>9-7</w:t>
      </w:r>
      <w:r>
        <w:rPr>
          <w:rFonts w:hint="default"/>
          <w:color w:val="auto"/>
        </w:rPr>
        <w:t xml:space="preserve">  运营期噪声排放情况（单位：dB(A)）</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642"/>
        <w:gridCol w:w="1012"/>
        <w:gridCol w:w="709"/>
        <w:gridCol w:w="767"/>
        <w:gridCol w:w="763"/>
        <w:gridCol w:w="1165"/>
        <w:gridCol w:w="2120"/>
        <w:gridCol w:w="889"/>
      </w:tblGrid>
      <w:tr w14:paraId="0891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4" w:type="pct"/>
            <w:vMerge w:val="restart"/>
            <w:vAlign w:val="center"/>
          </w:tcPr>
          <w:p w14:paraId="523D1C53">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376" w:type="pct"/>
            <w:vMerge w:val="restart"/>
            <w:vAlign w:val="center"/>
          </w:tcPr>
          <w:p w14:paraId="27DE9028">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位置</w:t>
            </w:r>
          </w:p>
        </w:tc>
        <w:tc>
          <w:tcPr>
            <w:tcW w:w="593" w:type="pct"/>
            <w:vMerge w:val="restart"/>
            <w:vAlign w:val="center"/>
          </w:tcPr>
          <w:p w14:paraId="40C3F21C">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声源源强</w:t>
            </w:r>
          </w:p>
        </w:tc>
        <w:tc>
          <w:tcPr>
            <w:tcW w:w="1314" w:type="pct"/>
            <w:gridSpan w:val="3"/>
            <w:vAlign w:val="center"/>
          </w:tcPr>
          <w:p w14:paraId="52CBB70F">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空间相对位置（m）</w:t>
            </w:r>
          </w:p>
        </w:tc>
        <w:tc>
          <w:tcPr>
            <w:tcW w:w="683" w:type="pct"/>
            <w:vMerge w:val="restart"/>
            <w:vAlign w:val="center"/>
          </w:tcPr>
          <w:p w14:paraId="21D9BC7C">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声源</w:t>
            </w:r>
          </w:p>
          <w:p w14:paraId="5C664D02">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源强dB(A)</w:t>
            </w:r>
          </w:p>
        </w:tc>
        <w:tc>
          <w:tcPr>
            <w:tcW w:w="1244" w:type="pct"/>
            <w:vMerge w:val="restart"/>
            <w:vAlign w:val="center"/>
          </w:tcPr>
          <w:p w14:paraId="1079E0B2">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声源控制措施</w:t>
            </w:r>
          </w:p>
        </w:tc>
        <w:tc>
          <w:tcPr>
            <w:tcW w:w="521" w:type="pct"/>
            <w:vMerge w:val="restart"/>
            <w:vAlign w:val="center"/>
          </w:tcPr>
          <w:p w14:paraId="6DAFB6A3">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运行时段</w:t>
            </w:r>
          </w:p>
        </w:tc>
      </w:tr>
      <w:tr w14:paraId="48F6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4" w:type="pct"/>
            <w:vMerge w:val="continue"/>
            <w:vAlign w:val="center"/>
          </w:tcPr>
          <w:p w14:paraId="7AF6989E">
            <w:pPr>
              <w:autoSpaceDE w:val="0"/>
              <w:autoSpaceDN w:val="0"/>
              <w:adjustRightInd w:val="0"/>
              <w:snapToGrid w:val="0"/>
              <w:jc w:val="center"/>
              <w:textAlignment w:val="center"/>
              <w:rPr>
                <w:rFonts w:hint="default" w:ascii="Times New Roman" w:hAnsi="Times New Roman" w:eastAsia="宋体" w:cs="Times New Roman"/>
                <w:color w:val="auto"/>
                <w:kern w:val="0"/>
                <w:sz w:val="20"/>
                <w:szCs w:val="21"/>
              </w:rPr>
            </w:pPr>
          </w:p>
        </w:tc>
        <w:tc>
          <w:tcPr>
            <w:tcW w:w="376" w:type="pct"/>
            <w:vMerge w:val="continue"/>
            <w:vAlign w:val="center"/>
          </w:tcPr>
          <w:p w14:paraId="4FB27022">
            <w:pPr>
              <w:autoSpaceDE w:val="0"/>
              <w:autoSpaceDN w:val="0"/>
              <w:adjustRightInd w:val="0"/>
              <w:snapToGrid w:val="0"/>
              <w:jc w:val="center"/>
              <w:textAlignment w:val="center"/>
              <w:rPr>
                <w:rFonts w:hint="default" w:ascii="Times New Roman" w:hAnsi="Times New Roman" w:eastAsia="宋体" w:cs="Times New Roman"/>
                <w:color w:val="auto"/>
                <w:kern w:val="0"/>
                <w:sz w:val="20"/>
                <w:szCs w:val="21"/>
              </w:rPr>
            </w:pPr>
          </w:p>
        </w:tc>
        <w:tc>
          <w:tcPr>
            <w:tcW w:w="593" w:type="pct"/>
            <w:vMerge w:val="continue"/>
            <w:vAlign w:val="center"/>
          </w:tcPr>
          <w:p w14:paraId="056CEC70">
            <w:pPr>
              <w:autoSpaceDE w:val="0"/>
              <w:autoSpaceDN w:val="0"/>
              <w:adjustRightInd w:val="0"/>
              <w:snapToGrid w:val="0"/>
              <w:jc w:val="center"/>
              <w:textAlignment w:val="center"/>
              <w:rPr>
                <w:rFonts w:hint="default" w:ascii="Times New Roman" w:hAnsi="Times New Roman" w:eastAsia="宋体" w:cs="Times New Roman"/>
                <w:color w:val="auto"/>
                <w:kern w:val="0"/>
                <w:sz w:val="20"/>
                <w:szCs w:val="21"/>
              </w:rPr>
            </w:pPr>
          </w:p>
        </w:tc>
        <w:tc>
          <w:tcPr>
            <w:tcW w:w="416" w:type="pct"/>
            <w:vAlign w:val="center"/>
          </w:tcPr>
          <w:p w14:paraId="15C85A26">
            <w:pPr>
              <w:jc w:val="center"/>
              <w:rPr>
                <w:rFonts w:hint="default" w:ascii="Times New Roman" w:hAnsi="Times New Roman" w:eastAsia="宋体" w:cs="Times New Roman"/>
                <w:b/>
                <w:bCs/>
                <w:color w:val="auto"/>
                <w:szCs w:val="21"/>
                <w:lang w:bidi="zh-CN"/>
              </w:rPr>
            </w:pPr>
            <w:r>
              <w:rPr>
                <w:rFonts w:hint="default" w:ascii="Times New Roman" w:hAnsi="Times New Roman" w:eastAsia="宋体" w:cs="Times New Roman"/>
                <w:i/>
                <w:color w:val="auto"/>
                <w:szCs w:val="21"/>
                <w:lang w:val="zh-CN" w:bidi="zh-CN"/>
              </w:rPr>
              <w:t>X</w:t>
            </w:r>
          </w:p>
        </w:tc>
        <w:tc>
          <w:tcPr>
            <w:tcW w:w="450" w:type="pct"/>
            <w:vAlign w:val="center"/>
          </w:tcPr>
          <w:p w14:paraId="0DD7D1C7">
            <w:pPr>
              <w:jc w:val="center"/>
              <w:rPr>
                <w:rFonts w:hint="default" w:ascii="Times New Roman" w:hAnsi="Times New Roman" w:eastAsia="宋体" w:cs="Times New Roman"/>
                <w:b/>
                <w:bCs/>
                <w:color w:val="auto"/>
                <w:szCs w:val="21"/>
                <w:lang w:bidi="zh-CN"/>
              </w:rPr>
            </w:pPr>
            <w:r>
              <w:rPr>
                <w:rFonts w:hint="default" w:ascii="Times New Roman" w:hAnsi="Times New Roman" w:eastAsia="宋体" w:cs="Times New Roman"/>
                <w:i/>
                <w:color w:val="auto"/>
                <w:szCs w:val="21"/>
                <w:lang w:val="zh-CN" w:bidi="zh-CN"/>
              </w:rPr>
              <w:t>Y</w:t>
            </w:r>
          </w:p>
        </w:tc>
        <w:tc>
          <w:tcPr>
            <w:tcW w:w="447" w:type="pct"/>
            <w:vAlign w:val="center"/>
          </w:tcPr>
          <w:p w14:paraId="448BF679">
            <w:pPr>
              <w:jc w:val="center"/>
              <w:rPr>
                <w:rFonts w:hint="default" w:ascii="Times New Roman" w:hAnsi="Times New Roman" w:eastAsia="宋体" w:cs="Times New Roman"/>
                <w:b/>
                <w:bCs/>
                <w:color w:val="auto"/>
                <w:szCs w:val="21"/>
                <w:lang w:bidi="zh-CN"/>
              </w:rPr>
            </w:pPr>
            <w:r>
              <w:rPr>
                <w:rFonts w:hint="default" w:ascii="Times New Roman" w:hAnsi="Times New Roman" w:eastAsia="宋体" w:cs="Times New Roman"/>
                <w:i/>
                <w:color w:val="auto"/>
                <w:szCs w:val="21"/>
                <w:lang w:val="zh-CN" w:bidi="zh-CN"/>
              </w:rPr>
              <w:t>Z</w:t>
            </w:r>
          </w:p>
        </w:tc>
        <w:tc>
          <w:tcPr>
            <w:tcW w:w="683" w:type="pct"/>
            <w:vMerge w:val="continue"/>
            <w:vAlign w:val="center"/>
          </w:tcPr>
          <w:p w14:paraId="27066143">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p>
        </w:tc>
        <w:tc>
          <w:tcPr>
            <w:tcW w:w="1244" w:type="pct"/>
            <w:vMerge w:val="continue"/>
            <w:vAlign w:val="center"/>
          </w:tcPr>
          <w:p w14:paraId="0F0FF13A">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p>
        </w:tc>
        <w:tc>
          <w:tcPr>
            <w:tcW w:w="521" w:type="pct"/>
            <w:vMerge w:val="continue"/>
            <w:vAlign w:val="center"/>
          </w:tcPr>
          <w:p w14:paraId="28BBA0B2">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p>
        </w:tc>
      </w:tr>
      <w:tr w14:paraId="42EB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4" w:type="pct"/>
            <w:vAlign w:val="center"/>
          </w:tcPr>
          <w:p w14:paraId="2E909D2B">
            <w:pPr>
              <w:autoSpaceDE w:val="0"/>
              <w:autoSpaceDN w:val="0"/>
              <w:adjustRightInd w:val="0"/>
              <w:snapToGrid w:val="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376" w:type="pct"/>
            <w:vAlign w:val="center"/>
          </w:tcPr>
          <w:p w14:paraId="31A27510">
            <w:pPr>
              <w:rPr>
                <w:rFonts w:hint="default" w:ascii="Times New Roman" w:hAnsi="Times New Roman" w:cs="Times New Roman"/>
                <w:color w:val="auto"/>
                <w:kern w:val="0"/>
              </w:rPr>
            </w:pPr>
            <w:r>
              <w:rPr>
                <w:rFonts w:hint="default" w:ascii="Times New Roman" w:hAnsi="Times New Roman" w:cs="Times New Roman"/>
                <w:color w:val="auto"/>
              </w:rPr>
              <w:t>井场</w:t>
            </w:r>
          </w:p>
        </w:tc>
        <w:tc>
          <w:tcPr>
            <w:tcW w:w="593" w:type="pct"/>
            <w:vAlign w:val="center"/>
          </w:tcPr>
          <w:p w14:paraId="36CD04CA">
            <w:pPr>
              <w:rPr>
                <w:rFonts w:hint="default" w:ascii="Times New Roman" w:hAnsi="Times New Roman" w:cs="Times New Roman"/>
                <w:color w:val="auto"/>
              </w:rPr>
            </w:pPr>
            <w:r>
              <w:rPr>
                <w:rFonts w:hint="default" w:ascii="Times New Roman" w:hAnsi="Times New Roman" w:eastAsia="宋体" w:cs="Times New Roman"/>
                <w:color w:val="auto"/>
              </w:rPr>
              <w:t>变频潜油电泵机组</w:t>
            </w:r>
          </w:p>
        </w:tc>
        <w:tc>
          <w:tcPr>
            <w:tcW w:w="416" w:type="pct"/>
            <w:vAlign w:val="center"/>
          </w:tcPr>
          <w:p w14:paraId="1C3F1DE0">
            <w:pPr>
              <w:autoSpaceDE w:val="0"/>
              <w:autoSpaceDN w:val="0"/>
              <w:adjustRightInd w:val="0"/>
              <w:snapToGrid w:val="0"/>
              <w:jc w:val="center"/>
              <w:textAlignment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0</w:t>
            </w:r>
          </w:p>
        </w:tc>
        <w:tc>
          <w:tcPr>
            <w:tcW w:w="450" w:type="pct"/>
            <w:vAlign w:val="center"/>
          </w:tcPr>
          <w:p w14:paraId="48F90D8D">
            <w:pPr>
              <w:autoSpaceDE w:val="0"/>
              <w:autoSpaceDN w:val="0"/>
              <w:adjustRightInd w:val="0"/>
              <w:snapToGrid w:val="0"/>
              <w:jc w:val="center"/>
              <w:textAlignment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0</w:t>
            </w:r>
          </w:p>
        </w:tc>
        <w:tc>
          <w:tcPr>
            <w:tcW w:w="447" w:type="pct"/>
            <w:vAlign w:val="center"/>
          </w:tcPr>
          <w:p w14:paraId="2352E282">
            <w:pPr>
              <w:autoSpaceDE w:val="0"/>
              <w:autoSpaceDN w:val="0"/>
              <w:adjustRightInd w:val="0"/>
              <w:snapToGrid w:val="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w:t>
            </w:r>
          </w:p>
        </w:tc>
        <w:tc>
          <w:tcPr>
            <w:tcW w:w="683" w:type="pct"/>
            <w:vAlign w:val="center"/>
          </w:tcPr>
          <w:p w14:paraId="653A1B93">
            <w:pPr>
              <w:jc w:val="center"/>
              <w:rPr>
                <w:rFonts w:hint="default" w:ascii="Times New Roman" w:hAnsi="Times New Roman" w:cs="Times New Roman"/>
                <w:color w:val="auto"/>
                <w:kern w:val="0"/>
              </w:rPr>
            </w:pPr>
            <w:r>
              <w:rPr>
                <w:rFonts w:hint="default" w:ascii="Times New Roman" w:hAnsi="Times New Roman" w:cs="Times New Roman"/>
                <w:color w:val="auto"/>
              </w:rPr>
              <w:t>75~80</w:t>
            </w:r>
          </w:p>
        </w:tc>
        <w:tc>
          <w:tcPr>
            <w:tcW w:w="1244" w:type="pct"/>
            <w:vAlign w:val="center"/>
          </w:tcPr>
          <w:p w14:paraId="23B220B7">
            <w:pPr>
              <w:rPr>
                <w:rFonts w:hint="default" w:ascii="Times New Roman" w:hAnsi="Times New Roman" w:cs="Times New Roman"/>
                <w:color w:val="auto"/>
                <w:kern w:val="0"/>
              </w:rPr>
            </w:pPr>
            <w:r>
              <w:rPr>
                <w:rFonts w:hint="default" w:ascii="Times New Roman" w:hAnsi="Times New Roman" w:cs="Times New Roman"/>
                <w:color w:val="auto"/>
              </w:rPr>
              <w:t>独立基础，</w:t>
            </w:r>
            <w:r>
              <w:rPr>
                <w:rFonts w:hint="eastAsia" w:ascii="Times New Roman" w:hAnsi="Times New Roman" w:cs="Times New Roman"/>
                <w:color w:val="auto"/>
                <w:lang w:val="en-US" w:eastAsia="zh-CN"/>
              </w:rPr>
              <w:t>基础减振</w:t>
            </w:r>
            <w:r>
              <w:rPr>
                <w:rFonts w:hint="default" w:ascii="Times New Roman" w:hAnsi="Times New Roman" w:cs="Times New Roman"/>
                <w:color w:val="auto"/>
              </w:rPr>
              <w:t>，采用软连接</w:t>
            </w:r>
          </w:p>
        </w:tc>
        <w:tc>
          <w:tcPr>
            <w:tcW w:w="521" w:type="pct"/>
            <w:vAlign w:val="center"/>
          </w:tcPr>
          <w:p w14:paraId="0014FCCF">
            <w:pPr>
              <w:autoSpaceDE w:val="0"/>
              <w:autoSpaceDN w:val="0"/>
              <w:adjustRightInd w:val="0"/>
              <w:snapToGrid w:val="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连续</w:t>
            </w:r>
          </w:p>
        </w:tc>
      </w:tr>
      <w:tr w14:paraId="46DF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4" w:type="pct"/>
            <w:vAlign w:val="center"/>
          </w:tcPr>
          <w:p w14:paraId="5769B2EB">
            <w:pPr>
              <w:autoSpaceDE w:val="0"/>
              <w:autoSpaceDN w:val="0"/>
              <w:adjustRightInd w:val="0"/>
              <w:snapToGrid w:val="0"/>
              <w:jc w:val="center"/>
              <w:textAlignment w:val="center"/>
              <w:rPr>
                <w:rFonts w:hint="default" w:ascii="Times New Roman" w:hAnsi="Times New Roman" w:eastAsia="宋体" w:cs="Times New Roman"/>
                <w:bCs/>
                <w:color w:val="auto"/>
                <w:kern w:val="0"/>
                <w:sz w:val="20"/>
                <w:szCs w:val="21"/>
              </w:rPr>
            </w:pPr>
            <w:r>
              <w:rPr>
                <w:rFonts w:hint="default" w:ascii="Times New Roman" w:hAnsi="Times New Roman" w:eastAsia="宋体" w:cs="Times New Roman"/>
                <w:bCs/>
                <w:color w:val="auto"/>
                <w:kern w:val="0"/>
                <w:sz w:val="20"/>
                <w:szCs w:val="21"/>
              </w:rPr>
              <w:t>2</w:t>
            </w:r>
          </w:p>
        </w:tc>
        <w:tc>
          <w:tcPr>
            <w:tcW w:w="376" w:type="pct"/>
            <w:vAlign w:val="center"/>
          </w:tcPr>
          <w:p w14:paraId="4EF492A3">
            <w:pPr>
              <w:rPr>
                <w:rFonts w:hint="default" w:ascii="Times New Roman" w:hAnsi="Times New Roman" w:cs="Times New Roman"/>
                <w:color w:val="auto"/>
                <w:kern w:val="0"/>
              </w:rPr>
            </w:pPr>
            <w:r>
              <w:rPr>
                <w:rFonts w:hint="default" w:ascii="Times New Roman" w:hAnsi="Times New Roman" w:cs="Times New Roman"/>
                <w:color w:val="auto"/>
              </w:rPr>
              <w:t>井场</w:t>
            </w:r>
          </w:p>
        </w:tc>
        <w:tc>
          <w:tcPr>
            <w:tcW w:w="593" w:type="pct"/>
            <w:vAlign w:val="center"/>
          </w:tcPr>
          <w:p w14:paraId="5FB3B899">
            <w:pPr>
              <w:rPr>
                <w:rFonts w:hint="default" w:ascii="Times New Roman" w:hAnsi="Times New Roman" w:cs="Times New Roman"/>
                <w:color w:val="auto"/>
              </w:rPr>
            </w:pPr>
            <w:r>
              <w:rPr>
                <w:rFonts w:hint="default" w:ascii="Times New Roman" w:hAnsi="Times New Roman" w:cs="Times New Roman"/>
                <w:color w:val="auto"/>
              </w:rPr>
              <w:t>井下作业（修井等）</w:t>
            </w:r>
          </w:p>
        </w:tc>
        <w:tc>
          <w:tcPr>
            <w:tcW w:w="416" w:type="pct"/>
            <w:vAlign w:val="center"/>
          </w:tcPr>
          <w:p w14:paraId="7591A89C">
            <w:pPr>
              <w:autoSpaceDE w:val="0"/>
              <w:autoSpaceDN w:val="0"/>
              <w:adjustRightInd w:val="0"/>
              <w:snapToGrid w:val="0"/>
              <w:jc w:val="center"/>
              <w:textAlignment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0</w:t>
            </w:r>
          </w:p>
        </w:tc>
        <w:tc>
          <w:tcPr>
            <w:tcW w:w="450" w:type="pct"/>
            <w:vAlign w:val="center"/>
          </w:tcPr>
          <w:p w14:paraId="1DC5E53D">
            <w:pPr>
              <w:autoSpaceDE w:val="0"/>
              <w:autoSpaceDN w:val="0"/>
              <w:adjustRightInd w:val="0"/>
              <w:snapToGrid w:val="0"/>
              <w:jc w:val="center"/>
              <w:textAlignment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0</w:t>
            </w:r>
          </w:p>
        </w:tc>
        <w:tc>
          <w:tcPr>
            <w:tcW w:w="447" w:type="pct"/>
            <w:vAlign w:val="center"/>
          </w:tcPr>
          <w:p w14:paraId="64FC7643">
            <w:pPr>
              <w:autoSpaceDE w:val="0"/>
              <w:autoSpaceDN w:val="0"/>
              <w:adjustRightInd w:val="0"/>
              <w:snapToGrid w:val="0"/>
              <w:jc w:val="center"/>
              <w:textAlignment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2</w:t>
            </w:r>
          </w:p>
        </w:tc>
        <w:tc>
          <w:tcPr>
            <w:tcW w:w="683" w:type="pct"/>
            <w:vAlign w:val="center"/>
          </w:tcPr>
          <w:p w14:paraId="4F2D664F">
            <w:pPr>
              <w:jc w:val="center"/>
              <w:rPr>
                <w:rFonts w:hint="default" w:ascii="Times New Roman" w:hAnsi="Times New Roman" w:cs="Times New Roman"/>
                <w:color w:val="auto"/>
                <w:kern w:val="0"/>
              </w:rPr>
            </w:pPr>
            <w:r>
              <w:rPr>
                <w:rFonts w:hint="default" w:ascii="Times New Roman" w:hAnsi="Times New Roman" w:cs="Times New Roman"/>
                <w:color w:val="auto"/>
              </w:rPr>
              <w:t>80~95</w:t>
            </w:r>
          </w:p>
        </w:tc>
        <w:tc>
          <w:tcPr>
            <w:tcW w:w="1244" w:type="pct"/>
            <w:vAlign w:val="center"/>
          </w:tcPr>
          <w:p w14:paraId="4044E482">
            <w:pP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选用低噪声设备</w:t>
            </w:r>
          </w:p>
        </w:tc>
        <w:tc>
          <w:tcPr>
            <w:tcW w:w="521" w:type="pct"/>
            <w:vAlign w:val="center"/>
          </w:tcPr>
          <w:p w14:paraId="4407BA55">
            <w:pPr>
              <w:autoSpaceDE w:val="0"/>
              <w:autoSpaceDN w:val="0"/>
              <w:adjustRightInd w:val="0"/>
              <w:snapToGrid w:val="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间断</w:t>
            </w:r>
          </w:p>
        </w:tc>
      </w:tr>
      <w:tr w14:paraId="350A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4" w:type="pct"/>
            <w:vAlign w:val="center"/>
          </w:tcPr>
          <w:p w14:paraId="6C1C0B16">
            <w:pPr>
              <w:autoSpaceDE w:val="0"/>
              <w:autoSpaceDN w:val="0"/>
              <w:adjustRightInd w:val="0"/>
              <w:snapToGrid w:val="0"/>
              <w:jc w:val="center"/>
              <w:textAlignment w:val="center"/>
              <w:rPr>
                <w:rFonts w:hint="default" w:ascii="Times New Roman" w:hAnsi="Times New Roman" w:eastAsia="宋体" w:cs="Times New Roman"/>
                <w:bCs/>
                <w:color w:val="auto"/>
                <w:kern w:val="0"/>
                <w:sz w:val="20"/>
                <w:szCs w:val="21"/>
              </w:rPr>
            </w:pPr>
            <w:r>
              <w:rPr>
                <w:rFonts w:hint="default" w:ascii="Times New Roman" w:hAnsi="Times New Roman" w:eastAsia="宋体" w:cs="Times New Roman"/>
                <w:bCs/>
                <w:color w:val="auto"/>
                <w:kern w:val="0"/>
                <w:sz w:val="20"/>
                <w:szCs w:val="21"/>
              </w:rPr>
              <w:t>3</w:t>
            </w:r>
          </w:p>
        </w:tc>
        <w:tc>
          <w:tcPr>
            <w:tcW w:w="376" w:type="pct"/>
            <w:shd w:val="clear" w:color="auto" w:fill="auto"/>
            <w:vAlign w:val="center"/>
          </w:tcPr>
          <w:p w14:paraId="3F615510">
            <w:pP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rPr>
              <w:t>交通噪声</w:t>
            </w:r>
          </w:p>
        </w:tc>
        <w:tc>
          <w:tcPr>
            <w:tcW w:w="593" w:type="pct"/>
            <w:shd w:val="clear" w:color="auto" w:fill="auto"/>
            <w:vAlign w:val="center"/>
          </w:tcPr>
          <w:p w14:paraId="414C2FCD">
            <w:pP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rPr>
              <w:t>巡检车辆</w:t>
            </w:r>
          </w:p>
        </w:tc>
        <w:tc>
          <w:tcPr>
            <w:tcW w:w="416" w:type="pct"/>
            <w:shd w:val="clear" w:color="auto" w:fill="auto"/>
            <w:vAlign w:val="center"/>
          </w:tcPr>
          <w:p w14:paraId="178E1936">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50</w:t>
            </w:r>
          </w:p>
        </w:tc>
        <w:tc>
          <w:tcPr>
            <w:tcW w:w="450" w:type="pct"/>
            <w:shd w:val="clear" w:color="auto" w:fill="auto"/>
            <w:vAlign w:val="center"/>
          </w:tcPr>
          <w:p w14:paraId="47E1EE34">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30</w:t>
            </w:r>
          </w:p>
        </w:tc>
        <w:tc>
          <w:tcPr>
            <w:tcW w:w="447" w:type="pct"/>
            <w:shd w:val="clear" w:color="auto" w:fill="auto"/>
            <w:vAlign w:val="center"/>
          </w:tcPr>
          <w:p w14:paraId="750EA0A7">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0</w:t>
            </w:r>
          </w:p>
        </w:tc>
        <w:tc>
          <w:tcPr>
            <w:tcW w:w="683" w:type="pct"/>
            <w:shd w:val="clear" w:color="auto" w:fill="auto"/>
            <w:vAlign w:val="center"/>
          </w:tcPr>
          <w:p w14:paraId="1E1B48A5">
            <w:pPr>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rPr>
              <w:t>60~90</w:t>
            </w:r>
          </w:p>
        </w:tc>
        <w:tc>
          <w:tcPr>
            <w:tcW w:w="1244" w:type="pct"/>
            <w:shd w:val="clear" w:color="auto" w:fill="auto"/>
            <w:vAlign w:val="center"/>
          </w:tcPr>
          <w:p w14:paraId="41F5914B">
            <w:pP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Cs/>
                <w:color w:val="auto"/>
                <w:szCs w:val="32"/>
              </w:rPr>
              <w:t>限制车速、定期维护保养和禁止鸣笛等</w:t>
            </w:r>
          </w:p>
        </w:tc>
        <w:tc>
          <w:tcPr>
            <w:tcW w:w="521" w:type="pct"/>
            <w:shd w:val="clear" w:color="auto" w:fill="auto"/>
            <w:vAlign w:val="center"/>
          </w:tcPr>
          <w:p w14:paraId="578F37A6">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间断</w:t>
            </w:r>
          </w:p>
        </w:tc>
      </w:tr>
      <w:tr w14:paraId="7F1A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9"/>
            <w:vAlign w:val="center"/>
          </w:tcPr>
          <w:p w14:paraId="1DCF107E">
            <w:pPr>
              <w:autoSpaceDE w:val="0"/>
              <w:autoSpaceDN w:val="0"/>
              <w:adjustRightInd w:val="0"/>
              <w:snapToGrid w:val="0"/>
              <w:jc w:val="both"/>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注：以井场为原点（0,0）</w:t>
            </w:r>
          </w:p>
        </w:tc>
      </w:tr>
    </w:tbl>
    <w:p w14:paraId="6249ECB5">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cstheme="minorBidi"/>
          <w:color w:val="auto"/>
          <w:kern w:val="2"/>
          <w:sz w:val="24"/>
          <w:szCs w:val="24"/>
          <w:lang w:val="en-US" w:eastAsia="zh-CN" w:bidi="ar-SA"/>
        </w:rPr>
        <w:t>4、固体废物</w:t>
      </w:r>
    </w:p>
    <w:p w14:paraId="3A91BC7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cstheme="minorBidi"/>
          <w:color w:val="auto"/>
          <w:kern w:val="2"/>
          <w:sz w:val="24"/>
          <w:szCs w:val="24"/>
          <w:lang w:val="en-US" w:eastAsia="zh-CN" w:bidi="ar-SA"/>
        </w:rPr>
        <w:t>本工程</w:t>
      </w:r>
      <w:r>
        <w:rPr>
          <w:rFonts w:hint="eastAsia" w:ascii="Times New Roman" w:hAnsi="Times New Roman" w:eastAsia="宋体" w:cstheme="minorBidi"/>
          <w:color w:val="auto"/>
          <w:kern w:val="2"/>
          <w:sz w:val="24"/>
          <w:szCs w:val="24"/>
          <w:lang w:val="en-US" w:eastAsia="zh-CN" w:bidi="ar-SA"/>
        </w:rPr>
        <w:t>不新增劳动定员，无</w:t>
      </w:r>
      <w:r>
        <w:rPr>
          <w:rFonts w:hint="eastAsia" w:cstheme="minorBidi"/>
          <w:color w:val="auto"/>
          <w:kern w:val="2"/>
          <w:sz w:val="24"/>
          <w:szCs w:val="24"/>
          <w:lang w:val="en-US" w:eastAsia="zh-CN" w:bidi="ar-SA"/>
        </w:rPr>
        <w:t>新增</w:t>
      </w:r>
      <w:r>
        <w:rPr>
          <w:rFonts w:hint="eastAsia" w:ascii="Times New Roman" w:hAnsi="Times New Roman" w:eastAsia="宋体" w:cstheme="minorBidi"/>
          <w:color w:val="auto"/>
          <w:kern w:val="2"/>
          <w:sz w:val="24"/>
          <w:szCs w:val="24"/>
          <w:lang w:val="en-US" w:eastAsia="zh-CN" w:bidi="ar-SA"/>
        </w:rPr>
        <w:t>生活垃圾产生，运营期固废主要为</w:t>
      </w:r>
      <w:r>
        <w:rPr>
          <w:rFonts w:hint="eastAsia" w:cstheme="minorBidi"/>
          <w:color w:val="auto"/>
          <w:kern w:val="2"/>
          <w:sz w:val="24"/>
          <w:szCs w:val="24"/>
          <w:lang w:val="en-US" w:eastAsia="zh-CN" w:bidi="ar-SA"/>
        </w:rPr>
        <w:t>含油污泥</w:t>
      </w:r>
      <w:r>
        <w:rPr>
          <w:rFonts w:hint="eastAsia" w:ascii="Times New Roman" w:hAnsi="Times New Roman" w:eastAsia="宋体" w:cstheme="minorBidi"/>
          <w:color w:val="auto"/>
          <w:kern w:val="2"/>
          <w:sz w:val="24"/>
          <w:szCs w:val="24"/>
          <w:lang w:val="en-US" w:eastAsia="zh-CN" w:bidi="ar-SA"/>
        </w:rPr>
        <w:t>、落地原油、</w:t>
      </w:r>
      <w:r>
        <w:rPr>
          <w:rFonts w:hint="eastAsia" w:cstheme="minorBidi"/>
          <w:color w:val="auto"/>
          <w:kern w:val="2"/>
          <w:sz w:val="24"/>
          <w:szCs w:val="24"/>
          <w:lang w:val="en-US" w:eastAsia="zh-CN" w:bidi="ar-SA"/>
        </w:rPr>
        <w:t>沾油废物</w:t>
      </w:r>
      <w:r>
        <w:rPr>
          <w:rFonts w:hint="eastAsia" w:ascii="Times New Roman" w:hAnsi="Times New Roman" w:eastAsia="宋体" w:cstheme="minorBidi"/>
          <w:color w:val="auto"/>
          <w:kern w:val="2"/>
          <w:sz w:val="24"/>
          <w:szCs w:val="24"/>
          <w:lang w:val="en-US" w:eastAsia="zh-CN" w:bidi="ar-SA"/>
        </w:rPr>
        <w:t>。</w:t>
      </w:r>
    </w:p>
    <w:p w14:paraId="466FB70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cstheme="minorBidi"/>
          <w:color w:val="auto"/>
          <w:kern w:val="2"/>
          <w:sz w:val="24"/>
          <w:szCs w:val="24"/>
          <w:lang w:val="en-US" w:eastAsia="zh-CN" w:bidi="ar-SA"/>
        </w:rPr>
        <w:t>（1）含油污泥</w:t>
      </w:r>
    </w:p>
    <w:p w14:paraId="10073162">
      <w:pPr>
        <w:pStyle w:val="33"/>
        <w:bidi w:val="0"/>
        <w:rPr>
          <w:rFonts w:hint="default"/>
          <w:color w:val="auto"/>
        </w:rPr>
      </w:pPr>
      <w:r>
        <w:rPr>
          <w:rFonts w:hint="default"/>
          <w:color w:val="auto"/>
        </w:rPr>
        <w:t>根据《排放源统计调查产排污核算方法和系数手册》</w:t>
      </w:r>
      <w:r>
        <w:rPr>
          <w:rFonts w:hint="eastAsia" w:ascii="宋体" w:hAnsi="宋体" w:eastAsia="宋体" w:cs="宋体"/>
          <w:color w:val="auto"/>
        </w:rPr>
        <w:t>“</w:t>
      </w:r>
      <w:r>
        <w:rPr>
          <w:rFonts w:hint="default"/>
          <w:color w:val="auto"/>
        </w:rPr>
        <w:t>07石油和天然气开采业行业系数手册</w:t>
      </w:r>
      <w:r>
        <w:rPr>
          <w:rFonts w:hint="eastAsia" w:ascii="宋体" w:hAnsi="宋体" w:eastAsia="宋体" w:cs="宋体"/>
          <w:color w:val="auto"/>
        </w:rPr>
        <w:t>”</w:t>
      </w:r>
      <w:r>
        <w:rPr>
          <w:rFonts w:hint="default"/>
          <w:color w:val="auto"/>
        </w:rPr>
        <w:t>续表35中产污系数核算含油污泥产生量。见表</w:t>
      </w:r>
      <w:r>
        <w:rPr>
          <w:rFonts w:hint="eastAsia"/>
          <w:color w:val="auto"/>
          <w:lang w:val="en-US" w:eastAsia="zh-CN"/>
        </w:rPr>
        <w:t>3.9-8</w:t>
      </w:r>
      <w:r>
        <w:rPr>
          <w:rFonts w:hint="default"/>
          <w:color w:val="auto"/>
        </w:rPr>
        <w:t>。</w:t>
      </w:r>
    </w:p>
    <w:p w14:paraId="58122540">
      <w:pPr>
        <w:pStyle w:val="43"/>
        <w:bidi w:val="0"/>
        <w:rPr>
          <w:rFonts w:hint="default"/>
          <w:color w:val="auto"/>
        </w:rPr>
      </w:pPr>
      <w:r>
        <w:rPr>
          <w:rFonts w:hint="default"/>
          <w:color w:val="auto"/>
        </w:rPr>
        <w:t>表</w:t>
      </w:r>
      <w:r>
        <w:rPr>
          <w:rFonts w:hint="eastAsia"/>
          <w:color w:val="auto"/>
          <w:lang w:val="en-US" w:eastAsia="zh-CN"/>
        </w:rPr>
        <w:t>3.9-8</w:t>
      </w:r>
      <w:r>
        <w:rPr>
          <w:rFonts w:hint="default"/>
          <w:color w:val="auto"/>
        </w:rPr>
        <w:t xml:space="preserve">  石油与天然气开采行业专业及复制性活动行业系数表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801"/>
        <w:gridCol w:w="873"/>
        <w:gridCol w:w="832"/>
        <w:gridCol w:w="853"/>
        <w:gridCol w:w="769"/>
        <w:gridCol w:w="955"/>
        <w:gridCol w:w="929"/>
        <w:gridCol w:w="1030"/>
        <w:gridCol w:w="801"/>
      </w:tblGrid>
      <w:tr w14:paraId="485C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5" w:type="pct"/>
            <w:vAlign w:val="center"/>
          </w:tcPr>
          <w:p w14:paraId="21E0D90C">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w:t>
            </w:r>
          </w:p>
        </w:tc>
        <w:tc>
          <w:tcPr>
            <w:tcW w:w="470" w:type="pct"/>
            <w:vAlign w:val="center"/>
          </w:tcPr>
          <w:p w14:paraId="23DF8D68">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原料名称</w:t>
            </w:r>
          </w:p>
        </w:tc>
        <w:tc>
          <w:tcPr>
            <w:tcW w:w="512" w:type="pct"/>
            <w:vAlign w:val="center"/>
          </w:tcPr>
          <w:p w14:paraId="0A78CAA9">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工艺名称</w:t>
            </w:r>
          </w:p>
        </w:tc>
        <w:tc>
          <w:tcPr>
            <w:tcW w:w="488" w:type="pct"/>
            <w:vAlign w:val="center"/>
          </w:tcPr>
          <w:p w14:paraId="670252AC">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规模等级</w:t>
            </w:r>
          </w:p>
        </w:tc>
        <w:tc>
          <w:tcPr>
            <w:tcW w:w="500" w:type="pct"/>
            <w:vAlign w:val="center"/>
          </w:tcPr>
          <w:p w14:paraId="78C2A1B6">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污染物类别</w:t>
            </w:r>
          </w:p>
        </w:tc>
        <w:tc>
          <w:tcPr>
            <w:tcW w:w="451" w:type="pct"/>
            <w:vAlign w:val="center"/>
          </w:tcPr>
          <w:p w14:paraId="02AA5323">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污染物指标项</w:t>
            </w:r>
          </w:p>
        </w:tc>
        <w:tc>
          <w:tcPr>
            <w:tcW w:w="560" w:type="pct"/>
            <w:vAlign w:val="center"/>
          </w:tcPr>
          <w:p w14:paraId="34C5A1BE">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545" w:type="pct"/>
            <w:vAlign w:val="center"/>
          </w:tcPr>
          <w:p w14:paraId="7A3227B1">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产污系数</w:t>
            </w:r>
          </w:p>
        </w:tc>
        <w:tc>
          <w:tcPr>
            <w:tcW w:w="604" w:type="pct"/>
            <w:vAlign w:val="center"/>
          </w:tcPr>
          <w:p w14:paraId="31EA6769">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末端治理技术名称</w:t>
            </w:r>
          </w:p>
        </w:tc>
        <w:tc>
          <w:tcPr>
            <w:tcW w:w="470" w:type="pct"/>
            <w:vAlign w:val="center"/>
          </w:tcPr>
          <w:p w14:paraId="1A993B15">
            <w:pPr>
              <w:pStyle w:val="63"/>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排污系数</w:t>
            </w:r>
          </w:p>
        </w:tc>
      </w:tr>
      <w:tr w14:paraId="0AD9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5" w:type="pct"/>
            <w:vAlign w:val="center"/>
          </w:tcPr>
          <w:p w14:paraId="1CE7CBAD">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非稠油</w:t>
            </w:r>
          </w:p>
        </w:tc>
        <w:tc>
          <w:tcPr>
            <w:tcW w:w="470" w:type="pct"/>
            <w:vAlign w:val="center"/>
          </w:tcPr>
          <w:p w14:paraId="3757DAFF">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非稠油</w:t>
            </w:r>
          </w:p>
        </w:tc>
        <w:tc>
          <w:tcPr>
            <w:tcW w:w="512" w:type="pct"/>
            <w:vAlign w:val="center"/>
          </w:tcPr>
          <w:p w14:paraId="525B39E0">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检修清罐</w:t>
            </w:r>
          </w:p>
        </w:tc>
        <w:tc>
          <w:tcPr>
            <w:tcW w:w="488" w:type="pct"/>
            <w:vAlign w:val="center"/>
          </w:tcPr>
          <w:p w14:paraId="6B2773B6">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所有规模</w:t>
            </w:r>
          </w:p>
        </w:tc>
        <w:tc>
          <w:tcPr>
            <w:tcW w:w="500" w:type="pct"/>
            <w:vAlign w:val="center"/>
          </w:tcPr>
          <w:p w14:paraId="2946851A">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451" w:type="pct"/>
            <w:vAlign w:val="center"/>
          </w:tcPr>
          <w:p w14:paraId="0D0CF3A2">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含油污泥</w:t>
            </w:r>
          </w:p>
        </w:tc>
        <w:tc>
          <w:tcPr>
            <w:tcW w:w="560" w:type="pct"/>
            <w:vAlign w:val="center"/>
          </w:tcPr>
          <w:p w14:paraId="329C4D61">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吨－万吨产品</w:t>
            </w:r>
          </w:p>
        </w:tc>
        <w:tc>
          <w:tcPr>
            <w:tcW w:w="545" w:type="pct"/>
            <w:vAlign w:val="center"/>
          </w:tcPr>
          <w:p w14:paraId="09672465">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90.76</w:t>
            </w:r>
          </w:p>
        </w:tc>
        <w:tc>
          <w:tcPr>
            <w:tcW w:w="604" w:type="pct"/>
            <w:vAlign w:val="center"/>
          </w:tcPr>
          <w:p w14:paraId="3B6C5114">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无害化处理/处置/利用</w:t>
            </w:r>
          </w:p>
        </w:tc>
        <w:tc>
          <w:tcPr>
            <w:tcW w:w="470" w:type="pct"/>
            <w:vAlign w:val="center"/>
          </w:tcPr>
          <w:p w14:paraId="3BEC8D19">
            <w:pPr>
              <w:pStyle w:val="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bl>
    <w:p w14:paraId="25496624">
      <w:pPr>
        <w:pStyle w:val="63"/>
        <w:rPr>
          <w:rFonts w:hint="default" w:ascii="Times New Roman" w:hAnsi="Times New Roman" w:eastAsia="宋体" w:cs="Times New Roman"/>
          <w:color w:val="auto"/>
        </w:rPr>
      </w:pPr>
      <w:r>
        <w:rPr>
          <w:rFonts w:hint="default" w:ascii="Times New Roman" w:hAnsi="Times New Roman" w:eastAsia="宋体" w:cs="Times New Roman"/>
          <w:color w:val="auto"/>
        </w:rPr>
        <w:t>本项目最大产油量</w:t>
      </w:r>
      <w:r>
        <w:rPr>
          <w:rFonts w:hint="eastAsia" w:ascii="Times New Roman" w:hAnsi="Times New Roman" w:eastAsia="宋体" w:cs="Times New Roman"/>
          <w:color w:val="auto"/>
          <w:lang w:val="en-US" w:eastAsia="zh-CN"/>
        </w:rPr>
        <w:t>7.72</w:t>
      </w:r>
      <w:r>
        <w:rPr>
          <w:rFonts w:hint="default" w:ascii="Times New Roman" w:hAnsi="Times New Roman" w:eastAsia="宋体" w:cs="Times New Roman"/>
          <w:color w:val="auto"/>
        </w:rPr>
        <w:t>×10</w:t>
      </w:r>
      <w:r>
        <w:rPr>
          <w:rFonts w:hint="default" w:ascii="Times New Roman" w:hAnsi="Times New Roman" w:eastAsia="宋体" w:cs="Times New Roman"/>
          <w:color w:val="auto"/>
          <w:vertAlign w:val="superscript"/>
        </w:rPr>
        <w:t>4</w:t>
      </w:r>
      <w:r>
        <w:rPr>
          <w:rFonts w:hint="default" w:ascii="Times New Roman" w:hAnsi="Times New Roman" w:eastAsia="宋体" w:cs="Times New Roman"/>
          <w:color w:val="auto"/>
        </w:rPr>
        <w:t>t/a，含油污泥最大产生量为</w:t>
      </w:r>
      <w:r>
        <w:rPr>
          <w:rFonts w:hint="eastAsia" w:ascii="Times New Roman" w:hAnsi="Times New Roman" w:eastAsia="宋体" w:cs="Times New Roman"/>
          <w:color w:val="auto"/>
          <w:lang w:val="en-US" w:eastAsia="zh-CN"/>
        </w:rPr>
        <w:t>700.67</w:t>
      </w:r>
      <w:r>
        <w:rPr>
          <w:rFonts w:hint="default" w:ascii="Times New Roman" w:hAnsi="Times New Roman" w:eastAsia="宋体" w:cs="Times New Roman"/>
          <w:color w:val="auto"/>
        </w:rPr>
        <w:t>t/a。根据《国家危险废物名录（202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年版）》，本工程产生的含油污泥属危险废物，废物类别为HW08废矿物油与含矿物油废物，危废代码为071-001-08。含油污泥</w:t>
      </w:r>
      <w:r>
        <w:rPr>
          <w:rFonts w:hint="default" w:ascii="Times New Roman" w:hAnsi="Times New Roman" w:eastAsia="宋体" w:cs="Times New Roman"/>
          <w:color w:val="auto"/>
          <w:kern w:val="0"/>
          <w:sz w:val="24"/>
          <w:szCs w:val="24"/>
          <w:lang w:val="en-US" w:eastAsia="zh-CN" w:bidi="ar"/>
        </w:rPr>
        <w:t>暂存至</w:t>
      </w:r>
      <w:r>
        <w:rPr>
          <w:rFonts w:hint="eastAsia" w:ascii="Times New Roman" w:hAnsi="Times New Roman" w:eastAsia="宋体" w:cs="Times New Roman"/>
          <w:color w:val="auto"/>
          <w:kern w:val="0"/>
          <w:sz w:val="24"/>
          <w:szCs w:val="24"/>
          <w:lang w:val="en-US" w:eastAsia="zh-CN" w:bidi="ar"/>
        </w:rPr>
        <w:t>百联站含油污泥存放点</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定期</w:t>
      </w:r>
      <w:r>
        <w:rPr>
          <w:rFonts w:hint="default" w:ascii="Times New Roman" w:hAnsi="Times New Roman" w:eastAsia="宋体" w:cs="Times New Roman"/>
          <w:color w:val="auto"/>
        </w:rPr>
        <w:t>委托克拉玛依</w:t>
      </w:r>
      <w:r>
        <w:rPr>
          <w:rFonts w:hint="eastAsia" w:ascii="Times New Roman" w:hAnsi="Times New Roman" w:eastAsia="宋体" w:cs="Times New Roman"/>
          <w:color w:val="auto"/>
          <w:lang w:val="en-US" w:eastAsia="zh-CN"/>
        </w:rPr>
        <w:t>顺通</w:t>
      </w:r>
      <w:r>
        <w:rPr>
          <w:rFonts w:hint="default" w:ascii="Times New Roman" w:hAnsi="Times New Roman" w:eastAsia="宋体" w:cs="Times New Roman"/>
          <w:color w:val="auto"/>
        </w:rPr>
        <w:t>环保科技有限责任公司处置。</w:t>
      </w:r>
    </w:p>
    <w:p w14:paraId="6D861BA0">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（2）落地原油</w:t>
      </w:r>
    </w:p>
    <w:p w14:paraId="67DA4D9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cstheme="minorBidi"/>
          <w:color w:val="auto"/>
          <w:kern w:val="2"/>
          <w:sz w:val="24"/>
          <w:szCs w:val="24"/>
          <w:lang w:val="en-US" w:eastAsia="zh-CN" w:bidi="ar-SA"/>
        </w:rPr>
        <w:t>运营</w:t>
      </w:r>
      <w:r>
        <w:rPr>
          <w:rFonts w:hint="eastAsia" w:ascii="Times New Roman" w:hAnsi="Times New Roman" w:eastAsia="宋体" w:cstheme="minorBidi"/>
          <w:color w:val="auto"/>
          <w:kern w:val="2"/>
          <w:sz w:val="24"/>
          <w:szCs w:val="24"/>
          <w:lang w:val="en-US" w:eastAsia="zh-CN" w:bidi="ar-SA"/>
        </w:rPr>
        <w:t>期修井作业往往会有部分原油散落在井场成为落地油，其量受修井作业频次、方式及管理水平等因素的影响而差异较大。根据现场调查，现有油井修井周期为两年1次，每口井每次产生落地油0.02t，本项目新增产能油井数量为10口，则落地油产生量为0.1t/a，根据《国家危险废物名录（2025年版）</w:t>
      </w:r>
      <w:r>
        <w:rPr>
          <w:rFonts w:hint="eastAsia" w:cstheme="minorBidi"/>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危险废物环境管理指南 陆上石油天然气开采》，落地油属于危险废物，危废类别：HW08废矿物油与含矿物油废物，废物代码：071-001-08。百口泉采油厂井下作业时采用“铺设作业、带罐上岗”的模式，落地油100%回收</w:t>
      </w:r>
      <w:r>
        <w:rPr>
          <w:rFonts w:hint="eastAsia" w:ascii="Times New Roman" w:hAnsi="Times New Roman" w:eastAsia="宋体" w:cstheme="minorBidi"/>
          <w:color w:val="auto"/>
          <w:kern w:val="2"/>
          <w:sz w:val="24"/>
          <w:szCs w:val="24"/>
          <w:lang w:val="en-US" w:eastAsia="zh" w:bidi="ar-SA"/>
        </w:rPr>
        <w:t>。</w:t>
      </w:r>
    </w:p>
    <w:p w14:paraId="4AEB978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cstheme="minorBidi"/>
          <w:color w:val="auto"/>
          <w:kern w:val="2"/>
          <w:sz w:val="24"/>
          <w:szCs w:val="24"/>
          <w:lang w:val="en-US" w:eastAsia="zh-CN" w:bidi="ar-SA"/>
        </w:rPr>
        <w:t>（3）沾油废物</w:t>
      </w:r>
    </w:p>
    <w:p w14:paraId="32BE2BC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运营期设备维护及修井作业产生的废防渗布，产生量约1.2t/a，根据《国家危险废物名录（2025年版）</w:t>
      </w:r>
      <w:r>
        <w:rPr>
          <w:rFonts w:hint="eastAsia" w:cstheme="minorBidi"/>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危险废物环境管理指南 陆上石油天然气开采》，废防渗布属于危险废物，危废类别：HW08废矿物油与含矿物油废物，废物代码：900-249-08。废防渗布收集后送至百联站危险废物储存场暂存，定期交有资质单位</w:t>
      </w:r>
      <w:r>
        <w:rPr>
          <w:rFonts w:hint="eastAsia" w:ascii="Times New Roman" w:hAnsi="Times New Roman" w:eastAsia="宋体" w:cstheme="minorBidi"/>
          <w:color w:val="auto"/>
          <w:kern w:val="2"/>
          <w:sz w:val="24"/>
          <w:szCs w:val="24"/>
          <w:lang w:val="en-US" w:eastAsia="zh" w:bidi="ar-SA"/>
        </w:rPr>
        <w:t>合理</w:t>
      </w:r>
      <w:r>
        <w:rPr>
          <w:rFonts w:hint="eastAsia" w:ascii="Times New Roman" w:hAnsi="Times New Roman" w:eastAsia="宋体" w:cstheme="minorBidi"/>
          <w:color w:val="auto"/>
          <w:kern w:val="2"/>
          <w:sz w:val="24"/>
          <w:szCs w:val="24"/>
          <w:lang w:val="en-US" w:eastAsia="zh-CN" w:bidi="ar-SA"/>
        </w:rPr>
        <w:t>处置。</w:t>
      </w:r>
    </w:p>
    <w:p w14:paraId="226E9587">
      <w:pPr>
        <w:pStyle w:val="11"/>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5、非正常排放</w:t>
      </w:r>
    </w:p>
    <w:p w14:paraId="545F6077">
      <w:pPr>
        <w:pStyle w:val="3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非正常排放指生产过程中开停车（工、炉）、设备检修、工艺设备运转异常等非正常工况下的污染物排放，以及污染物排放控制措施达不到应有效率等情况下的排放，需做安全处理。在无严格控制措施或污染控制措施失效的情况下，污染物的非正常排放往往成为环境污染的重要因素。本项目依托采出水处理系统的联合站等均设有缓冲水罐、事故水罐等，确保检修或工艺设备、环保设置运转异常情况下废水不外排，因此本项目非正常排放主要为井场洗井修井产生的非正常排放。</w:t>
      </w:r>
    </w:p>
    <w:p w14:paraId="42848E54">
      <w:pPr>
        <w:pStyle w:val="3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产建工程产生的伴生气通过伴生气回收处理后主要用于新建站场和依托站场加热炉燃料，或直接在站场分离的伴生气外输，各站场设有火炬，在设备检修、系统超压等情况下，将管道中伴生气引至火炬，点火放喷，降低污染物排放对环境的不良影响，降低环境风险。事故放空量一般为伴生气产生量的1</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，即最大伴生气事故排放量约为0.622×10</w:t>
      </w:r>
      <w:r>
        <w:rPr>
          <w:rFonts w:hint="eastAsia" w:ascii="Times New Roman" w:hAnsi="Times New Roman" w:eastAsia="宋体" w:cstheme="minorBidi"/>
          <w:color w:val="auto"/>
          <w:kern w:val="2"/>
          <w:sz w:val="24"/>
          <w:szCs w:val="24"/>
          <w:vertAlign w:val="superscript"/>
          <w:lang w:val="en-US" w:eastAsia="zh-CN" w:bidi="ar-SA"/>
        </w:rPr>
        <w:t>4</w:t>
      </w:r>
      <w:r>
        <w:rPr>
          <w:rFonts w:hint="eastAsia" w:ascii="Times New Roman" w:hAnsi="Times New Roman" w:eastAsia="宋体" w:cstheme="minorBidi"/>
          <w:color w:val="auto"/>
          <w:kern w:val="2"/>
          <w:sz w:val="24"/>
          <w:szCs w:val="24"/>
          <w:lang w:val="en-US" w:eastAsia="zh-CN" w:bidi="ar-SA"/>
        </w:rPr>
        <w:t>m</w:t>
      </w:r>
      <w:r>
        <w:rPr>
          <w:rFonts w:hint="eastAsia" w:ascii="Times New Roman" w:hAnsi="Times New Roman" w:eastAsia="宋体" w:cstheme="minorBidi"/>
          <w:color w:val="auto"/>
          <w:kern w:val="2"/>
          <w:sz w:val="24"/>
          <w:szCs w:val="24"/>
          <w:vertAlign w:val="superscript"/>
          <w:lang w:val="en-US" w:eastAsia="zh-CN" w:bidi="ar-SA"/>
        </w:rPr>
        <w:t>3</w:t>
      </w:r>
      <w:r>
        <w:rPr>
          <w:rFonts w:hint="eastAsia" w:ascii="Times New Roman" w:hAnsi="Times New Roman" w:eastAsia="宋体" w:cstheme="minorBidi"/>
          <w:color w:val="auto"/>
          <w:kern w:val="2"/>
          <w:sz w:val="24"/>
          <w:szCs w:val="24"/>
          <w:lang w:val="en-US" w:eastAsia="zh-CN" w:bidi="ar-SA"/>
        </w:rPr>
        <w:t>/a，处理方式为火炬燃烧高空排放，火炬都是分散在各个站场，因此对评价区环境影响程度轻微。</w:t>
      </w:r>
    </w:p>
    <w:p w14:paraId="63F9987D">
      <w:pPr>
        <w:pStyle w:val="6"/>
        <w:bidi w:val="0"/>
        <w:rPr>
          <w:rFonts w:hint="default"/>
          <w:color w:val="auto"/>
          <w:lang w:val="en-US" w:eastAsia="zh-CN"/>
        </w:rPr>
      </w:pPr>
      <w:r>
        <w:rPr>
          <w:rFonts w:hint="eastAsia"/>
          <w:color w:val="auto"/>
          <w:lang w:val="en-US" w:eastAsia="zh-CN"/>
        </w:rPr>
        <w:t>3.9.3.3退役期污染源核算</w:t>
      </w:r>
    </w:p>
    <w:p w14:paraId="73ACC64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随着油田开采的不断进行，其储量逐渐下降，最终油田将进入退役期。油井停采后将进行一系列清理工作，包括地面设施拆除、封井、井场清理等，将会产生少量扬尘、噪声和固体废物，因此，在闭井施工操作中应注意采取降尘措施；同时油井在废弃阶段如果井口封闭不严，可能出现烃类气体泄漏，封井应采用水泥全井封固。退役期要将产生的固体废物集中进行收集，分类处理。</w:t>
      </w:r>
    </w:p>
    <w:p w14:paraId="5B2B5568">
      <w:pPr>
        <w:pStyle w:val="6"/>
        <w:bidi w:val="0"/>
        <w:rPr>
          <w:rFonts w:hint="default"/>
          <w:color w:val="auto"/>
          <w:lang w:val="en-US" w:eastAsia="zh-CN"/>
        </w:rPr>
      </w:pPr>
      <w:r>
        <w:rPr>
          <w:rFonts w:hint="eastAsia"/>
          <w:color w:val="auto"/>
          <w:lang w:val="en-US" w:eastAsia="zh-CN"/>
        </w:rPr>
        <w:t>3.9.3.4本工程“三废”排放情况统计</w:t>
      </w:r>
    </w:p>
    <w:p w14:paraId="14586EEA">
      <w:pPr>
        <w:pStyle w:val="33"/>
        <w:bidi w:val="0"/>
        <w:rPr>
          <w:color w:val="auto"/>
        </w:rPr>
      </w:pPr>
      <w:r>
        <w:rPr>
          <w:color w:val="auto"/>
        </w:rPr>
        <w:t>本项目施工期、</w:t>
      </w:r>
      <w:r>
        <w:rPr>
          <w:rFonts w:hint="eastAsia"/>
          <w:color w:val="auto"/>
          <w:lang w:eastAsia="zh-CN"/>
        </w:rPr>
        <w:t>运营</w:t>
      </w:r>
      <w:r>
        <w:rPr>
          <w:color w:val="auto"/>
        </w:rPr>
        <w:t>期三废排放情况汇总见</w:t>
      </w:r>
      <w:r>
        <w:rPr>
          <w:color w:val="auto"/>
        </w:rPr>
        <w:fldChar w:fldCharType="begin"/>
      </w:r>
      <w:r>
        <w:rPr>
          <w:color w:val="auto"/>
        </w:rPr>
        <w:instrText xml:space="preserve"> REF _Ref107935488 \h  \* MERGEFORMAT </w:instrText>
      </w:r>
      <w:r>
        <w:rPr>
          <w:color w:val="auto"/>
        </w:rPr>
        <w:fldChar w:fldCharType="separate"/>
      </w:r>
      <w:r>
        <w:rPr>
          <w:color w:val="auto"/>
        </w:rPr>
        <w:t>表</w:t>
      </w:r>
      <w:r>
        <w:rPr>
          <w:rFonts w:hint="eastAsia"/>
          <w:color w:val="auto"/>
          <w:lang w:val="en-US" w:eastAsia="zh-CN"/>
        </w:rPr>
        <w:t>3</w:t>
      </w:r>
      <w:r>
        <w:rPr>
          <w:color w:val="auto"/>
        </w:rPr>
        <w:fldChar w:fldCharType="end"/>
      </w:r>
      <w:r>
        <w:rPr>
          <w:rFonts w:hint="eastAsia"/>
          <w:color w:val="auto"/>
          <w:lang w:val="en-US" w:eastAsia="zh-CN"/>
        </w:rPr>
        <w:t>.9-9</w:t>
      </w:r>
      <w:r>
        <w:rPr>
          <w:color w:val="auto"/>
        </w:rPr>
        <w:t>、</w:t>
      </w:r>
      <w:r>
        <w:rPr>
          <w:color w:val="auto"/>
        </w:rPr>
        <w:fldChar w:fldCharType="begin"/>
      </w:r>
      <w:r>
        <w:rPr>
          <w:color w:val="auto"/>
        </w:rPr>
        <w:instrText xml:space="preserve"> REF _Ref107935491 \h  \* MERGEFORMAT </w:instrText>
      </w:r>
      <w:r>
        <w:rPr>
          <w:color w:val="auto"/>
        </w:rPr>
        <w:fldChar w:fldCharType="separate"/>
      </w:r>
      <w:r>
        <w:rPr>
          <w:color w:val="auto"/>
        </w:rPr>
        <w:t>表</w:t>
      </w:r>
      <w:r>
        <w:rPr>
          <w:rFonts w:hint="eastAsia"/>
          <w:color w:val="auto"/>
          <w:lang w:val="en-US" w:eastAsia="zh-CN"/>
        </w:rPr>
        <w:t>3</w:t>
      </w:r>
      <w:r>
        <w:rPr>
          <w:color w:val="auto"/>
        </w:rPr>
        <w:fldChar w:fldCharType="end"/>
      </w:r>
      <w:r>
        <w:rPr>
          <w:rFonts w:hint="eastAsia"/>
          <w:color w:val="auto"/>
          <w:lang w:val="en-US" w:eastAsia="zh-CN"/>
        </w:rPr>
        <w:t>.9-10</w:t>
      </w:r>
      <w:r>
        <w:rPr>
          <w:color w:val="auto"/>
        </w:rPr>
        <w:t>。</w:t>
      </w:r>
    </w:p>
    <w:p w14:paraId="122FCF67">
      <w:pPr>
        <w:pStyle w:val="43"/>
        <w:bidi w:val="0"/>
        <w:rPr>
          <w:rFonts w:cs="Times New Roman"/>
          <w:color w:val="auto"/>
        </w:rPr>
      </w:pPr>
      <w:bookmarkStart w:id="177" w:name="_Ref107935488"/>
      <w:r>
        <w:rPr>
          <w:color w:val="auto"/>
        </w:rPr>
        <w:t>表</w:t>
      </w:r>
      <w:bookmarkEnd w:id="177"/>
      <w:r>
        <w:rPr>
          <w:rFonts w:hint="eastAsia"/>
          <w:color w:val="auto"/>
          <w:lang w:val="en-US" w:eastAsia="zh-CN"/>
        </w:rPr>
        <w:t>3.9-9</w:t>
      </w:r>
      <w:r>
        <w:rPr>
          <w:color w:val="auto"/>
        </w:rPr>
        <w:t xml:space="preserve">  项目施工期污染物产生及排放情况一览表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674"/>
        <w:gridCol w:w="1335"/>
        <w:gridCol w:w="1380"/>
        <w:gridCol w:w="1110"/>
        <w:gridCol w:w="2596"/>
      </w:tblGrid>
      <w:tr w14:paraId="15BB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72813542">
            <w:pPr>
              <w:pStyle w:val="44"/>
              <w:keepNext w:val="0"/>
              <w:keepLines w:val="0"/>
              <w:pageBreakBefore w:val="0"/>
              <w:widowControl/>
              <w:kinsoku/>
              <w:wordWrap/>
              <w:overflowPunct/>
              <w:topLinePunct w:val="0"/>
              <w:autoSpaceDE/>
              <w:autoSpaceDN/>
              <w:bidi w:val="0"/>
              <w:adjustRightInd/>
              <w:snapToGrid/>
              <w:jc w:val="center"/>
              <w:textAlignment w:val="auto"/>
              <w:rPr>
                <w:b/>
                <w:bCs/>
                <w:color w:val="auto"/>
              </w:rPr>
            </w:pPr>
            <w:bookmarkStart w:id="178" w:name="_Ref107935491"/>
            <w:r>
              <w:rPr>
                <w:rFonts w:hint="default"/>
                <w:b/>
                <w:bCs/>
                <w:color w:val="auto"/>
              </w:rPr>
              <w:t>类型</w:t>
            </w:r>
          </w:p>
        </w:tc>
        <w:tc>
          <w:tcPr>
            <w:tcW w:w="1674" w:type="dxa"/>
            <w:vAlign w:val="center"/>
          </w:tcPr>
          <w:p w14:paraId="19236282">
            <w:pPr>
              <w:pStyle w:val="44"/>
              <w:keepNext w:val="0"/>
              <w:keepLines w:val="0"/>
              <w:pageBreakBefore w:val="0"/>
              <w:widowControl/>
              <w:kinsoku/>
              <w:wordWrap/>
              <w:overflowPunct/>
              <w:topLinePunct w:val="0"/>
              <w:autoSpaceDE/>
              <w:autoSpaceDN/>
              <w:bidi w:val="0"/>
              <w:adjustRightInd/>
              <w:snapToGrid/>
              <w:jc w:val="center"/>
              <w:textAlignment w:val="auto"/>
              <w:rPr>
                <w:b/>
                <w:bCs/>
                <w:color w:val="auto"/>
              </w:rPr>
            </w:pPr>
            <w:r>
              <w:rPr>
                <w:rFonts w:hint="default"/>
                <w:b/>
                <w:bCs/>
                <w:color w:val="auto"/>
              </w:rPr>
              <w:t>产污环节</w:t>
            </w:r>
          </w:p>
        </w:tc>
        <w:tc>
          <w:tcPr>
            <w:tcW w:w="1335" w:type="dxa"/>
            <w:vAlign w:val="center"/>
          </w:tcPr>
          <w:p w14:paraId="23ED33CD">
            <w:pPr>
              <w:pStyle w:val="44"/>
              <w:keepNext w:val="0"/>
              <w:keepLines w:val="0"/>
              <w:pageBreakBefore w:val="0"/>
              <w:widowControl/>
              <w:kinsoku/>
              <w:wordWrap/>
              <w:overflowPunct/>
              <w:topLinePunct w:val="0"/>
              <w:autoSpaceDE/>
              <w:autoSpaceDN/>
              <w:bidi w:val="0"/>
              <w:adjustRightInd/>
              <w:snapToGrid/>
              <w:jc w:val="center"/>
              <w:textAlignment w:val="auto"/>
              <w:rPr>
                <w:b/>
                <w:bCs/>
                <w:color w:val="auto"/>
              </w:rPr>
            </w:pPr>
            <w:r>
              <w:rPr>
                <w:rFonts w:hint="default"/>
                <w:b/>
                <w:bCs/>
                <w:color w:val="auto"/>
              </w:rPr>
              <w:t>污染物</w:t>
            </w:r>
          </w:p>
        </w:tc>
        <w:tc>
          <w:tcPr>
            <w:tcW w:w="1380" w:type="dxa"/>
            <w:vAlign w:val="center"/>
          </w:tcPr>
          <w:p w14:paraId="3A50C292">
            <w:pPr>
              <w:pStyle w:val="44"/>
              <w:keepNext w:val="0"/>
              <w:keepLines w:val="0"/>
              <w:pageBreakBefore w:val="0"/>
              <w:widowControl/>
              <w:kinsoku/>
              <w:wordWrap/>
              <w:overflowPunct/>
              <w:topLinePunct w:val="0"/>
              <w:autoSpaceDE/>
              <w:autoSpaceDN/>
              <w:bidi w:val="0"/>
              <w:adjustRightInd/>
              <w:snapToGrid/>
              <w:jc w:val="center"/>
              <w:textAlignment w:val="auto"/>
              <w:rPr>
                <w:b/>
                <w:bCs/>
                <w:color w:val="auto"/>
              </w:rPr>
            </w:pPr>
            <w:r>
              <w:rPr>
                <w:rFonts w:hint="default"/>
                <w:b/>
                <w:bCs/>
                <w:color w:val="auto"/>
              </w:rPr>
              <w:t>产生情况</w:t>
            </w:r>
          </w:p>
        </w:tc>
        <w:tc>
          <w:tcPr>
            <w:tcW w:w="1110" w:type="dxa"/>
            <w:vAlign w:val="center"/>
          </w:tcPr>
          <w:p w14:paraId="2A679787">
            <w:pPr>
              <w:pStyle w:val="44"/>
              <w:keepNext w:val="0"/>
              <w:keepLines w:val="0"/>
              <w:pageBreakBefore w:val="0"/>
              <w:widowControl/>
              <w:kinsoku/>
              <w:wordWrap/>
              <w:overflowPunct/>
              <w:topLinePunct w:val="0"/>
              <w:autoSpaceDE/>
              <w:autoSpaceDN/>
              <w:bidi w:val="0"/>
              <w:adjustRightInd/>
              <w:snapToGrid/>
              <w:jc w:val="center"/>
              <w:textAlignment w:val="auto"/>
              <w:rPr>
                <w:b/>
                <w:bCs/>
                <w:color w:val="auto"/>
              </w:rPr>
            </w:pPr>
            <w:r>
              <w:rPr>
                <w:rFonts w:hint="default"/>
                <w:b/>
                <w:bCs/>
                <w:color w:val="auto"/>
              </w:rPr>
              <w:t>排放情况</w:t>
            </w:r>
          </w:p>
        </w:tc>
        <w:tc>
          <w:tcPr>
            <w:tcW w:w="2596" w:type="dxa"/>
            <w:vAlign w:val="center"/>
          </w:tcPr>
          <w:p w14:paraId="3E17EB71">
            <w:pPr>
              <w:pStyle w:val="44"/>
              <w:keepNext w:val="0"/>
              <w:keepLines w:val="0"/>
              <w:pageBreakBefore w:val="0"/>
              <w:widowControl/>
              <w:kinsoku/>
              <w:wordWrap/>
              <w:overflowPunct/>
              <w:topLinePunct w:val="0"/>
              <w:autoSpaceDE/>
              <w:autoSpaceDN/>
              <w:bidi w:val="0"/>
              <w:adjustRightInd/>
              <w:snapToGrid/>
              <w:jc w:val="center"/>
              <w:textAlignment w:val="auto"/>
              <w:rPr>
                <w:b/>
                <w:bCs/>
                <w:color w:val="auto"/>
              </w:rPr>
            </w:pPr>
            <w:r>
              <w:rPr>
                <w:rFonts w:hint="default"/>
                <w:b/>
                <w:bCs/>
                <w:color w:val="auto"/>
              </w:rPr>
              <w:t>处理措施及去向</w:t>
            </w:r>
          </w:p>
        </w:tc>
      </w:tr>
      <w:tr w14:paraId="2C31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14:paraId="7CAFB994">
            <w:pPr>
              <w:bidi w:val="0"/>
              <w:jc w:val="center"/>
              <w:rPr>
                <w:rFonts w:hint="eastAsia" w:eastAsia="宋体"/>
                <w:color w:val="auto"/>
                <w:lang w:val="en-US" w:eastAsia="zh-CN"/>
              </w:rPr>
            </w:pPr>
            <w:r>
              <w:rPr>
                <w:rFonts w:hint="eastAsia"/>
                <w:color w:val="auto"/>
                <w:lang w:val="en-US" w:eastAsia="zh-CN"/>
              </w:rPr>
              <w:t>废气</w:t>
            </w:r>
          </w:p>
        </w:tc>
        <w:tc>
          <w:tcPr>
            <w:tcW w:w="1674" w:type="dxa"/>
            <w:shd w:val="clear" w:color="auto" w:fill="auto"/>
            <w:vAlign w:val="center"/>
          </w:tcPr>
          <w:p w14:paraId="74F7C5A6">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施工扬尘</w:t>
            </w:r>
          </w:p>
        </w:tc>
        <w:tc>
          <w:tcPr>
            <w:tcW w:w="1335" w:type="dxa"/>
            <w:shd w:val="clear" w:color="auto" w:fill="auto"/>
            <w:vAlign w:val="center"/>
          </w:tcPr>
          <w:p w14:paraId="677D2380">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颗粒物</w:t>
            </w:r>
          </w:p>
        </w:tc>
        <w:tc>
          <w:tcPr>
            <w:tcW w:w="1380" w:type="dxa"/>
            <w:shd w:val="clear" w:color="auto" w:fill="auto"/>
            <w:vAlign w:val="center"/>
          </w:tcPr>
          <w:p w14:paraId="6FCE7776">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少量</w:t>
            </w:r>
          </w:p>
        </w:tc>
        <w:tc>
          <w:tcPr>
            <w:tcW w:w="1110" w:type="dxa"/>
            <w:shd w:val="clear" w:color="auto" w:fill="auto"/>
            <w:vAlign w:val="center"/>
          </w:tcPr>
          <w:p w14:paraId="5DF6979E">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少量</w:t>
            </w:r>
          </w:p>
        </w:tc>
        <w:tc>
          <w:tcPr>
            <w:tcW w:w="2596" w:type="dxa"/>
            <w:shd w:val="clear" w:color="auto" w:fill="auto"/>
            <w:vAlign w:val="center"/>
          </w:tcPr>
          <w:p w14:paraId="671E3615">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运输车辆加盖篷布、作业场地保持一定湿度等</w:t>
            </w:r>
          </w:p>
        </w:tc>
      </w:tr>
      <w:tr w14:paraId="35E2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11A1C76C">
            <w:pPr>
              <w:bidi w:val="0"/>
              <w:jc w:val="center"/>
              <w:rPr>
                <w:color w:val="auto"/>
              </w:rPr>
            </w:pPr>
          </w:p>
        </w:tc>
        <w:tc>
          <w:tcPr>
            <w:tcW w:w="1674" w:type="dxa"/>
            <w:vMerge w:val="restart"/>
            <w:shd w:val="clear" w:color="auto" w:fill="auto"/>
            <w:vAlign w:val="center"/>
          </w:tcPr>
          <w:p w14:paraId="3A7B265C">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施工机械和运输车辆尾气</w:t>
            </w:r>
          </w:p>
        </w:tc>
        <w:tc>
          <w:tcPr>
            <w:tcW w:w="1335" w:type="dxa"/>
            <w:shd w:val="clear" w:color="auto" w:fill="auto"/>
            <w:vAlign w:val="center"/>
          </w:tcPr>
          <w:p w14:paraId="655D7A53">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烃类</w:t>
            </w:r>
          </w:p>
        </w:tc>
        <w:tc>
          <w:tcPr>
            <w:tcW w:w="1380" w:type="dxa"/>
            <w:shd w:val="clear" w:color="auto" w:fill="auto"/>
            <w:vAlign w:val="center"/>
          </w:tcPr>
          <w:p w14:paraId="5A0D4F2D">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0.5kg/d</w:t>
            </w:r>
          </w:p>
        </w:tc>
        <w:tc>
          <w:tcPr>
            <w:tcW w:w="1110" w:type="dxa"/>
            <w:shd w:val="clear" w:color="auto" w:fill="auto"/>
            <w:vAlign w:val="center"/>
          </w:tcPr>
          <w:p w14:paraId="015E8D61">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0.5kg/d</w:t>
            </w:r>
          </w:p>
        </w:tc>
        <w:tc>
          <w:tcPr>
            <w:tcW w:w="2596" w:type="dxa"/>
            <w:vMerge w:val="restart"/>
            <w:shd w:val="clear" w:color="auto" w:fill="auto"/>
            <w:vAlign w:val="center"/>
          </w:tcPr>
          <w:p w14:paraId="13C1F0F5">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采用污染物指标符合国家标准且低含硫量的优质柴油</w:t>
            </w:r>
          </w:p>
        </w:tc>
      </w:tr>
      <w:tr w14:paraId="24C4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608A6174">
            <w:pPr>
              <w:bidi w:val="0"/>
              <w:jc w:val="center"/>
              <w:rPr>
                <w:color w:val="auto"/>
              </w:rPr>
            </w:pPr>
          </w:p>
        </w:tc>
        <w:tc>
          <w:tcPr>
            <w:tcW w:w="1674" w:type="dxa"/>
            <w:vMerge w:val="continue"/>
            <w:vAlign w:val="center"/>
          </w:tcPr>
          <w:p w14:paraId="2DCA6E42">
            <w:pPr>
              <w:keepNext w:val="0"/>
              <w:keepLines w:val="0"/>
              <w:pageBreakBefore w:val="0"/>
              <w:widowControl/>
              <w:kinsoku/>
              <w:wordWrap/>
              <w:overflowPunct/>
              <w:topLinePunct w:val="0"/>
              <w:autoSpaceDE/>
              <w:autoSpaceDN/>
              <w:bidi w:val="0"/>
              <w:adjustRightInd/>
              <w:snapToGrid/>
              <w:jc w:val="center"/>
              <w:textAlignment w:val="auto"/>
              <w:rPr>
                <w:color w:val="auto"/>
              </w:rPr>
            </w:pPr>
          </w:p>
        </w:tc>
        <w:tc>
          <w:tcPr>
            <w:tcW w:w="1335" w:type="dxa"/>
            <w:shd w:val="clear" w:color="auto" w:fill="auto"/>
            <w:vAlign w:val="center"/>
          </w:tcPr>
          <w:p w14:paraId="1B7435DB">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NOx</w:t>
            </w:r>
          </w:p>
        </w:tc>
        <w:tc>
          <w:tcPr>
            <w:tcW w:w="1380" w:type="dxa"/>
            <w:shd w:val="clear" w:color="auto" w:fill="auto"/>
            <w:vAlign w:val="center"/>
          </w:tcPr>
          <w:p w14:paraId="3DD88E5C">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0.68</w:t>
            </w:r>
            <w:r>
              <w:rPr>
                <w:rFonts w:hint="default"/>
                <w:color w:val="auto"/>
              </w:rPr>
              <w:t>kg/d</w:t>
            </w:r>
          </w:p>
        </w:tc>
        <w:tc>
          <w:tcPr>
            <w:tcW w:w="1110" w:type="dxa"/>
            <w:shd w:val="clear" w:color="auto" w:fill="auto"/>
            <w:vAlign w:val="center"/>
          </w:tcPr>
          <w:p w14:paraId="75A50102">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0.68</w:t>
            </w:r>
            <w:r>
              <w:rPr>
                <w:rFonts w:hint="default"/>
                <w:color w:val="auto"/>
              </w:rPr>
              <w:t>kg/d</w:t>
            </w:r>
          </w:p>
        </w:tc>
        <w:tc>
          <w:tcPr>
            <w:tcW w:w="2596" w:type="dxa"/>
            <w:vMerge w:val="continue"/>
            <w:vAlign w:val="center"/>
          </w:tcPr>
          <w:p w14:paraId="0C78C5F6">
            <w:pPr>
              <w:keepNext w:val="0"/>
              <w:keepLines w:val="0"/>
              <w:pageBreakBefore w:val="0"/>
              <w:widowControl/>
              <w:kinsoku/>
              <w:wordWrap/>
              <w:overflowPunct/>
              <w:topLinePunct w:val="0"/>
              <w:autoSpaceDE/>
              <w:autoSpaceDN/>
              <w:bidi w:val="0"/>
              <w:adjustRightInd/>
              <w:snapToGrid/>
              <w:jc w:val="center"/>
              <w:textAlignment w:val="auto"/>
              <w:rPr>
                <w:color w:val="auto"/>
              </w:rPr>
            </w:pPr>
          </w:p>
        </w:tc>
      </w:tr>
      <w:tr w14:paraId="30E0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10992325">
            <w:pPr>
              <w:bidi w:val="0"/>
              <w:jc w:val="center"/>
              <w:rPr>
                <w:color w:val="auto"/>
              </w:rPr>
            </w:pPr>
          </w:p>
        </w:tc>
        <w:tc>
          <w:tcPr>
            <w:tcW w:w="1674" w:type="dxa"/>
            <w:shd w:val="clear" w:color="auto" w:fill="auto"/>
            <w:vAlign w:val="center"/>
          </w:tcPr>
          <w:p w14:paraId="2153924F">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焊接烟气</w:t>
            </w:r>
          </w:p>
        </w:tc>
        <w:tc>
          <w:tcPr>
            <w:tcW w:w="1335" w:type="dxa"/>
            <w:shd w:val="clear" w:color="auto" w:fill="auto"/>
            <w:vAlign w:val="center"/>
          </w:tcPr>
          <w:p w14:paraId="5496221E">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eastAsia="宋体"/>
                <w:color w:val="auto"/>
                <w:lang w:val="en-US" w:eastAsia="zh-CN"/>
              </w:rPr>
              <w:t>Fe</w:t>
            </w:r>
            <w:r>
              <w:rPr>
                <w:rFonts w:hint="default" w:eastAsia="宋体"/>
                <w:color w:val="auto"/>
                <w:vertAlign w:val="subscript"/>
                <w:lang w:val="en-US" w:eastAsia="zh-CN"/>
              </w:rPr>
              <w:t>2</w:t>
            </w:r>
            <w:r>
              <w:rPr>
                <w:rFonts w:hint="default" w:eastAsia="宋体"/>
                <w:color w:val="auto"/>
                <w:lang w:val="en-US" w:eastAsia="zh-CN"/>
              </w:rPr>
              <w:t>O</w:t>
            </w:r>
            <w:r>
              <w:rPr>
                <w:rFonts w:hint="default" w:eastAsia="宋体"/>
                <w:color w:val="auto"/>
                <w:vertAlign w:val="subscript"/>
                <w:lang w:val="en-US" w:eastAsia="zh-CN"/>
              </w:rPr>
              <w:t>3</w:t>
            </w:r>
            <w:r>
              <w:rPr>
                <w:rFonts w:hint="default" w:eastAsia="宋体"/>
                <w:color w:val="auto"/>
                <w:lang w:val="en-US" w:eastAsia="zh-CN"/>
              </w:rPr>
              <w:t>、MnO</w:t>
            </w:r>
            <w:r>
              <w:rPr>
                <w:rFonts w:hint="default" w:eastAsia="宋体"/>
                <w:color w:val="auto"/>
                <w:vertAlign w:val="subscript"/>
                <w:lang w:val="en-US" w:eastAsia="zh-CN"/>
              </w:rPr>
              <w:t>2</w:t>
            </w:r>
            <w:r>
              <w:rPr>
                <w:rFonts w:hint="default" w:eastAsia="宋体"/>
                <w:color w:val="auto"/>
                <w:lang w:val="en-US" w:eastAsia="zh-CN"/>
              </w:rPr>
              <w:t>、CO、NOx、O</w:t>
            </w:r>
            <w:r>
              <w:rPr>
                <w:rFonts w:hint="default" w:eastAsia="宋体"/>
                <w:color w:val="auto"/>
                <w:vertAlign w:val="subscript"/>
                <w:lang w:val="en-US" w:eastAsia="zh-CN"/>
              </w:rPr>
              <w:t>3</w:t>
            </w:r>
          </w:p>
        </w:tc>
        <w:tc>
          <w:tcPr>
            <w:tcW w:w="1380" w:type="dxa"/>
            <w:shd w:val="clear" w:color="auto" w:fill="auto"/>
            <w:vAlign w:val="center"/>
          </w:tcPr>
          <w:p w14:paraId="168AC847">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0.0024t</w:t>
            </w:r>
          </w:p>
        </w:tc>
        <w:tc>
          <w:tcPr>
            <w:tcW w:w="1110" w:type="dxa"/>
            <w:shd w:val="clear" w:color="auto" w:fill="auto"/>
            <w:vAlign w:val="center"/>
          </w:tcPr>
          <w:p w14:paraId="1C4B4BF6">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0.0024t</w:t>
            </w:r>
          </w:p>
        </w:tc>
        <w:tc>
          <w:tcPr>
            <w:tcW w:w="2596" w:type="dxa"/>
            <w:shd w:val="clear" w:color="auto" w:fill="auto"/>
            <w:vAlign w:val="center"/>
          </w:tcPr>
          <w:p w14:paraId="33FB3B98">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无组织挥发</w:t>
            </w:r>
          </w:p>
        </w:tc>
      </w:tr>
      <w:tr w14:paraId="6D92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509AB27D">
            <w:pPr>
              <w:bidi w:val="0"/>
              <w:jc w:val="center"/>
              <w:rPr>
                <w:color w:val="auto"/>
              </w:rPr>
            </w:pPr>
          </w:p>
        </w:tc>
        <w:tc>
          <w:tcPr>
            <w:tcW w:w="1674" w:type="dxa"/>
            <w:shd w:val="clear" w:color="auto" w:fill="auto"/>
            <w:vAlign w:val="center"/>
          </w:tcPr>
          <w:p w14:paraId="077B1C26">
            <w:pPr>
              <w:pStyle w:val="4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防腐废气</w:t>
            </w:r>
          </w:p>
        </w:tc>
        <w:tc>
          <w:tcPr>
            <w:tcW w:w="1335" w:type="dxa"/>
            <w:shd w:val="clear" w:color="auto" w:fill="auto"/>
            <w:vAlign w:val="center"/>
          </w:tcPr>
          <w:p w14:paraId="2187F46C">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非甲烷总烃</w:t>
            </w:r>
          </w:p>
        </w:tc>
        <w:tc>
          <w:tcPr>
            <w:tcW w:w="1380" w:type="dxa"/>
            <w:shd w:val="clear" w:color="auto" w:fill="auto"/>
            <w:vAlign w:val="center"/>
          </w:tcPr>
          <w:p w14:paraId="7602C60C">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0.0004t</w:t>
            </w:r>
          </w:p>
        </w:tc>
        <w:tc>
          <w:tcPr>
            <w:tcW w:w="1110" w:type="dxa"/>
            <w:shd w:val="clear" w:color="auto" w:fill="auto"/>
            <w:vAlign w:val="center"/>
          </w:tcPr>
          <w:p w14:paraId="49AC9B54">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0.0004t</w:t>
            </w:r>
          </w:p>
        </w:tc>
        <w:tc>
          <w:tcPr>
            <w:tcW w:w="2596" w:type="dxa"/>
            <w:shd w:val="clear" w:color="auto" w:fill="auto"/>
            <w:vAlign w:val="center"/>
          </w:tcPr>
          <w:p w14:paraId="1142EBCF">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无组织挥发</w:t>
            </w:r>
          </w:p>
        </w:tc>
      </w:tr>
      <w:tr w14:paraId="300C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14:paraId="619C85AF">
            <w:pPr>
              <w:bidi w:val="0"/>
              <w:jc w:val="center"/>
              <w:rPr>
                <w:rFonts w:hint="eastAsia" w:eastAsia="宋体"/>
                <w:color w:val="auto"/>
                <w:lang w:val="en-US" w:eastAsia="zh-CN"/>
              </w:rPr>
            </w:pPr>
            <w:r>
              <w:rPr>
                <w:rFonts w:hint="eastAsia"/>
                <w:color w:val="auto"/>
                <w:lang w:val="en-US" w:eastAsia="zh-CN"/>
              </w:rPr>
              <w:t>废水</w:t>
            </w:r>
          </w:p>
        </w:tc>
        <w:tc>
          <w:tcPr>
            <w:tcW w:w="1674" w:type="dxa"/>
            <w:shd w:val="clear" w:color="auto" w:fill="auto"/>
            <w:vAlign w:val="center"/>
          </w:tcPr>
          <w:p w14:paraId="3013CF7D">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管道试压废水</w:t>
            </w:r>
          </w:p>
        </w:tc>
        <w:tc>
          <w:tcPr>
            <w:tcW w:w="1335" w:type="dxa"/>
            <w:shd w:val="clear" w:color="auto" w:fill="auto"/>
            <w:vAlign w:val="center"/>
          </w:tcPr>
          <w:p w14:paraId="550934AA">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SS</w:t>
            </w:r>
          </w:p>
        </w:tc>
        <w:tc>
          <w:tcPr>
            <w:tcW w:w="1380" w:type="dxa"/>
            <w:shd w:val="clear" w:color="auto" w:fill="auto"/>
            <w:vAlign w:val="center"/>
          </w:tcPr>
          <w:p w14:paraId="5909B21E">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51.78</w:t>
            </w:r>
            <w:r>
              <w:rPr>
                <w:rFonts w:hint="default"/>
                <w:color w:val="auto"/>
              </w:rPr>
              <w:t>m</w:t>
            </w:r>
            <w:r>
              <w:rPr>
                <w:rFonts w:hint="default"/>
                <w:color w:val="auto"/>
                <w:vertAlign w:val="superscript"/>
              </w:rPr>
              <w:t>3</w:t>
            </w:r>
          </w:p>
        </w:tc>
        <w:tc>
          <w:tcPr>
            <w:tcW w:w="1110" w:type="dxa"/>
            <w:shd w:val="clear" w:color="auto" w:fill="auto"/>
            <w:vAlign w:val="center"/>
          </w:tcPr>
          <w:p w14:paraId="0F0A1A28">
            <w:pPr>
              <w:pStyle w:val="4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w:t>
            </w:r>
          </w:p>
        </w:tc>
        <w:tc>
          <w:tcPr>
            <w:tcW w:w="2596" w:type="dxa"/>
            <w:shd w:val="clear" w:color="auto" w:fill="auto"/>
            <w:vAlign w:val="center"/>
          </w:tcPr>
          <w:p w14:paraId="2C9E38EE">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经</w:t>
            </w:r>
            <w:r>
              <w:rPr>
                <w:rFonts w:hint="eastAsia"/>
                <w:color w:val="auto"/>
                <w:lang w:val="en-US" w:eastAsia="zh-CN"/>
              </w:rPr>
              <w:t>管线输送至百联站采出水</w:t>
            </w:r>
            <w:r>
              <w:rPr>
                <w:rFonts w:hint="default"/>
                <w:color w:val="auto"/>
              </w:rPr>
              <w:t>处理</w:t>
            </w:r>
            <w:r>
              <w:rPr>
                <w:rFonts w:hint="eastAsia"/>
                <w:color w:val="auto"/>
                <w:lang w:val="en-US" w:eastAsia="zh-CN"/>
              </w:rPr>
              <w:t>系统</w:t>
            </w:r>
            <w:r>
              <w:rPr>
                <w:rFonts w:hint="default"/>
                <w:color w:val="auto"/>
              </w:rPr>
              <w:t>处理达标后回注</w:t>
            </w:r>
          </w:p>
        </w:tc>
      </w:tr>
      <w:tr w14:paraId="34A1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68ACF763">
            <w:pPr>
              <w:bidi w:val="0"/>
              <w:jc w:val="center"/>
              <w:rPr>
                <w:color w:val="auto"/>
              </w:rPr>
            </w:pPr>
          </w:p>
        </w:tc>
        <w:tc>
          <w:tcPr>
            <w:tcW w:w="1674" w:type="dxa"/>
            <w:shd w:val="clear" w:color="auto" w:fill="auto"/>
            <w:vAlign w:val="center"/>
          </w:tcPr>
          <w:p w14:paraId="20FDE70B">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施工人员生活污水</w:t>
            </w:r>
          </w:p>
        </w:tc>
        <w:tc>
          <w:tcPr>
            <w:tcW w:w="1335" w:type="dxa"/>
            <w:shd w:val="clear" w:color="auto" w:fill="auto"/>
            <w:vAlign w:val="center"/>
          </w:tcPr>
          <w:p w14:paraId="1034FB71">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color w:val="auto"/>
              </w:rPr>
              <w:t>COD、BOD</w:t>
            </w:r>
            <w:r>
              <w:rPr>
                <w:rFonts w:hint="default"/>
                <w:color w:val="auto"/>
                <w:vertAlign w:val="subscript"/>
              </w:rPr>
              <w:t>5</w:t>
            </w:r>
            <w:r>
              <w:rPr>
                <w:rFonts w:hint="default"/>
                <w:color w:val="auto"/>
              </w:rPr>
              <w:t>氨氮、SS</w:t>
            </w:r>
          </w:p>
        </w:tc>
        <w:tc>
          <w:tcPr>
            <w:tcW w:w="1380" w:type="dxa"/>
            <w:shd w:val="clear" w:color="auto" w:fill="auto"/>
            <w:vAlign w:val="center"/>
          </w:tcPr>
          <w:p w14:paraId="00389671">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72</w:t>
            </w:r>
            <w:r>
              <w:rPr>
                <w:rFonts w:hint="default"/>
                <w:color w:val="auto"/>
              </w:rPr>
              <w:t>m</w:t>
            </w:r>
            <w:r>
              <w:rPr>
                <w:rFonts w:hint="default"/>
                <w:color w:val="auto"/>
                <w:vertAlign w:val="superscript"/>
              </w:rPr>
              <w:t>3</w:t>
            </w:r>
          </w:p>
        </w:tc>
        <w:tc>
          <w:tcPr>
            <w:tcW w:w="1110" w:type="dxa"/>
            <w:shd w:val="clear" w:color="auto" w:fill="auto"/>
            <w:vAlign w:val="center"/>
          </w:tcPr>
          <w:p w14:paraId="1BF9AEB2">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0</w:t>
            </w:r>
          </w:p>
        </w:tc>
        <w:tc>
          <w:tcPr>
            <w:tcW w:w="2596" w:type="dxa"/>
            <w:shd w:val="clear" w:color="auto" w:fill="auto"/>
            <w:vAlign w:val="center"/>
          </w:tcPr>
          <w:p w14:paraId="21B21D9A">
            <w:pPr>
              <w:pStyle w:val="44"/>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施工队建设有生活营地，依托生活营地内既有设施，最终由乌尔禾区生活污水处理厂处理</w:t>
            </w:r>
          </w:p>
        </w:tc>
      </w:tr>
      <w:tr w14:paraId="5A75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14:paraId="320FEEBC">
            <w:pPr>
              <w:bidi w:val="0"/>
              <w:jc w:val="center"/>
              <w:rPr>
                <w:rFonts w:hint="eastAsia" w:eastAsia="宋体"/>
                <w:color w:val="auto"/>
                <w:lang w:val="en-US" w:eastAsia="zh-CN"/>
              </w:rPr>
            </w:pPr>
            <w:r>
              <w:rPr>
                <w:rFonts w:hint="eastAsia"/>
                <w:color w:val="auto"/>
                <w:lang w:val="en-US" w:eastAsia="zh-CN"/>
              </w:rPr>
              <w:t>固体废物</w:t>
            </w:r>
          </w:p>
        </w:tc>
        <w:tc>
          <w:tcPr>
            <w:tcW w:w="3009" w:type="dxa"/>
            <w:gridSpan w:val="2"/>
            <w:shd w:val="clear" w:color="auto" w:fill="auto"/>
            <w:vAlign w:val="center"/>
          </w:tcPr>
          <w:p w14:paraId="2284ABB4">
            <w:pPr>
              <w:pStyle w:val="44"/>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生活垃圾</w:t>
            </w:r>
          </w:p>
        </w:tc>
        <w:tc>
          <w:tcPr>
            <w:tcW w:w="1380" w:type="dxa"/>
            <w:shd w:val="clear" w:color="auto" w:fill="auto"/>
            <w:vAlign w:val="center"/>
          </w:tcPr>
          <w:p w14:paraId="2F512844">
            <w:pPr>
              <w:pStyle w:val="44"/>
              <w:keepNext w:val="0"/>
              <w:keepLines w:val="0"/>
              <w:pageBreakBefore w:val="0"/>
              <w:widowControl/>
              <w:kinsoku/>
              <w:wordWrap/>
              <w:overflowPunct/>
              <w:topLinePunct w:val="0"/>
              <w:autoSpaceDE/>
              <w:autoSpaceDN/>
              <w:bidi w:val="0"/>
              <w:adjustRightInd/>
              <w:snapToGrid/>
              <w:spacing w:after="160"/>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0.9t</w:t>
            </w:r>
          </w:p>
        </w:tc>
        <w:tc>
          <w:tcPr>
            <w:tcW w:w="1110" w:type="dxa"/>
            <w:shd w:val="clear" w:color="auto" w:fill="auto"/>
            <w:vAlign w:val="center"/>
          </w:tcPr>
          <w:p w14:paraId="5262AAF6">
            <w:pPr>
              <w:pStyle w:val="44"/>
              <w:keepNext w:val="0"/>
              <w:keepLines w:val="0"/>
              <w:pageBreakBefore w:val="0"/>
              <w:widowControl/>
              <w:kinsoku/>
              <w:wordWrap/>
              <w:overflowPunct/>
              <w:topLinePunct w:val="0"/>
              <w:autoSpaceDE/>
              <w:autoSpaceDN/>
              <w:bidi w:val="0"/>
              <w:adjustRightInd/>
              <w:snapToGrid/>
              <w:spacing w:after="160"/>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w:t>
            </w:r>
          </w:p>
        </w:tc>
        <w:tc>
          <w:tcPr>
            <w:tcW w:w="2596" w:type="dxa"/>
            <w:shd w:val="clear" w:color="auto" w:fill="auto"/>
            <w:vAlign w:val="center"/>
          </w:tcPr>
          <w:p w14:paraId="12CB4136">
            <w:pPr>
              <w:pStyle w:val="44"/>
              <w:keepNext w:val="0"/>
              <w:keepLines w:val="0"/>
              <w:pageBreakBefore w:val="0"/>
              <w:widowControl/>
              <w:kinsoku/>
              <w:wordWrap/>
              <w:overflowPunct/>
              <w:topLinePunct w:val="0"/>
              <w:autoSpaceDE/>
              <w:autoSpaceDN/>
              <w:bidi w:val="0"/>
              <w:adjustRightInd/>
              <w:snapToGrid/>
              <w:textAlignment w:val="auto"/>
              <w:rPr>
                <w:rFonts w:hint="default"/>
                <w:color w:val="auto"/>
              </w:rPr>
            </w:pPr>
            <w:r>
              <w:rPr>
                <w:rFonts w:hint="default"/>
                <w:color w:val="auto"/>
              </w:rPr>
              <w:t>由施工单位清运至乌尔禾区生活</w:t>
            </w:r>
          </w:p>
          <w:p w14:paraId="00BB8501">
            <w:pPr>
              <w:pStyle w:val="44"/>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2"/>
                <w:lang w:val="en-US" w:eastAsia="zh-CN" w:bidi="ar-SA"/>
              </w:rPr>
            </w:pPr>
            <w:r>
              <w:rPr>
                <w:rFonts w:hint="default"/>
                <w:color w:val="auto"/>
              </w:rPr>
              <w:t>垃圾填埋场填埋处理</w:t>
            </w:r>
          </w:p>
        </w:tc>
      </w:tr>
      <w:tr w14:paraId="0917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76B9CB79">
            <w:pPr>
              <w:bidi w:val="0"/>
              <w:jc w:val="center"/>
              <w:rPr>
                <w:color w:val="auto"/>
              </w:rPr>
            </w:pPr>
          </w:p>
        </w:tc>
        <w:tc>
          <w:tcPr>
            <w:tcW w:w="3009" w:type="dxa"/>
            <w:gridSpan w:val="2"/>
            <w:shd w:val="clear" w:color="auto" w:fill="auto"/>
            <w:vAlign w:val="center"/>
          </w:tcPr>
          <w:p w14:paraId="27C4E818">
            <w:pPr>
              <w:pStyle w:val="44"/>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施工废料</w:t>
            </w:r>
          </w:p>
        </w:tc>
        <w:tc>
          <w:tcPr>
            <w:tcW w:w="1380" w:type="dxa"/>
            <w:shd w:val="clear" w:color="auto" w:fill="auto"/>
            <w:vAlign w:val="center"/>
          </w:tcPr>
          <w:p w14:paraId="0F0A54F9">
            <w:pPr>
              <w:pStyle w:val="44"/>
              <w:keepNext w:val="0"/>
              <w:keepLines w:val="0"/>
              <w:pageBreakBefore w:val="0"/>
              <w:widowControl/>
              <w:kinsoku/>
              <w:wordWrap/>
              <w:overflowPunct/>
              <w:topLinePunct w:val="0"/>
              <w:autoSpaceDE/>
              <w:autoSpaceDN/>
              <w:bidi w:val="0"/>
              <w:adjustRightInd/>
              <w:snapToGrid/>
              <w:spacing w:after="160"/>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0.05t</w:t>
            </w:r>
          </w:p>
        </w:tc>
        <w:tc>
          <w:tcPr>
            <w:tcW w:w="1110" w:type="dxa"/>
            <w:shd w:val="clear" w:color="auto" w:fill="auto"/>
            <w:vAlign w:val="center"/>
          </w:tcPr>
          <w:p w14:paraId="2B77466C">
            <w:pPr>
              <w:pStyle w:val="44"/>
              <w:keepNext w:val="0"/>
              <w:keepLines w:val="0"/>
              <w:pageBreakBefore w:val="0"/>
              <w:widowControl/>
              <w:kinsoku/>
              <w:wordWrap/>
              <w:overflowPunct/>
              <w:topLinePunct w:val="0"/>
              <w:autoSpaceDE/>
              <w:autoSpaceDN/>
              <w:bidi w:val="0"/>
              <w:adjustRightInd/>
              <w:snapToGrid/>
              <w:spacing w:after="160"/>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w:t>
            </w:r>
          </w:p>
        </w:tc>
        <w:tc>
          <w:tcPr>
            <w:tcW w:w="2596" w:type="dxa"/>
            <w:shd w:val="clear" w:color="auto" w:fill="auto"/>
            <w:vAlign w:val="center"/>
          </w:tcPr>
          <w:p w14:paraId="10A67175">
            <w:pPr>
              <w:pStyle w:val="44"/>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2"/>
                <w:lang w:val="en-US" w:eastAsia="zh-CN" w:bidi="ar-SA"/>
              </w:rPr>
            </w:pPr>
            <w:r>
              <w:rPr>
                <w:rFonts w:hint="default"/>
                <w:color w:val="auto"/>
              </w:rPr>
              <w:t>按要求分类回收利用或</w:t>
            </w:r>
            <w:r>
              <w:rPr>
                <w:rFonts w:hint="eastAsia"/>
                <w:color w:val="auto"/>
                <w:lang w:val="en-US" w:eastAsia="zh-CN"/>
              </w:rPr>
              <w:t>集中收集后拉运至乌尔禾区建筑垃圾填埋场处理</w:t>
            </w:r>
          </w:p>
        </w:tc>
      </w:tr>
      <w:tr w14:paraId="103F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337B0962">
            <w:pPr>
              <w:bidi w:val="0"/>
              <w:jc w:val="center"/>
              <w:rPr>
                <w:color w:val="auto"/>
              </w:rPr>
            </w:pPr>
          </w:p>
        </w:tc>
        <w:tc>
          <w:tcPr>
            <w:tcW w:w="3009" w:type="dxa"/>
            <w:gridSpan w:val="2"/>
            <w:shd w:val="clear" w:color="auto" w:fill="auto"/>
            <w:vAlign w:val="center"/>
          </w:tcPr>
          <w:p w14:paraId="3ED60EA2">
            <w:pPr>
              <w:pStyle w:val="44"/>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土石方</w:t>
            </w:r>
          </w:p>
        </w:tc>
        <w:tc>
          <w:tcPr>
            <w:tcW w:w="1380" w:type="dxa"/>
            <w:shd w:val="clear" w:color="auto" w:fill="auto"/>
            <w:vAlign w:val="center"/>
          </w:tcPr>
          <w:p w14:paraId="196CE9A8">
            <w:pPr>
              <w:pStyle w:val="44"/>
              <w:keepNext w:val="0"/>
              <w:keepLines w:val="0"/>
              <w:pageBreakBefore w:val="0"/>
              <w:widowControl/>
              <w:kinsoku/>
              <w:wordWrap/>
              <w:overflowPunct/>
              <w:topLinePunct w:val="0"/>
              <w:autoSpaceDE/>
              <w:autoSpaceDN/>
              <w:bidi w:val="0"/>
              <w:adjustRightInd/>
              <w:snapToGrid/>
              <w:spacing w:after="160"/>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0</w:t>
            </w:r>
          </w:p>
        </w:tc>
        <w:tc>
          <w:tcPr>
            <w:tcW w:w="1110" w:type="dxa"/>
            <w:shd w:val="clear" w:color="auto" w:fill="auto"/>
            <w:vAlign w:val="center"/>
          </w:tcPr>
          <w:p w14:paraId="0ACC437A">
            <w:pPr>
              <w:pStyle w:val="44"/>
              <w:keepNext w:val="0"/>
              <w:keepLines w:val="0"/>
              <w:pageBreakBefore w:val="0"/>
              <w:widowControl/>
              <w:kinsoku/>
              <w:wordWrap/>
              <w:overflowPunct/>
              <w:topLinePunct w:val="0"/>
              <w:autoSpaceDE/>
              <w:autoSpaceDN/>
              <w:bidi w:val="0"/>
              <w:adjustRightInd/>
              <w:snapToGrid/>
              <w:spacing w:after="160"/>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w:t>
            </w:r>
          </w:p>
        </w:tc>
        <w:tc>
          <w:tcPr>
            <w:tcW w:w="2596" w:type="dxa"/>
            <w:shd w:val="clear" w:color="auto" w:fill="auto"/>
            <w:vAlign w:val="center"/>
          </w:tcPr>
          <w:p w14:paraId="502E856B">
            <w:pPr>
              <w:pStyle w:val="44"/>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全部回填至管堤，无弃方产生</w:t>
            </w:r>
          </w:p>
        </w:tc>
      </w:tr>
    </w:tbl>
    <w:p w14:paraId="25187A27">
      <w:pPr>
        <w:pStyle w:val="43"/>
        <w:bidi w:val="0"/>
        <w:rPr>
          <w:color w:val="auto"/>
        </w:rPr>
      </w:pPr>
      <w:r>
        <w:rPr>
          <w:color w:val="auto"/>
        </w:rPr>
        <w:t>表</w:t>
      </w:r>
      <w:bookmarkEnd w:id="178"/>
      <w:r>
        <w:rPr>
          <w:rFonts w:hint="eastAsia"/>
          <w:color w:val="auto"/>
          <w:lang w:val="en-US" w:eastAsia="zh-CN"/>
        </w:rPr>
        <w:t>3.9-10</w:t>
      </w:r>
      <w:r>
        <w:rPr>
          <w:color w:val="auto"/>
        </w:rPr>
        <w:t xml:space="preserve">  项目</w:t>
      </w:r>
      <w:r>
        <w:rPr>
          <w:rFonts w:hint="eastAsia"/>
          <w:color w:val="auto"/>
          <w:lang w:eastAsia="zh-CN"/>
        </w:rPr>
        <w:t>运营</w:t>
      </w:r>
      <w:r>
        <w:rPr>
          <w:color w:val="auto"/>
        </w:rPr>
        <w:t>期污染物产生及排放情况一览表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582"/>
        <w:gridCol w:w="976"/>
        <w:gridCol w:w="1078"/>
        <w:gridCol w:w="851"/>
        <w:gridCol w:w="1808"/>
        <w:gridCol w:w="964"/>
        <w:gridCol w:w="2149"/>
      </w:tblGrid>
      <w:tr w14:paraId="2F83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cantSplit/>
          <w:trHeight w:val="23" w:hRule="atLeast"/>
          <w:tblHeader/>
        </w:trPr>
        <w:tc>
          <w:tcPr>
            <w:tcW w:w="346" w:type="pct"/>
            <w:shd w:val="clear" w:color="auto" w:fill="auto"/>
            <w:vAlign w:val="center"/>
          </w:tcPr>
          <w:p w14:paraId="564A7CC9">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b/>
                <w:bCs/>
                <w:color w:val="auto"/>
                <w:sz w:val="21"/>
                <w:szCs w:val="21"/>
              </w:rPr>
            </w:pPr>
            <w:bookmarkStart w:id="179" w:name="_Hlk170740323"/>
            <w:r>
              <w:rPr>
                <w:rFonts w:hint="default" w:ascii="Times New Roman" w:hAnsi="Times New Roman" w:eastAsia="宋体" w:cs="Times New Roman"/>
                <w:b/>
                <w:bCs/>
                <w:color w:val="auto"/>
                <w:sz w:val="21"/>
                <w:szCs w:val="21"/>
              </w:rPr>
              <w:t>类型</w:t>
            </w:r>
          </w:p>
        </w:tc>
        <w:tc>
          <w:tcPr>
            <w:tcW w:w="580" w:type="pct"/>
            <w:shd w:val="clear" w:color="auto" w:fill="auto"/>
            <w:vAlign w:val="center"/>
          </w:tcPr>
          <w:p w14:paraId="62DA7F18">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排放源</w:t>
            </w:r>
          </w:p>
        </w:tc>
        <w:tc>
          <w:tcPr>
            <w:tcW w:w="641" w:type="pct"/>
            <w:shd w:val="clear" w:color="auto" w:fill="auto"/>
            <w:vAlign w:val="center"/>
          </w:tcPr>
          <w:p w14:paraId="5A5656CA">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506" w:type="pct"/>
            <w:shd w:val="clear" w:color="auto" w:fill="auto"/>
            <w:vAlign w:val="center"/>
          </w:tcPr>
          <w:p w14:paraId="5259D649">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075" w:type="pct"/>
            <w:shd w:val="clear" w:color="auto" w:fill="auto"/>
            <w:vAlign w:val="center"/>
          </w:tcPr>
          <w:p w14:paraId="2653C61B">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573" w:type="pct"/>
            <w:shd w:val="clear" w:color="auto" w:fill="auto"/>
            <w:vAlign w:val="center"/>
          </w:tcPr>
          <w:p w14:paraId="31855A78">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1277" w:type="pct"/>
            <w:shd w:val="clear" w:color="auto" w:fill="auto"/>
            <w:vAlign w:val="center"/>
          </w:tcPr>
          <w:p w14:paraId="2F1C9A10">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处理措施及去向</w:t>
            </w:r>
          </w:p>
        </w:tc>
      </w:tr>
      <w:tr w14:paraId="1495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shd w:val="clear" w:color="auto" w:fill="auto"/>
            <w:vAlign w:val="center"/>
          </w:tcPr>
          <w:p w14:paraId="2CA651E1">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580" w:type="pct"/>
            <w:shd w:val="clear" w:color="auto" w:fill="auto"/>
            <w:vAlign w:val="center"/>
          </w:tcPr>
          <w:p w14:paraId="307C1EF2">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w:t>
            </w:r>
          </w:p>
        </w:tc>
        <w:tc>
          <w:tcPr>
            <w:tcW w:w="641" w:type="pct"/>
            <w:shd w:val="clear" w:color="auto" w:fill="auto"/>
            <w:vAlign w:val="center"/>
          </w:tcPr>
          <w:p w14:paraId="429D20E5">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油气集输过程挥发、泄漏产生的烃类气体</w:t>
            </w:r>
          </w:p>
        </w:tc>
        <w:tc>
          <w:tcPr>
            <w:tcW w:w="506" w:type="pct"/>
            <w:shd w:val="clear" w:color="auto" w:fill="auto"/>
            <w:vAlign w:val="center"/>
          </w:tcPr>
          <w:p w14:paraId="242A7F64">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075" w:type="pct"/>
            <w:shd w:val="clear" w:color="auto" w:fill="auto"/>
            <w:vAlign w:val="center"/>
          </w:tcPr>
          <w:p w14:paraId="7ACB0F1B">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0.56</w:t>
            </w:r>
            <w:r>
              <w:rPr>
                <w:rFonts w:hint="default" w:ascii="Times New Roman" w:hAnsi="Times New Roman" w:eastAsia="宋体" w:cs="Times New Roman"/>
                <w:color w:val="auto"/>
                <w:sz w:val="21"/>
                <w:szCs w:val="21"/>
              </w:rPr>
              <w:t>t/a</w:t>
            </w:r>
          </w:p>
        </w:tc>
        <w:tc>
          <w:tcPr>
            <w:tcW w:w="573" w:type="pct"/>
            <w:shd w:val="clear" w:color="auto" w:fill="auto"/>
            <w:vAlign w:val="center"/>
          </w:tcPr>
          <w:p w14:paraId="31A112A8">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0.56</w:t>
            </w:r>
            <w:r>
              <w:rPr>
                <w:rFonts w:hint="default" w:ascii="Times New Roman" w:hAnsi="Times New Roman" w:eastAsia="宋体" w:cs="Times New Roman"/>
                <w:color w:val="auto"/>
                <w:sz w:val="21"/>
                <w:szCs w:val="21"/>
              </w:rPr>
              <w:t>t/a</w:t>
            </w:r>
          </w:p>
        </w:tc>
        <w:tc>
          <w:tcPr>
            <w:tcW w:w="1277" w:type="pct"/>
            <w:shd w:val="clear" w:color="auto" w:fill="auto"/>
            <w:vAlign w:val="center"/>
          </w:tcPr>
          <w:p w14:paraId="43CD4083">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密闭输送</w:t>
            </w:r>
          </w:p>
        </w:tc>
      </w:tr>
      <w:tr w14:paraId="2A4D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restart"/>
            <w:shd w:val="clear" w:color="auto" w:fill="auto"/>
            <w:vAlign w:val="center"/>
          </w:tcPr>
          <w:p w14:paraId="67FA0BAF">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580" w:type="pct"/>
            <w:shd w:val="clear" w:color="auto" w:fill="auto"/>
            <w:vAlign w:val="center"/>
          </w:tcPr>
          <w:p w14:paraId="671CD322">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石油开采</w:t>
            </w:r>
          </w:p>
        </w:tc>
        <w:tc>
          <w:tcPr>
            <w:tcW w:w="641" w:type="pct"/>
            <w:shd w:val="clear" w:color="auto" w:fill="auto"/>
            <w:vAlign w:val="center"/>
          </w:tcPr>
          <w:p w14:paraId="17F1AB88">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油田采出水</w:t>
            </w:r>
          </w:p>
        </w:tc>
        <w:tc>
          <w:tcPr>
            <w:tcW w:w="506" w:type="pct"/>
            <w:shd w:val="clear" w:color="auto" w:fill="auto"/>
            <w:vAlign w:val="center"/>
          </w:tcPr>
          <w:p w14:paraId="48837ACB">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石油类、SS等</w:t>
            </w:r>
          </w:p>
        </w:tc>
        <w:tc>
          <w:tcPr>
            <w:tcW w:w="1075" w:type="pct"/>
            <w:shd w:val="clear" w:color="auto" w:fill="auto"/>
            <w:vAlign w:val="center"/>
          </w:tcPr>
          <w:p w14:paraId="194C8D33">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108405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573" w:type="pct"/>
            <w:shd w:val="clear" w:color="auto" w:fill="auto"/>
            <w:vAlign w:val="center"/>
          </w:tcPr>
          <w:p w14:paraId="21DC4A16">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1277" w:type="pct"/>
            <w:vMerge w:val="restart"/>
            <w:shd w:val="clear" w:color="auto" w:fill="auto"/>
            <w:vAlign w:val="center"/>
          </w:tcPr>
          <w:p w14:paraId="3574685B">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w:t>
            </w:r>
            <w:r>
              <w:rPr>
                <w:rFonts w:hint="eastAsia" w:ascii="Times New Roman" w:hAnsi="Times New Roman" w:eastAsia="宋体" w:cs="Times New Roman"/>
                <w:color w:val="auto"/>
                <w:sz w:val="21"/>
                <w:szCs w:val="21"/>
                <w:lang w:val="en-US" w:eastAsia="zh-CN"/>
              </w:rPr>
              <w:t>百联站</w:t>
            </w:r>
            <w:r>
              <w:rPr>
                <w:rFonts w:hint="default" w:ascii="Times New Roman" w:hAnsi="Times New Roman" w:eastAsia="宋体" w:cs="Times New Roman"/>
                <w:color w:val="auto"/>
                <w:sz w:val="21"/>
                <w:szCs w:val="21"/>
              </w:rPr>
              <w:t>采出水处理</w:t>
            </w:r>
            <w:r>
              <w:rPr>
                <w:rFonts w:hint="eastAsia" w:ascii="Times New Roman" w:hAnsi="Times New Roman" w:eastAsia="宋体" w:cs="Times New Roman"/>
                <w:color w:val="auto"/>
                <w:sz w:val="21"/>
                <w:szCs w:val="21"/>
                <w:lang w:val="en-US" w:eastAsia="zh-CN"/>
              </w:rPr>
              <w:t>系统</w:t>
            </w:r>
            <w:r>
              <w:rPr>
                <w:rFonts w:hint="default" w:ascii="Times New Roman" w:hAnsi="Times New Roman" w:eastAsia="宋体" w:cs="Times New Roman"/>
                <w:color w:val="auto"/>
                <w:sz w:val="21"/>
                <w:szCs w:val="21"/>
              </w:rPr>
              <w:t>处理达标后回注</w:t>
            </w:r>
          </w:p>
        </w:tc>
      </w:tr>
      <w:tr w14:paraId="1136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continue"/>
            <w:shd w:val="clear" w:color="auto" w:fill="auto"/>
            <w:vAlign w:val="center"/>
          </w:tcPr>
          <w:p w14:paraId="3B282CAE">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p>
        </w:tc>
        <w:tc>
          <w:tcPr>
            <w:tcW w:w="580" w:type="pct"/>
            <w:shd w:val="clear" w:color="auto" w:fill="auto"/>
            <w:vAlign w:val="center"/>
          </w:tcPr>
          <w:p w14:paraId="4BAF714C">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井下作业</w:t>
            </w:r>
          </w:p>
        </w:tc>
        <w:tc>
          <w:tcPr>
            <w:tcW w:w="641" w:type="pct"/>
            <w:shd w:val="clear" w:color="auto" w:fill="auto"/>
            <w:vAlign w:val="center"/>
          </w:tcPr>
          <w:p w14:paraId="6BAAA4E0">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洗井、压裂</w:t>
            </w:r>
            <w:r>
              <w:rPr>
                <w:rFonts w:hint="default" w:ascii="Times New Roman" w:hAnsi="Times New Roman" w:eastAsia="宋体" w:cs="Times New Roman"/>
                <w:color w:val="auto"/>
                <w:sz w:val="21"/>
                <w:szCs w:val="21"/>
              </w:rPr>
              <w:t>返排液</w:t>
            </w:r>
          </w:p>
        </w:tc>
        <w:tc>
          <w:tcPr>
            <w:tcW w:w="506" w:type="pct"/>
            <w:shd w:val="clear" w:color="auto" w:fill="auto"/>
            <w:vAlign w:val="center"/>
          </w:tcPr>
          <w:p w14:paraId="31268391">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石油类、SS等</w:t>
            </w:r>
          </w:p>
        </w:tc>
        <w:tc>
          <w:tcPr>
            <w:tcW w:w="1075" w:type="pct"/>
            <w:shd w:val="clear" w:color="auto" w:fill="auto"/>
            <w:vAlign w:val="center"/>
          </w:tcPr>
          <w:p w14:paraId="425025EA">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1959.4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573" w:type="pct"/>
            <w:shd w:val="clear" w:color="auto" w:fill="auto"/>
            <w:vAlign w:val="center"/>
          </w:tcPr>
          <w:p w14:paraId="71E0EC0D">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1277" w:type="pct"/>
            <w:vMerge w:val="continue"/>
            <w:shd w:val="clear" w:color="auto" w:fill="auto"/>
            <w:vAlign w:val="center"/>
          </w:tcPr>
          <w:p w14:paraId="047F73ED">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p>
        </w:tc>
      </w:tr>
      <w:tr w14:paraId="74D6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restart"/>
            <w:shd w:val="clear" w:color="auto" w:fill="auto"/>
            <w:vAlign w:val="center"/>
          </w:tcPr>
          <w:p w14:paraId="0E3FA243">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580" w:type="pct"/>
            <w:shd w:val="clear" w:color="auto" w:fill="auto"/>
            <w:vAlign w:val="center"/>
          </w:tcPr>
          <w:p w14:paraId="5F08DC3F">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w:t>
            </w:r>
          </w:p>
        </w:tc>
        <w:tc>
          <w:tcPr>
            <w:tcW w:w="1147" w:type="pct"/>
            <w:gridSpan w:val="2"/>
            <w:shd w:val="clear" w:color="auto" w:fill="auto"/>
            <w:vAlign w:val="center"/>
          </w:tcPr>
          <w:p w14:paraId="01B4B3F0">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落地油</w:t>
            </w:r>
          </w:p>
        </w:tc>
        <w:tc>
          <w:tcPr>
            <w:tcW w:w="1075" w:type="pct"/>
            <w:shd w:val="clear" w:color="auto" w:fill="auto"/>
            <w:vAlign w:val="center"/>
          </w:tcPr>
          <w:p w14:paraId="0C2276E5">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0.1</w:t>
            </w:r>
            <w:r>
              <w:rPr>
                <w:rFonts w:hint="default" w:ascii="Times New Roman" w:hAnsi="Times New Roman" w:eastAsia="宋体" w:cs="Times New Roman"/>
                <w:color w:val="auto"/>
                <w:sz w:val="21"/>
                <w:szCs w:val="21"/>
              </w:rPr>
              <w:t>t/a</w:t>
            </w:r>
          </w:p>
        </w:tc>
        <w:tc>
          <w:tcPr>
            <w:tcW w:w="573" w:type="pct"/>
            <w:shd w:val="clear" w:color="auto" w:fill="auto"/>
            <w:vAlign w:val="center"/>
          </w:tcPr>
          <w:p w14:paraId="00E0174F">
            <w:pPr>
              <w:pStyle w:val="42"/>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277" w:type="pct"/>
            <w:shd w:val="clear" w:color="auto" w:fill="auto"/>
            <w:vAlign w:val="center"/>
          </w:tcPr>
          <w:p w14:paraId="390E6262">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井下作业时采用</w:t>
            </w:r>
            <w:r>
              <w:rPr>
                <w:rFonts w:hint="eastAsia" w:ascii="宋体" w:hAnsi="宋体" w:eastAsia="宋体" w:cs="宋体"/>
                <w:color w:val="auto"/>
                <w:sz w:val="21"/>
                <w:szCs w:val="21"/>
                <w:lang w:bidi="ar"/>
              </w:rPr>
              <w:t>“铺设作业、带罐上岗”</w:t>
            </w:r>
            <w:r>
              <w:rPr>
                <w:rFonts w:hint="default" w:ascii="Times New Roman" w:hAnsi="Times New Roman" w:eastAsia="宋体" w:cs="Times New Roman"/>
                <w:color w:val="auto"/>
                <w:sz w:val="21"/>
                <w:szCs w:val="21"/>
                <w:lang w:bidi="ar"/>
              </w:rPr>
              <w:t>的模式，落地油100%回收</w:t>
            </w:r>
          </w:p>
        </w:tc>
      </w:tr>
      <w:tr w14:paraId="5EEB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continue"/>
            <w:shd w:val="clear" w:color="auto" w:fill="auto"/>
            <w:vAlign w:val="center"/>
          </w:tcPr>
          <w:p w14:paraId="0640DA7E">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p>
        </w:tc>
        <w:tc>
          <w:tcPr>
            <w:tcW w:w="580" w:type="pct"/>
            <w:shd w:val="clear" w:color="auto" w:fill="auto"/>
            <w:vAlign w:val="center"/>
          </w:tcPr>
          <w:p w14:paraId="7D9555D1">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w:t>
            </w:r>
            <w:r>
              <w:rPr>
                <w:rFonts w:hint="eastAsia" w:ascii="Times New Roman" w:hAnsi="Times New Roman" w:eastAsia="宋体" w:cs="Times New Roman"/>
                <w:color w:val="auto"/>
                <w:sz w:val="21"/>
                <w:szCs w:val="21"/>
                <w:lang w:val="en-US" w:eastAsia="zh-CN"/>
              </w:rPr>
              <w:t>采出水</w:t>
            </w:r>
            <w:r>
              <w:rPr>
                <w:rFonts w:hint="default" w:ascii="Times New Roman" w:hAnsi="Times New Roman" w:eastAsia="宋体" w:cs="Times New Roman"/>
                <w:color w:val="auto"/>
                <w:sz w:val="21"/>
                <w:szCs w:val="21"/>
              </w:rPr>
              <w:t>处理系统</w:t>
            </w:r>
          </w:p>
        </w:tc>
        <w:tc>
          <w:tcPr>
            <w:tcW w:w="1147" w:type="pct"/>
            <w:gridSpan w:val="2"/>
            <w:shd w:val="clear" w:color="auto" w:fill="auto"/>
            <w:vAlign w:val="center"/>
          </w:tcPr>
          <w:p w14:paraId="0F49672A">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含油污泥</w:t>
            </w:r>
          </w:p>
        </w:tc>
        <w:tc>
          <w:tcPr>
            <w:tcW w:w="1075" w:type="pct"/>
            <w:shd w:val="clear" w:color="auto" w:fill="auto"/>
            <w:vAlign w:val="center"/>
          </w:tcPr>
          <w:p w14:paraId="5061D149">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700.67</w:t>
            </w:r>
            <w:r>
              <w:rPr>
                <w:rFonts w:hint="default" w:ascii="Times New Roman" w:hAnsi="Times New Roman" w:eastAsia="宋体" w:cs="Times New Roman"/>
                <w:color w:val="auto"/>
                <w:sz w:val="21"/>
                <w:szCs w:val="21"/>
              </w:rPr>
              <w:t>t/a</w:t>
            </w:r>
          </w:p>
        </w:tc>
        <w:tc>
          <w:tcPr>
            <w:tcW w:w="573" w:type="pct"/>
            <w:shd w:val="clear" w:color="auto" w:fill="auto"/>
            <w:vAlign w:val="center"/>
          </w:tcPr>
          <w:p w14:paraId="212A3E73">
            <w:pPr>
              <w:pStyle w:val="42"/>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277" w:type="pct"/>
            <w:shd w:val="clear" w:color="auto" w:fill="auto"/>
            <w:vAlign w:val="center"/>
          </w:tcPr>
          <w:p w14:paraId="7CBFC5D7">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暂存于含油污泥临时暂存点后，</w:t>
            </w:r>
            <w:r>
              <w:rPr>
                <w:rFonts w:hint="eastAsia" w:ascii="Times New Roman" w:hAnsi="Times New Roman" w:eastAsia="宋体" w:cs="Times New Roman"/>
                <w:color w:val="auto"/>
                <w:sz w:val="21"/>
                <w:szCs w:val="21"/>
                <w:lang w:val="en-US" w:eastAsia="zh-CN"/>
              </w:rPr>
              <w:t>定期交由有资质的单位处置</w:t>
            </w:r>
          </w:p>
        </w:tc>
      </w:tr>
      <w:tr w14:paraId="249D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continue"/>
            <w:shd w:val="clear" w:color="auto" w:fill="auto"/>
            <w:vAlign w:val="center"/>
          </w:tcPr>
          <w:p w14:paraId="75E639CB">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p>
        </w:tc>
        <w:tc>
          <w:tcPr>
            <w:tcW w:w="580" w:type="pct"/>
            <w:shd w:val="clear" w:color="auto" w:fill="auto"/>
            <w:vAlign w:val="center"/>
          </w:tcPr>
          <w:p w14:paraId="39962969">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w:t>
            </w:r>
          </w:p>
        </w:tc>
        <w:tc>
          <w:tcPr>
            <w:tcW w:w="1147" w:type="pct"/>
            <w:gridSpan w:val="2"/>
            <w:shd w:val="clear" w:color="auto" w:fill="auto"/>
            <w:vAlign w:val="center"/>
          </w:tcPr>
          <w:p w14:paraId="747F7C2B">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沾油废物</w:t>
            </w:r>
          </w:p>
        </w:tc>
        <w:tc>
          <w:tcPr>
            <w:tcW w:w="1075" w:type="pct"/>
            <w:shd w:val="clear" w:color="auto" w:fill="auto"/>
            <w:vAlign w:val="center"/>
          </w:tcPr>
          <w:p w14:paraId="13D61593">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1.2t/a</w:t>
            </w:r>
          </w:p>
        </w:tc>
        <w:tc>
          <w:tcPr>
            <w:tcW w:w="573" w:type="pct"/>
            <w:shd w:val="clear" w:color="auto" w:fill="auto"/>
            <w:vAlign w:val="center"/>
          </w:tcPr>
          <w:p w14:paraId="522313B6">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277" w:type="pct"/>
            <w:shd w:val="clear" w:color="auto" w:fill="auto"/>
            <w:vAlign w:val="center"/>
          </w:tcPr>
          <w:p w14:paraId="7B33D0CE">
            <w:pPr>
              <w:pStyle w:val="42"/>
              <w:keepNext w:val="0"/>
              <w:keepLines w:val="0"/>
              <w:pageBreakBefore w:val="0"/>
              <w:widowControl w:val="0"/>
              <w:kinsoku/>
              <w:wordWrap/>
              <w:overflowPunct/>
              <w:topLinePunct w:val="0"/>
              <w:autoSpaceDE w:val="0"/>
              <w:autoSpaceDN w:val="0"/>
              <w:bidi w:val="0"/>
              <w:adjustRightInd/>
              <w:snapToGrid/>
              <w:spacing w:line="240" w:lineRule="auto"/>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暂存危险废物储存场，</w:t>
            </w:r>
            <w:r>
              <w:rPr>
                <w:rFonts w:hint="default" w:ascii="Times New Roman" w:hAnsi="Times New Roman" w:eastAsia="宋体" w:cs="Times New Roman"/>
                <w:color w:val="auto"/>
                <w:sz w:val="21"/>
                <w:szCs w:val="21"/>
              </w:rPr>
              <w:t>定期交有资质单位合理处置</w:t>
            </w:r>
          </w:p>
        </w:tc>
      </w:tr>
      <w:bookmarkEnd w:id="179"/>
    </w:tbl>
    <w:p w14:paraId="0259A289">
      <w:pPr>
        <w:pStyle w:val="6"/>
        <w:bidi w:val="0"/>
        <w:rPr>
          <w:rFonts w:hint="default"/>
          <w:color w:val="auto"/>
          <w:lang w:val="en-US" w:eastAsia="zh-CN"/>
        </w:rPr>
      </w:pPr>
      <w:r>
        <w:rPr>
          <w:rFonts w:hint="eastAsia"/>
          <w:color w:val="auto"/>
          <w:lang w:val="en-US" w:eastAsia="zh-CN"/>
        </w:rPr>
        <w:t>3.9.3.5本工程建设前后污染物排放量变化情况</w:t>
      </w:r>
    </w:p>
    <w:p w14:paraId="0CB97CD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本工程百厂探区未开展过区块环评，属于新区块开发，其余井区均开展过区块环评，进行过大规模开发，本次根据各区块内现有建设情况</w:t>
      </w:r>
      <w:r>
        <w:rPr>
          <w:rFonts w:hint="eastAsia" w:cstheme="minorBidi"/>
          <w:color w:val="auto"/>
          <w:kern w:val="2"/>
          <w:sz w:val="24"/>
          <w:szCs w:val="24"/>
          <w:lang w:val="en-US" w:eastAsia="zh-CN" w:bidi="ar-SA"/>
        </w:rPr>
        <w:t>及</w:t>
      </w:r>
      <w:r>
        <w:rPr>
          <w:rFonts w:hint="eastAsia" w:ascii="Times New Roman" w:hAnsi="Times New Roman" w:eastAsia="宋体" w:cstheme="minorBidi"/>
          <w:color w:val="auto"/>
          <w:kern w:val="2"/>
          <w:sz w:val="24"/>
          <w:szCs w:val="24"/>
          <w:lang w:val="en-US" w:eastAsia="zh-CN" w:bidi="ar-SA"/>
        </w:rPr>
        <w:t>相应区块数据，作为本工程现有工程污染物产生及排放量，再结合本工程污染物排放，对污染物排放量排放情况进行核算，见表3.9-11。</w:t>
      </w:r>
    </w:p>
    <w:p w14:paraId="2D9AA290">
      <w:pPr>
        <w:pStyle w:val="43"/>
        <w:bidi w:val="0"/>
        <w:rPr>
          <w:rFonts w:cs="Times New Roman"/>
          <w:color w:val="auto"/>
        </w:rPr>
      </w:pPr>
      <w:bookmarkStart w:id="180" w:name="_Ref107935344"/>
    </w:p>
    <w:p w14:paraId="2BFE2863">
      <w:pPr>
        <w:pStyle w:val="43"/>
        <w:bidi w:val="0"/>
        <w:rPr>
          <w:rFonts w:cs="Times New Roman"/>
          <w:color w:val="auto"/>
        </w:rPr>
      </w:pPr>
      <w:r>
        <w:rPr>
          <w:rFonts w:cs="Times New Roman"/>
          <w:color w:val="auto"/>
        </w:rPr>
        <w:t>表</w:t>
      </w:r>
      <w:bookmarkEnd w:id="180"/>
      <w:r>
        <w:rPr>
          <w:rFonts w:hint="eastAsia" w:cs="Times New Roman"/>
          <w:color w:val="auto"/>
          <w:lang w:val="en-US" w:eastAsia="zh-CN"/>
        </w:rPr>
        <w:t>3.9-11</w:t>
      </w:r>
      <w:r>
        <w:rPr>
          <w:rFonts w:cs="Times New Roman"/>
          <w:color w:val="auto"/>
        </w:rPr>
        <w:t xml:space="preserve">  本</w:t>
      </w:r>
      <w:r>
        <w:rPr>
          <w:rFonts w:hint="eastAsia" w:cs="Times New Roman"/>
          <w:color w:val="auto"/>
          <w:lang w:val="en-US" w:eastAsia="zh-CN"/>
        </w:rPr>
        <w:t>工程</w:t>
      </w:r>
      <w:r>
        <w:rPr>
          <w:rFonts w:cs="Times New Roman"/>
          <w:color w:val="auto"/>
        </w:rPr>
        <w:t>建设前后区域污染物排放对比情况</w:t>
      </w:r>
    </w:p>
    <w:tbl>
      <w:tblPr>
        <w:tblStyle w:val="4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1" w:type="dxa"/>
          <w:bottom w:w="0" w:type="dxa"/>
          <w:right w:w="51" w:type="dxa"/>
        </w:tblCellMar>
      </w:tblPr>
      <w:tblGrid>
        <w:gridCol w:w="387"/>
        <w:gridCol w:w="901"/>
        <w:gridCol w:w="869"/>
        <w:gridCol w:w="1047"/>
        <w:gridCol w:w="1106"/>
        <w:gridCol w:w="904"/>
        <w:gridCol w:w="988"/>
        <w:gridCol w:w="1053"/>
        <w:gridCol w:w="1148"/>
      </w:tblGrid>
      <w:tr w14:paraId="59C2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cantSplit/>
          <w:trHeight w:val="1203" w:hRule="atLeast"/>
          <w:tblHeader/>
        </w:trPr>
        <w:tc>
          <w:tcPr>
            <w:tcW w:w="1283" w:type="pct"/>
            <w:gridSpan w:val="3"/>
            <w:shd w:val="clear" w:color="auto" w:fill="auto"/>
            <w:vAlign w:val="center"/>
          </w:tcPr>
          <w:p w14:paraId="01A23954">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b/>
                <w:bCs/>
                <w:color w:val="auto"/>
              </w:rPr>
            </w:pPr>
            <w:bookmarkStart w:id="181" w:name="_Hlk100217268"/>
            <w:r>
              <w:rPr>
                <w:rFonts w:hint="default"/>
                <w:b/>
                <w:bCs/>
                <w:color w:val="auto"/>
              </w:rPr>
              <w:t>类别</w:t>
            </w:r>
          </w:p>
        </w:tc>
        <w:tc>
          <w:tcPr>
            <w:tcW w:w="622" w:type="pct"/>
            <w:shd w:val="clear" w:color="auto" w:fill="auto"/>
            <w:vAlign w:val="center"/>
          </w:tcPr>
          <w:p w14:paraId="47DF231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b/>
                <w:bCs/>
                <w:color w:val="auto"/>
              </w:rPr>
            </w:pPr>
            <w:r>
              <w:rPr>
                <w:rFonts w:hint="default"/>
                <w:b/>
                <w:bCs/>
                <w:color w:val="auto"/>
              </w:rPr>
              <w:t>现有工程排放量</w:t>
            </w:r>
          </w:p>
        </w:tc>
        <w:tc>
          <w:tcPr>
            <w:tcW w:w="658" w:type="pct"/>
            <w:shd w:val="clear" w:color="auto" w:fill="auto"/>
            <w:vAlign w:val="center"/>
          </w:tcPr>
          <w:p w14:paraId="7BCAB82C">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b/>
                <w:bCs/>
                <w:color w:val="auto"/>
                <w:lang w:eastAsia="zh"/>
              </w:rPr>
            </w:pPr>
            <w:r>
              <w:rPr>
                <w:rFonts w:hint="default"/>
                <w:b/>
                <w:bCs/>
                <w:color w:val="auto"/>
              </w:rPr>
              <w:t>本</w:t>
            </w:r>
            <w:r>
              <w:rPr>
                <w:rFonts w:hint="eastAsia"/>
                <w:b/>
                <w:bCs/>
                <w:color w:val="auto"/>
                <w:lang w:val="en-US" w:eastAsia="zh-CN"/>
              </w:rPr>
              <w:t>工程</w:t>
            </w:r>
            <w:r>
              <w:rPr>
                <w:rFonts w:hint="default"/>
                <w:b/>
                <w:bCs/>
                <w:color w:val="auto"/>
                <w:lang w:eastAsia="zh"/>
              </w:rPr>
              <w:t>产生量</w:t>
            </w:r>
          </w:p>
        </w:tc>
        <w:tc>
          <w:tcPr>
            <w:tcW w:w="537" w:type="pct"/>
            <w:shd w:val="clear" w:color="auto" w:fill="auto"/>
            <w:vAlign w:val="center"/>
          </w:tcPr>
          <w:p w14:paraId="74698AD8">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b/>
                <w:bCs/>
                <w:color w:val="auto"/>
              </w:rPr>
            </w:pPr>
            <w:r>
              <w:rPr>
                <w:rFonts w:hint="default"/>
                <w:b/>
                <w:bCs/>
                <w:color w:val="auto"/>
              </w:rPr>
              <w:t>以新带老削减量</w:t>
            </w:r>
          </w:p>
        </w:tc>
        <w:tc>
          <w:tcPr>
            <w:tcW w:w="587" w:type="pct"/>
            <w:shd w:val="clear" w:color="auto" w:fill="auto"/>
            <w:vAlign w:val="center"/>
          </w:tcPr>
          <w:p w14:paraId="20B3941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b/>
                <w:bCs/>
                <w:color w:val="auto"/>
                <w:lang w:val="en-US" w:eastAsia="zh-CN"/>
              </w:rPr>
            </w:pPr>
            <w:r>
              <w:rPr>
                <w:rFonts w:hint="default"/>
                <w:b/>
                <w:bCs/>
                <w:color w:val="auto"/>
                <w:lang w:eastAsia="zh"/>
              </w:rPr>
              <w:t>本</w:t>
            </w:r>
            <w:r>
              <w:rPr>
                <w:rFonts w:hint="eastAsia"/>
                <w:b/>
                <w:bCs/>
                <w:color w:val="auto"/>
                <w:lang w:val="en-US" w:eastAsia="zh-CN"/>
              </w:rPr>
              <w:t>工程</w:t>
            </w:r>
            <w:r>
              <w:rPr>
                <w:rFonts w:hint="default"/>
                <w:b/>
                <w:bCs/>
                <w:color w:val="auto"/>
                <w:lang w:eastAsia="zh"/>
              </w:rPr>
              <w:t>排放量</w:t>
            </w:r>
            <w:r>
              <w:rPr>
                <w:rFonts w:hint="eastAsia"/>
                <w:b/>
                <w:bCs/>
                <w:color w:val="auto"/>
                <w:lang w:eastAsia="zh-CN"/>
              </w:rPr>
              <w:t>（</w:t>
            </w:r>
            <w:r>
              <w:rPr>
                <w:rFonts w:hint="eastAsia"/>
                <w:b/>
                <w:bCs/>
                <w:color w:val="auto"/>
                <w:lang w:val="en-US" w:eastAsia="zh-CN"/>
              </w:rPr>
              <w:t>固废产生量</w:t>
            </w:r>
            <w:r>
              <w:rPr>
                <w:rFonts w:hint="eastAsia"/>
                <w:b/>
                <w:bCs/>
                <w:color w:val="auto"/>
                <w:lang w:eastAsia="zh-CN"/>
              </w:rPr>
              <w:t>）</w:t>
            </w:r>
          </w:p>
        </w:tc>
        <w:tc>
          <w:tcPr>
            <w:tcW w:w="626" w:type="pct"/>
            <w:shd w:val="clear" w:color="auto" w:fill="auto"/>
            <w:vAlign w:val="center"/>
          </w:tcPr>
          <w:p w14:paraId="437FD5BB">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b/>
                <w:bCs/>
                <w:color w:val="auto"/>
                <w:lang w:eastAsia="zh"/>
              </w:rPr>
            </w:pPr>
            <w:r>
              <w:rPr>
                <w:rFonts w:hint="default"/>
                <w:b/>
                <w:bCs/>
                <w:color w:val="auto"/>
              </w:rPr>
              <w:t>合计</w:t>
            </w:r>
            <w:r>
              <w:rPr>
                <w:rFonts w:hint="default"/>
                <w:b/>
                <w:bCs/>
                <w:color w:val="auto"/>
                <w:lang w:eastAsia="zh"/>
              </w:rPr>
              <w:t>排放量</w:t>
            </w:r>
            <w:r>
              <w:rPr>
                <w:rFonts w:hint="eastAsia"/>
                <w:b/>
                <w:bCs/>
                <w:color w:val="auto"/>
                <w:lang w:eastAsia="zh-CN"/>
              </w:rPr>
              <w:t>（</w:t>
            </w:r>
            <w:r>
              <w:rPr>
                <w:rFonts w:hint="eastAsia"/>
                <w:b/>
                <w:bCs/>
                <w:color w:val="auto"/>
                <w:lang w:val="en-US" w:eastAsia="zh-CN"/>
              </w:rPr>
              <w:t>固废产生量</w:t>
            </w:r>
            <w:r>
              <w:rPr>
                <w:rFonts w:hint="eastAsia"/>
                <w:b/>
                <w:bCs/>
                <w:color w:val="auto"/>
                <w:lang w:eastAsia="zh-CN"/>
              </w:rPr>
              <w:t>）</w:t>
            </w:r>
          </w:p>
        </w:tc>
        <w:tc>
          <w:tcPr>
            <w:tcW w:w="683" w:type="pct"/>
            <w:shd w:val="clear" w:color="auto" w:fill="auto"/>
            <w:vAlign w:val="center"/>
          </w:tcPr>
          <w:p w14:paraId="11DB60B1">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b/>
                <w:bCs/>
                <w:color w:val="auto"/>
                <w:lang w:eastAsia="zh-CN"/>
              </w:rPr>
            </w:pPr>
            <w:r>
              <w:rPr>
                <w:rFonts w:hint="default"/>
                <w:b/>
                <w:bCs/>
                <w:color w:val="auto"/>
              </w:rPr>
              <w:t>增减量</w:t>
            </w:r>
            <w:r>
              <w:rPr>
                <w:rFonts w:hint="eastAsia"/>
                <w:b/>
                <w:bCs/>
                <w:color w:val="auto"/>
                <w:lang w:eastAsia="zh-CN"/>
              </w:rPr>
              <w:t>（</w:t>
            </w:r>
            <w:r>
              <w:rPr>
                <w:rFonts w:hint="eastAsia"/>
                <w:b/>
                <w:bCs/>
                <w:color w:val="auto"/>
                <w:lang w:val="en-US" w:eastAsia="zh-CN"/>
              </w:rPr>
              <w:t>固废产生量</w:t>
            </w:r>
            <w:r>
              <w:rPr>
                <w:rFonts w:hint="eastAsia"/>
                <w:b/>
                <w:bCs/>
                <w:color w:val="auto"/>
                <w:lang w:eastAsia="zh-CN"/>
              </w:rPr>
              <w:t>）</w:t>
            </w:r>
          </w:p>
        </w:tc>
      </w:tr>
      <w:tr w14:paraId="793F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restart"/>
            <w:shd w:val="clear" w:color="auto" w:fill="auto"/>
            <w:vAlign w:val="center"/>
          </w:tcPr>
          <w:p w14:paraId="4027553E">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废气</w:t>
            </w:r>
          </w:p>
        </w:tc>
        <w:tc>
          <w:tcPr>
            <w:tcW w:w="536" w:type="pct"/>
            <w:vMerge w:val="restart"/>
            <w:shd w:val="clear" w:color="auto" w:fill="auto"/>
            <w:vAlign w:val="center"/>
          </w:tcPr>
          <w:p w14:paraId="161279D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加热炉</w:t>
            </w:r>
          </w:p>
        </w:tc>
        <w:tc>
          <w:tcPr>
            <w:tcW w:w="517" w:type="pct"/>
            <w:shd w:val="clear" w:color="auto" w:fill="auto"/>
            <w:vAlign w:val="center"/>
          </w:tcPr>
          <w:p w14:paraId="1EB9BC45">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颗粒物</w:t>
            </w:r>
          </w:p>
        </w:tc>
        <w:tc>
          <w:tcPr>
            <w:tcW w:w="622" w:type="pct"/>
            <w:shd w:val="clear" w:color="auto" w:fill="auto"/>
            <w:vAlign w:val="center"/>
          </w:tcPr>
          <w:p w14:paraId="2347F05D">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0.45t/a</w:t>
            </w:r>
          </w:p>
        </w:tc>
        <w:tc>
          <w:tcPr>
            <w:tcW w:w="658" w:type="pct"/>
            <w:shd w:val="clear" w:color="auto" w:fill="auto"/>
            <w:vAlign w:val="center"/>
          </w:tcPr>
          <w:p w14:paraId="74F189EC">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w:t>
            </w:r>
          </w:p>
        </w:tc>
        <w:tc>
          <w:tcPr>
            <w:tcW w:w="537" w:type="pct"/>
            <w:shd w:val="clear" w:color="auto" w:fill="auto"/>
            <w:vAlign w:val="center"/>
          </w:tcPr>
          <w:p w14:paraId="40465515">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c>
          <w:tcPr>
            <w:tcW w:w="587" w:type="pct"/>
            <w:shd w:val="clear" w:color="auto" w:fill="auto"/>
            <w:vAlign w:val="center"/>
          </w:tcPr>
          <w:p w14:paraId="60A2CE41">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0</w:t>
            </w:r>
          </w:p>
        </w:tc>
        <w:tc>
          <w:tcPr>
            <w:tcW w:w="626" w:type="pct"/>
            <w:shd w:val="clear" w:color="auto" w:fill="auto"/>
            <w:vAlign w:val="center"/>
          </w:tcPr>
          <w:p w14:paraId="59D220AF">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0.45t/a</w:t>
            </w:r>
          </w:p>
        </w:tc>
        <w:tc>
          <w:tcPr>
            <w:tcW w:w="683" w:type="pct"/>
            <w:shd w:val="clear" w:color="auto" w:fill="auto"/>
            <w:vAlign w:val="center"/>
          </w:tcPr>
          <w:p w14:paraId="02F5452E">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0</w:t>
            </w:r>
          </w:p>
        </w:tc>
      </w:tr>
      <w:tr w14:paraId="0C20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continue"/>
            <w:shd w:val="clear" w:color="auto" w:fill="auto"/>
            <w:vAlign w:val="center"/>
          </w:tcPr>
          <w:p w14:paraId="65B0B9A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36" w:type="pct"/>
            <w:vMerge w:val="continue"/>
            <w:shd w:val="clear" w:color="auto" w:fill="auto"/>
            <w:vAlign w:val="center"/>
          </w:tcPr>
          <w:p w14:paraId="27311F2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17" w:type="pct"/>
            <w:shd w:val="clear" w:color="auto" w:fill="auto"/>
            <w:vAlign w:val="center"/>
          </w:tcPr>
          <w:p w14:paraId="06E45548">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SO</w:t>
            </w:r>
            <w:r>
              <w:rPr>
                <w:rFonts w:hint="default"/>
                <w:color w:val="auto"/>
                <w:vertAlign w:val="subscript"/>
              </w:rPr>
              <w:t>2</w:t>
            </w:r>
          </w:p>
        </w:tc>
        <w:tc>
          <w:tcPr>
            <w:tcW w:w="622" w:type="pct"/>
            <w:shd w:val="clear" w:color="auto" w:fill="auto"/>
            <w:vAlign w:val="center"/>
          </w:tcPr>
          <w:p w14:paraId="46AC4ED3">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0.33t/a</w:t>
            </w:r>
          </w:p>
        </w:tc>
        <w:tc>
          <w:tcPr>
            <w:tcW w:w="658" w:type="pct"/>
            <w:shd w:val="clear" w:color="auto" w:fill="auto"/>
            <w:vAlign w:val="center"/>
          </w:tcPr>
          <w:p w14:paraId="62E134B0">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w:t>
            </w:r>
          </w:p>
        </w:tc>
        <w:tc>
          <w:tcPr>
            <w:tcW w:w="537" w:type="pct"/>
            <w:shd w:val="clear" w:color="auto" w:fill="auto"/>
            <w:vAlign w:val="center"/>
          </w:tcPr>
          <w:p w14:paraId="565046EF">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c>
          <w:tcPr>
            <w:tcW w:w="587" w:type="pct"/>
            <w:shd w:val="clear" w:color="auto" w:fill="auto"/>
            <w:vAlign w:val="center"/>
          </w:tcPr>
          <w:p w14:paraId="424941D9">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0</w:t>
            </w:r>
          </w:p>
        </w:tc>
        <w:tc>
          <w:tcPr>
            <w:tcW w:w="626" w:type="pct"/>
            <w:shd w:val="clear" w:color="auto" w:fill="auto"/>
            <w:vAlign w:val="center"/>
          </w:tcPr>
          <w:p w14:paraId="0DFEDCF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0.33t/a</w:t>
            </w:r>
          </w:p>
        </w:tc>
        <w:tc>
          <w:tcPr>
            <w:tcW w:w="683" w:type="pct"/>
            <w:shd w:val="clear" w:color="auto" w:fill="auto"/>
            <w:vAlign w:val="center"/>
          </w:tcPr>
          <w:p w14:paraId="103FBC5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0</w:t>
            </w:r>
          </w:p>
        </w:tc>
      </w:tr>
      <w:tr w14:paraId="69F9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continue"/>
            <w:shd w:val="clear" w:color="auto" w:fill="auto"/>
            <w:vAlign w:val="center"/>
          </w:tcPr>
          <w:p w14:paraId="21C8167F">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36" w:type="pct"/>
            <w:vMerge w:val="continue"/>
            <w:shd w:val="clear" w:color="auto" w:fill="auto"/>
            <w:vAlign w:val="center"/>
          </w:tcPr>
          <w:p w14:paraId="4E07DD75">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17" w:type="pct"/>
            <w:shd w:val="clear" w:color="auto" w:fill="auto"/>
            <w:vAlign w:val="center"/>
          </w:tcPr>
          <w:p w14:paraId="322E9750">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NOx</w:t>
            </w:r>
          </w:p>
        </w:tc>
        <w:tc>
          <w:tcPr>
            <w:tcW w:w="622" w:type="pct"/>
            <w:shd w:val="clear" w:color="auto" w:fill="auto"/>
            <w:vAlign w:val="center"/>
          </w:tcPr>
          <w:p w14:paraId="71BAF50D">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8.54t/a</w:t>
            </w:r>
          </w:p>
        </w:tc>
        <w:tc>
          <w:tcPr>
            <w:tcW w:w="658" w:type="pct"/>
            <w:shd w:val="clear" w:color="auto" w:fill="auto"/>
            <w:vAlign w:val="center"/>
          </w:tcPr>
          <w:p w14:paraId="122949EB">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w:t>
            </w:r>
          </w:p>
        </w:tc>
        <w:tc>
          <w:tcPr>
            <w:tcW w:w="537" w:type="pct"/>
            <w:shd w:val="clear" w:color="auto" w:fill="auto"/>
            <w:vAlign w:val="center"/>
          </w:tcPr>
          <w:p w14:paraId="65985384">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c>
          <w:tcPr>
            <w:tcW w:w="587" w:type="pct"/>
            <w:shd w:val="clear" w:color="auto" w:fill="auto"/>
            <w:vAlign w:val="center"/>
          </w:tcPr>
          <w:p w14:paraId="2327F54E">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0</w:t>
            </w:r>
          </w:p>
        </w:tc>
        <w:tc>
          <w:tcPr>
            <w:tcW w:w="626" w:type="pct"/>
            <w:shd w:val="clear" w:color="auto" w:fill="auto"/>
            <w:vAlign w:val="center"/>
          </w:tcPr>
          <w:p w14:paraId="4B86675F">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ascii="Times New Roman" w:hAnsi="Times New Roman" w:eastAsia="宋体" w:cs="Times New Roman"/>
                <w:color w:val="auto"/>
                <w:sz w:val="21"/>
                <w:szCs w:val="22"/>
                <w:lang w:val="en-US" w:eastAsia="zh-CN" w:bidi="ar-SA"/>
              </w:rPr>
            </w:pPr>
            <w:r>
              <w:rPr>
                <w:rFonts w:hint="eastAsia"/>
                <w:color w:val="auto"/>
                <w:lang w:val="en-US" w:eastAsia="zh-CN"/>
              </w:rPr>
              <w:t>8.54t/a</w:t>
            </w:r>
          </w:p>
        </w:tc>
        <w:tc>
          <w:tcPr>
            <w:tcW w:w="683" w:type="pct"/>
            <w:shd w:val="clear" w:color="auto" w:fill="auto"/>
            <w:vAlign w:val="center"/>
          </w:tcPr>
          <w:p w14:paraId="05014798">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0</w:t>
            </w:r>
          </w:p>
        </w:tc>
      </w:tr>
      <w:tr w14:paraId="0FD8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continue"/>
            <w:shd w:val="clear" w:color="auto" w:fill="auto"/>
            <w:vAlign w:val="center"/>
          </w:tcPr>
          <w:p w14:paraId="1D9A51A0">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36" w:type="pct"/>
            <w:shd w:val="clear" w:color="auto" w:fill="auto"/>
            <w:vAlign w:val="center"/>
          </w:tcPr>
          <w:p w14:paraId="36DCD475">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油气集输</w:t>
            </w:r>
          </w:p>
        </w:tc>
        <w:tc>
          <w:tcPr>
            <w:tcW w:w="517" w:type="pct"/>
            <w:shd w:val="clear" w:color="auto" w:fill="auto"/>
            <w:vAlign w:val="center"/>
          </w:tcPr>
          <w:p w14:paraId="10844028">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非甲烷总烃</w:t>
            </w:r>
          </w:p>
        </w:tc>
        <w:tc>
          <w:tcPr>
            <w:tcW w:w="622" w:type="pct"/>
            <w:shd w:val="clear" w:color="auto" w:fill="auto"/>
            <w:vAlign w:val="center"/>
          </w:tcPr>
          <w:p w14:paraId="0C722A32">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16.44t/a</w:t>
            </w:r>
          </w:p>
        </w:tc>
        <w:tc>
          <w:tcPr>
            <w:tcW w:w="658" w:type="pct"/>
            <w:shd w:val="clear" w:color="auto" w:fill="auto"/>
            <w:vAlign w:val="center"/>
          </w:tcPr>
          <w:p w14:paraId="613E34E4">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0.56t/a</w:t>
            </w:r>
          </w:p>
        </w:tc>
        <w:tc>
          <w:tcPr>
            <w:tcW w:w="537" w:type="pct"/>
            <w:shd w:val="clear" w:color="auto" w:fill="auto"/>
            <w:vAlign w:val="center"/>
          </w:tcPr>
          <w:p w14:paraId="02EB6BC1">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1.84t/a</w:t>
            </w:r>
          </w:p>
        </w:tc>
        <w:tc>
          <w:tcPr>
            <w:tcW w:w="587" w:type="pct"/>
            <w:tcBorders>
              <w:top w:val="nil"/>
              <w:left w:val="nil"/>
              <w:bottom w:val="single" w:color="auto" w:sz="8" w:space="0"/>
              <w:right w:val="single" w:color="auto" w:sz="8" w:space="0"/>
            </w:tcBorders>
            <w:shd w:val="clear" w:color="auto" w:fill="auto"/>
            <w:vAlign w:val="center"/>
          </w:tcPr>
          <w:p w14:paraId="23110A02">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0.56t/a</w:t>
            </w:r>
          </w:p>
        </w:tc>
        <w:tc>
          <w:tcPr>
            <w:tcW w:w="626" w:type="pct"/>
            <w:tcBorders>
              <w:top w:val="nil"/>
              <w:left w:val="nil"/>
              <w:bottom w:val="single" w:color="auto" w:sz="8" w:space="0"/>
              <w:right w:val="single" w:color="auto" w:sz="8" w:space="0"/>
            </w:tcBorders>
            <w:shd w:val="clear" w:color="auto" w:fill="auto"/>
            <w:vAlign w:val="center"/>
          </w:tcPr>
          <w:p w14:paraId="08CCF960">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15.16t/a</w:t>
            </w:r>
          </w:p>
        </w:tc>
        <w:tc>
          <w:tcPr>
            <w:tcW w:w="683" w:type="pct"/>
            <w:shd w:val="clear" w:color="auto" w:fill="auto"/>
            <w:vAlign w:val="center"/>
          </w:tcPr>
          <w:p w14:paraId="7FED663D">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-1.28/t/a</w:t>
            </w:r>
          </w:p>
        </w:tc>
      </w:tr>
      <w:tr w14:paraId="1F98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restart"/>
            <w:shd w:val="clear" w:color="auto" w:fill="auto"/>
            <w:vAlign w:val="center"/>
          </w:tcPr>
          <w:p w14:paraId="5FE73F0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废水</w:t>
            </w:r>
          </w:p>
        </w:tc>
        <w:tc>
          <w:tcPr>
            <w:tcW w:w="536" w:type="pct"/>
            <w:vMerge w:val="restart"/>
            <w:shd w:val="clear" w:color="auto" w:fill="auto"/>
            <w:vAlign w:val="center"/>
          </w:tcPr>
          <w:p w14:paraId="139F6B0B">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生产过程</w:t>
            </w:r>
          </w:p>
        </w:tc>
        <w:tc>
          <w:tcPr>
            <w:tcW w:w="517" w:type="pct"/>
            <w:shd w:val="clear" w:color="auto" w:fill="auto"/>
            <w:vAlign w:val="center"/>
          </w:tcPr>
          <w:p w14:paraId="1A44D19D">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油田采出水</w:t>
            </w:r>
          </w:p>
        </w:tc>
        <w:tc>
          <w:tcPr>
            <w:tcW w:w="622" w:type="pct"/>
            <w:shd w:val="clear" w:color="auto" w:fill="auto"/>
            <w:vAlign w:val="center"/>
          </w:tcPr>
          <w:p w14:paraId="597FE7E5">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color w:val="auto"/>
                <w:lang w:val="en-US" w:eastAsia="zh-CN"/>
              </w:rPr>
            </w:pPr>
            <w:r>
              <w:rPr>
                <w:rFonts w:hint="eastAsia"/>
                <w:color w:val="auto"/>
                <w:lang w:val="en-US" w:eastAsia="zh-CN"/>
              </w:rPr>
              <w:t>1003800</w:t>
            </w:r>
          </w:p>
          <w:p w14:paraId="33AA90EF">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w:t>
            </w:r>
          </w:p>
        </w:tc>
        <w:tc>
          <w:tcPr>
            <w:tcW w:w="658" w:type="pct"/>
            <w:shd w:val="clear" w:color="auto" w:fill="auto"/>
            <w:vAlign w:val="center"/>
          </w:tcPr>
          <w:p w14:paraId="786A41AB">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color w:val="auto"/>
                <w:lang w:val="en-US" w:eastAsia="zh-CN"/>
              </w:rPr>
            </w:pPr>
            <w:r>
              <w:rPr>
                <w:rFonts w:hint="eastAsia"/>
                <w:color w:val="auto"/>
                <w:lang w:val="en-US" w:eastAsia="zh-CN"/>
              </w:rPr>
              <w:t>108405</w:t>
            </w:r>
          </w:p>
          <w:p w14:paraId="1D9E893C">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w:t>
            </w:r>
          </w:p>
        </w:tc>
        <w:tc>
          <w:tcPr>
            <w:tcW w:w="537" w:type="pct"/>
            <w:shd w:val="clear" w:color="auto" w:fill="auto"/>
            <w:vAlign w:val="center"/>
          </w:tcPr>
          <w:p w14:paraId="090D1C4B">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c>
          <w:tcPr>
            <w:tcW w:w="587" w:type="pct"/>
            <w:shd w:val="clear" w:color="auto" w:fill="auto"/>
            <w:vAlign w:val="center"/>
          </w:tcPr>
          <w:p w14:paraId="41A3F17D">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color w:val="auto"/>
                <w:lang w:eastAsia="zh-CN"/>
              </w:rPr>
            </w:pPr>
            <w:r>
              <w:rPr>
                <w:rFonts w:hint="eastAsia"/>
                <w:color w:val="auto"/>
                <w:lang w:val="en-US" w:eastAsia="zh-CN"/>
              </w:rPr>
              <w:t>/</w:t>
            </w:r>
          </w:p>
        </w:tc>
        <w:tc>
          <w:tcPr>
            <w:tcW w:w="626" w:type="pct"/>
            <w:shd w:val="clear" w:color="auto" w:fill="auto"/>
            <w:vAlign w:val="center"/>
          </w:tcPr>
          <w:p w14:paraId="5C6E7D48">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lang w:eastAsia="zh"/>
              </w:rPr>
            </w:pPr>
            <w:r>
              <w:rPr>
                <w:rFonts w:hint="eastAsia"/>
                <w:color w:val="auto"/>
                <w:lang w:val="en-US" w:eastAsia="zh-CN"/>
              </w:rPr>
              <w:t>/</w:t>
            </w:r>
          </w:p>
        </w:tc>
        <w:tc>
          <w:tcPr>
            <w:tcW w:w="683" w:type="pct"/>
            <w:shd w:val="clear" w:color="auto" w:fill="auto"/>
            <w:vAlign w:val="center"/>
          </w:tcPr>
          <w:p w14:paraId="77D037F7">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lang w:val="en-US" w:eastAsia="zh"/>
              </w:rPr>
            </w:pPr>
            <w:r>
              <w:rPr>
                <w:rFonts w:hint="eastAsia"/>
                <w:color w:val="auto"/>
                <w:lang w:val="en-US" w:eastAsia="zh-CN"/>
              </w:rPr>
              <w:t>/</w:t>
            </w:r>
          </w:p>
        </w:tc>
      </w:tr>
      <w:tr w14:paraId="04AB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continue"/>
            <w:shd w:val="clear" w:color="auto" w:fill="auto"/>
            <w:vAlign w:val="center"/>
          </w:tcPr>
          <w:p w14:paraId="75D9E86E">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36" w:type="pct"/>
            <w:vMerge w:val="continue"/>
            <w:shd w:val="clear" w:color="auto" w:fill="auto"/>
            <w:vAlign w:val="center"/>
          </w:tcPr>
          <w:p w14:paraId="0594A5FD">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17" w:type="pct"/>
            <w:shd w:val="clear" w:color="auto" w:fill="auto"/>
            <w:vAlign w:val="center"/>
          </w:tcPr>
          <w:p w14:paraId="7DC40F3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井下作业</w:t>
            </w:r>
          </w:p>
        </w:tc>
        <w:tc>
          <w:tcPr>
            <w:tcW w:w="622" w:type="pct"/>
            <w:shd w:val="clear" w:color="auto" w:fill="auto"/>
            <w:vAlign w:val="center"/>
          </w:tcPr>
          <w:p w14:paraId="3B40E024">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52360m</w:t>
            </w:r>
            <w:r>
              <w:rPr>
                <w:rFonts w:hint="eastAsia"/>
                <w:color w:val="auto"/>
                <w:vertAlign w:val="superscript"/>
                <w:lang w:val="en-US" w:eastAsia="zh-CN"/>
              </w:rPr>
              <w:t>3</w:t>
            </w:r>
            <w:r>
              <w:rPr>
                <w:rFonts w:hint="eastAsia"/>
                <w:color w:val="auto"/>
                <w:lang w:val="en-US" w:eastAsia="zh-CN"/>
              </w:rPr>
              <w:t>/a</w:t>
            </w:r>
          </w:p>
        </w:tc>
        <w:tc>
          <w:tcPr>
            <w:tcW w:w="658" w:type="pct"/>
            <w:shd w:val="clear" w:color="auto" w:fill="auto"/>
            <w:vAlign w:val="center"/>
          </w:tcPr>
          <w:p w14:paraId="2ADEB5A3">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1959.4m</w:t>
            </w:r>
            <w:r>
              <w:rPr>
                <w:rFonts w:hint="eastAsia"/>
                <w:color w:val="auto"/>
                <w:vertAlign w:val="superscript"/>
                <w:lang w:val="en-US" w:eastAsia="zh-CN"/>
              </w:rPr>
              <w:t>3</w:t>
            </w:r>
            <w:r>
              <w:rPr>
                <w:rFonts w:hint="eastAsia"/>
                <w:color w:val="auto"/>
                <w:lang w:val="en-US" w:eastAsia="zh-CN"/>
              </w:rPr>
              <w:t>/a</w:t>
            </w:r>
          </w:p>
        </w:tc>
        <w:tc>
          <w:tcPr>
            <w:tcW w:w="537" w:type="pct"/>
            <w:shd w:val="clear" w:color="auto" w:fill="auto"/>
            <w:vAlign w:val="center"/>
          </w:tcPr>
          <w:p w14:paraId="570D9F0B">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c>
          <w:tcPr>
            <w:tcW w:w="587" w:type="pct"/>
            <w:shd w:val="clear" w:color="auto" w:fill="auto"/>
            <w:vAlign w:val="center"/>
          </w:tcPr>
          <w:p w14:paraId="516DF7C1">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color w:val="auto"/>
                <w:lang w:eastAsia="zh-CN"/>
              </w:rPr>
            </w:pPr>
            <w:r>
              <w:rPr>
                <w:rFonts w:hint="eastAsia"/>
                <w:color w:val="auto"/>
                <w:lang w:val="en-US" w:eastAsia="zh-CN"/>
              </w:rPr>
              <w:t>/</w:t>
            </w:r>
          </w:p>
        </w:tc>
        <w:tc>
          <w:tcPr>
            <w:tcW w:w="626" w:type="pct"/>
            <w:shd w:val="clear" w:color="auto" w:fill="auto"/>
            <w:vAlign w:val="center"/>
          </w:tcPr>
          <w:p w14:paraId="349EF8C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lang w:eastAsia="zh"/>
              </w:rPr>
            </w:pPr>
            <w:r>
              <w:rPr>
                <w:rFonts w:hint="eastAsia"/>
                <w:color w:val="auto"/>
                <w:lang w:val="en-US" w:eastAsia="zh-CN"/>
              </w:rPr>
              <w:t>/</w:t>
            </w:r>
          </w:p>
        </w:tc>
        <w:tc>
          <w:tcPr>
            <w:tcW w:w="683" w:type="pct"/>
            <w:shd w:val="clear" w:color="auto" w:fill="auto"/>
            <w:vAlign w:val="center"/>
          </w:tcPr>
          <w:p w14:paraId="1AEA23BF">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lang w:val="en-US" w:eastAsia="zh"/>
              </w:rPr>
            </w:pPr>
            <w:r>
              <w:rPr>
                <w:rFonts w:hint="eastAsia"/>
                <w:color w:val="auto"/>
                <w:lang w:val="en-US" w:eastAsia="zh-CN"/>
              </w:rPr>
              <w:t>/</w:t>
            </w:r>
          </w:p>
        </w:tc>
      </w:tr>
      <w:tr w14:paraId="3330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continue"/>
            <w:shd w:val="clear" w:color="auto" w:fill="auto"/>
            <w:vAlign w:val="center"/>
          </w:tcPr>
          <w:p w14:paraId="14E7D0DE">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36" w:type="pct"/>
            <w:shd w:val="clear" w:color="auto" w:fill="auto"/>
            <w:vAlign w:val="center"/>
          </w:tcPr>
          <w:p w14:paraId="7F3494CF">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员工生活、办公</w:t>
            </w:r>
          </w:p>
        </w:tc>
        <w:tc>
          <w:tcPr>
            <w:tcW w:w="517" w:type="pct"/>
            <w:shd w:val="clear" w:color="auto" w:fill="auto"/>
            <w:vAlign w:val="center"/>
          </w:tcPr>
          <w:p w14:paraId="1F76FF64">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生活污水</w:t>
            </w:r>
          </w:p>
        </w:tc>
        <w:tc>
          <w:tcPr>
            <w:tcW w:w="622" w:type="pct"/>
            <w:shd w:val="clear" w:color="auto" w:fill="auto"/>
            <w:vAlign w:val="center"/>
          </w:tcPr>
          <w:p w14:paraId="263B80E8">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1485m</w:t>
            </w:r>
            <w:r>
              <w:rPr>
                <w:rFonts w:hint="eastAsia"/>
                <w:color w:val="auto"/>
                <w:vertAlign w:val="superscript"/>
                <w:lang w:val="en-US" w:eastAsia="zh-CN"/>
              </w:rPr>
              <w:t>3</w:t>
            </w:r>
            <w:r>
              <w:rPr>
                <w:rFonts w:hint="eastAsia"/>
                <w:color w:val="auto"/>
                <w:lang w:val="en-US" w:eastAsia="zh-CN"/>
              </w:rPr>
              <w:t>/a</w:t>
            </w:r>
          </w:p>
        </w:tc>
        <w:tc>
          <w:tcPr>
            <w:tcW w:w="658" w:type="pct"/>
            <w:shd w:val="clear" w:color="auto" w:fill="auto"/>
            <w:vAlign w:val="center"/>
          </w:tcPr>
          <w:p w14:paraId="5389002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val="en-US" w:eastAsia="zh-CN"/>
              </w:rPr>
            </w:pPr>
            <w:r>
              <w:rPr>
                <w:rFonts w:hint="eastAsia"/>
                <w:color w:val="auto"/>
                <w:lang w:val="en-US" w:eastAsia="zh-CN"/>
              </w:rPr>
              <w:t>/</w:t>
            </w:r>
          </w:p>
        </w:tc>
        <w:tc>
          <w:tcPr>
            <w:tcW w:w="537" w:type="pct"/>
            <w:shd w:val="clear" w:color="auto" w:fill="auto"/>
            <w:vAlign w:val="center"/>
          </w:tcPr>
          <w:p w14:paraId="1F5F2D8C">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w:t>
            </w:r>
          </w:p>
        </w:tc>
        <w:tc>
          <w:tcPr>
            <w:tcW w:w="587" w:type="pct"/>
            <w:shd w:val="clear" w:color="auto" w:fill="auto"/>
            <w:vAlign w:val="center"/>
          </w:tcPr>
          <w:p w14:paraId="2AEAD855">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color w:val="auto"/>
                <w:lang w:eastAsia="zh-CN"/>
              </w:rPr>
            </w:pPr>
            <w:r>
              <w:rPr>
                <w:rFonts w:hint="eastAsia"/>
                <w:color w:val="auto"/>
                <w:lang w:val="en-US" w:eastAsia="zh-CN"/>
              </w:rPr>
              <w:t>0</w:t>
            </w:r>
          </w:p>
        </w:tc>
        <w:tc>
          <w:tcPr>
            <w:tcW w:w="626" w:type="pct"/>
            <w:shd w:val="clear" w:color="auto" w:fill="auto"/>
            <w:vAlign w:val="center"/>
          </w:tcPr>
          <w:p w14:paraId="434F5BE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lang w:eastAsia="zh"/>
              </w:rPr>
            </w:pPr>
            <w:r>
              <w:rPr>
                <w:rFonts w:hint="default"/>
                <w:color w:val="auto"/>
                <w:lang w:eastAsia="zh"/>
              </w:rPr>
              <w:t>0</w:t>
            </w:r>
          </w:p>
        </w:tc>
        <w:tc>
          <w:tcPr>
            <w:tcW w:w="683" w:type="pct"/>
            <w:shd w:val="clear" w:color="auto" w:fill="auto"/>
            <w:vAlign w:val="center"/>
          </w:tcPr>
          <w:p w14:paraId="6C60731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r>
      <w:tr w14:paraId="7A54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restart"/>
            <w:shd w:val="clear" w:color="auto" w:fill="auto"/>
            <w:vAlign w:val="center"/>
          </w:tcPr>
          <w:p w14:paraId="0A745A6C">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固废</w:t>
            </w:r>
          </w:p>
        </w:tc>
        <w:tc>
          <w:tcPr>
            <w:tcW w:w="536" w:type="pct"/>
            <w:shd w:val="clear" w:color="auto" w:fill="auto"/>
            <w:vAlign w:val="center"/>
          </w:tcPr>
          <w:p w14:paraId="6662ECE0">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石油开采</w:t>
            </w:r>
          </w:p>
        </w:tc>
        <w:tc>
          <w:tcPr>
            <w:tcW w:w="517" w:type="pct"/>
            <w:shd w:val="clear" w:color="auto" w:fill="auto"/>
            <w:vAlign w:val="center"/>
          </w:tcPr>
          <w:p w14:paraId="0D8353D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落地油</w:t>
            </w:r>
          </w:p>
        </w:tc>
        <w:tc>
          <w:tcPr>
            <w:tcW w:w="622" w:type="pct"/>
            <w:shd w:val="clear" w:color="auto" w:fill="auto"/>
            <w:vAlign w:val="center"/>
          </w:tcPr>
          <w:p w14:paraId="3EAFD640">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7.48t/a</w:t>
            </w:r>
          </w:p>
        </w:tc>
        <w:tc>
          <w:tcPr>
            <w:tcW w:w="658" w:type="pct"/>
            <w:shd w:val="clear" w:color="auto" w:fill="auto"/>
            <w:vAlign w:val="center"/>
          </w:tcPr>
          <w:p w14:paraId="031E51B1">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0.1t/a</w:t>
            </w:r>
          </w:p>
        </w:tc>
        <w:tc>
          <w:tcPr>
            <w:tcW w:w="537" w:type="pct"/>
            <w:shd w:val="clear" w:color="auto" w:fill="auto"/>
            <w:vAlign w:val="center"/>
          </w:tcPr>
          <w:p w14:paraId="766E5D41">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c>
          <w:tcPr>
            <w:tcW w:w="587" w:type="pct"/>
            <w:shd w:val="clear" w:color="auto" w:fill="auto"/>
            <w:vAlign w:val="center"/>
          </w:tcPr>
          <w:p w14:paraId="5D97F97E">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0.1t/a</w:t>
            </w:r>
          </w:p>
        </w:tc>
        <w:tc>
          <w:tcPr>
            <w:tcW w:w="626" w:type="pct"/>
            <w:shd w:val="clear" w:color="auto" w:fill="auto"/>
            <w:vAlign w:val="center"/>
          </w:tcPr>
          <w:p w14:paraId="2E8C6B9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7.49t/a</w:t>
            </w:r>
          </w:p>
        </w:tc>
        <w:tc>
          <w:tcPr>
            <w:tcW w:w="683" w:type="pct"/>
            <w:shd w:val="clear" w:color="auto" w:fill="auto"/>
            <w:vAlign w:val="center"/>
          </w:tcPr>
          <w:p w14:paraId="17B1272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ascii="Times New Roman" w:hAnsi="Times New Roman" w:eastAsia="宋体" w:cs="Times New Roman"/>
                <w:color w:val="auto"/>
                <w:sz w:val="21"/>
                <w:szCs w:val="22"/>
                <w:lang w:val="en-US" w:eastAsia="zh" w:bidi="ar-SA"/>
              </w:rPr>
            </w:pPr>
            <w:r>
              <w:rPr>
                <w:rFonts w:hint="eastAsia"/>
                <w:color w:val="auto"/>
                <w:lang w:val="en-US" w:eastAsia="zh-CN"/>
              </w:rPr>
              <w:t>+0.1t/a</w:t>
            </w:r>
          </w:p>
        </w:tc>
      </w:tr>
      <w:tr w14:paraId="0627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continue"/>
            <w:shd w:val="clear" w:color="auto" w:fill="auto"/>
            <w:vAlign w:val="center"/>
          </w:tcPr>
          <w:p w14:paraId="60F91EBB">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36" w:type="pct"/>
            <w:shd w:val="clear" w:color="auto" w:fill="auto"/>
            <w:vAlign w:val="center"/>
          </w:tcPr>
          <w:p w14:paraId="025331F3">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石油开采、采出水处理</w:t>
            </w:r>
          </w:p>
        </w:tc>
        <w:tc>
          <w:tcPr>
            <w:tcW w:w="517" w:type="pct"/>
            <w:shd w:val="clear" w:color="auto" w:fill="auto"/>
            <w:vAlign w:val="center"/>
          </w:tcPr>
          <w:p w14:paraId="6C7FEE81">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含油污泥</w:t>
            </w:r>
          </w:p>
        </w:tc>
        <w:tc>
          <w:tcPr>
            <w:tcW w:w="622" w:type="pct"/>
            <w:shd w:val="clear" w:color="auto" w:fill="auto"/>
            <w:vAlign w:val="center"/>
          </w:tcPr>
          <w:p w14:paraId="29F09695">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735.6t/a</w:t>
            </w:r>
          </w:p>
        </w:tc>
        <w:tc>
          <w:tcPr>
            <w:tcW w:w="658" w:type="pct"/>
            <w:shd w:val="clear" w:color="auto" w:fill="auto"/>
            <w:vAlign w:val="center"/>
          </w:tcPr>
          <w:p w14:paraId="2152FC7D">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700.67t/a</w:t>
            </w:r>
          </w:p>
        </w:tc>
        <w:tc>
          <w:tcPr>
            <w:tcW w:w="537" w:type="pct"/>
            <w:shd w:val="clear" w:color="auto" w:fill="auto"/>
            <w:vAlign w:val="center"/>
          </w:tcPr>
          <w:p w14:paraId="7C6DBF3C">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c>
          <w:tcPr>
            <w:tcW w:w="587" w:type="pct"/>
            <w:shd w:val="clear" w:color="auto" w:fill="auto"/>
            <w:vAlign w:val="center"/>
          </w:tcPr>
          <w:p w14:paraId="7CF8D2A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ascii="Times New Roman" w:hAnsi="Times New Roman" w:eastAsia="宋体" w:cs="Times New Roman"/>
                <w:color w:val="auto"/>
                <w:sz w:val="21"/>
                <w:szCs w:val="22"/>
                <w:lang w:val="en-US" w:eastAsia="zh-CN" w:bidi="ar-SA"/>
              </w:rPr>
            </w:pPr>
            <w:r>
              <w:rPr>
                <w:rFonts w:hint="eastAsia"/>
                <w:color w:val="auto"/>
                <w:lang w:val="en-US" w:eastAsia="zh-CN"/>
              </w:rPr>
              <w:t>700.67t/a</w:t>
            </w:r>
          </w:p>
        </w:tc>
        <w:tc>
          <w:tcPr>
            <w:tcW w:w="626" w:type="pct"/>
            <w:shd w:val="clear" w:color="auto" w:fill="auto"/>
            <w:vAlign w:val="center"/>
          </w:tcPr>
          <w:p w14:paraId="4D62D683">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lang w:val="en-US" w:eastAsia="zh-CN"/>
              </w:rPr>
            </w:pPr>
            <w:r>
              <w:rPr>
                <w:rFonts w:hint="eastAsia"/>
                <w:color w:val="auto"/>
                <w:lang w:val="en-US" w:eastAsia="zh-CN"/>
              </w:rPr>
              <w:t>1436.27t/a</w:t>
            </w:r>
          </w:p>
        </w:tc>
        <w:tc>
          <w:tcPr>
            <w:tcW w:w="683" w:type="pct"/>
            <w:shd w:val="clear" w:color="auto" w:fill="auto"/>
            <w:vAlign w:val="center"/>
          </w:tcPr>
          <w:p w14:paraId="08D35F05">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ascii="Times New Roman" w:hAnsi="Times New Roman" w:eastAsia="宋体" w:cs="Times New Roman"/>
                <w:color w:val="auto"/>
                <w:sz w:val="21"/>
                <w:szCs w:val="22"/>
                <w:lang w:val="en-US" w:eastAsia="zh" w:bidi="ar-SA"/>
              </w:rPr>
            </w:pPr>
            <w:r>
              <w:rPr>
                <w:rFonts w:hint="eastAsia"/>
                <w:color w:val="auto"/>
                <w:lang w:val="en-US" w:eastAsia="zh-CN"/>
              </w:rPr>
              <w:t>+700.67t/a</w:t>
            </w:r>
          </w:p>
        </w:tc>
      </w:tr>
      <w:tr w14:paraId="3663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continue"/>
            <w:shd w:val="clear" w:color="auto" w:fill="auto"/>
            <w:vAlign w:val="center"/>
          </w:tcPr>
          <w:p w14:paraId="5D66AC22">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36" w:type="pct"/>
            <w:shd w:val="clear" w:color="auto" w:fill="auto"/>
            <w:vAlign w:val="center"/>
          </w:tcPr>
          <w:p w14:paraId="1148784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设备维护、修井</w:t>
            </w:r>
          </w:p>
        </w:tc>
        <w:tc>
          <w:tcPr>
            <w:tcW w:w="517" w:type="pct"/>
            <w:shd w:val="clear" w:color="auto" w:fill="auto"/>
            <w:vAlign w:val="center"/>
          </w:tcPr>
          <w:p w14:paraId="23F397D3">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eastAsia="宋体"/>
                <w:color w:val="auto"/>
                <w:lang w:eastAsia="zh-CN"/>
              </w:rPr>
            </w:pPr>
            <w:r>
              <w:rPr>
                <w:rFonts w:hint="eastAsia"/>
                <w:color w:val="auto"/>
                <w:lang w:val="en-US" w:eastAsia="zh-CN"/>
              </w:rPr>
              <w:t>沾油废物</w:t>
            </w:r>
          </w:p>
        </w:tc>
        <w:tc>
          <w:tcPr>
            <w:tcW w:w="622" w:type="pct"/>
            <w:shd w:val="clear" w:color="auto" w:fill="auto"/>
            <w:vAlign w:val="center"/>
          </w:tcPr>
          <w:p w14:paraId="31C2A363">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9.8t/a</w:t>
            </w:r>
          </w:p>
        </w:tc>
        <w:tc>
          <w:tcPr>
            <w:tcW w:w="658" w:type="pct"/>
            <w:shd w:val="clear" w:color="auto" w:fill="auto"/>
            <w:vAlign w:val="center"/>
          </w:tcPr>
          <w:p w14:paraId="107A0433">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1.2t/a</w:t>
            </w:r>
          </w:p>
        </w:tc>
        <w:tc>
          <w:tcPr>
            <w:tcW w:w="537" w:type="pct"/>
            <w:shd w:val="clear" w:color="auto" w:fill="auto"/>
            <w:vAlign w:val="center"/>
          </w:tcPr>
          <w:p w14:paraId="1AD6622A">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c>
          <w:tcPr>
            <w:tcW w:w="587" w:type="pct"/>
            <w:shd w:val="clear" w:color="auto" w:fill="auto"/>
            <w:vAlign w:val="center"/>
          </w:tcPr>
          <w:p w14:paraId="3C024E0B">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eastAsia"/>
                <w:color w:val="auto"/>
                <w:lang w:eastAsia="zh-CN"/>
              </w:rPr>
            </w:pPr>
            <w:r>
              <w:rPr>
                <w:rFonts w:hint="default"/>
                <w:color w:val="auto"/>
              </w:rPr>
              <w:t>1.2t/a</w:t>
            </w:r>
          </w:p>
        </w:tc>
        <w:tc>
          <w:tcPr>
            <w:tcW w:w="626" w:type="pct"/>
            <w:shd w:val="clear" w:color="auto" w:fill="auto"/>
            <w:vAlign w:val="center"/>
          </w:tcPr>
          <w:p w14:paraId="10CD2F3E">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11t/a</w:t>
            </w:r>
          </w:p>
        </w:tc>
        <w:tc>
          <w:tcPr>
            <w:tcW w:w="683" w:type="pct"/>
            <w:shd w:val="clear" w:color="auto" w:fill="auto"/>
            <w:vAlign w:val="center"/>
          </w:tcPr>
          <w:p w14:paraId="37C0EB9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lang w:eastAsia="zh"/>
              </w:rPr>
            </w:pPr>
            <w:r>
              <w:rPr>
                <w:rFonts w:hint="eastAsia"/>
                <w:color w:val="auto"/>
                <w:lang w:val="en-US" w:eastAsia="zh-CN"/>
              </w:rPr>
              <w:t>+</w:t>
            </w:r>
            <w:r>
              <w:rPr>
                <w:rFonts w:hint="default"/>
                <w:color w:val="auto"/>
              </w:rPr>
              <w:t>1.2t/a</w:t>
            </w:r>
          </w:p>
        </w:tc>
      </w:tr>
      <w:tr w14:paraId="491B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tblHeader/>
        </w:trPr>
        <w:tc>
          <w:tcPr>
            <w:tcW w:w="230" w:type="pct"/>
            <w:vMerge w:val="continue"/>
            <w:shd w:val="clear" w:color="auto" w:fill="auto"/>
            <w:vAlign w:val="center"/>
          </w:tcPr>
          <w:p w14:paraId="337020A8">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p>
        </w:tc>
        <w:tc>
          <w:tcPr>
            <w:tcW w:w="536" w:type="pct"/>
            <w:shd w:val="clear" w:color="auto" w:fill="auto"/>
            <w:vAlign w:val="center"/>
          </w:tcPr>
          <w:p w14:paraId="305DAF3D">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员工生活、办公</w:t>
            </w:r>
          </w:p>
        </w:tc>
        <w:tc>
          <w:tcPr>
            <w:tcW w:w="517" w:type="pct"/>
            <w:shd w:val="clear" w:color="auto" w:fill="auto"/>
            <w:vAlign w:val="center"/>
          </w:tcPr>
          <w:p w14:paraId="40BBDF02">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生活垃圾</w:t>
            </w:r>
          </w:p>
        </w:tc>
        <w:tc>
          <w:tcPr>
            <w:tcW w:w="622" w:type="pct"/>
            <w:shd w:val="clear" w:color="auto" w:fill="auto"/>
            <w:vAlign w:val="center"/>
          </w:tcPr>
          <w:p w14:paraId="6E39E144">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eastAsia="宋体"/>
                <w:color w:val="auto"/>
                <w:lang w:val="en-US" w:eastAsia="zh-CN"/>
              </w:rPr>
            </w:pPr>
            <w:r>
              <w:rPr>
                <w:rFonts w:hint="eastAsia"/>
                <w:color w:val="auto"/>
                <w:lang w:val="en-US" w:eastAsia="zh-CN"/>
              </w:rPr>
              <w:t>14.85t/a</w:t>
            </w:r>
          </w:p>
        </w:tc>
        <w:tc>
          <w:tcPr>
            <w:tcW w:w="658" w:type="pct"/>
            <w:shd w:val="clear" w:color="auto" w:fill="auto"/>
            <w:vAlign w:val="center"/>
          </w:tcPr>
          <w:p w14:paraId="1AC78BD5">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w:t>
            </w:r>
          </w:p>
        </w:tc>
        <w:tc>
          <w:tcPr>
            <w:tcW w:w="537" w:type="pct"/>
            <w:shd w:val="clear" w:color="auto" w:fill="auto"/>
            <w:vAlign w:val="center"/>
          </w:tcPr>
          <w:p w14:paraId="4FDFE008">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w:t>
            </w:r>
          </w:p>
        </w:tc>
        <w:tc>
          <w:tcPr>
            <w:tcW w:w="587" w:type="pct"/>
            <w:shd w:val="clear" w:color="auto" w:fill="auto"/>
            <w:vAlign w:val="center"/>
          </w:tcPr>
          <w:p w14:paraId="6A44684C">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lang w:eastAsia="zh"/>
              </w:rPr>
            </w:pPr>
            <w:r>
              <w:rPr>
                <w:rFonts w:hint="eastAsia"/>
                <w:color w:val="auto"/>
                <w:lang w:val="en-US" w:eastAsia="zh-CN"/>
              </w:rPr>
              <w:t>/</w:t>
            </w:r>
          </w:p>
        </w:tc>
        <w:tc>
          <w:tcPr>
            <w:tcW w:w="626" w:type="pct"/>
            <w:shd w:val="clear" w:color="auto" w:fill="auto"/>
            <w:vAlign w:val="center"/>
          </w:tcPr>
          <w:p w14:paraId="48BDBD46">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lang w:val="en-US" w:eastAsia="zh"/>
              </w:rPr>
            </w:pPr>
            <w:r>
              <w:rPr>
                <w:rFonts w:hint="eastAsia"/>
                <w:color w:val="auto"/>
                <w:lang w:val="en-US" w:eastAsia="zh-CN"/>
              </w:rPr>
              <w:t>14.85t/a</w:t>
            </w:r>
          </w:p>
        </w:tc>
        <w:tc>
          <w:tcPr>
            <w:tcW w:w="683" w:type="pct"/>
            <w:shd w:val="clear" w:color="auto" w:fill="auto"/>
            <w:vAlign w:val="center"/>
          </w:tcPr>
          <w:p w14:paraId="440F073D">
            <w:pPr>
              <w:pStyle w:val="44"/>
              <w:keepNext w:val="0"/>
              <w:keepLines w:val="0"/>
              <w:pageBreakBefore w:val="0"/>
              <w:widowControl/>
              <w:kinsoku/>
              <w:wordWrap/>
              <w:overflowPunct/>
              <w:topLinePunct w:val="0"/>
              <w:autoSpaceDE/>
              <w:autoSpaceDN/>
              <w:bidi w:val="0"/>
              <w:adjustRightInd/>
              <w:snapToGrid/>
              <w:spacing w:after="160"/>
              <w:jc w:val="center"/>
              <w:textAlignment w:val="auto"/>
              <w:rPr>
                <w:rFonts w:hint="default"/>
                <w:color w:val="auto"/>
              </w:rPr>
            </w:pPr>
            <w:r>
              <w:rPr>
                <w:rFonts w:hint="default"/>
                <w:color w:val="auto"/>
              </w:rPr>
              <w:t>0</w:t>
            </w:r>
          </w:p>
        </w:tc>
      </w:tr>
      <w:bookmarkEnd w:id="181"/>
    </w:tbl>
    <w:p w14:paraId="322B8C7E">
      <w:pPr>
        <w:pStyle w:val="5"/>
        <w:bidi w:val="0"/>
        <w:rPr>
          <w:rFonts w:hint="default"/>
          <w:color w:val="auto"/>
          <w:lang w:val="en-US" w:eastAsia="zh-CN"/>
        </w:rPr>
      </w:pPr>
      <w:r>
        <w:rPr>
          <w:rFonts w:hint="eastAsia"/>
          <w:color w:val="auto"/>
          <w:lang w:val="en-US" w:eastAsia="zh-CN"/>
        </w:rPr>
        <w:t>3.9.4温室气体评价</w:t>
      </w:r>
    </w:p>
    <w:p w14:paraId="6E52190D">
      <w:pPr>
        <w:pStyle w:val="6"/>
        <w:bidi w:val="0"/>
        <w:rPr>
          <w:rFonts w:hint="default"/>
          <w:color w:val="auto"/>
          <w:lang w:val="en-US" w:eastAsia="zh-CN"/>
        </w:rPr>
      </w:pPr>
      <w:r>
        <w:rPr>
          <w:rFonts w:hint="eastAsia"/>
          <w:color w:val="auto"/>
          <w:lang w:val="en-US" w:eastAsia="zh-CN"/>
        </w:rPr>
        <w:t>3.9.4.1碳排放源分析</w:t>
      </w:r>
    </w:p>
    <w:p w14:paraId="570DCC5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8"/>
        </w:rPr>
      </w:pPr>
      <w:r>
        <w:rPr>
          <w:rFonts w:hint="default" w:ascii="Times New Roman" w:hAnsi="Times New Roman" w:eastAsia="宋体" w:cs="Times New Roman"/>
          <w:color w:val="auto"/>
          <w:sz w:val="24"/>
          <w:szCs w:val="24"/>
        </w:rPr>
        <w:t>根据《中国石油天然气生产企业温室气体排放核算方法与报告指南（试行）》，石油天然气开采企业碳排放源主要包括：燃料燃烧CO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排放、火炬燃烧排放、工艺放空排放、CH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逃逸排放、CH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回收利用量、CO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回收利用量、净购入电力和热力隐含的CO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w:t>
      </w:r>
    </w:p>
    <w:p w14:paraId="6679297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1</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燃料燃烧</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w:t>
      </w:r>
    </w:p>
    <w:p w14:paraId="014967E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cs="Times New Roman"/>
          <w:color w:val="auto"/>
          <w:sz w:val="24"/>
          <w:szCs w:val="28"/>
          <w:lang w:val="en-US" w:eastAsia="zh-CN"/>
        </w:rPr>
        <w:t>本工程不涉及燃料燃烧，故不需要核算该部分产生</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eastAsia" w:cs="Times New Roman"/>
          <w:color w:val="auto"/>
          <w:sz w:val="24"/>
          <w:szCs w:val="24"/>
          <w:vertAlign w:val="baseline"/>
          <w:lang w:val="en-US" w:eastAsia="zh-CN"/>
        </w:rPr>
        <w:t>的</w:t>
      </w:r>
      <w:r>
        <w:rPr>
          <w:rFonts w:hint="default" w:ascii="Times New Roman" w:hAnsi="Times New Roman" w:eastAsia="宋体" w:cs="Times New Roman"/>
          <w:color w:val="auto"/>
          <w:sz w:val="24"/>
          <w:szCs w:val="24"/>
        </w:rPr>
        <w:t>排放</w:t>
      </w:r>
      <w:r>
        <w:rPr>
          <w:rFonts w:hint="eastAsia" w:cs="Times New Roman"/>
          <w:color w:val="auto"/>
          <w:sz w:val="24"/>
          <w:szCs w:val="24"/>
          <w:lang w:val="en-US" w:eastAsia="zh-CN"/>
        </w:rPr>
        <w:t>量。</w:t>
      </w:r>
    </w:p>
    <w:p w14:paraId="18C729F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eastAsia="zh-CN"/>
        </w:rPr>
      </w:pP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2</w:t>
      </w:r>
      <w:r>
        <w:rPr>
          <w:rFonts w:hint="eastAsia" w:ascii="Times New Roman" w:hAnsi="Times New Roman" w:cs="Times New Roman"/>
          <w:color w:val="auto"/>
          <w:sz w:val="24"/>
          <w:szCs w:val="28"/>
          <w:lang w:eastAsia="zh-CN"/>
        </w:rPr>
        <w:t>）</w:t>
      </w:r>
      <w:r>
        <w:rPr>
          <w:rFonts w:hint="default" w:ascii="Times New Roman" w:hAnsi="Times New Roman" w:eastAsia="宋体" w:cs="Times New Roman"/>
          <w:color w:val="auto"/>
          <w:sz w:val="24"/>
          <w:szCs w:val="24"/>
        </w:rPr>
        <w:t>火炬燃烧排放</w:t>
      </w:r>
    </w:p>
    <w:p w14:paraId="6B0A50A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vertAlign w:val="baseline"/>
          <w:lang w:val="en-US" w:eastAsia="zh-CN"/>
        </w:rPr>
      </w:pPr>
      <w:r>
        <w:rPr>
          <w:rFonts w:hint="eastAsia"/>
          <w:color w:val="auto"/>
          <w:sz w:val="24"/>
          <w:szCs w:val="28"/>
          <w:lang w:val="en-US" w:eastAsia="zh-CN"/>
        </w:rPr>
        <w:t>本工程不涉及测试放喷过程中作为临时火炬燃烧排放，故不需要核算该部分产生的</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eastAsia" w:cs="Times New Roman"/>
          <w:color w:val="auto"/>
          <w:sz w:val="24"/>
          <w:szCs w:val="24"/>
          <w:vertAlign w:val="baseline"/>
          <w:lang w:val="en-US" w:eastAsia="zh-CN"/>
        </w:rPr>
        <w:t>和</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4</w:t>
      </w:r>
      <w:r>
        <w:rPr>
          <w:rFonts w:hint="eastAsia" w:cs="Times New Roman"/>
          <w:color w:val="auto"/>
          <w:sz w:val="24"/>
          <w:szCs w:val="24"/>
          <w:lang w:val="en-US" w:eastAsia="zh-CN"/>
        </w:rPr>
        <w:t>排放量。</w:t>
      </w:r>
    </w:p>
    <w:p w14:paraId="0DBBB5A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eastAsia="zh-CN"/>
        </w:rPr>
        <w:t>（</w:t>
      </w:r>
      <w:r>
        <w:rPr>
          <w:rFonts w:hint="eastAsia"/>
          <w:color w:val="auto"/>
          <w:sz w:val="24"/>
          <w:szCs w:val="28"/>
          <w:lang w:val="en-US" w:eastAsia="zh-CN"/>
        </w:rPr>
        <w:t>3</w:t>
      </w:r>
      <w:r>
        <w:rPr>
          <w:rFonts w:hint="eastAsia"/>
          <w:color w:val="auto"/>
          <w:sz w:val="24"/>
          <w:szCs w:val="28"/>
          <w:lang w:eastAsia="zh-CN"/>
        </w:rPr>
        <w:t>）</w:t>
      </w:r>
      <w:r>
        <w:rPr>
          <w:rFonts w:hint="eastAsia"/>
          <w:color w:val="auto"/>
          <w:sz w:val="24"/>
          <w:szCs w:val="28"/>
          <w:lang w:val="en-US" w:eastAsia="zh-CN"/>
        </w:rPr>
        <w:t>工艺放空排放</w:t>
      </w:r>
    </w:p>
    <w:p w14:paraId="0A43D04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本工程主要为井场建设内容，不涉及计量站或处理站，不再核算该部分</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eastAsia" w:cs="Times New Roman"/>
          <w:color w:val="auto"/>
          <w:sz w:val="24"/>
          <w:szCs w:val="24"/>
          <w:vertAlign w:val="baseline"/>
          <w:lang w:val="en-US" w:eastAsia="zh-CN"/>
        </w:rPr>
        <w:t>和</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4</w:t>
      </w:r>
      <w:r>
        <w:rPr>
          <w:rFonts w:hint="eastAsia" w:cs="Times New Roman"/>
          <w:color w:val="auto"/>
          <w:sz w:val="24"/>
          <w:szCs w:val="24"/>
          <w:lang w:val="en-US" w:eastAsia="zh-CN"/>
        </w:rPr>
        <w:t>排放量。</w:t>
      </w:r>
    </w:p>
    <w:p w14:paraId="648CA6E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lang w:eastAsia="zh-CN"/>
        </w:rPr>
      </w:pPr>
      <w:r>
        <w:rPr>
          <w:rFonts w:hint="eastAsia"/>
          <w:color w:val="auto"/>
          <w:sz w:val="24"/>
          <w:szCs w:val="28"/>
          <w:lang w:eastAsia="zh-CN"/>
        </w:rPr>
        <w:t>（</w:t>
      </w:r>
      <w:r>
        <w:rPr>
          <w:rFonts w:hint="eastAsia"/>
          <w:color w:val="auto"/>
          <w:sz w:val="24"/>
          <w:szCs w:val="28"/>
          <w:lang w:val="en-US" w:eastAsia="zh-CN"/>
        </w:rPr>
        <w:t>4</w:t>
      </w:r>
      <w:r>
        <w:rPr>
          <w:rFonts w:hint="eastAsia"/>
          <w:color w:val="auto"/>
          <w:sz w:val="24"/>
          <w:szCs w:val="28"/>
          <w:lang w:eastAsia="zh-CN"/>
        </w:rPr>
        <w:t>）</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逃逸排放</w:t>
      </w:r>
    </w:p>
    <w:p w14:paraId="0ACEA56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本工程井场法兰、阀门等处会产生无组织废气，涉及</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4</w:t>
      </w:r>
      <w:r>
        <w:rPr>
          <w:rFonts w:hint="eastAsia" w:cs="Times New Roman"/>
          <w:color w:val="auto"/>
          <w:sz w:val="24"/>
          <w:szCs w:val="24"/>
          <w:lang w:val="en-US" w:eastAsia="zh-CN"/>
        </w:rPr>
        <w:t>排放量，故需核算该部分气体排放量。</w:t>
      </w:r>
    </w:p>
    <w:p w14:paraId="14400FC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（5）</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回收利用量</w:t>
      </w:r>
    </w:p>
    <w:p w14:paraId="5D794DC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本工程不涉及甲烷回收利用，</w:t>
      </w:r>
      <w:r>
        <w:rPr>
          <w:rFonts w:hint="default" w:ascii="Times New Roman" w:hAnsi="Times New Roman" w:eastAsia="宋体" w:cs="Times New Roman"/>
          <w:color w:val="auto"/>
          <w:sz w:val="24"/>
          <w:szCs w:val="24"/>
        </w:rPr>
        <w:t>因此该部分回收利用量为0</w:t>
      </w:r>
      <w:r>
        <w:rPr>
          <w:rFonts w:hint="eastAsia"/>
          <w:color w:val="auto"/>
          <w:sz w:val="24"/>
          <w:szCs w:val="28"/>
          <w:lang w:val="en-US" w:eastAsia="zh-CN"/>
        </w:rPr>
        <w:t>。</w:t>
      </w:r>
    </w:p>
    <w:p w14:paraId="58E2640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（6）</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回收利用量</w:t>
      </w:r>
    </w:p>
    <w:p w14:paraId="77E28F6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4"/>
          <w:lang w:val="en-US" w:eastAsia="zh-CN"/>
        </w:rPr>
        <w:t>本</w:t>
      </w:r>
      <w:r>
        <w:rPr>
          <w:rFonts w:hint="eastAsia" w:ascii="Times New Roman" w:hAnsi="Times New Roman" w:cs="Times New Roman"/>
          <w:color w:val="auto"/>
          <w:sz w:val="24"/>
          <w:szCs w:val="24"/>
          <w:lang w:val="en-US" w:eastAsia="zh-CN"/>
        </w:rPr>
        <w:t>工程</w:t>
      </w:r>
      <w:r>
        <w:rPr>
          <w:rFonts w:hint="default" w:ascii="Times New Roman" w:hAnsi="Times New Roman" w:eastAsia="宋体" w:cs="Times New Roman"/>
          <w:color w:val="auto"/>
          <w:sz w:val="24"/>
          <w:szCs w:val="24"/>
        </w:rPr>
        <w:t>实施后未回收燃料燃烧过程中产生的CO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，因此该部分回收利用量</w:t>
      </w:r>
      <w:r>
        <w:rPr>
          <w:rFonts w:hint="eastAsia" w:cs="Times New Roman"/>
          <w:color w:val="auto"/>
          <w:sz w:val="24"/>
          <w:szCs w:val="24"/>
          <w:lang w:eastAsia="zh-CN"/>
        </w:rPr>
        <w:t>均为</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eastAsia="zh-CN"/>
        </w:rPr>
        <w:t>。</w:t>
      </w:r>
    </w:p>
    <w:p w14:paraId="48698C5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（7）</w:t>
      </w:r>
      <w:r>
        <w:rPr>
          <w:rFonts w:hint="default" w:ascii="Times New Roman" w:hAnsi="Times New Roman" w:eastAsia="宋体" w:cs="Times New Roman"/>
          <w:color w:val="auto"/>
          <w:sz w:val="24"/>
          <w:szCs w:val="24"/>
        </w:rPr>
        <w:t>净购入电力和热力隐含的CO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w:t>
      </w:r>
    </w:p>
    <w:p w14:paraId="5E65C62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本工程需要消耗电量，故需要核算该部分</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eastAsia" w:cs="Times New Roman"/>
          <w:color w:val="auto"/>
          <w:sz w:val="24"/>
          <w:szCs w:val="24"/>
          <w:lang w:val="en-US" w:eastAsia="zh-CN"/>
        </w:rPr>
        <w:t>排放量。</w:t>
      </w:r>
    </w:p>
    <w:p w14:paraId="50B6CB78">
      <w:pPr>
        <w:pStyle w:val="6"/>
        <w:bidi w:val="0"/>
        <w:rPr>
          <w:rFonts w:hint="default"/>
          <w:color w:val="auto"/>
          <w:lang w:val="en-US" w:eastAsia="zh-CN"/>
        </w:rPr>
      </w:pPr>
      <w:r>
        <w:rPr>
          <w:rFonts w:hint="eastAsia"/>
          <w:color w:val="auto"/>
          <w:lang w:val="en-US" w:eastAsia="zh-CN"/>
        </w:rPr>
        <w:t>3.9.4.2碳排放量核算</w:t>
      </w:r>
    </w:p>
    <w:p w14:paraId="09BC224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lang w:eastAsia="zh-CN"/>
        </w:rPr>
      </w:pPr>
      <w:r>
        <w:rPr>
          <w:rFonts w:hint="eastAsia"/>
          <w:color w:val="auto"/>
          <w:sz w:val="24"/>
          <w:szCs w:val="28"/>
          <w:lang w:eastAsia="zh-CN"/>
        </w:rPr>
        <w:t>（</w:t>
      </w:r>
      <w:r>
        <w:rPr>
          <w:rFonts w:hint="eastAsia"/>
          <w:color w:val="auto"/>
          <w:sz w:val="24"/>
          <w:szCs w:val="28"/>
          <w:lang w:val="en-US" w:eastAsia="zh-CN"/>
        </w:rPr>
        <w:t>1</w:t>
      </w:r>
      <w:r>
        <w:rPr>
          <w:rFonts w:hint="eastAsia"/>
          <w:color w:val="auto"/>
          <w:sz w:val="24"/>
          <w:szCs w:val="28"/>
          <w:lang w:eastAsia="zh-CN"/>
        </w:rPr>
        <w:t>）</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逃逸排放</w:t>
      </w:r>
    </w:p>
    <w:p w14:paraId="53DBE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color w:val="auto"/>
          <w:sz w:val="24"/>
          <w:szCs w:val="28"/>
          <w:lang w:val="en-US" w:eastAsia="zh-CN"/>
        </w:rPr>
      </w:pPr>
      <w:r>
        <w:rPr>
          <w:rFonts w:hint="eastAsia"/>
          <w:color w:val="auto"/>
          <w:position w:val="-30"/>
          <w:sz w:val="24"/>
          <w:szCs w:val="28"/>
          <w:lang w:val="en-US" w:eastAsia="zh-CN"/>
        </w:rPr>
        <w:object>
          <v:shape id="_x0000_i1033" o:spt="75" type="#_x0000_t75" style="height:28pt;width:342pt;" o:ole="t" filled="f" o:preferrelative="t" stroked="f" coordsize="21600,21600">
            <v:path/>
            <v:fill on="f" focussize="0,0"/>
            <v:stroke on="f"/>
            <v:imagedata r:id="rId27" o:title=""/>
            <o:lock v:ext="edit" aspectratio="t"/>
            <w10:wrap type="none"/>
            <w10:anchorlock/>
          </v:shape>
          <o:OLEObject Type="Embed" ProgID="Equation.KSEE3" ShapeID="_x0000_i1033" DrawAspect="Content" ObjectID="_1468075733" r:id="rId26">
            <o:LockedField>false</o:LockedField>
          </o:OLEObject>
        </w:object>
      </w:r>
    </w:p>
    <w:p w14:paraId="7A6F5E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_</w:t>
      </w:r>
      <w:r>
        <w:rPr>
          <w:rFonts w:hint="default" w:ascii="Times New Roman" w:hAnsi="Times New Roman" w:eastAsia="宋体" w:cs="Times New Roman"/>
          <w:color w:val="auto"/>
          <w:sz w:val="24"/>
          <w:szCs w:val="24"/>
          <w:vertAlign w:val="subscript"/>
        </w:rPr>
        <w:t>开采逃逸</w:t>
      </w:r>
      <w:r>
        <w:rPr>
          <w:rFonts w:hint="eastAsia"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原油开采或天然气开采中所有设施类型（包括原油开采的井口装置、单井储油装置、接转站、联合站及天然气开采中的井口装置、集气站、计量/配气站、储气站等）产生的CH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逃逸排放，单位为吨CH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w:t>
      </w:r>
    </w:p>
    <w:p w14:paraId="6C6724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j</w:t>
      </w:r>
      <w:r>
        <w:rPr>
          <w:rFonts w:hint="eastAsia"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不同的设施类型；</w:t>
      </w:r>
    </w:p>
    <w:p w14:paraId="38652B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Num</w:t>
      </w:r>
      <w:r>
        <w:rPr>
          <w:rFonts w:hint="default" w:ascii="Times New Roman" w:hAnsi="Times New Roman" w:eastAsia="宋体" w:cs="Times New Roman"/>
          <w:color w:val="auto"/>
          <w:sz w:val="24"/>
          <w:szCs w:val="24"/>
          <w:vertAlign w:val="subscript"/>
        </w:rPr>
        <w:t>oil,j</w:t>
      </w:r>
      <w:r>
        <w:rPr>
          <w:rFonts w:hint="eastAsia"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原油开采业务所涉及的泄漏设施类型数量，单位为个；</w:t>
      </w:r>
    </w:p>
    <w:p w14:paraId="3F011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EF</w:t>
      </w:r>
      <w:r>
        <w:rPr>
          <w:rFonts w:hint="default" w:ascii="Times New Roman" w:hAnsi="Times New Roman" w:eastAsia="宋体" w:cs="Times New Roman"/>
          <w:color w:val="auto"/>
          <w:sz w:val="24"/>
          <w:szCs w:val="24"/>
          <w:vertAlign w:val="subscript"/>
        </w:rPr>
        <w:t>oil,</w:t>
      </w:r>
      <w:r>
        <w:rPr>
          <w:rFonts w:hint="default" w:ascii="Times New Roman" w:hAnsi="Times New Roman" w:eastAsia="宋体" w:cs="Times New Roman"/>
          <w:color w:val="auto"/>
          <w:sz w:val="24"/>
          <w:szCs w:val="24"/>
        </w:rPr>
        <w:t>j</w:t>
      </w:r>
      <w:r>
        <w:rPr>
          <w:rFonts w:hint="eastAsia"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原油开采业务中涉及的每种设施类型j的CH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逃逸排放因子，单位为吨CH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/（年·个）；井口装置为0.23；</w:t>
      </w:r>
    </w:p>
    <w:p w14:paraId="4CD649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Num</w:t>
      </w:r>
      <w:r>
        <w:rPr>
          <w:rFonts w:hint="default" w:ascii="Times New Roman" w:hAnsi="Times New Roman" w:eastAsia="宋体" w:cs="Times New Roman"/>
          <w:color w:val="auto"/>
          <w:sz w:val="24"/>
          <w:szCs w:val="24"/>
          <w:vertAlign w:val="subscript"/>
        </w:rPr>
        <w:t>gas,j</w:t>
      </w:r>
      <w:r>
        <w:rPr>
          <w:rFonts w:hint="eastAsia"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天然气开采业务所涉及的泄漏设施类型数量，单位为个；</w:t>
      </w:r>
    </w:p>
    <w:p w14:paraId="6A6B062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default" w:ascii="Times New Roman" w:hAnsi="Times New Roman" w:eastAsia="宋体" w:cs="Times New Roman"/>
          <w:color w:val="auto"/>
          <w:sz w:val="24"/>
          <w:szCs w:val="24"/>
        </w:rPr>
        <w:t>EF</w:t>
      </w:r>
      <w:r>
        <w:rPr>
          <w:rFonts w:hint="default" w:ascii="Times New Roman" w:hAnsi="Times New Roman" w:eastAsia="宋体" w:cs="Times New Roman"/>
          <w:color w:val="auto"/>
          <w:sz w:val="24"/>
          <w:szCs w:val="24"/>
          <w:vertAlign w:val="subscript"/>
        </w:rPr>
        <w:t>gas,j</w:t>
      </w:r>
      <w:r>
        <w:rPr>
          <w:rFonts w:hint="eastAsia"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天然气开采业务中涉及的每种设施类型j的CH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逃逸排放因子，单位为吨CH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/（年·个）；井口装置为2.5。</w:t>
      </w:r>
    </w:p>
    <w:p w14:paraId="184AD37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（2）</w:t>
      </w:r>
      <w:r>
        <w:rPr>
          <w:rFonts w:hint="default" w:ascii="Times New Roman" w:hAnsi="Times New Roman" w:eastAsia="宋体" w:cs="Times New Roman"/>
          <w:color w:val="auto"/>
          <w:sz w:val="24"/>
          <w:szCs w:val="24"/>
        </w:rPr>
        <w:t>净购入电力和热力隐含的CO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w:t>
      </w:r>
    </w:p>
    <w:p w14:paraId="0DB675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净购入电力的CO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排放计算公式</w:t>
      </w:r>
      <w:r>
        <w:rPr>
          <w:rFonts w:hint="eastAsia" w:ascii="Times New Roman" w:hAnsi="Times New Roman" w:eastAsia="宋体" w:cs="Times New Roman"/>
          <w:color w:val="auto"/>
          <w:sz w:val="24"/>
          <w:szCs w:val="24"/>
          <w:lang w:val="en-US" w:eastAsia="zh-CN"/>
        </w:rPr>
        <w:t>如下：</w:t>
      </w:r>
    </w:p>
    <w:p w14:paraId="0BDBC6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position w:val="-20"/>
          <w:sz w:val="24"/>
          <w:szCs w:val="24"/>
          <w:lang w:val="en-US" w:eastAsia="zh-CN"/>
        </w:rPr>
        <w:object>
          <v:shape id="_x0000_i1034" o:spt="75" type="#_x0000_t75" style="height:24pt;width:153pt;" o:ole="t" filled="f" o:preferrelative="t" stroked="f" coordsize="21600,21600">
            <v:path/>
            <v:fill on="f" focussize="0,0"/>
            <v:stroke on="f"/>
            <v:imagedata r:id="rId29" o:title=""/>
            <o:lock v:ext="edit" aspectratio="t"/>
            <w10:wrap type="none"/>
            <w10:anchorlock/>
          </v:shape>
          <o:OLEObject Type="Embed" ProgID="Equation.KSEE3" ShapeID="_x0000_i1034" DrawAspect="Content" ObjectID="_1468075734" r:id="rId28">
            <o:LockedField>false</o:LockedField>
          </o:OLEObject>
        </w:object>
      </w:r>
    </w:p>
    <w:p w14:paraId="4A1B43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ECO</w:t>
      </w:r>
      <w:r>
        <w:rPr>
          <w:rFonts w:hint="default" w:ascii="Times New Roman" w:hAnsi="Times New Roman" w:eastAsia="宋体" w:cs="Times New Roman"/>
          <w:color w:val="auto"/>
          <w:sz w:val="24"/>
          <w:szCs w:val="24"/>
          <w:vertAlign w:val="subscript"/>
        </w:rPr>
        <w:t>2-净电</w:t>
      </w:r>
      <w:r>
        <w:rPr>
          <w:rFonts w:hint="default" w:ascii="Times New Roman" w:hAnsi="Times New Roman" w:eastAsia="宋体" w:cs="Times New Roman"/>
          <w:color w:val="auto"/>
          <w:sz w:val="24"/>
          <w:szCs w:val="24"/>
        </w:rPr>
        <w:t>为报告主体净购入电力隐含的CO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排放量，单位为吨CO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p>
    <w:p w14:paraId="707EB1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AD</w:t>
      </w:r>
      <w:r>
        <w:rPr>
          <w:rFonts w:hint="default" w:ascii="Times New Roman" w:hAnsi="Times New Roman" w:eastAsia="宋体" w:cs="Times New Roman"/>
          <w:color w:val="auto"/>
          <w:sz w:val="24"/>
          <w:szCs w:val="24"/>
          <w:vertAlign w:val="subscript"/>
        </w:rPr>
        <w:t>电力</w:t>
      </w:r>
      <w:r>
        <w:rPr>
          <w:rFonts w:hint="default" w:ascii="Times New Roman" w:hAnsi="Times New Roman" w:eastAsia="宋体" w:cs="Times New Roman"/>
          <w:color w:val="auto"/>
          <w:sz w:val="24"/>
          <w:szCs w:val="24"/>
        </w:rPr>
        <w:t>为企业净购入的电力消费量，单位为兆瓦时（MWh）</w:t>
      </w:r>
      <w:r>
        <w:rPr>
          <w:rFonts w:hint="eastAsia" w:cs="Times New Roman"/>
          <w:color w:val="auto"/>
          <w:sz w:val="24"/>
          <w:szCs w:val="24"/>
          <w:lang w:eastAsia="zh-CN"/>
        </w:rPr>
        <w:t>，</w:t>
      </w:r>
      <w:r>
        <w:rPr>
          <w:rFonts w:hint="eastAsia" w:cs="Times New Roman"/>
          <w:color w:val="auto"/>
          <w:sz w:val="24"/>
          <w:szCs w:val="24"/>
          <w:lang w:val="en-US" w:eastAsia="zh-CN"/>
        </w:rPr>
        <w:t>按照3247</w:t>
      </w:r>
      <w:r>
        <w:rPr>
          <w:rFonts w:hint="default" w:ascii="Times New Roman" w:hAnsi="Times New Roman" w:eastAsia="宋体" w:cs="Times New Roman"/>
          <w:color w:val="auto"/>
          <w:sz w:val="24"/>
          <w:szCs w:val="24"/>
        </w:rPr>
        <w:t>MWh</w:t>
      </w:r>
      <w:r>
        <w:rPr>
          <w:rFonts w:hint="eastAsia" w:cs="Times New Roman"/>
          <w:color w:val="auto"/>
          <w:sz w:val="24"/>
          <w:szCs w:val="24"/>
          <w:lang w:val="en-US" w:eastAsia="zh-CN"/>
        </w:rPr>
        <w:t>核算</w:t>
      </w:r>
      <w:r>
        <w:rPr>
          <w:rFonts w:hint="default" w:ascii="Times New Roman" w:hAnsi="Times New Roman" w:eastAsia="宋体" w:cs="Times New Roman"/>
          <w:color w:val="auto"/>
          <w:sz w:val="24"/>
          <w:szCs w:val="24"/>
        </w:rPr>
        <w:t>；</w:t>
      </w:r>
    </w:p>
    <w:p w14:paraId="7EA6124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default"/>
          <w:color w:val="auto"/>
          <w:sz w:val="24"/>
          <w:szCs w:val="28"/>
        </w:rPr>
        <w:t>EF</w:t>
      </w:r>
      <w:r>
        <w:rPr>
          <w:rFonts w:hint="default"/>
          <w:color w:val="auto"/>
          <w:sz w:val="24"/>
          <w:szCs w:val="28"/>
          <w:vertAlign w:val="subscript"/>
        </w:rPr>
        <w:t>电力</w:t>
      </w:r>
      <w:r>
        <w:rPr>
          <w:rFonts w:hint="default"/>
          <w:color w:val="auto"/>
          <w:sz w:val="24"/>
          <w:szCs w:val="28"/>
        </w:rPr>
        <w:t>为电力供应的CO</w:t>
      </w:r>
      <w:r>
        <w:rPr>
          <w:rFonts w:hint="default"/>
          <w:color w:val="auto"/>
          <w:sz w:val="24"/>
          <w:szCs w:val="28"/>
          <w:vertAlign w:val="subscript"/>
        </w:rPr>
        <w:t>2</w:t>
      </w:r>
      <w:r>
        <w:rPr>
          <w:rFonts w:hint="default"/>
          <w:color w:val="auto"/>
          <w:sz w:val="24"/>
          <w:szCs w:val="28"/>
        </w:rPr>
        <w:t>排放因子，单位为吨CO</w:t>
      </w:r>
      <w:r>
        <w:rPr>
          <w:rFonts w:hint="default"/>
          <w:color w:val="auto"/>
          <w:sz w:val="24"/>
          <w:szCs w:val="28"/>
          <w:vertAlign w:val="subscript"/>
        </w:rPr>
        <w:t>2</w:t>
      </w:r>
      <w:r>
        <w:rPr>
          <w:rFonts w:hint="default"/>
          <w:color w:val="auto"/>
          <w:sz w:val="24"/>
          <w:szCs w:val="28"/>
        </w:rPr>
        <w:t>/MWh</w:t>
      </w:r>
      <w:r>
        <w:rPr>
          <w:rFonts w:hint="eastAsia"/>
          <w:color w:val="auto"/>
          <w:sz w:val="24"/>
          <w:szCs w:val="28"/>
          <w:lang w:eastAsia="zh-CN"/>
        </w:rPr>
        <w:t>，</w:t>
      </w:r>
      <w:r>
        <w:rPr>
          <w:rFonts w:hint="eastAsia"/>
          <w:color w:val="auto"/>
          <w:sz w:val="24"/>
          <w:szCs w:val="28"/>
          <w:lang w:val="en-US" w:eastAsia="zh-CN"/>
        </w:rPr>
        <w:t>按照2024年4月12日生态环境部、国家统计局发布了《2021年电力二氧化碳排放因子》（公告2024年第12号）中表3（2021年省级电力平均二氧化碳排放因子），新疆：0.6577kg</w:t>
      </w:r>
      <w:r>
        <w:rPr>
          <w:rFonts w:hint="default"/>
          <w:color w:val="auto"/>
          <w:sz w:val="24"/>
          <w:szCs w:val="28"/>
        </w:rPr>
        <w:t>CO</w:t>
      </w:r>
      <w:r>
        <w:rPr>
          <w:rFonts w:hint="default"/>
          <w:color w:val="auto"/>
          <w:sz w:val="24"/>
          <w:szCs w:val="28"/>
          <w:vertAlign w:val="subscript"/>
        </w:rPr>
        <w:t>2</w:t>
      </w:r>
      <w:r>
        <w:rPr>
          <w:rFonts w:hint="default"/>
          <w:color w:val="auto"/>
          <w:sz w:val="24"/>
          <w:szCs w:val="28"/>
        </w:rPr>
        <w:t>/</w:t>
      </w:r>
      <w:r>
        <w:rPr>
          <w:rFonts w:hint="eastAsia"/>
          <w:color w:val="auto"/>
          <w:sz w:val="24"/>
          <w:szCs w:val="28"/>
          <w:lang w:val="en-US" w:eastAsia="zh-CN"/>
        </w:rPr>
        <w:t>k</w:t>
      </w:r>
      <w:r>
        <w:rPr>
          <w:rFonts w:hint="default"/>
          <w:color w:val="auto"/>
          <w:sz w:val="24"/>
          <w:szCs w:val="28"/>
        </w:rPr>
        <w:t>Wh。</w:t>
      </w:r>
    </w:p>
    <w:p w14:paraId="68F044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（3）碳排放核算汇总</w:t>
      </w:r>
    </w:p>
    <w:p w14:paraId="2025C0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position w:val="-30"/>
          <w:sz w:val="24"/>
          <w:szCs w:val="24"/>
          <w:lang w:val="en-US" w:eastAsia="zh-CN"/>
        </w:rPr>
        <w:object>
          <v:shape id="_x0000_i1035" o:spt="75" type="#_x0000_t75" style="height:22.7pt;width:414.65pt;" o:ole="t" filled="f" o:preferrelative="t" stroked="f" coordsize="21600,21600">
            <v:path/>
            <v:fill on="f" focussize="0,0"/>
            <v:stroke on="f"/>
            <v:imagedata r:id="rId31" o:title=""/>
            <o:lock v:ext="edit" aspectratio="t"/>
            <w10:wrap type="none"/>
            <w10:anchorlock/>
          </v:shape>
          <o:OLEObject Type="Embed" ProgID="Equation.KSEE3" ShapeID="_x0000_i1035" DrawAspect="Content" ObjectID="_1468075735" r:id="rId30">
            <o:LockedField>false</o:LockedField>
          </o:OLEObject>
        </w:object>
      </w:r>
    </w:p>
    <w:p w14:paraId="771083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w:t>
      </w:r>
      <w:r>
        <w:rPr>
          <w:rFonts w:hint="default" w:ascii="Times New Roman" w:hAnsi="Times New Roman" w:eastAsia="宋体" w:cs="Times New Roman"/>
          <w:color w:val="auto"/>
          <w:sz w:val="24"/>
          <w:szCs w:val="24"/>
          <w:vertAlign w:val="subscript"/>
        </w:rPr>
        <w:t>GHG</w:t>
      </w:r>
      <w:r>
        <w:rPr>
          <w:rFonts w:hint="default" w:ascii="Times New Roman" w:hAnsi="Times New Roman" w:eastAsia="宋体" w:cs="Times New Roman"/>
          <w:color w:val="auto"/>
          <w:sz w:val="24"/>
          <w:szCs w:val="24"/>
        </w:rPr>
        <w:t>-温室气体排放总量，单位为吨CO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p>
    <w:p w14:paraId="57322C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w:t>
      </w:r>
      <w:r>
        <w:rPr>
          <w:rFonts w:hint="default" w:ascii="Times New Roman" w:hAnsi="Times New Roman" w:eastAsia="宋体" w:cs="Times New Roman"/>
          <w:color w:val="auto"/>
          <w:sz w:val="24"/>
          <w:szCs w:val="24"/>
          <w:vertAlign w:val="subscript"/>
        </w:rPr>
        <w:t>CO2</w:t>
      </w:r>
      <w:r>
        <w:rPr>
          <w:rFonts w:hint="default" w:ascii="Times New Roman" w:hAnsi="Times New Roman" w:eastAsia="宋体" w:cs="Times New Roman"/>
          <w:color w:val="auto"/>
          <w:sz w:val="24"/>
          <w:szCs w:val="24"/>
        </w:rPr>
        <w:t>-燃烧-核算边界内由于化石燃料燃烧活动产生的CO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排放量，单位为吨CO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p>
    <w:p w14:paraId="22D2BD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w:t>
      </w:r>
      <w:r>
        <w:rPr>
          <w:rFonts w:hint="default" w:ascii="Times New Roman" w:hAnsi="Times New Roman" w:eastAsia="宋体" w:cs="Times New Roman"/>
          <w:color w:val="auto"/>
          <w:sz w:val="24"/>
          <w:szCs w:val="24"/>
          <w:vertAlign w:val="subscript"/>
        </w:rPr>
        <w:t>GHG</w:t>
      </w:r>
      <w:r>
        <w:rPr>
          <w:rFonts w:hint="default" w:ascii="Times New Roman" w:hAnsi="Times New Roman" w:eastAsia="宋体" w:cs="Times New Roman"/>
          <w:color w:val="auto"/>
          <w:sz w:val="24"/>
          <w:szCs w:val="24"/>
        </w:rPr>
        <w:t>-火炬-企业因火炬燃烧导致的温室气体排放，单位为吨CO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当量；</w:t>
      </w:r>
    </w:p>
    <w:p w14:paraId="11345D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w:t>
      </w:r>
      <w:r>
        <w:rPr>
          <w:rFonts w:hint="default" w:ascii="Times New Roman" w:hAnsi="Times New Roman" w:eastAsia="宋体" w:cs="Times New Roman"/>
          <w:color w:val="auto"/>
          <w:sz w:val="24"/>
          <w:szCs w:val="24"/>
          <w:vertAlign w:val="subscript"/>
        </w:rPr>
        <w:t>GHG</w:t>
      </w:r>
      <w:r>
        <w:rPr>
          <w:rFonts w:hint="default" w:ascii="Times New Roman" w:hAnsi="Times New Roman" w:eastAsia="宋体" w:cs="Times New Roman"/>
          <w:color w:val="auto"/>
          <w:sz w:val="24"/>
          <w:szCs w:val="24"/>
        </w:rPr>
        <w:t>-工艺-企业各业务类型的工艺放空排放，单位为吨CO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当量；</w:t>
      </w:r>
    </w:p>
    <w:p w14:paraId="1F78A9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w:t>
      </w:r>
      <w:r>
        <w:rPr>
          <w:rFonts w:hint="default" w:ascii="Times New Roman" w:hAnsi="Times New Roman" w:eastAsia="宋体" w:cs="Times New Roman"/>
          <w:color w:val="auto"/>
          <w:sz w:val="24"/>
          <w:szCs w:val="24"/>
          <w:vertAlign w:val="subscript"/>
        </w:rPr>
        <w:t>GHG</w:t>
      </w:r>
      <w:r>
        <w:rPr>
          <w:rFonts w:hint="default" w:ascii="Times New Roman" w:hAnsi="Times New Roman" w:eastAsia="宋体" w:cs="Times New Roman"/>
          <w:color w:val="auto"/>
          <w:sz w:val="24"/>
          <w:szCs w:val="24"/>
        </w:rPr>
        <w:t>-逃逸-企业各业务类型的设备逃逸排放，单位为吨CO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当量；</w:t>
      </w:r>
    </w:p>
    <w:p w14:paraId="50F1C6E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企业涉及的业务类型，包括油气勘探、油气开采、油气处理、油气储运业务；</w:t>
      </w:r>
    </w:p>
    <w:p w14:paraId="0B9200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vertAlign w:val="subscript"/>
        </w:rPr>
        <w:t>CH4</w:t>
      </w:r>
      <w:r>
        <w:rPr>
          <w:rFonts w:hint="default" w:ascii="Times New Roman" w:hAnsi="Times New Roman" w:eastAsia="宋体" w:cs="Times New Roman"/>
          <w:color w:val="auto"/>
          <w:sz w:val="24"/>
          <w:szCs w:val="24"/>
        </w:rPr>
        <w:t>-回收-企业的CH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回收利用量，单位为吨CH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w:t>
      </w:r>
    </w:p>
    <w:p w14:paraId="6F3E19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eastAsia="宋体" w:cs="Times New Roman"/>
          <w:color w:val="auto"/>
          <w:sz w:val="24"/>
          <w:szCs w:val="24"/>
        </w:rPr>
        <w:t>GWP</w:t>
      </w:r>
      <w:r>
        <w:rPr>
          <w:rFonts w:hint="default" w:ascii="Times New Roman" w:hAnsi="Times New Roman" w:eastAsia="宋体" w:cs="Times New Roman"/>
          <w:color w:val="auto"/>
          <w:sz w:val="24"/>
          <w:szCs w:val="24"/>
          <w:vertAlign w:val="subscript"/>
        </w:rPr>
        <w:t>CH4</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相比CO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的全球变暖潜势值。取值21；</w:t>
      </w:r>
    </w:p>
    <w:p w14:paraId="2D5600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vertAlign w:val="subscript"/>
        </w:rPr>
        <w:t>CO2</w:t>
      </w:r>
      <w:r>
        <w:rPr>
          <w:rFonts w:hint="default" w:ascii="Times New Roman" w:hAnsi="Times New Roman" w:eastAsia="宋体" w:cs="Times New Roman"/>
          <w:color w:val="auto"/>
          <w:sz w:val="24"/>
          <w:szCs w:val="24"/>
        </w:rPr>
        <w:t>-回收-企业的CO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回收利用量，单位为吨CO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p>
    <w:p w14:paraId="65E616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w:t>
      </w:r>
      <w:r>
        <w:rPr>
          <w:rFonts w:hint="default" w:ascii="Times New Roman" w:hAnsi="Times New Roman" w:eastAsia="宋体" w:cs="Times New Roman"/>
          <w:color w:val="auto"/>
          <w:sz w:val="24"/>
          <w:szCs w:val="24"/>
          <w:vertAlign w:val="subscript"/>
        </w:rPr>
        <w:t>CO2</w:t>
      </w:r>
      <w:r>
        <w:rPr>
          <w:rFonts w:hint="default" w:ascii="Times New Roman" w:hAnsi="Times New Roman" w:eastAsia="宋体" w:cs="Times New Roman"/>
          <w:color w:val="auto"/>
          <w:sz w:val="24"/>
          <w:szCs w:val="24"/>
        </w:rPr>
        <w:t>-净电-报告主体净购入电力隐含的CO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排放量，单位为吨CO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p>
    <w:p w14:paraId="351062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eastAsia="宋体" w:cs="Times New Roman"/>
          <w:color w:val="auto"/>
          <w:sz w:val="24"/>
          <w:szCs w:val="24"/>
        </w:rPr>
        <w:t>E</w:t>
      </w:r>
      <w:r>
        <w:rPr>
          <w:rFonts w:hint="default" w:ascii="Times New Roman" w:hAnsi="Times New Roman" w:eastAsia="宋体" w:cs="Times New Roman"/>
          <w:color w:val="auto"/>
          <w:sz w:val="24"/>
          <w:szCs w:val="24"/>
          <w:vertAlign w:val="subscript"/>
        </w:rPr>
        <w:t>CO2</w:t>
      </w:r>
      <w:r>
        <w:rPr>
          <w:rFonts w:hint="default" w:ascii="Times New Roman" w:hAnsi="Times New Roman" w:eastAsia="宋体" w:cs="Times New Roman"/>
          <w:color w:val="auto"/>
          <w:sz w:val="24"/>
          <w:szCs w:val="24"/>
        </w:rPr>
        <w:t>-净热为报告主体净购入热力隐含的CO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排放量，单位为吨CO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p>
    <w:p w14:paraId="671CC7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根据上述公式，本项目实施后</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eastAsia" w:cs="Times New Roman"/>
          <w:color w:val="auto"/>
          <w:sz w:val="24"/>
          <w:szCs w:val="24"/>
          <w:lang w:val="en-US" w:eastAsia="zh-CN"/>
        </w:rPr>
        <w:t>排放总量见表3.9-12。</w:t>
      </w:r>
    </w:p>
    <w:p w14:paraId="3D1641EE">
      <w:pPr>
        <w:pStyle w:val="32"/>
        <w:bidi w:val="0"/>
        <w:rPr>
          <w:rFonts w:hint="eastAsia"/>
          <w:color w:val="auto"/>
          <w:lang w:val="en-US" w:eastAsia="zh-CN"/>
        </w:rPr>
      </w:pPr>
    </w:p>
    <w:p w14:paraId="732D793A">
      <w:pPr>
        <w:pStyle w:val="32"/>
        <w:bidi w:val="0"/>
        <w:rPr>
          <w:rFonts w:hint="default"/>
          <w:color w:val="auto"/>
          <w:lang w:val="en-US" w:eastAsia="zh-CN"/>
        </w:rPr>
      </w:pPr>
      <w:r>
        <w:rPr>
          <w:rFonts w:hint="eastAsia"/>
          <w:color w:val="auto"/>
          <w:lang w:val="en-US" w:eastAsia="zh-CN"/>
        </w:rPr>
        <w:t xml:space="preserve">表3.9-12  </w:t>
      </w:r>
      <w:r>
        <w:rPr>
          <w:rFonts w:hint="default"/>
          <w:color w:val="auto"/>
        </w:rPr>
        <w:t>CO</w:t>
      </w:r>
      <w:r>
        <w:rPr>
          <w:rFonts w:hint="default"/>
          <w:color w:val="auto"/>
          <w:vertAlign w:val="subscript"/>
        </w:rPr>
        <w:t>2</w:t>
      </w:r>
      <w:r>
        <w:rPr>
          <w:rFonts w:hint="eastAsia"/>
          <w:color w:val="auto"/>
          <w:lang w:val="en-US" w:eastAsia="zh-CN"/>
        </w:rPr>
        <w:t>排放总量一览表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4427"/>
        <w:gridCol w:w="2841"/>
      </w:tblGrid>
      <w:tr w14:paraId="0605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14:paraId="66ADF4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4427" w:type="dxa"/>
            <w:vAlign w:val="center"/>
          </w:tcPr>
          <w:p w14:paraId="32127A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源类型</w:t>
            </w:r>
          </w:p>
        </w:tc>
        <w:tc>
          <w:tcPr>
            <w:tcW w:w="2841" w:type="dxa"/>
            <w:vAlign w:val="center"/>
          </w:tcPr>
          <w:p w14:paraId="38BF1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排放量（</w:t>
            </w:r>
            <w:r>
              <w:rPr>
                <w:rFonts w:hint="default" w:ascii="Times New Roman" w:hAnsi="Times New Roman" w:eastAsia="宋体" w:cs="Times New Roman"/>
                <w:b/>
                <w:bCs/>
                <w:color w:val="auto"/>
                <w:sz w:val="21"/>
                <w:szCs w:val="21"/>
              </w:rPr>
              <w:t>吨CO</w:t>
            </w:r>
            <w:r>
              <w:rPr>
                <w:rFonts w:hint="default" w:ascii="Times New Roman" w:hAnsi="Times New Roman" w:eastAsia="宋体" w:cs="Times New Roman"/>
                <w:b/>
                <w:bCs/>
                <w:color w:val="auto"/>
                <w:sz w:val="21"/>
                <w:szCs w:val="21"/>
                <w:vertAlign w:val="subscript"/>
              </w:rPr>
              <w:t>2</w:t>
            </w:r>
            <w:r>
              <w:rPr>
                <w:rFonts w:hint="eastAsia" w:cs="Times New Roman"/>
                <w:b/>
                <w:bCs/>
                <w:color w:val="auto"/>
                <w:sz w:val="21"/>
                <w:szCs w:val="21"/>
                <w:vertAlign w:val="baseline"/>
                <w:lang w:val="en-US" w:eastAsia="zh-CN"/>
              </w:rPr>
              <w:t>）</w:t>
            </w:r>
          </w:p>
        </w:tc>
      </w:tr>
      <w:tr w14:paraId="7289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14:paraId="2AE68A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4427" w:type="dxa"/>
            <w:vAlign w:val="center"/>
          </w:tcPr>
          <w:p w14:paraId="5BD33F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燃料燃烧</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排放</w:t>
            </w:r>
          </w:p>
        </w:tc>
        <w:tc>
          <w:tcPr>
            <w:tcW w:w="2841" w:type="dxa"/>
            <w:vAlign w:val="center"/>
          </w:tcPr>
          <w:p w14:paraId="24A84F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r>
      <w:tr w14:paraId="163E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14:paraId="24B56C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4427" w:type="dxa"/>
            <w:vAlign w:val="center"/>
          </w:tcPr>
          <w:p w14:paraId="1BAA08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火炬燃烧排放</w:t>
            </w:r>
          </w:p>
        </w:tc>
        <w:tc>
          <w:tcPr>
            <w:tcW w:w="2841" w:type="dxa"/>
            <w:vAlign w:val="center"/>
          </w:tcPr>
          <w:p w14:paraId="338C79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r>
      <w:tr w14:paraId="69CB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14:paraId="265BA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4427" w:type="dxa"/>
            <w:vAlign w:val="center"/>
          </w:tcPr>
          <w:p w14:paraId="64DF38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工艺放空排放</w:t>
            </w:r>
          </w:p>
        </w:tc>
        <w:tc>
          <w:tcPr>
            <w:tcW w:w="2841" w:type="dxa"/>
            <w:vAlign w:val="center"/>
          </w:tcPr>
          <w:p w14:paraId="349938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r>
      <w:tr w14:paraId="2B2C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14:paraId="70FA4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4427" w:type="dxa"/>
            <w:vAlign w:val="center"/>
          </w:tcPr>
          <w:p w14:paraId="10893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CH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逃逸排放</w:t>
            </w:r>
          </w:p>
        </w:tc>
        <w:tc>
          <w:tcPr>
            <w:tcW w:w="2841" w:type="dxa"/>
            <w:vAlign w:val="center"/>
          </w:tcPr>
          <w:p w14:paraId="31E760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48</w:t>
            </w:r>
          </w:p>
        </w:tc>
      </w:tr>
      <w:tr w14:paraId="4FB0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14:paraId="22819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4427" w:type="dxa"/>
            <w:vAlign w:val="center"/>
          </w:tcPr>
          <w:p w14:paraId="703C2F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回收利用量</w:t>
            </w:r>
          </w:p>
        </w:tc>
        <w:tc>
          <w:tcPr>
            <w:tcW w:w="2841" w:type="dxa"/>
            <w:vAlign w:val="center"/>
          </w:tcPr>
          <w:p w14:paraId="7B80D9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r>
      <w:tr w14:paraId="1224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14:paraId="112C89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4427" w:type="dxa"/>
            <w:vAlign w:val="center"/>
          </w:tcPr>
          <w:p w14:paraId="7E78B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回收利用量</w:t>
            </w:r>
          </w:p>
        </w:tc>
        <w:tc>
          <w:tcPr>
            <w:tcW w:w="2841" w:type="dxa"/>
            <w:vAlign w:val="center"/>
          </w:tcPr>
          <w:p w14:paraId="466C2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r>
      <w:tr w14:paraId="4BC8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Align w:val="center"/>
          </w:tcPr>
          <w:p w14:paraId="787230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w:t>
            </w:r>
          </w:p>
        </w:tc>
        <w:tc>
          <w:tcPr>
            <w:tcW w:w="4427" w:type="dxa"/>
            <w:vAlign w:val="center"/>
          </w:tcPr>
          <w:p w14:paraId="7F7714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净购入电力和热力隐含的CO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排放</w:t>
            </w:r>
          </w:p>
        </w:tc>
        <w:tc>
          <w:tcPr>
            <w:tcW w:w="2841" w:type="dxa"/>
            <w:vAlign w:val="center"/>
          </w:tcPr>
          <w:p w14:paraId="29592C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2135.56</w:t>
            </w:r>
          </w:p>
        </w:tc>
      </w:tr>
      <w:tr w14:paraId="1FF5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81" w:type="dxa"/>
            <w:gridSpan w:val="2"/>
            <w:vAlign w:val="center"/>
          </w:tcPr>
          <w:p w14:paraId="7C1F6E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合计</w:t>
            </w:r>
          </w:p>
        </w:tc>
        <w:tc>
          <w:tcPr>
            <w:tcW w:w="2841" w:type="dxa"/>
            <w:vAlign w:val="center"/>
          </w:tcPr>
          <w:p w14:paraId="2717C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2183.56</w:t>
            </w:r>
          </w:p>
        </w:tc>
      </w:tr>
    </w:tbl>
    <w:p w14:paraId="231675DA">
      <w:pPr>
        <w:pStyle w:val="5"/>
        <w:bidi w:val="0"/>
        <w:rPr>
          <w:rFonts w:hint="default"/>
          <w:color w:val="auto"/>
          <w:lang w:val="en-US" w:eastAsia="zh-CN"/>
        </w:rPr>
      </w:pPr>
      <w:r>
        <w:rPr>
          <w:rFonts w:hint="eastAsia"/>
          <w:color w:val="auto"/>
          <w:lang w:val="en-US" w:eastAsia="zh-CN"/>
        </w:rPr>
        <w:t>3.9.5清洁生产分析</w:t>
      </w:r>
    </w:p>
    <w:p w14:paraId="1A6FE664">
      <w:pPr>
        <w:pStyle w:val="6"/>
        <w:bidi w:val="0"/>
        <w:rPr>
          <w:rFonts w:hint="default"/>
          <w:color w:val="auto"/>
          <w:lang w:val="en-US" w:eastAsia="zh-CN"/>
        </w:rPr>
      </w:pPr>
      <w:r>
        <w:rPr>
          <w:rFonts w:hint="eastAsia"/>
          <w:color w:val="auto"/>
          <w:lang w:val="en-US" w:eastAsia="zh-CN"/>
        </w:rPr>
        <w:t>3.9.5.1清洁生产措施及效果</w:t>
      </w:r>
    </w:p>
    <w:p w14:paraId="3F86275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（1）井下作业清洁生产</w:t>
      </w:r>
    </w:p>
    <w:p w14:paraId="04420C7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①加强井场油井井口的密闭，减少井口无组织废气的挥发。</w:t>
      </w:r>
    </w:p>
    <w:p w14:paraId="2D4F334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②在井下作业过程中，对产生的废水收集，运至油田采出水处理系统集中处理，使作业废水得到有效回收、利用。</w:t>
      </w:r>
    </w:p>
    <w:p w14:paraId="58277B9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③对井下作业过程中的落地油采用防渗布及时收集，拉运至指定地点处置。</w:t>
      </w:r>
    </w:p>
    <w:p w14:paraId="11C1394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④</w:t>
      </w:r>
      <w:r>
        <w:rPr>
          <w:rFonts w:ascii="宋体" w:hAnsi="宋体" w:eastAsia="宋体" w:cs="宋体"/>
          <w:color w:val="auto"/>
          <w:sz w:val="24"/>
          <w:szCs w:val="24"/>
        </w:rPr>
        <w:t>修井、洗井、解堵等作业产生的污油全部回收</w:t>
      </w:r>
      <w:r>
        <w:rPr>
          <w:rFonts w:hint="eastAsia" w:ascii="宋体" w:hAnsi="宋体" w:eastAsia="宋体" w:cs="宋体"/>
          <w:color w:val="auto"/>
          <w:sz w:val="24"/>
          <w:szCs w:val="24"/>
          <w:lang w:eastAsia="zh-CN"/>
        </w:rPr>
        <w:t>。</w:t>
      </w:r>
    </w:p>
    <w:p w14:paraId="7C3064A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（2）油气集输清洁生产</w:t>
      </w:r>
    </w:p>
    <w:p w14:paraId="17A3556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①优化布局</w:t>
      </w:r>
    </w:p>
    <w:p w14:paraId="4258C5C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本项目充分依托现有集输系统，合理确定线路（油、气、水）位置和走向，降低地面工程建设投资。</w:t>
      </w:r>
    </w:p>
    <w:p w14:paraId="5CE74DE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②油气集输</w:t>
      </w:r>
    </w:p>
    <w:p w14:paraId="3429E40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ascii="宋体" w:hAnsi="宋体" w:eastAsia="宋体" w:cs="宋体"/>
          <w:color w:val="auto"/>
          <w:sz w:val="24"/>
          <w:szCs w:val="24"/>
        </w:rPr>
        <w:t>集输管线采用全密闭集输流程，该措施对合理回收和利用油气资源，减少环境污染，发挥经济环境效益就显得十分重要，油气集输方案符合清洁生产与循环经济要求。</w:t>
      </w:r>
    </w:p>
    <w:p w14:paraId="0C5A6504">
      <w:pPr>
        <w:pStyle w:val="6"/>
        <w:bidi w:val="0"/>
        <w:rPr>
          <w:rFonts w:hint="default"/>
          <w:color w:val="auto"/>
          <w:lang w:val="en-US" w:eastAsia="zh-CN"/>
        </w:rPr>
      </w:pPr>
      <w:bookmarkStart w:id="182" w:name="_Toc538"/>
      <w:bookmarkStart w:id="183" w:name="_Toc23616"/>
      <w:r>
        <w:rPr>
          <w:rFonts w:hint="eastAsia"/>
          <w:color w:val="auto"/>
          <w:lang w:val="en-US" w:eastAsia="zh-CN"/>
        </w:rPr>
        <w:t>3.9.5.2清洁生产指标分析</w:t>
      </w:r>
      <w:bookmarkEnd w:id="182"/>
      <w:bookmarkEnd w:id="183"/>
    </w:p>
    <w:p w14:paraId="3418B27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本次评价参照《石油天然气开采业清洁生产评价指标体系（试行）》分别对井下作业、采油作业等开发阶段进行清洁生产指标分析，见表3.9-13、表3.9-14。</w:t>
      </w:r>
    </w:p>
    <w:p w14:paraId="523AE5D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通过清洁生产指标分析表明，本项目井下作业阶段、采油作业阶段得分比例分别为95%、92.86%。</w:t>
      </w:r>
    </w:p>
    <w:p w14:paraId="395DFFE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BB3BF11">
      <w:pPr>
        <w:pStyle w:val="32"/>
        <w:bidi w:val="0"/>
        <w:rPr>
          <w:color w:val="auto"/>
        </w:rPr>
      </w:pPr>
      <w:r>
        <w:rPr>
          <w:color w:val="auto"/>
        </w:rPr>
        <w:t>表</w:t>
      </w:r>
      <w:r>
        <w:rPr>
          <w:rFonts w:hint="eastAsia"/>
          <w:color w:val="auto"/>
          <w:lang w:val="en-US" w:eastAsia="zh-CN"/>
        </w:rPr>
        <w:t>3.9-13</w:t>
      </w:r>
      <w:r>
        <w:rPr>
          <w:color w:val="auto"/>
        </w:rPr>
        <w:t xml:space="preserve">  井下作业定量和定性评价指标项目、权重及基准值</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2"/>
        <w:gridCol w:w="896"/>
        <w:gridCol w:w="166"/>
        <w:gridCol w:w="1134"/>
        <w:gridCol w:w="1451"/>
        <w:gridCol w:w="1346"/>
        <w:gridCol w:w="153"/>
        <w:gridCol w:w="1110"/>
        <w:gridCol w:w="2499"/>
        <w:gridCol w:w="555"/>
        <w:gridCol w:w="555"/>
        <w:gridCol w:w="556"/>
        <w:gridCol w:w="725"/>
      </w:tblGrid>
      <w:tr w14:paraId="5A30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42" w:type="dxa"/>
            <w:gridSpan w:val="10"/>
            <w:noWrap w:val="0"/>
            <w:vAlign w:val="center"/>
          </w:tcPr>
          <w:p w14:paraId="6AD7335C">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eastAsia="宋体" w:cs="Times New Roman"/>
                <w:b/>
                <w:bCs/>
                <w:color w:val="auto"/>
                <w:spacing w:val="4"/>
                <w:sz w:val="21"/>
                <w:szCs w:val="21"/>
              </w:rPr>
              <w:t>定量指标</w:t>
            </w:r>
          </w:p>
        </w:tc>
        <w:tc>
          <w:tcPr>
            <w:tcW w:w="1836" w:type="dxa"/>
            <w:gridSpan w:val="3"/>
            <w:noWrap w:val="0"/>
            <w:vAlign w:val="center"/>
          </w:tcPr>
          <w:p w14:paraId="47A024AC">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Times New Roman"/>
                <w:b/>
                <w:bCs/>
                <w:color w:val="auto"/>
                <w:spacing w:val="4"/>
                <w:sz w:val="21"/>
                <w:szCs w:val="21"/>
                <w:lang w:eastAsia="zh-CN"/>
              </w:rPr>
            </w:pPr>
            <w:r>
              <w:rPr>
                <w:rFonts w:hint="default" w:ascii="Times New Roman" w:hAnsi="Times New Roman" w:eastAsia="宋体" w:cs="Times New Roman"/>
                <w:b/>
                <w:bCs/>
                <w:color w:val="auto"/>
                <w:spacing w:val="4"/>
                <w:sz w:val="21"/>
                <w:szCs w:val="21"/>
              </w:rPr>
              <w:t>本</w:t>
            </w:r>
            <w:r>
              <w:rPr>
                <w:rFonts w:hint="eastAsia" w:ascii="Times New Roman" w:hAnsi="Times New Roman" w:cs="Times New Roman"/>
                <w:b/>
                <w:bCs/>
                <w:color w:val="auto"/>
                <w:spacing w:val="4"/>
                <w:sz w:val="21"/>
                <w:szCs w:val="21"/>
                <w:lang w:val="en-US" w:eastAsia="zh-CN"/>
              </w:rPr>
              <w:t>工程</w:t>
            </w:r>
          </w:p>
        </w:tc>
      </w:tr>
      <w:tr w14:paraId="6976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noWrap w:val="0"/>
            <w:vAlign w:val="center"/>
          </w:tcPr>
          <w:p w14:paraId="4C66979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一级指标</w:t>
            </w:r>
          </w:p>
        </w:tc>
        <w:tc>
          <w:tcPr>
            <w:tcW w:w="896" w:type="dxa"/>
            <w:noWrap w:val="0"/>
            <w:vAlign w:val="center"/>
          </w:tcPr>
          <w:p w14:paraId="25ED3DA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权重值</w:t>
            </w:r>
          </w:p>
        </w:tc>
        <w:tc>
          <w:tcPr>
            <w:tcW w:w="2751" w:type="dxa"/>
            <w:gridSpan w:val="3"/>
            <w:noWrap w:val="0"/>
            <w:vAlign w:val="center"/>
          </w:tcPr>
          <w:p w14:paraId="78C16151">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二级指标</w:t>
            </w:r>
          </w:p>
        </w:tc>
        <w:tc>
          <w:tcPr>
            <w:tcW w:w="1346" w:type="dxa"/>
            <w:noWrap w:val="0"/>
            <w:vAlign w:val="center"/>
          </w:tcPr>
          <w:p w14:paraId="0C4E95D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单位</w:t>
            </w:r>
          </w:p>
        </w:tc>
        <w:tc>
          <w:tcPr>
            <w:tcW w:w="1263" w:type="dxa"/>
            <w:gridSpan w:val="2"/>
            <w:noWrap w:val="0"/>
            <w:vAlign w:val="center"/>
          </w:tcPr>
          <w:p w14:paraId="390A8DB2">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权重分值</w:t>
            </w:r>
          </w:p>
        </w:tc>
        <w:tc>
          <w:tcPr>
            <w:tcW w:w="3054" w:type="dxa"/>
            <w:gridSpan w:val="2"/>
            <w:noWrap w:val="0"/>
            <w:vAlign w:val="center"/>
          </w:tcPr>
          <w:p w14:paraId="0B5E1F9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评价基准值</w:t>
            </w:r>
          </w:p>
        </w:tc>
        <w:tc>
          <w:tcPr>
            <w:tcW w:w="1111" w:type="dxa"/>
            <w:gridSpan w:val="2"/>
            <w:noWrap w:val="0"/>
            <w:vAlign w:val="center"/>
          </w:tcPr>
          <w:p w14:paraId="7C71CE13">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估算值</w:t>
            </w:r>
          </w:p>
        </w:tc>
        <w:tc>
          <w:tcPr>
            <w:tcW w:w="725" w:type="dxa"/>
            <w:noWrap w:val="0"/>
            <w:vAlign w:val="center"/>
          </w:tcPr>
          <w:p w14:paraId="2F007058">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评分</w:t>
            </w:r>
          </w:p>
        </w:tc>
      </w:tr>
      <w:tr w14:paraId="1E3A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restart"/>
            <w:noWrap w:val="0"/>
            <w:vAlign w:val="center"/>
          </w:tcPr>
          <w:p w14:paraId="2D9D0C72">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bookmarkStart w:id="184" w:name="OLE_LINK1" w:colFirst="7" w:colLast="7"/>
            <w:r>
              <w:rPr>
                <w:rFonts w:hint="default" w:ascii="Times New Roman" w:hAnsi="Times New Roman" w:eastAsia="宋体" w:cs="Times New Roman"/>
                <w:color w:val="auto"/>
                <w:spacing w:val="4"/>
                <w:sz w:val="21"/>
                <w:szCs w:val="21"/>
              </w:rPr>
              <w:t>（1）资源和能源消耗指标</w:t>
            </w:r>
          </w:p>
        </w:tc>
        <w:tc>
          <w:tcPr>
            <w:tcW w:w="896" w:type="dxa"/>
            <w:vMerge w:val="restart"/>
            <w:noWrap w:val="0"/>
            <w:vAlign w:val="center"/>
          </w:tcPr>
          <w:p w14:paraId="76D7E8B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30</w:t>
            </w:r>
          </w:p>
        </w:tc>
        <w:tc>
          <w:tcPr>
            <w:tcW w:w="2751" w:type="dxa"/>
            <w:gridSpan w:val="3"/>
            <w:noWrap w:val="0"/>
            <w:vAlign w:val="center"/>
          </w:tcPr>
          <w:p w14:paraId="5648685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作业液消耗</w:t>
            </w:r>
          </w:p>
        </w:tc>
        <w:tc>
          <w:tcPr>
            <w:tcW w:w="1346" w:type="dxa"/>
            <w:noWrap w:val="0"/>
            <w:vAlign w:val="center"/>
          </w:tcPr>
          <w:p w14:paraId="381F22A2">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m</w:t>
            </w:r>
            <w:r>
              <w:rPr>
                <w:rFonts w:hint="default" w:ascii="Times New Roman" w:hAnsi="Times New Roman" w:eastAsia="宋体" w:cs="Times New Roman"/>
                <w:color w:val="auto"/>
                <w:spacing w:val="4"/>
                <w:sz w:val="21"/>
                <w:szCs w:val="21"/>
                <w:vertAlign w:val="superscript"/>
              </w:rPr>
              <w:t>3</w:t>
            </w:r>
            <w:r>
              <w:rPr>
                <w:rFonts w:hint="default" w:ascii="Times New Roman" w:hAnsi="Times New Roman" w:eastAsia="宋体" w:cs="Times New Roman"/>
                <w:color w:val="auto"/>
                <w:spacing w:val="4"/>
                <w:sz w:val="21"/>
                <w:szCs w:val="21"/>
              </w:rPr>
              <w:t>/井次</w:t>
            </w:r>
          </w:p>
        </w:tc>
        <w:tc>
          <w:tcPr>
            <w:tcW w:w="1263" w:type="dxa"/>
            <w:gridSpan w:val="2"/>
            <w:noWrap w:val="0"/>
            <w:vAlign w:val="center"/>
          </w:tcPr>
          <w:p w14:paraId="0A3351B2">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c>
          <w:tcPr>
            <w:tcW w:w="3054" w:type="dxa"/>
            <w:gridSpan w:val="2"/>
            <w:noWrap w:val="0"/>
            <w:vAlign w:val="center"/>
          </w:tcPr>
          <w:p w14:paraId="5DC4C7A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≤5.0</w:t>
            </w:r>
          </w:p>
        </w:tc>
        <w:tc>
          <w:tcPr>
            <w:tcW w:w="1111" w:type="dxa"/>
            <w:gridSpan w:val="2"/>
            <w:noWrap w:val="0"/>
            <w:vAlign w:val="center"/>
          </w:tcPr>
          <w:p w14:paraId="100D0DFC">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2~4</w:t>
            </w:r>
          </w:p>
        </w:tc>
        <w:tc>
          <w:tcPr>
            <w:tcW w:w="725" w:type="dxa"/>
            <w:noWrap w:val="0"/>
            <w:vAlign w:val="center"/>
          </w:tcPr>
          <w:p w14:paraId="5AFBDAB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10</w:t>
            </w:r>
          </w:p>
        </w:tc>
      </w:tr>
      <w:tr w14:paraId="3EE9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continue"/>
            <w:noWrap w:val="0"/>
            <w:vAlign w:val="center"/>
          </w:tcPr>
          <w:p w14:paraId="188A3184">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896" w:type="dxa"/>
            <w:vMerge w:val="continue"/>
            <w:noWrap w:val="0"/>
            <w:vAlign w:val="center"/>
          </w:tcPr>
          <w:p w14:paraId="7D1405F3">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751" w:type="dxa"/>
            <w:gridSpan w:val="3"/>
            <w:noWrap w:val="0"/>
            <w:vAlign w:val="center"/>
          </w:tcPr>
          <w:p w14:paraId="2ED2DF08">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新鲜水消耗</w:t>
            </w:r>
          </w:p>
        </w:tc>
        <w:tc>
          <w:tcPr>
            <w:tcW w:w="1346" w:type="dxa"/>
            <w:noWrap w:val="0"/>
            <w:vAlign w:val="center"/>
          </w:tcPr>
          <w:p w14:paraId="45134F88">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m</w:t>
            </w:r>
            <w:r>
              <w:rPr>
                <w:rFonts w:hint="default" w:ascii="Times New Roman" w:hAnsi="Times New Roman" w:eastAsia="宋体" w:cs="Times New Roman"/>
                <w:color w:val="auto"/>
                <w:spacing w:val="4"/>
                <w:sz w:val="21"/>
                <w:szCs w:val="21"/>
                <w:vertAlign w:val="superscript"/>
              </w:rPr>
              <w:t>3</w:t>
            </w:r>
            <w:r>
              <w:rPr>
                <w:rFonts w:hint="default" w:ascii="Times New Roman" w:hAnsi="Times New Roman" w:eastAsia="宋体" w:cs="Times New Roman"/>
                <w:color w:val="auto"/>
                <w:spacing w:val="4"/>
                <w:sz w:val="21"/>
                <w:szCs w:val="21"/>
              </w:rPr>
              <w:t>/井次</w:t>
            </w:r>
          </w:p>
        </w:tc>
        <w:tc>
          <w:tcPr>
            <w:tcW w:w="1263" w:type="dxa"/>
            <w:gridSpan w:val="2"/>
            <w:noWrap w:val="0"/>
            <w:vAlign w:val="center"/>
          </w:tcPr>
          <w:p w14:paraId="5047DEE1">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c>
          <w:tcPr>
            <w:tcW w:w="3054" w:type="dxa"/>
            <w:gridSpan w:val="2"/>
            <w:noWrap w:val="0"/>
            <w:vAlign w:val="center"/>
          </w:tcPr>
          <w:p w14:paraId="349211D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≤5.0</w:t>
            </w:r>
          </w:p>
        </w:tc>
        <w:tc>
          <w:tcPr>
            <w:tcW w:w="1111" w:type="dxa"/>
            <w:gridSpan w:val="2"/>
            <w:noWrap w:val="0"/>
            <w:vAlign w:val="center"/>
          </w:tcPr>
          <w:p w14:paraId="05B129F6">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197</w:t>
            </w:r>
          </w:p>
        </w:tc>
        <w:tc>
          <w:tcPr>
            <w:tcW w:w="725" w:type="dxa"/>
            <w:noWrap w:val="0"/>
            <w:vAlign w:val="center"/>
          </w:tcPr>
          <w:p w14:paraId="60C82D2C">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Times New Roman"/>
                <w:color w:val="auto"/>
                <w:spacing w:val="4"/>
                <w:sz w:val="21"/>
                <w:szCs w:val="21"/>
                <w:lang w:eastAsia="zh-CN"/>
              </w:rPr>
            </w:pPr>
            <w:r>
              <w:rPr>
                <w:rFonts w:hint="eastAsia" w:ascii="Times New Roman" w:hAnsi="Times New Roman" w:cs="Times New Roman"/>
                <w:color w:val="auto"/>
                <w:spacing w:val="4"/>
                <w:sz w:val="21"/>
                <w:szCs w:val="21"/>
                <w:lang w:val="en-US" w:eastAsia="zh-CN"/>
              </w:rPr>
              <w:t>0</w:t>
            </w:r>
          </w:p>
        </w:tc>
      </w:tr>
      <w:tr w14:paraId="6451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continue"/>
            <w:noWrap w:val="0"/>
            <w:vAlign w:val="center"/>
          </w:tcPr>
          <w:p w14:paraId="583D62AF">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896" w:type="dxa"/>
            <w:vMerge w:val="continue"/>
            <w:noWrap w:val="0"/>
            <w:vAlign w:val="center"/>
          </w:tcPr>
          <w:p w14:paraId="5BAF591F">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751" w:type="dxa"/>
            <w:gridSpan w:val="3"/>
            <w:noWrap w:val="0"/>
            <w:vAlign w:val="center"/>
          </w:tcPr>
          <w:p w14:paraId="47BB32D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单位能耗</w:t>
            </w:r>
          </w:p>
        </w:tc>
        <w:tc>
          <w:tcPr>
            <w:tcW w:w="1346" w:type="dxa"/>
            <w:noWrap w:val="0"/>
            <w:vAlign w:val="center"/>
          </w:tcPr>
          <w:p w14:paraId="4C81FDF6">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w:t>
            </w:r>
          </w:p>
        </w:tc>
        <w:tc>
          <w:tcPr>
            <w:tcW w:w="1263" w:type="dxa"/>
            <w:gridSpan w:val="2"/>
            <w:noWrap w:val="0"/>
            <w:vAlign w:val="center"/>
          </w:tcPr>
          <w:p w14:paraId="29E6659E">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c>
          <w:tcPr>
            <w:tcW w:w="3054" w:type="dxa"/>
            <w:gridSpan w:val="2"/>
            <w:noWrap w:val="0"/>
            <w:vAlign w:val="center"/>
          </w:tcPr>
          <w:p w14:paraId="21556E22">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行业基本水平</w:t>
            </w:r>
          </w:p>
        </w:tc>
        <w:tc>
          <w:tcPr>
            <w:tcW w:w="1111" w:type="dxa"/>
            <w:gridSpan w:val="2"/>
            <w:noWrap w:val="0"/>
            <w:vAlign w:val="center"/>
          </w:tcPr>
          <w:p w14:paraId="430A48F1">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基本水平</w:t>
            </w:r>
          </w:p>
        </w:tc>
        <w:tc>
          <w:tcPr>
            <w:tcW w:w="725" w:type="dxa"/>
            <w:noWrap w:val="0"/>
            <w:vAlign w:val="center"/>
          </w:tcPr>
          <w:p w14:paraId="56E0392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r>
      <w:tr w14:paraId="50A6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noWrap w:val="0"/>
            <w:vAlign w:val="center"/>
          </w:tcPr>
          <w:p w14:paraId="6BC2DC84">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（2）生产技术特征指标</w:t>
            </w:r>
          </w:p>
        </w:tc>
        <w:tc>
          <w:tcPr>
            <w:tcW w:w="896" w:type="dxa"/>
            <w:noWrap w:val="0"/>
            <w:vAlign w:val="center"/>
          </w:tcPr>
          <w:p w14:paraId="534FB7E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20</w:t>
            </w:r>
          </w:p>
        </w:tc>
        <w:tc>
          <w:tcPr>
            <w:tcW w:w="2751" w:type="dxa"/>
            <w:gridSpan w:val="3"/>
            <w:noWrap w:val="0"/>
            <w:vAlign w:val="center"/>
          </w:tcPr>
          <w:p w14:paraId="3B35ECE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压裂放喷返排入罐率</w:t>
            </w:r>
          </w:p>
        </w:tc>
        <w:tc>
          <w:tcPr>
            <w:tcW w:w="1346" w:type="dxa"/>
            <w:noWrap w:val="0"/>
            <w:vAlign w:val="center"/>
          </w:tcPr>
          <w:p w14:paraId="039AD66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w:t>
            </w:r>
          </w:p>
        </w:tc>
        <w:tc>
          <w:tcPr>
            <w:tcW w:w="1263" w:type="dxa"/>
            <w:gridSpan w:val="2"/>
            <w:noWrap w:val="0"/>
            <w:vAlign w:val="center"/>
          </w:tcPr>
          <w:p w14:paraId="1EAFC6C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20</w:t>
            </w:r>
          </w:p>
        </w:tc>
        <w:tc>
          <w:tcPr>
            <w:tcW w:w="3054" w:type="dxa"/>
            <w:gridSpan w:val="2"/>
            <w:noWrap w:val="0"/>
            <w:vAlign w:val="center"/>
          </w:tcPr>
          <w:p w14:paraId="7098F55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100</w:t>
            </w:r>
          </w:p>
        </w:tc>
        <w:tc>
          <w:tcPr>
            <w:tcW w:w="1111" w:type="dxa"/>
            <w:gridSpan w:val="2"/>
            <w:noWrap w:val="0"/>
            <w:vAlign w:val="center"/>
          </w:tcPr>
          <w:p w14:paraId="1275051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100</w:t>
            </w:r>
          </w:p>
        </w:tc>
        <w:tc>
          <w:tcPr>
            <w:tcW w:w="725" w:type="dxa"/>
            <w:noWrap w:val="0"/>
            <w:vAlign w:val="center"/>
          </w:tcPr>
          <w:p w14:paraId="09900D4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20</w:t>
            </w:r>
          </w:p>
        </w:tc>
      </w:tr>
      <w:tr w14:paraId="2F16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restart"/>
            <w:noWrap w:val="0"/>
            <w:vAlign w:val="center"/>
          </w:tcPr>
          <w:p w14:paraId="557B44C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（3）资源综合利用指标</w:t>
            </w:r>
          </w:p>
        </w:tc>
        <w:tc>
          <w:tcPr>
            <w:tcW w:w="896" w:type="dxa"/>
            <w:vMerge w:val="restart"/>
            <w:noWrap w:val="0"/>
            <w:vAlign w:val="center"/>
          </w:tcPr>
          <w:p w14:paraId="595A6EBE">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20</w:t>
            </w:r>
          </w:p>
        </w:tc>
        <w:tc>
          <w:tcPr>
            <w:tcW w:w="2751" w:type="dxa"/>
            <w:gridSpan w:val="3"/>
            <w:noWrap w:val="0"/>
            <w:vAlign w:val="center"/>
          </w:tcPr>
          <w:p w14:paraId="0270DBE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落地原油回收利用率</w:t>
            </w:r>
          </w:p>
        </w:tc>
        <w:tc>
          <w:tcPr>
            <w:tcW w:w="1346" w:type="dxa"/>
            <w:noWrap w:val="0"/>
            <w:vAlign w:val="center"/>
          </w:tcPr>
          <w:p w14:paraId="169C77AE">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w:t>
            </w:r>
          </w:p>
        </w:tc>
        <w:tc>
          <w:tcPr>
            <w:tcW w:w="1263" w:type="dxa"/>
            <w:gridSpan w:val="2"/>
            <w:noWrap w:val="0"/>
            <w:vAlign w:val="center"/>
          </w:tcPr>
          <w:p w14:paraId="522D8E10">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c>
          <w:tcPr>
            <w:tcW w:w="3054" w:type="dxa"/>
            <w:gridSpan w:val="2"/>
            <w:noWrap w:val="0"/>
            <w:vAlign w:val="center"/>
          </w:tcPr>
          <w:p w14:paraId="546AAC6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100</w:t>
            </w:r>
          </w:p>
        </w:tc>
        <w:tc>
          <w:tcPr>
            <w:tcW w:w="1111" w:type="dxa"/>
            <w:gridSpan w:val="2"/>
            <w:noWrap w:val="0"/>
            <w:vAlign w:val="center"/>
          </w:tcPr>
          <w:p w14:paraId="3C3727B6">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100</w:t>
            </w:r>
          </w:p>
        </w:tc>
        <w:tc>
          <w:tcPr>
            <w:tcW w:w="725" w:type="dxa"/>
            <w:noWrap w:val="0"/>
            <w:vAlign w:val="center"/>
          </w:tcPr>
          <w:p w14:paraId="6AB4CAB4">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r>
      <w:tr w14:paraId="6A24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continue"/>
            <w:noWrap w:val="0"/>
            <w:vAlign w:val="center"/>
          </w:tcPr>
          <w:p w14:paraId="0317BD54">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896" w:type="dxa"/>
            <w:vMerge w:val="continue"/>
            <w:noWrap w:val="0"/>
            <w:vAlign w:val="center"/>
          </w:tcPr>
          <w:p w14:paraId="63E4FA7F">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751" w:type="dxa"/>
            <w:gridSpan w:val="3"/>
            <w:noWrap w:val="0"/>
            <w:vAlign w:val="center"/>
          </w:tcPr>
          <w:p w14:paraId="3137BD8C">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生产过程中排出物利用率</w:t>
            </w:r>
          </w:p>
        </w:tc>
        <w:tc>
          <w:tcPr>
            <w:tcW w:w="1346" w:type="dxa"/>
            <w:noWrap w:val="0"/>
            <w:vAlign w:val="center"/>
          </w:tcPr>
          <w:p w14:paraId="42F4CE4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w:t>
            </w:r>
          </w:p>
        </w:tc>
        <w:tc>
          <w:tcPr>
            <w:tcW w:w="1263" w:type="dxa"/>
            <w:gridSpan w:val="2"/>
            <w:noWrap w:val="0"/>
            <w:vAlign w:val="center"/>
          </w:tcPr>
          <w:p w14:paraId="6C563AA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c>
          <w:tcPr>
            <w:tcW w:w="3054" w:type="dxa"/>
            <w:gridSpan w:val="2"/>
            <w:noWrap w:val="0"/>
            <w:vAlign w:val="center"/>
          </w:tcPr>
          <w:p w14:paraId="2D809230">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100</w:t>
            </w:r>
          </w:p>
        </w:tc>
        <w:tc>
          <w:tcPr>
            <w:tcW w:w="1111" w:type="dxa"/>
            <w:gridSpan w:val="2"/>
            <w:noWrap w:val="0"/>
            <w:vAlign w:val="center"/>
          </w:tcPr>
          <w:p w14:paraId="1073554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100</w:t>
            </w:r>
          </w:p>
        </w:tc>
        <w:tc>
          <w:tcPr>
            <w:tcW w:w="725" w:type="dxa"/>
            <w:noWrap w:val="0"/>
            <w:vAlign w:val="center"/>
          </w:tcPr>
          <w:p w14:paraId="568D8F51">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r>
      <w:tr w14:paraId="0A2F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restart"/>
            <w:noWrap w:val="0"/>
            <w:vAlign w:val="center"/>
          </w:tcPr>
          <w:p w14:paraId="5B77EA56">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（4）污染物产生指标</w:t>
            </w:r>
          </w:p>
        </w:tc>
        <w:tc>
          <w:tcPr>
            <w:tcW w:w="896" w:type="dxa"/>
            <w:vMerge w:val="restart"/>
            <w:noWrap w:val="0"/>
            <w:vAlign w:val="center"/>
          </w:tcPr>
          <w:p w14:paraId="63D80086">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30</w:t>
            </w:r>
          </w:p>
        </w:tc>
        <w:tc>
          <w:tcPr>
            <w:tcW w:w="2751" w:type="dxa"/>
            <w:gridSpan w:val="3"/>
            <w:noWrap w:val="0"/>
            <w:vAlign w:val="center"/>
          </w:tcPr>
          <w:p w14:paraId="58C03767">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作业废液量</w:t>
            </w:r>
          </w:p>
        </w:tc>
        <w:tc>
          <w:tcPr>
            <w:tcW w:w="1346" w:type="dxa"/>
            <w:noWrap w:val="0"/>
            <w:vAlign w:val="center"/>
          </w:tcPr>
          <w:p w14:paraId="530CA2D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m</w:t>
            </w:r>
            <w:r>
              <w:rPr>
                <w:rFonts w:hint="default" w:ascii="Times New Roman" w:hAnsi="Times New Roman" w:eastAsia="宋体" w:cs="Times New Roman"/>
                <w:color w:val="auto"/>
                <w:spacing w:val="4"/>
                <w:sz w:val="21"/>
                <w:szCs w:val="21"/>
                <w:vertAlign w:val="superscript"/>
              </w:rPr>
              <w:t>3</w:t>
            </w:r>
            <w:r>
              <w:rPr>
                <w:rFonts w:hint="default" w:ascii="Times New Roman" w:hAnsi="Times New Roman" w:eastAsia="宋体" w:cs="Times New Roman"/>
                <w:color w:val="auto"/>
                <w:spacing w:val="4"/>
                <w:sz w:val="21"/>
                <w:szCs w:val="21"/>
              </w:rPr>
              <w:t>/井次</w:t>
            </w:r>
          </w:p>
        </w:tc>
        <w:tc>
          <w:tcPr>
            <w:tcW w:w="1263" w:type="dxa"/>
            <w:gridSpan w:val="2"/>
            <w:noWrap w:val="0"/>
            <w:vAlign w:val="center"/>
          </w:tcPr>
          <w:p w14:paraId="6DE52344">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c>
          <w:tcPr>
            <w:tcW w:w="3054" w:type="dxa"/>
            <w:gridSpan w:val="2"/>
            <w:noWrap w:val="0"/>
            <w:vAlign w:val="center"/>
          </w:tcPr>
          <w:p w14:paraId="58EA161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≤3.0</w:t>
            </w:r>
          </w:p>
        </w:tc>
        <w:tc>
          <w:tcPr>
            <w:tcW w:w="1111" w:type="dxa"/>
            <w:gridSpan w:val="2"/>
            <w:noWrap w:val="0"/>
            <w:vAlign w:val="center"/>
          </w:tcPr>
          <w:p w14:paraId="1404FF2A">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0</w:t>
            </w:r>
          </w:p>
        </w:tc>
        <w:tc>
          <w:tcPr>
            <w:tcW w:w="725" w:type="dxa"/>
            <w:noWrap w:val="0"/>
            <w:vAlign w:val="center"/>
          </w:tcPr>
          <w:p w14:paraId="5775E047">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10</w:t>
            </w:r>
          </w:p>
        </w:tc>
      </w:tr>
      <w:tr w14:paraId="10DE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continue"/>
            <w:noWrap w:val="0"/>
            <w:vAlign w:val="center"/>
          </w:tcPr>
          <w:p w14:paraId="698AB04D">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896" w:type="dxa"/>
            <w:vMerge w:val="continue"/>
            <w:noWrap w:val="0"/>
            <w:vAlign w:val="center"/>
          </w:tcPr>
          <w:p w14:paraId="2DF4A968">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751" w:type="dxa"/>
            <w:gridSpan w:val="3"/>
            <w:noWrap w:val="0"/>
            <w:vAlign w:val="center"/>
          </w:tcPr>
          <w:p w14:paraId="13CC6410">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石油类</w:t>
            </w:r>
          </w:p>
        </w:tc>
        <w:tc>
          <w:tcPr>
            <w:tcW w:w="1346" w:type="dxa"/>
            <w:noWrap w:val="0"/>
            <w:vAlign w:val="center"/>
          </w:tcPr>
          <w:p w14:paraId="40305B24">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mg/L</w:t>
            </w:r>
          </w:p>
        </w:tc>
        <w:tc>
          <w:tcPr>
            <w:tcW w:w="1263" w:type="dxa"/>
            <w:gridSpan w:val="2"/>
            <w:noWrap w:val="0"/>
            <w:vAlign w:val="center"/>
          </w:tcPr>
          <w:p w14:paraId="6485E55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c>
          <w:tcPr>
            <w:tcW w:w="3054" w:type="dxa"/>
            <w:gridSpan w:val="2"/>
            <w:noWrap w:val="0"/>
            <w:vAlign w:val="center"/>
          </w:tcPr>
          <w:p w14:paraId="673269C1">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甲类区：≤10；乙类区：≤50</w:t>
            </w:r>
          </w:p>
        </w:tc>
        <w:tc>
          <w:tcPr>
            <w:tcW w:w="1111" w:type="dxa"/>
            <w:gridSpan w:val="2"/>
            <w:noWrap w:val="0"/>
            <w:vAlign w:val="center"/>
          </w:tcPr>
          <w:p w14:paraId="33F67BE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0</w:t>
            </w:r>
          </w:p>
        </w:tc>
        <w:tc>
          <w:tcPr>
            <w:tcW w:w="725" w:type="dxa"/>
            <w:noWrap w:val="0"/>
            <w:vAlign w:val="center"/>
          </w:tcPr>
          <w:p w14:paraId="5F65793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Times New Roman"/>
                <w:color w:val="auto"/>
                <w:spacing w:val="4"/>
                <w:sz w:val="21"/>
                <w:szCs w:val="21"/>
                <w:lang w:eastAsia="zh-CN"/>
              </w:rPr>
            </w:pPr>
            <w:r>
              <w:rPr>
                <w:rFonts w:hint="eastAsia" w:ascii="Times New Roman" w:hAnsi="Times New Roman" w:cs="Times New Roman"/>
                <w:color w:val="auto"/>
                <w:spacing w:val="4"/>
                <w:sz w:val="21"/>
                <w:szCs w:val="21"/>
                <w:lang w:val="en-US" w:eastAsia="zh-CN"/>
              </w:rPr>
              <w:t>5</w:t>
            </w:r>
          </w:p>
        </w:tc>
      </w:tr>
      <w:tr w14:paraId="48ED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continue"/>
            <w:noWrap w:val="0"/>
            <w:vAlign w:val="center"/>
          </w:tcPr>
          <w:p w14:paraId="6BA11BFD">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896" w:type="dxa"/>
            <w:vMerge w:val="continue"/>
            <w:noWrap w:val="0"/>
            <w:vAlign w:val="center"/>
          </w:tcPr>
          <w:p w14:paraId="0B9C0736">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751" w:type="dxa"/>
            <w:gridSpan w:val="3"/>
            <w:noWrap w:val="0"/>
            <w:vAlign w:val="center"/>
          </w:tcPr>
          <w:p w14:paraId="4983EB8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COD</w:t>
            </w:r>
          </w:p>
        </w:tc>
        <w:tc>
          <w:tcPr>
            <w:tcW w:w="1346" w:type="dxa"/>
            <w:noWrap w:val="0"/>
            <w:vAlign w:val="center"/>
          </w:tcPr>
          <w:p w14:paraId="04658B03">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mg/L</w:t>
            </w:r>
          </w:p>
        </w:tc>
        <w:tc>
          <w:tcPr>
            <w:tcW w:w="1263" w:type="dxa"/>
            <w:gridSpan w:val="2"/>
            <w:noWrap w:val="0"/>
            <w:vAlign w:val="center"/>
          </w:tcPr>
          <w:p w14:paraId="3F381042">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c>
          <w:tcPr>
            <w:tcW w:w="3054" w:type="dxa"/>
            <w:gridSpan w:val="2"/>
            <w:noWrap w:val="0"/>
            <w:vAlign w:val="center"/>
          </w:tcPr>
          <w:p w14:paraId="5C7707BE">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甲类区：≤100；乙类区：≤150</w:t>
            </w:r>
          </w:p>
        </w:tc>
        <w:tc>
          <w:tcPr>
            <w:tcW w:w="1111" w:type="dxa"/>
            <w:gridSpan w:val="2"/>
            <w:noWrap w:val="0"/>
            <w:vAlign w:val="center"/>
          </w:tcPr>
          <w:p w14:paraId="185EE3D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0</w:t>
            </w:r>
          </w:p>
        </w:tc>
        <w:tc>
          <w:tcPr>
            <w:tcW w:w="725" w:type="dxa"/>
            <w:noWrap w:val="0"/>
            <w:vAlign w:val="center"/>
          </w:tcPr>
          <w:p w14:paraId="04D5F4F0">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Times New Roman"/>
                <w:color w:val="auto"/>
                <w:spacing w:val="4"/>
                <w:sz w:val="21"/>
                <w:szCs w:val="21"/>
                <w:lang w:eastAsia="zh-CN"/>
              </w:rPr>
            </w:pPr>
            <w:r>
              <w:rPr>
                <w:rFonts w:hint="eastAsia" w:ascii="Times New Roman" w:hAnsi="Times New Roman" w:cs="Times New Roman"/>
                <w:color w:val="auto"/>
                <w:spacing w:val="4"/>
                <w:sz w:val="21"/>
                <w:szCs w:val="21"/>
                <w:lang w:val="en-US" w:eastAsia="zh-CN"/>
              </w:rPr>
              <w:t>5</w:t>
            </w:r>
          </w:p>
        </w:tc>
      </w:tr>
      <w:tr w14:paraId="7758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continue"/>
            <w:noWrap w:val="0"/>
            <w:vAlign w:val="center"/>
          </w:tcPr>
          <w:p w14:paraId="542D98DE">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896" w:type="dxa"/>
            <w:vMerge w:val="continue"/>
            <w:noWrap w:val="0"/>
            <w:vAlign w:val="center"/>
          </w:tcPr>
          <w:p w14:paraId="38512C04">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751" w:type="dxa"/>
            <w:gridSpan w:val="3"/>
            <w:noWrap w:val="0"/>
            <w:vAlign w:val="center"/>
          </w:tcPr>
          <w:p w14:paraId="2D3F85D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含油污泥</w:t>
            </w:r>
          </w:p>
        </w:tc>
        <w:tc>
          <w:tcPr>
            <w:tcW w:w="1346" w:type="dxa"/>
            <w:noWrap w:val="0"/>
            <w:vAlign w:val="center"/>
          </w:tcPr>
          <w:p w14:paraId="008D8947">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kg/井次</w:t>
            </w:r>
          </w:p>
        </w:tc>
        <w:tc>
          <w:tcPr>
            <w:tcW w:w="1263" w:type="dxa"/>
            <w:gridSpan w:val="2"/>
            <w:noWrap w:val="0"/>
            <w:vAlign w:val="center"/>
          </w:tcPr>
          <w:p w14:paraId="42A424C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c>
          <w:tcPr>
            <w:tcW w:w="3054" w:type="dxa"/>
            <w:gridSpan w:val="2"/>
            <w:noWrap w:val="0"/>
            <w:vAlign w:val="center"/>
          </w:tcPr>
          <w:p w14:paraId="314DFCE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甲类区：≤50；乙类区：≤70</w:t>
            </w:r>
          </w:p>
        </w:tc>
        <w:tc>
          <w:tcPr>
            <w:tcW w:w="1111" w:type="dxa"/>
            <w:gridSpan w:val="2"/>
            <w:noWrap w:val="0"/>
            <w:vAlign w:val="center"/>
          </w:tcPr>
          <w:p w14:paraId="31C5AB1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0</w:t>
            </w:r>
          </w:p>
        </w:tc>
        <w:tc>
          <w:tcPr>
            <w:tcW w:w="725" w:type="dxa"/>
            <w:noWrap w:val="0"/>
            <w:vAlign w:val="center"/>
          </w:tcPr>
          <w:p w14:paraId="230DC5E7">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r>
      <w:tr w14:paraId="2578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2" w:type="dxa"/>
            <w:vMerge w:val="continue"/>
            <w:noWrap w:val="0"/>
            <w:vAlign w:val="center"/>
          </w:tcPr>
          <w:p w14:paraId="3E797D5E">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896" w:type="dxa"/>
            <w:vMerge w:val="continue"/>
            <w:noWrap w:val="0"/>
            <w:vAlign w:val="center"/>
          </w:tcPr>
          <w:p w14:paraId="5F9F3971">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751" w:type="dxa"/>
            <w:gridSpan w:val="3"/>
            <w:noWrap w:val="0"/>
            <w:vAlign w:val="center"/>
          </w:tcPr>
          <w:p w14:paraId="0EF6C03A">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一般固体废物（生活垃圾）</w:t>
            </w:r>
          </w:p>
        </w:tc>
        <w:tc>
          <w:tcPr>
            <w:tcW w:w="1346" w:type="dxa"/>
            <w:noWrap w:val="0"/>
            <w:vAlign w:val="center"/>
          </w:tcPr>
          <w:p w14:paraId="40E125E1">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kg/井次</w:t>
            </w:r>
          </w:p>
        </w:tc>
        <w:tc>
          <w:tcPr>
            <w:tcW w:w="1263" w:type="dxa"/>
            <w:gridSpan w:val="2"/>
            <w:noWrap w:val="0"/>
            <w:vAlign w:val="center"/>
          </w:tcPr>
          <w:p w14:paraId="624437C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c>
          <w:tcPr>
            <w:tcW w:w="3054" w:type="dxa"/>
            <w:gridSpan w:val="2"/>
            <w:noWrap w:val="0"/>
            <w:vAlign w:val="center"/>
          </w:tcPr>
          <w:p w14:paraId="0BFD896E">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符合环保要求</w:t>
            </w:r>
          </w:p>
        </w:tc>
        <w:tc>
          <w:tcPr>
            <w:tcW w:w="1111" w:type="dxa"/>
            <w:gridSpan w:val="2"/>
            <w:noWrap w:val="0"/>
            <w:vAlign w:val="center"/>
          </w:tcPr>
          <w:p w14:paraId="0A5DAA74">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0</w:t>
            </w:r>
          </w:p>
        </w:tc>
        <w:tc>
          <w:tcPr>
            <w:tcW w:w="725" w:type="dxa"/>
            <w:noWrap w:val="0"/>
            <w:vAlign w:val="center"/>
          </w:tcPr>
          <w:p w14:paraId="3073216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r>
      <w:bookmarkEnd w:id="184"/>
      <w:tr w14:paraId="285D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878" w:type="dxa"/>
            <w:gridSpan w:val="13"/>
            <w:noWrap w:val="0"/>
            <w:vAlign w:val="center"/>
          </w:tcPr>
          <w:p w14:paraId="5F735FC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定性指标</w:t>
            </w:r>
          </w:p>
        </w:tc>
      </w:tr>
      <w:tr w14:paraId="6B37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noWrap w:val="0"/>
            <w:vAlign w:val="center"/>
          </w:tcPr>
          <w:p w14:paraId="78A603D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一级指标</w:t>
            </w:r>
          </w:p>
        </w:tc>
        <w:tc>
          <w:tcPr>
            <w:tcW w:w="1134" w:type="dxa"/>
            <w:noWrap w:val="0"/>
            <w:vAlign w:val="center"/>
          </w:tcPr>
          <w:p w14:paraId="37686CF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指标分值</w:t>
            </w:r>
          </w:p>
        </w:tc>
        <w:tc>
          <w:tcPr>
            <w:tcW w:w="6559" w:type="dxa"/>
            <w:gridSpan w:val="5"/>
            <w:noWrap w:val="0"/>
            <w:vAlign w:val="center"/>
          </w:tcPr>
          <w:p w14:paraId="59F09E8C">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二级指标</w:t>
            </w:r>
          </w:p>
        </w:tc>
        <w:tc>
          <w:tcPr>
            <w:tcW w:w="1110" w:type="dxa"/>
            <w:gridSpan w:val="2"/>
            <w:noWrap w:val="0"/>
            <w:vAlign w:val="center"/>
          </w:tcPr>
          <w:p w14:paraId="4D48903C">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指标分值</w:t>
            </w:r>
          </w:p>
        </w:tc>
        <w:tc>
          <w:tcPr>
            <w:tcW w:w="1281" w:type="dxa"/>
            <w:gridSpan w:val="2"/>
            <w:noWrap w:val="0"/>
            <w:vAlign w:val="center"/>
          </w:tcPr>
          <w:p w14:paraId="3D69645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本</w:t>
            </w:r>
            <w:r>
              <w:rPr>
                <w:rFonts w:hint="eastAsia" w:ascii="Times New Roman" w:hAnsi="Times New Roman" w:cs="Times New Roman"/>
                <w:color w:val="auto"/>
                <w:spacing w:val="4"/>
                <w:sz w:val="21"/>
                <w:szCs w:val="21"/>
                <w:lang w:val="en-US" w:eastAsia="zh-CN"/>
              </w:rPr>
              <w:t>工程</w:t>
            </w:r>
            <w:r>
              <w:rPr>
                <w:rFonts w:hint="default" w:ascii="Times New Roman" w:hAnsi="Times New Roman" w:eastAsia="宋体" w:cs="Times New Roman"/>
                <w:color w:val="auto"/>
                <w:spacing w:val="4"/>
                <w:sz w:val="21"/>
                <w:szCs w:val="21"/>
              </w:rPr>
              <w:t>评分</w:t>
            </w:r>
          </w:p>
        </w:tc>
      </w:tr>
      <w:tr w14:paraId="3777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vMerge w:val="restart"/>
            <w:noWrap w:val="0"/>
            <w:vAlign w:val="center"/>
          </w:tcPr>
          <w:p w14:paraId="06BA40C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（1）生产工艺及设备要求</w:t>
            </w:r>
          </w:p>
        </w:tc>
        <w:tc>
          <w:tcPr>
            <w:tcW w:w="1134" w:type="dxa"/>
            <w:vMerge w:val="restart"/>
            <w:noWrap w:val="0"/>
            <w:vAlign w:val="center"/>
          </w:tcPr>
          <w:p w14:paraId="42717E27">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40</w:t>
            </w:r>
          </w:p>
        </w:tc>
        <w:tc>
          <w:tcPr>
            <w:tcW w:w="2950" w:type="dxa"/>
            <w:gridSpan w:val="3"/>
            <w:noWrap w:val="0"/>
            <w:vAlign w:val="center"/>
          </w:tcPr>
          <w:p w14:paraId="40BC60A3">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防喷措施</w:t>
            </w:r>
          </w:p>
        </w:tc>
        <w:tc>
          <w:tcPr>
            <w:tcW w:w="3609" w:type="dxa"/>
            <w:gridSpan w:val="2"/>
            <w:noWrap w:val="0"/>
            <w:vAlign w:val="center"/>
          </w:tcPr>
          <w:p w14:paraId="56647E7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具备</w:t>
            </w:r>
          </w:p>
        </w:tc>
        <w:tc>
          <w:tcPr>
            <w:tcW w:w="1110" w:type="dxa"/>
            <w:gridSpan w:val="2"/>
            <w:noWrap w:val="0"/>
            <w:vAlign w:val="center"/>
          </w:tcPr>
          <w:p w14:paraId="7CB07EE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c>
          <w:tcPr>
            <w:tcW w:w="1281" w:type="dxa"/>
            <w:gridSpan w:val="2"/>
            <w:noWrap w:val="0"/>
            <w:vAlign w:val="center"/>
          </w:tcPr>
          <w:p w14:paraId="2014446E">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r>
      <w:tr w14:paraId="2D52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vMerge w:val="continue"/>
            <w:noWrap w:val="0"/>
            <w:vAlign w:val="center"/>
          </w:tcPr>
          <w:p w14:paraId="6F085D4C">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1134" w:type="dxa"/>
            <w:vMerge w:val="continue"/>
            <w:noWrap w:val="0"/>
            <w:vAlign w:val="center"/>
          </w:tcPr>
          <w:p w14:paraId="7DB1E994">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950" w:type="dxa"/>
            <w:gridSpan w:val="3"/>
            <w:noWrap w:val="0"/>
            <w:vAlign w:val="center"/>
          </w:tcPr>
          <w:p w14:paraId="37E01311">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地面管线防刺防漏措施</w:t>
            </w:r>
          </w:p>
        </w:tc>
        <w:tc>
          <w:tcPr>
            <w:tcW w:w="3609" w:type="dxa"/>
            <w:gridSpan w:val="2"/>
            <w:noWrap w:val="0"/>
            <w:vAlign w:val="center"/>
          </w:tcPr>
          <w:p w14:paraId="2C74C15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按标准试压</w:t>
            </w:r>
          </w:p>
        </w:tc>
        <w:tc>
          <w:tcPr>
            <w:tcW w:w="1110" w:type="dxa"/>
            <w:gridSpan w:val="2"/>
            <w:noWrap w:val="0"/>
            <w:vAlign w:val="center"/>
          </w:tcPr>
          <w:p w14:paraId="59D85843">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c>
          <w:tcPr>
            <w:tcW w:w="1281" w:type="dxa"/>
            <w:gridSpan w:val="2"/>
            <w:noWrap w:val="0"/>
            <w:vAlign w:val="center"/>
          </w:tcPr>
          <w:p w14:paraId="1B21DD2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r>
      <w:tr w14:paraId="7AEB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vMerge w:val="continue"/>
            <w:noWrap w:val="0"/>
            <w:vAlign w:val="center"/>
          </w:tcPr>
          <w:p w14:paraId="4D551775">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1134" w:type="dxa"/>
            <w:vMerge w:val="continue"/>
            <w:noWrap w:val="0"/>
            <w:vAlign w:val="center"/>
          </w:tcPr>
          <w:p w14:paraId="2A1457BD">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950" w:type="dxa"/>
            <w:gridSpan w:val="3"/>
            <w:noWrap w:val="0"/>
            <w:vAlign w:val="center"/>
          </w:tcPr>
          <w:p w14:paraId="540E3BF2">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防溢设备（防溢池设置）</w:t>
            </w:r>
          </w:p>
        </w:tc>
        <w:tc>
          <w:tcPr>
            <w:tcW w:w="3609" w:type="dxa"/>
            <w:gridSpan w:val="2"/>
            <w:noWrap w:val="0"/>
            <w:vAlign w:val="center"/>
          </w:tcPr>
          <w:p w14:paraId="0BF32F02">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具备</w:t>
            </w:r>
          </w:p>
        </w:tc>
        <w:tc>
          <w:tcPr>
            <w:tcW w:w="1110" w:type="dxa"/>
            <w:gridSpan w:val="2"/>
            <w:noWrap w:val="0"/>
            <w:vAlign w:val="center"/>
          </w:tcPr>
          <w:p w14:paraId="7D46E5C0">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c>
          <w:tcPr>
            <w:tcW w:w="1281" w:type="dxa"/>
            <w:gridSpan w:val="2"/>
            <w:noWrap w:val="0"/>
            <w:vAlign w:val="center"/>
          </w:tcPr>
          <w:p w14:paraId="37D32FDC">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r>
      <w:tr w14:paraId="671D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vMerge w:val="continue"/>
            <w:noWrap w:val="0"/>
            <w:vAlign w:val="center"/>
          </w:tcPr>
          <w:p w14:paraId="31E5DBA6">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1134" w:type="dxa"/>
            <w:vMerge w:val="continue"/>
            <w:noWrap w:val="0"/>
            <w:vAlign w:val="center"/>
          </w:tcPr>
          <w:p w14:paraId="24F916E9">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950" w:type="dxa"/>
            <w:gridSpan w:val="3"/>
            <w:noWrap w:val="0"/>
            <w:vAlign w:val="center"/>
          </w:tcPr>
          <w:p w14:paraId="71E712E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防渗范围</w:t>
            </w:r>
          </w:p>
        </w:tc>
        <w:tc>
          <w:tcPr>
            <w:tcW w:w="3609" w:type="dxa"/>
            <w:gridSpan w:val="2"/>
            <w:noWrap w:val="0"/>
            <w:vAlign w:val="center"/>
          </w:tcPr>
          <w:p w14:paraId="6B53A8D1">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废水、使用液、原油等可能落地处</w:t>
            </w:r>
          </w:p>
        </w:tc>
        <w:tc>
          <w:tcPr>
            <w:tcW w:w="1110" w:type="dxa"/>
            <w:gridSpan w:val="2"/>
            <w:noWrap w:val="0"/>
            <w:vAlign w:val="center"/>
          </w:tcPr>
          <w:p w14:paraId="328F798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c>
          <w:tcPr>
            <w:tcW w:w="1281" w:type="dxa"/>
            <w:gridSpan w:val="2"/>
            <w:noWrap w:val="0"/>
            <w:vAlign w:val="center"/>
          </w:tcPr>
          <w:p w14:paraId="7BCE2DE0">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r>
      <w:tr w14:paraId="6770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vMerge w:val="continue"/>
            <w:noWrap w:val="0"/>
            <w:vAlign w:val="center"/>
          </w:tcPr>
          <w:p w14:paraId="41E048AC">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1134" w:type="dxa"/>
            <w:vMerge w:val="continue"/>
            <w:noWrap w:val="0"/>
            <w:vAlign w:val="center"/>
          </w:tcPr>
          <w:p w14:paraId="26F34C13">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950" w:type="dxa"/>
            <w:gridSpan w:val="3"/>
            <w:noWrap w:val="0"/>
            <w:vAlign w:val="center"/>
          </w:tcPr>
          <w:p w14:paraId="48ADDA1E">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作业废液污染控制措施</w:t>
            </w:r>
          </w:p>
        </w:tc>
        <w:tc>
          <w:tcPr>
            <w:tcW w:w="3609" w:type="dxa"/>
            <w:gridSpan w:val="2"/>
            <w:noWrap w:val="0"/>
            <w:vAlign w:val="center"/>
          </w:tcPr>
          <w:p w14:paraId="512CE688">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集中回收处理</w:t>
            </w:r>
          </w:p>
        </w:tc>
        <w:tc>
          <w:tcPr>
            <w:tcW w:w="1110" w:type="dxa"/>
            <w:gridSpan w:val="2"/>
            <w:noWrap w:val="0"/>
            <w:vAlign w:val="center"/>
          </w:tcPr>
          <w:p w14:paraId="55F152DE">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c>
          <w:tcPr>
            <w:tcW w:w="1281" w:type="dxa"/>
            <w:gridSpan w:val="2"/>
            <w:noWrap w:val="0"/>
            <w:vAlign w:val="center"/>
          </w:tcPr>
          <w:p w14:paraId="135DBCC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r>
      <w:tr w14:paraId="609E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vMerge w:val="continue"/>
            <w:noWrap w:val="0"/>
            <w:vAlign w:val="center"/>
          </w:tcPr>
          <w:p w14:paraId="4C6962A6">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1134" w:type="dxa"/>
            <w:vMerge w:val="continue"/>
            <w:noWrap w:val="0"/>
            <w:vAlign w:val="center"/>
          </w:tcPr>
          <w:p w14:paraId="40B4F1CF">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2950" w:type="dxa"/>
            <w:gridSpan w:val="3"/>
            <w:noWrap w:val="0"/>
            <w:vAlign w:val="center"/>
          </w:tcPr>
          <w:p w14:paraId="45995CCA">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防止落地原油产生措施</w:t>
            </w:r>
          </w:p>
        </w:tc>
        <w:tc>
          <w:tcPr>
            <w:tcW w:w="3609" w:type="dxa"/>
            <w:gridSpan w:val="2"/>
            <w:noWrap w:val="0"/>
            <w:vAlign w:val="center"/>
          </w:tcPr>
          <w:p w14:paraId="7B7D1C7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具备原油回收设施</w:t>
            </w:r>
          </w:p>
        </w:tc>
        <w:tc>
          <w:tcPr>
            <w:tcW w:w="1110" w:type="dxa"/>
            <w:gridSpan w:val="2"/>
            <w:noWrap w:val="0"/>
            <w:vAlign w:val="center"/>
          </w:tcPr>
          <w:p w14:paraId="3272488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c>
          <w:tcPr>
            <w:tcW w:w="1281" w:type="dxa"/>
            <w:gridSpan w:val="2"/>
            <w:noWrap w:val="0"/>
            <w:vAlign w:val="center"/>
          </w:tcPr>
          <w:p w14:paraId="61C1E3A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w:t>
            </w:r>
          </w:p>
        </w:tc>
      </w:tr>
      <w:tr w14:paraId="5CCD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vMerge w:val="restart"/>
            <w:noWrap w:val="0"/>
            <w:vAlign w:val="center"/>
          </w:tcPr>
          <w:p w14:paraId="50B4324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（2）管理体系建设及清洁生产审核</w:t>
            </w:r>
          </w:p>
        </w:tc>
        <w:tc>
          <w:tcPr>
            <w:tcW w:w="1134" w:type="dxa"/>
            <w:vMerge w:val="restart"/>
            <w:noWrap w:val="0"/>
            <w:vAlign w:val="center"/>
          </w:tcPr>
          <w:p w14:paraId="3A3C68F8">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40</w:t>
            </w:r>
          </w:p>
        </w:tc>
        <w:tc>
          <w:tcPr>
            <w:tcW w:w="6559" w:type="dxa"/>
            <w:gridSpan w:val="5"/>
            <w:noWrap w:val="0"/>
            <w:vAlign w:val="center"/>
          </w:tcPr>
          <w:p w14:paraId="119D4F74">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建立HSE管理体系并通过验证</w:t>
            </w:r>
          </w:p>
        </w:tc>
        <w:tc>
          <w:tcPr>
            <w:tcW w:w="1110" w:type="dxa"/>
            <w:gridSpan w:val="2"/>
            <w:noWrap w:val="0"/>
            <w:vAlign w:val="center"/>
          </w:tcPr>
          <w:p w14:paraId="7AD48EF0">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15</w:t>
            </w:r>
          </w:p>
        </w:tc>
        <w:tc>
          <w:tcPr>
            <w:tcW w:w="1281" w:type="dxa"/>
            <w:gridSpan w:val="2"/>
            <w:noWrap w:val="0"/>
            <w:vAlign w:val="center"/>
          </w:tcPr>
          <w:p w14:paraId="4E4EFB9A">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15</w:t>
            </w:r>
          </w:p>
        </w:tc>
      </w:tr>
      <w:tr w14:paraId="34AA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vMerge w:val="continue"/>
            <w:noWrap w:val="0"/>
            <w:vAlign w:val="center"/>
          </w:tcPr>
          <w:p w14:paraId="177F93C6">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1134" w:type="dxa"/>
            <w:vMerge w:val="continue"/>
            <w:noWrap w:val="0"/>
            <w:vAlign w:val="center"/>
          </w:tcPr>
          <w:p w14:paraId="18A43FE4">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6559" w:type="dxa"/>
            <w:gridSpan w:val="5"/>
            <w:noWrap w:val="0"/>
            <w:vAlign w:val="center"/>
          </w:tcPr>
          <w:p w14:paraId="77407B4D">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开展清洁生产审核</w:t>
            </w:r>
          </w:p>
        </w:tc>
        <w:tc>
          <w:tcPr>
            <w:tcW w:w="1110" w:type="dxa"/>
            <w:gridSpan w:val="2"/>
            <w:noWrap w:val="0"/>
            <w:vAlign w:val="center"/>
          </w:tcPr>
          <w:p w14:paraId="72D3064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20</w:t>
            </w:r>
          </w:p>
        </w:tc>
        <w:tc>
          <w:tcPr>
            <w:tcW w:w="1281" w:type="dxa"/>
            <w:gridSpan w:val="2"/>
            <w:noWrap w:val="0"/>
            <w:vAlign w:val="center"/>
          </w:tcPr>
          <w:p w14:paraId="123232C4">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20</w:t>
            </w:r>
          </w:p>
        </w:tc>
      </w:tr>
      <w:tr w14:paraId="0231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vMerge w:val="continue"/>
            <w:noWrap w:val="0"/>
            <w:vAlign w:val="center"/>
          </w:tcPr>
          <w:p w14:paraId="67CF4326">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1134" w:type="dxa"/>
            <w:vMerge w:val="continue"/>
            <w:noWrap w:val="0"/>
            <w:vAlign w:val="center"/>
          </w:tcPr>
          <w:p w14:paraId="109B6070">
            <w:pPr>
              <w:keepNext w:val="0"/>
              <w:keepLines w:val="0"/>
              <w:pageBreakBefore w:val="0"/>
              <w:widowControl/>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p>
        </w:tc>
        <w:tc>
          <w:tcPr>
            <w:tcW w:w="6559" w:type="dxa"/>
            <w:gridSpan w:val="5"/>
            <w:noWrap w:val="0"/>
            <w:vAlign w:val="center"/>
          </w:tcPr>
          <w:p w14:paraId="11803788">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制定节能减排工作计划</w:t>
            </w:r>
          </w:p>
        </w:tc>
        <w:tc>
          <w:tcPr>
            <w:tcW w:w="1110" w:type="dxa"/>
            <w:gridSpan w:val="2"/>
            <w:noWrap w:val="0"/>
            <w:vAlign w:val="center"/>
          </w:tcPr>
          <w:p w14:paraId="18FD3BA7">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c>
          <w:tcPr>
            <w:tcW w:w="1281" w:type="dxa"/>
            <w:gridSpan w:val="2"/>
            <w:noWrap w:val="0"/>
            <w:vAlign w:val="center"/>
          </w:tcPr>
          <w:p w14:paraId="4CA68C31">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5</w:t>
            </w:r>
          </w:p>
        </w:tc>
      </w:tr>
      <w:tr w14:paraId="7EA5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94" w:type="dxa"/>
            <w:gridSpan w:val="3"/>
            <w:noWrap w:val="0"/>
            <w:vAlign w:val="center"/>
          </w:tcPr>
          <w:p w14:paraId="1FF3192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（3）贯彻执行环境保护法规的符合性</w:t>
            </w:r>
          </w:p>
        </w:tc>
        <w:tc>
          <w:tcPr>
            <w:tcW w:w="1134" w:type="dxa"/>
            <w:noWrap w:val="0"/>
            <w:vAlign w:val="center"/>
          </w:tcPr>
          <w:p w14:paraId="0AA8B844">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20</w:t>
            </w:r>
          </w:p>
        </w:tc>
        <w:tc>
          <w:tcPr>
            <w:tcW w:w="6559" w:type="dxa"/>
            <w:gridSpan w:val="5"/>
            <w:noWrap w:val="0"/>
            <w:vAlign w:val="center"/>
          </w:tcPr>
          <w:p w14:paraId="26C078B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满足其他法律法规要求</w:t>
            </w:r>
          </w:p>
        </w:tc>
        <w:tc>
          <w:tcPr>
            <w:tcW w:w="1110" w:type="dxa"/>
            <w:gridSpan w:val="2"/>
            <w:noWrap w:val="0"/>
            <w:vAlign w:val="center"/>
          </w:tcPr>
          <w:p w14:paraId="34B25147">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20</w:t>
            </w:r>
          </w:p>
        </w:tc>
        <w:tc>
          <w:tcPr>
            <w:tcW w:w="1281" w:type="dxa"/>
            <w:gridSpan w:val="2"/>
            <w:noWrap w:val="0"/>
            <w:vAlign w:val="center"/>
          </w:tcPr>
          <w:p w14:paraId="3FDE4755">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20</w:t>
            </w:r>
          </w:p>
        </w:tc>
      </w:tr>
      <w:tr w14:paraId="3C8A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87" w:type="dxa"/>
            <w:gridSpan w:val="9"/>
            <w:noWrap w:val="0"/>
            <w:vAlign w:val="center"/>
          </w:tcPr>
          <w:p w14:paraId="5B38517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bookmarkStart w:id="185" w:name="_Ref78937558"/>
            <w:r>
              <w:rPr>
                <w:rFonts w:hint="eastAsia" w:ascii="Times New Roman" w:hAnsi="Times New Roman" w:eastAsia="宋体" w:cs="Times New Roman"/>
                <w:color w:val="auto"/>
                <w:spacing w:val="4"/>
                <w:sz w:val="21"/>
                <w:szCs w:val="21"/>
                <w:lang w:val="en-US" w:eastAsia="zh-CN"/>
              </w:rPr>
              <w:t>结果</w:t>
            </w:r>
          </w:p>
        </w:tc>
        <w:tc>
          <w:tcPr>
            <w:tcW w:w="1110" w:type="dxa"/>
            <w:gridSpan w:val="2"/>
            <w:noWrap w:val="0"/>
            <w:vAlign w:val="center"/>
          </w:tcPr>
          <w:p w14:paraId="498CEF8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权重分值</w:t>
            </w:r>
          </w:p>
        </w:tc>
        <w:tc>
          <w:tcPr>
            <w:tcW w:w="1281" w:type="dxa"/>
            <w:gridSpan w:val="2"/>
            <w:noWrap w:val="0"/>
            <w:vAlign w:val="center"/>
          </w:tcPr>
          <w:p w14:paraId="0E0F7A88">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评分</w:t>
            </w:r>
          </w:p>
        </w:tc>
      </w:tr>
      <w:tr w14:paraId="6370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87" w:type="dxa"/>
            <w:gridSpan w:val="9"/>
            <w:noWrap w:val="0"/>
            <w:vAlign w:val="center"/>
          </w:tcPr>
          <w:p w14:paraId="3333677B">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合计</w:t>
            </w:r>
          </w:p>
        </w:tc>
        <w:tc>
          <w:tcPr>
            <w:tcW w:w="1110" w:type="dxa"/>
            <w:gridSpan w:val="2"/>
            <w:noWrap w:val="0"/>
            <w:vAlign w:val="center"/>
          </w:tcPr>
          <w:p w14:paraId="030E251C">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200</w:t>
            </w:r>
          </w:p>
        </w:tc>
        <w:tc>
          <w:tcPr>
            <w:tcW w:w="1281" w:type="dxa"/>
            <w:gridSpan w:val="2"/>
            <w:noWrap w:val="0"/>
            <w:vAlign w:val="center"/>
          </w:tcPr>
          <w:p w14:paraId="40418C3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190</w:t>
            </w:r>
          </w:p>
        </w:tc>
      </w:tr>
      <w:tr w14:paraId="5FBC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87" w:type="dxa"/>
            <w:gridSpan w:val="9"/>
            <w:noWrap w:val="0"/>
            <w:vAlign w:val="center"/>
          </w:tcPr>
          <w:p w14:paraId="7CB0BD60">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比例（100%）</w:t>
            </w:r>
          </w:p>
        </w:tc>
        <w:tc>
          <w:tcPr>
            <w:tcW w:w="1110" w:type="dxa"/>
            <w:gridSpan w:val="2"/>
            <w:noWrap w:val="0"/>
            <w:vAlign w:val="center"/>
          </w:tcPr>
          <w:p w14:paraId="3E3441D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100</w:t>
            </w:r>
          </w:p>
        </w:tc>
        <w:tc>
          <w:tcPr>
            <w:tcW w:w="1281" w:type="dxa"/>
            <w:gridSpan w:val="2"/>
            <w:noWrap w:val="0"/>
            <w:vAlign w:val="center"/>
          </w:tcPr>
          <w:p w14:paraId="40CD0BC2">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9</w:t>
            </w:r>
            <w:r>
              <w:rPr>
                <w:rFonts w:hint="eastAsia" w:ascii="Times New Roman" w:hAnsi="Times New Roman" w:cs="Times New Roman"/>
                <w:color w:val="auto"/>
                <w:spacing w:val="4"/>
                <w:sz w:val="21"/>
                <w:szCs w:val="21"/>
                <w:lang w:val="en-US" w:eastAsia="zh-CN"/>
              </w:rPr>
              <w:t>5</w:t>
            </w:r>
          </w:p>
        </w:tc>
      </w:tr>
    </w:tbl>
    <w:p w14:paraId="4A10520B">
      <w:pPr>
        <w:pStyle w:val="32"/>
        <w:bidi w:val="0"/>
        <w:rPr>
          <w:color w:val="auto"/>
        </w:rPr>
      </w:pPr>
      <w:r>
        <w:rPr>
          <w:color w:val="auto"/>
        </w:rPr>
        <w:t>表</w:t>
      </w:r>
      <w:bookmarkEnd w:id="185"/>
      <w:r>
        <w:rPr>
          <w:rFonts w:hint="eastAsia"/>
          <w:color w:val="auto"/>
          <w:lang w:val="en-US" w:eastAsia="zh-CN"/>
        </w:rPr>
        <w:t>3.9-14</w:t>
      </w:r>
      <w:r>
        <w:rPr>
          <w:color w:val="auto"/>
        </w:rPr>
        <w:t xml:space="preserve">  采</w:t>
      </w:r>
      <w:r>
        <w:rPr>
          <w:rFonts w:hint="eastAsia"/>
          <w:color w:val="auto"/>
        </w:rPr>
        <w:t>油</w:t>
      </w:r>
      <w:r>
        <w:rPr>
          <w:color w:val="auto"/>
        </w:rPr>
        <w:t>定量和定性评价指标项目、权重及基准值</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1118"/>
        <w:gridCol w:w="246"/>
        <w:gridCol w:w="573"/>
        <w:gridCol w:w="1650"/>
        <w:gridCol w:w="1423"/>
        <w:gridCol w:w="538"/>
        <w:gridCol w:w="637"/>
        <w:gridCol w:w="2898"/>
        <w:gridCol w:w="418"/>
        <w:gridCol w:w="684"/>
        <w:gridCol w:w="551"/>
        <w:gridCol w:w="826"/>
      </w:tblGrid>
      <w:tr w14:paraId="3B2F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817" w:type="dxa"/>
            <w:gridSpan w:val="10"/>
            <w:noWrap w:val="0"/>
            <w:vAlign w:val="center"/>
          </w:tcPr>
          <w:p w14:paraId="2465C83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pacing w:val="4"/>
                <w:sz w:val="21"/>
                <w:szCs w:val="21"/>
              </w:rPr>
            </w:pPr>
            <w:r>
              <w:rPr>
                <w:rFonts w:hint="default" w:ascii="Times New Roman" w:hAnsi="Times New Roman" w:cs="Times New Roman"/>
                <w:b/>
                <w:bCs/>
                <w:color w:val="auto"/>
                <w:spacing w:val="4"/>
                <w:sz w:val="21"/>
                <w:szCs w:val="21"/>
              </w:rPr>
              <w:t>定量指标</w:t>
            </w:r>
          </w:p>
        </w:tc>
        <w:tc>
          <w:tcPr>
            <w:tcW w:w="2061" w:type="dxa"/>
            <w:gridSpan w:val="3"/>
            <w:noWrap w:val="0"/>
            <w:vAlign w:val="center"/>
          </w:tcPr>
          <w:p w14:paraId="13830C3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pacing w:val="4"/>
                <w:sz w:val="21"/>
                <w:szCs w:val="21"/>
                <w:lang w:eastAsia="zh-CN"/>
              </w:rPr>
            </w:pPr>
            <w:r>
              <w:rPr>
                <w:rFonts w:hint="default" w:ascii="Times New Roman" w:hAnsi="Times New Roman" w:cs="Times New Roman"/>
                <w:b/>
                <w:bCs/>
                <w:color w:val="auto"/>
                <w:spacing w:val="4"/>
                <w:sz w:val="21"/>
                <w:szCs w:val="21"/>
              </w:rPr>
              <w:t>本</w:t>
            </w:r>
            <w:r>
              <w:rPr>
                <w:rFonts w:hint="eastAsia" w:ascii="Times New Roman" w:hAnsi="Times New Roman" w:cs="Times New Roman"/>
                <w:b/>
                <w:bCs/>
                <w:color w:val="auto"/>
                <w:spacing w:val="4"/>
                <w:sz w:val="21"/>
                <w:szCs w:val="21"/>
                <w:lang w:val="en-US" w:eastAsia="zh-CN"/>
              </w:rPr>
              <w:t>工程</w:t>
            </w:r>
          </w:p>
        </w:tc>
      </w:tr>
      <w:tr w14:paraId="09B7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noWrap w:val="0"/>
            <w:vAlign w:val="center"/>
          </w:tcPr>
          <w:p w14:paraId="44E560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一级指标</w:t>
            </w:r>
          </w:p>
        </w:tc>
        <w:tc>
          <w:tcPr>
            <w:tcW w:w="1118" w:type="dxa"/>
            <w:noWrap w:val="0"/>
            <w:vAlign w:val="center"/>
          </w:tcPr>
          <w:p w14:paraId="2894AD8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权重值</w:t>
            </w:r>
          </w:p>
        </w:tc>
        <w:tc>
          <w:tcPr>
            <w:tcW w:w="2469" w:type="dxa"/>
            <w:gridSpan w:val="3"/>
            <w:noWrap w:val="0"/>
            <w:vAlign w:val="center"/>
          </w:tcPr>
          <w:p w14:paraId="238505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二级指标</w:t>
            </w:r>
          </w:p>
        </w:tc>
        <w:tc>
          <w:tcPr>
            <w:tcW w:w="1423" w:type="dxa"/>
            <w:noWrap w:val="0"/>
            <w:vAlign w:val="center"/>
          </w:tcPr>
          <w:p w14:paraId="56EE2E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单位</w:t>
            </w:r>
          </w:p>
        </w:tc>
        <w:tc>
          <w:tcPr>
            <w:tcW w:w="1175" w:type="dxa"/>
            <w:gridSpan w:val="2"/>
            <w:noWrap w:val="0"/>
            <w:vAlign w:val="center"/>
          </w:tcPr>
          <w:p w14:paraId="670651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权重分值</w:t>
            </w:r>
          </w:p>
        </w:tc>
        <w:tc>
          <w:tcPr>
            <w:tcW w:w="3316" w:type="dxa"/>
            <w:gridSpan w:val="2"/>
            <w:noWrap w:val="0"/>
            <w:vAlign w:val="center"/>
          </w:tcPr>
          <w:p w14:paraId="090E86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评价基准值</w:t>
            </w:r>
          </w:p>
        </w:tc>
        <w:tc>
          <w:tcPr>
            <w:tcW w:w="1235" w:type="dxa"/>
            <w:gridSpan w:val="2"/>
            <w:noWrap w:val="0"/>
            <w:vAlign w:val="center"/>
          </w:tcPr>
          <w:p w14:paraId="1C1A45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估算值</w:t>
            </w:r>
          </w:p>
        </w:tc>
        <w:tc>
          <w:tcPr>
            <w:tcW w:w="826" w:type="dxa"/>
            <w:noWrap w:val="0"/>
            <w:vAlign w:val="center"/>
          </w:tcPr>
          <w:p w14:paraId="0E87701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评分</w:t>
            </w:r>
          </w:p>
        </w:tc>
      </w:tr>
      <w:tr w14:paraId="2A33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noWrap w:val="0"/>
            <w:vAlign w:val="center"/>
          </w:tcPr>
          <w:p w14:paraId="3746696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（1）资源和能源消耗指标</w:t>
            </w:r>
          </w:p>
        </w:tc>
        <w:tc>
          <w:tcPr>
            <w:tcW w:w="1118" w:type="dxa"/>
            <w:noWrap w:val="0"/>
            <w:vAlign w:val="center"/>
          </w:tcPr>
          <w:p w14:paraId="2686D7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30</w:t>
            </w:r>
          </w:p>
        </w:tc>
        <w:tc>
          <w:tcPr>
            <w:tcW w:w="2469" w:type="dxa"/>
            <w:gridSpan w:val="3"/>
            <w:noWrap w:val="0"/>
            <w:vAlign w:val="center"/>
          </w:tcPr>
          <w:p w14:paraId="05D2067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综合能耗</w:t>
            </w:r>
          </w:p>
        </w:tc>
        <w:tc>
          <w:tcPr>
            <w:tcW w:w="1423" w:type="dxa"/>
            <w:noWrap w:val="0"/>
            <w:vAlign w:val="center"/>
          </w:tcPr>
          <w:p w14:paraId="12EBD5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kg标煤/t采出液</w:t>
            </w:r>
          </w:p>
        </w:tc>
        <w:tc>
          <w:tcPr>
            <w:tcW w:w="1175" w:type="dxa"/>
            <w:gridSpan w:val="2"/>
            <w:noWrap w:val="0"/>
            <w:vAlign w:val="center"/>
          </w:tcPr>
          <w:p w14:paraId="47274FE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30</w:t>
            </w:r>
          </w:p>
        </w:tc>
        <w:tc>
          <w:tcPr>
            <w:tcW w:w="3316" w:type="dxa"/>
            <w:gridSpan w:val="2"/>
            <w:noWrap w:val="0"/>
            <w:vAlign w:val="center"/>
          </w:tcPr>
          <w:p w14:paraId="256B08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稀油：≤65  稠油：≤160</w:t>
            </w:r>
          </w:p>
          <w:p w14:paraId="595BF3C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天然气：≤50</w:t>
            </w:r>
          </w:p>
        </w:tc>
        <w:tc>
          <w:tcPr>
            <w:tcW w:w="1235" w:type="dxa"/>
            <w:gridSpan w:val="2"/>
            <w:noWrap w:val="0"/>
            <w:vAlign w:val="center"/>
          </w:tcPr>
          <w:p w14:paraId="7214245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40</w:t>
            </w:r>
          </w:p>
        </w:tc>
        <w:tc>
          <w:tcPr>
            <w:tcW w:w="826" w:type="dxa"/>
            <w:noWrap w:val="0"/>
            <w:vAlign w:val="center"/>
          </w:tcPr>
          <w:p w14:paraId="6E4A25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30</w:t>
            </w:r>
          </w:p>
        </w:tc>
      </w:tr>
      <w:tr w14:paraId="5DA2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restart"/>
            <w:noWrap w:val="0"/>
            <w:vAlign w:val="center"/>
          </w:tcPr>
          <w:p w14:paraId="202ABBE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（2）资源综合利用指标</w:t>
            </w:r>
          </w:p>
        </w:tc>
        <w:tc>
          <w:tcPr>
            <w:tcW w:w="1118" w:type="dxa"/>
            <w:vMerge w:val="restart"/>
            <w:noWrap w:val="0"/>
            <w:vAlign w:val="center"/>
          </w:tcPr>
          <w:p w14:paraId="636C27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30</w:t>
            </w:r>
          </w:p>
        </w:tc>
        <w:tc>
          <w:tcPr>
            <w:tcW w:w="2469" w:type="dxa"/>
            <w:gridSpan w:val="3"/>
            <w:noWrap w:val="0"/>
            <w:vAlign w:val="center"/>
          </w:tcPr>
          <w:p w14:paraId="7E8511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余热利用率</w:t>
            </w:r>
          </w:p>
        </w:tc>
        <w:tc>
          <w:tcPr>
            <w:tcW w:w="1423" w:type="dxa"/>
            <w:noWrap w:val="0"/>
            <w:vAlign w:val="center"/>
          </w:tcPr>
          <w:p w14:paraId="5B86A5B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1175" w:type="dxa"/>
            <w:gridSpan w:val="2"/>
            <w:noWrap w:val="0"/>
            <w:vAlign w:val="center"/>
          </w:tcPr>
          <w:p w14:paraId="3182EB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3316" w:type="dxa"/>
            <w:gridSpan w:val="2"/>
            <w:noWrap w:val="0"/>
            <w:vAlign w:val="center"/>
          </w:tcPr>
          <w:p w14:paraId="77C69D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≥60</w:t>
            </w:r>
          </w:p>
        </w:tc>
        <w:tc>
          <w:tcPr>
            <w:tcW w:w="1235" w:type="dxa"/>
            <w:gridSpan w:val="2"/>
            <w:noWrap w:val="0"/>
            <w:vAlign w:val="center"/>
          </w:tcPr>
          <w:p w14:paraId="10415BE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100</w:t>
            </w:r>
          </w:p>
        </w:tc>
        <w:tc>
          <w:tcPr>
            <w:tcW w:w="826" w:type="dxa"/>
            <w:noWrap w:val="0"/>
            <w:vAlign w:val="center"/>
          </w:tcPr>
          <w:p w14:paraId="13E3A43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4"/>
                <w:sz w:val="21"/>
                <w:szCs w:val="21"/>
                <w:lang w:eastAsia="zh-CN"/>
              </w:rPr>
            </w:pPr>
            <w:r>
              <w:rPr>
                <w:rFonts w:hint="eastAsia" w:ascii="Times New Roman" w:hAnsi="Times New Roman" w:cs="Times New Roman"/>
                <w:color w:val="auto"/>
                <w:spacing w:val="4"/>
                <w:sz w:val="21"/>
                <w:szCs w:val="21"/>
                <w:lang w:val="en-US" w:eastAsia="zh-CN"/>
              </w:rPr>
              <w:t>0</w:t>
            </w:r>
          </w:p>
        </w:tc>
      </w:tr>
      <w:tr w14:paraId="1984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5695B35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118" w:type="dxa"/>
            <w:vMerge w:val="continue"/>
            <w:noWrap w:val="0"/>
            <w:vAlign w:val="center"/>
          </w:tcPr>
          <w:p w14:paraId="703CC08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2469" w:type="dxa"/>
            <w:gridSpan w:val="3"/>
            <w:noWrap w:val="0"/>
            <w:vAlign w:val="center"/>
          </w:tcPr>
          <w:p w14:paraId="1B9309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油井伴生气回收利用率</w:t>
            </w:r>
          </w:p>
        </w:tc>
        <w:tc>
          <w:tcPr>
            <w:tcW w:w="1423" w:type="dxa"/>
            <w:noWrap w:val="0"/>
            <w:vAlign w:val="center"/>
          </w:tcPr>
          <w:p w14:paraId="3DA6BEF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1175" w:type="dxa"/>
            <w:gridSpan w:val="2"/>
            <w:noWrap w:val="0"/>
            <w:vAlign w:val="center"/>
          </w:tcPr>
          <w:p w14:paraId="0D0C3D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3316" w:type="dxa"/>
            <w:gridSpan w:val="2"/>
            <w:noWrap w:val="0"/>
            <w:vAlign w:val="center"/>
          </w:tcPr>
          <w:p w14:paraId="5E9E292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≥80</w:t>
            </w:r>
          </w:p>
        </w:tc>
        <w:tc>
          <w:tcPr>
            <w:tcW w:w="1235" w:type="dxa"/>
            <w:gridSpan w:val="2"/>
            <w:noWrap w:val="0"/>
            <w:vAlign w:val="center"/>
          </w:tcPr>
          <w:p w14:paraId="3068BD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100</w:t>
            </w:r>
          </w:p>
        </w:tc>
        <w:tc>
          <w:tcPr>
            <w:tcW w:w="826" w:type="dxa"/>
            <w:noWrap w:val="0"/>
            <w:vAlign w:val="center"/>
          </w:tcPr>
          <w:p w14:paraId="1C1546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r>
      <w:tr w14:paraId="73D7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360F50D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118" w:type="dxa"/>
            <w:vMerge w:val="continue"/>
            <w:noWrap w:val="0"/>
            <w:vAlign w:val="center"/>
          </w:tcPr>
          <w:p w14:paraId="3F94313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2469" w:type="dxa"/>
            <w:gridSpan w:val="3"/>
            <w:noWrap w:val="0"/>
            <w:vAlign w:val="center"/>
          </w:tcPr>
          <w:p w14:paraId="34BDBBB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含油污泥资源化利用率</w:t>
            </w:r>
          </w:p>
        </w:tc>
        <w:tc>
          <w:tcPr>
            <w:tcW w:w="1423" w:type="dxa"/>
            <w:noWrap w:val="0"/>
            <w:vAlign w:val="center"/>
          </w:tcPr>
          <w:p w14:paraId="734B04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1175" w:type="dxa"/>
            <w:gridSpan w:val="2"/>
            <w:noWrap w:val="0"/>
            <w:vAlign w:val="center"/>
          </w:tcPr>
          <w:p w14:paraId="57379B1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3316" w:type="dxa"/>
            <w:gridSpan w:val="2"/>
            <w:noWrap w:val="0"/>
            <w:vAlign w:val="center"/>
          </w:tcPr>
          <w:p w14:paraId="49F373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≥90</w:t>
            </w:r>
          </w:p>
        </w:tc>
        <w:tc>
          <w:tcPr>
            <w:tcW w:w="1235" w:type="dxa"/>
            <w:gridSpan w:val="2"/>
            <w:noWrap w:val="0"/>
            <w:vAlign w:val="center"/>
          </w:tcPr>
          <w:p w14:paraId="26415DF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100</w:t>
            </w:r>
          </w:p>
        </w:tc>
        <w:tc>
          <w:tcPr>
            <w:tcW w:w="826" w:type="dxa"/>
            <w:noWrap w:val="0"/>
            <w:vAlign w:val="center"/>
          </w:tcPr>
          <w:p w14:paraId="51032DA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r>
      <w:tr w14:paraId="2281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restart"/>
            <w:noWrap w:val="0"/>
            <w:vAlign w:val="center"/>
          </w:tcPr>
          <w:p w14:paraId="4823C1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（3）污染物产生指标</w:t>
            </w:r>
          </w:p>
        </w:tc>
        <w:tc>
          <w:tcPr>
            <w:tcW w:w="1118" w:type="dxa"/>
            <w:vMerge w:val="restart"/>
            <w:noWrap w:val="0"/>
            <w:vAlign w:val="center"/>
          </w:tcPr>
          <w:p w14:paraId="2352420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40</w:t>
            </w:r>
          </w:p>
        </w:tc>
        <w:tc>
          <w:tcPr>
            <w:tcW w:w="2469" w:type="dxa"/>
            <w:gridSpan w:val="3"/>
            <w:noWrap w:val="0"/>
            <w:vAlign w:val="center"/>
          </w:tcPr>
          <w:p w14:paraId="40A0CF3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石油类</w:t>
            </w:r>
          </w:p>
        </w:tc>
        <w:tc>
          <w:tcPr>
            <w:tcW w:w="1423" w:type="dxa"/>
            <w:noWrap w:val="0"/>
            <w:vAlign w:val="center"/>
          </w:tcPr>
          <w:p w14:paraId="31167B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1175" w:type="dxa"/>
            <w:gridSpan w:val="2"/>
            <w:noWrap w:val="0"/>
            <w:vAlign w:val="center"/>
          </w:tcPr>
          <w:p w14:paraId="60CFE2B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c>
          <w:tcPr>
            <w:tcW w:w="3316" w:type="dxa"/>
            <w:gridSpan w:val="2"/>
            <w:noWrap w:val="0"/>
            <w:vAlign w:val="center"/>
          </w:tcPr>
          <w:p w14:paraId="7696194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1235" w:type="dxa"/>
            <w:gridSpan w:val="2"/>
            <w:noWrap w:val="0"/>
            <w:vAlign w:val="center"/>
          </w:tcPr>
          <w:p w14:paraId="0CD4963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5</w:t>
            </w:r>
          </w:p>
        </w:tc>
        <w:tc>
          <w:tcPr>
            <w:tcW w:w="826" w:type="dxa"/>
            <w:noWrap w:val="0"/>
            <w:vAlign w:val="center"/>
          </w:tcPr>
          <w:p w14:paraId="51C0B66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4"/>
                <w:sz w:val="21"/>
                <w:szCs w:val="21"/>
                <w:lang w:eastAsia="zh-CN"/>
              </w:rPr>
            </w:pPr>
            <w:r>
              <w:rPr>
                <w:rFonts w:hint="eastAsia" w:ascii="Times New Roman" w:hAnsi="Times New Roman" w:cs="Times New Roman"/>
                <w:color w:val="auto"/>
                <w:spacing w:val="4"/>
                <w:sz w:val="21"/>
                <w:szCs w:val="21"/>
                <w:lang w:val="en-US" w:eastAsia="zh-CN"/>
              </w:rPr>
              <w:t>5</w:t>
            </w:r>
          </w:p>
        </w:tc>
      </w:tr>
      <w:tr w14:paraId="7D19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377F474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118" w:type="dxa"/>
            <w:vMerge w:val="continue"/>
            <w:noWrap w:val="0"/>
            <w:vAlign w:val="center"/>
          </w:tcPr>
          <w:p w14:paraId="504F237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2469" w:type="dxa"/>
            <w:gridSpan w:val="3"/>
            <w:noWrap w:val="0"/>
            <w:vAlign w:val="center"/>
          </w:tcPr>
          <w:p w14:paraId="0CB3CE8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COD</w:t>
            </w:r>
          </w:p>
        </w:tc>
        <w:tc>
          <w:tcPr>
            <w:tcW w:w="1423" w:type="dxa"/>
            <w:noWrap w:val="0"/>
            <w:vAlign w:val="center"/>
          </w:tcPr>
          <w:p w14:paraId="0C9356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1175" w:type="dxa"/>
            <w:gridSpan w:val="2"/>
            <w:noWrap w:val="0"/>
            <w:vAlign w:val="center"/>
          </w:tcPr>
          <w:p w14:paraId="6C7B90E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c>
          <w:tcPr>
            <w:tcW w:w="3316" w:type="dxa"/>
            <w:gridSpan w:val="2"/>
            <w:noWrap w:val="0"/>
            <w:vAlign w:val="center"/>
          </w:tcPr>
          <w:p w14:paraId="055C50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甲类区：≤100；乙类区：≤150</w:t>
            </w:r>
          </w:p>
        </w:tc>
        <w:tc>
          <w:tcPr>
            <w:tcW w:w="1235" w:type="dxa"/>
            <w:gridSpan w:val="2"/>
            <w:noWrap w:val="0"/>
            <w:vAlign w:val="center"/>
          </w:tcPr>
          <w:p w14:paraId="68920F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1000~2000</w:t>
            </w:r>
          </w:p>
        </w:tc>
        <w:tc>
          <w:tcPr>
            <w:tcW w:w="826" w:type="dxa"/>
            <w:noWrap w:val="0"/>
            <w:vAlign w:val="center"/>
          </w:tcPr>
          <w:p w14:paraId="408F9F3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4"/>
                <w:sz w:val="21"/>
                <w:szCs w:val="21"/>
                <w:lang w:eastAsia="zh-CN"/>
              </w:rPr>
            </w:pPr>
            <w:r>
              <w:rPr>
                <w:rFonts w:hint="eastAsia" w:ascii="Times New Roman" w:hAnsi="Times New Roman" w:cs="Times New Roman"/>
                <w:color w:val="auto"/>
                <w:spacing w:val="4"/>
                <w:sz w:val="21"/>
                <w:szCs w:val="21"/>
                <w:lang w:val="en-US" w:eastAsia="zh-CN"/>
              </w:rPr>
              <w:t>0</w:t>
            </w:r>
          </w:p>
        </w:tc>
      </w:tr>
      <w:tr w14:paraId="2F7D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7B56B82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118" w:type="dxa"/>
            <w:vMerge w:val="continue"/>
            <w:noWrap w:val="0"/>
            <w:vAlign w:val="center"/>
          </w:tcPr>
          <w:p w14:paraId="682E70C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2469" w:type="dxa"/>
            <w:gridSpan w:val="3"/>
            <w:noWrap w:val="0"/>
            <w:vAlign w:val="center"/>
          </w:tcPr>
          <w:p w14:paraId="340AAD2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落地原油回收利用率</w:t>
            </w:r>
          </w:p>
        </w:tc>
        <w:tc>
          <w:tcPr>
            <w:tcW w:w="1423" w:type="dxa"/>
            <w:noWrap w:val="0"/>
            <w:vAlign w:val="center"/>
          </w:tcPr>
          <w:p w14:paraId="548B69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1175" w:type="dxa"/>
            <w:gridSpan w:val="2"/>
            <w:noWrap w:val="0"/>
            <w:vAlign w:val="center"/>
          </w:tcPr>
          <w:p w14:paraId="2A027E2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3316" w:type="dxa"/>
            <w:gridSpan w:val="2"/>
            <w:noWrap w:val="0"/>
            <w:vAlign w:val="center"/>
          </w:tcPr>
          <w:p w14:paraId="7B97E0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100</w:t>
            </w:r>
          </w:p>
        </w:tc>
        <w:tc>
          <w:tcPr>
            <w:tcW w:w="1235" w:type="dxa"/>
            <w:gridSpan w:val="2"/>
            <w:noWrap w:val="0"/>
            <w:vAlign w:val="center"/>
          </w:tcPr>
          <w:p w14:paraId="469F5D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100</w:t>
            </w:r>
          </w:p>
        </w:tc>
        <w:tc>
          <w:tcPr>
            <w:tcW w:w="826" w:type="dxa"/>
            <w:noWrap w:val="0"/>
            <w:vAlign w:val="center"/>
          </w:tcPr>
          <w:p w14:paraId="15BD23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r>
      <w:tr w14:paraId="3A93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4CF2EC3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118" w:type="dxa"/>
            <w:vMerge w:val="continue"/>
            <w:noWrap w:val="0"/>
            <w:vAlign w:val="center"/>
          </w:tcPr>
          <w:p w14:paraId="34BDA6B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2469" w:type="dxa"/>
            <w:gridSpan w:val="3"/>
            <w:noWrap w:val="0"/>
            <w:vAlign w:val="center"/>
          </w:tcPr>
          <w:p w14:paraId="77A7A3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采油废水回用率</w:t>
            </w:r>
          </w:p>
        </w:tc>
        <w:tc>
          <w:tcPr>
            <w:tcW w:w="1423" w:type="dxa"/>
            <w:noWrap w:val="0"/>
            <w:vAlign w:val="center"/>
          </w:tcPr>
          <w:p w14:paraId="469C2E1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1175" w:type="dxa"/>
            <w:gridSpan w:val="2"/>
            <w:noWrap w:val="0"/>
            <w:vAlign w:val="center"/>
          </w:tcPr>
          <w:p w14:paraId="7FCBA77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3316" w:type="dxa"/>
            <w:gridSpan w:val="2"/>
            <w:noWrap w:val="0"/>
            <w:vAlign w:val="center"/>
          </w:tcPr>
          <w:p w14:paraId="44D92B3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≥60</w:t>
            </w:r>
          </w:p>
        </w:tc>
        <w:tc>
          <w:tcPr>
            <w:tcW w:w="1235" w:type="dxa"/>
            <w:gridSpan w:val="2"/>
            <w:noWrap w:val="0"/>
            <w:vAlign w:val="center"/>
          </w:tcPr>
          <w:p w14:paraId="104D63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100</w:t>
            </w:r>
          </w:p>
        </w:tc>
        <w:tc>
          <w:tcPr>
            <w:tcW w:w="826" w:type="dxa"/>
            <w:noWrap w:val="0"/>
            <w:vAlign w:val="center"/>
          </w:tcPr>
          <w:p w14:paraId="39034B3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r>
      <w:tr w14:paraId="2312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2DE6399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118" w:type="dxa"/>
            <w:vMerge w:val="continue"/>
            <w:noWrap w:val="0"/>
            <w:vAlign w:val="center"/>
          </w:tcPr>
          <w:p w14:paraId="7F3C934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2469" w:type="dxa"/>
            <w:gridSpan w:val="3"/>
            <w:noWrap w:val="0"/>
            <w:vAlign w:val="center"/>
          </w:tcPr>
          <w:p w14:paraId="57BDF32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油井伴生气外排率</w:t>
            </w:r>
          </w:p>
        </w:tc>
        <w:tc>
          <w:tcPr>
            <w:tcW w:w="1423" w:type="dxa"/>
            <w:noWrap w:val="0"/>
            <w:vAlign w:val="center"/>
          </w:tcPr>
          <w:p w14:paraId="58606A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1175" w:type="dxa"/>
            <w:gridSpan w:val="2"/>
            <w:noWrap w:val="0"/>
            <w:vAlign w:val="center"/>
          </w:tcPr>
          <w:p w14:paraId="2D06BE3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3316" w:type="dxa"/>
            <w:gridSpan w:val="2"/>
            <w:noWrap w:val="0"/>
            <w:vAlign w:val="center"/>
          </w:tcPr>
          <w:p w14:paraId="0B7FA7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w:t>
            </w:r>
          </w:p>
        </w:tc>
        <w:tc>
          <w:tcPr>
            <w:tcW w:w="1235" w:type="dxa"/>
            <w:gridSpan w:val="2"/>
            <w:noWrap w:val="0"/>
            <w:vAlign w:val="center"/>
          </w:tcPr>
          <w:p w14:paraId="1ED26A3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rPr>
              <w:t>0</w:t>
            </w:r>
            <w:r>
              <w:rPr>
                <w:rFonts w:hint="eastAsia" w:ascii="Times New Roman" w:hAnsi="Times New Roman" w:cs="Times New Roman"/>
                <w:color w:val="auto"/>
                <w:spacing w:val="4"/>
                <w:sz w:val="21"/>
                <w:szCs w:val="21"/>
                <w:lang w:val="en-US" w:eastAsia="zh-CN"/>
              </w:rPr>
              <w:t>.2</w:t>
            </w:r>
          </w:p>
        </w:tc>
        <w:tc>
          <w:tcPr>
            <w:tcW w:w="826" w:type="dxa"/>
            <w:noWrap w:val="0"/>
            <w:vAlign w:val="center"/>
          </w:tcPr>
          <w:p w14:paraId="7DBCD2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r>
      <w:tr w14:paraId="405D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878" w:type="dxa"/>
            <w:gridSpan w:val="13"/>
            <w:noWrap w:val="0"/>
            <w:vAlign w:val="center"/>
          </w:tcPr>
          <w:p w14:paraId="6AFE7CE3">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定性指标</w:t>
            </w:r>
          </w:p>
        </w:tc>
      </w:tr>
      <w:tr w14:paraId="721D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noWrap w:val="0"/>
            <w:vAlign w:val="center"/>
          </w:tcPr>
          <w:p w14:paraId="0C49397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一级指标</w:t>
            </w:r>
          </w:p>
        </w:tc>
        <w:tc>
          <w:tcPr>
            <w:tcW w:w="1364" w:type="dxa"/>
            <w:gridSpan w:val="2"/>
            <w:noWrap w:val="0"/>
            <w:vAlign w:val="center"/>
          </w:tcPr>
          <w:p w14:paraId="296324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指标分值</w:t>
            </w:r>
          </w:p>
        </w:tc>
        <w:tc>
          <w:tcPr>
            <w:tcW w:w="7719" w:type="dxa"/>
            <w:gridSpan w:val="6"/>
            <w:noWrap w:val="0"/>
            <w:vAlign w:val="center"/>
          </w:tcPr>
          <w:p w14:paraId="07099BA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二级指标</w:t>
            </w:r>
          </w:p>
        </w:tc>
        <w:tc>
          <w:tcPr>
            <w:tcW w:w="1102" w:type="dxa"/>
            <w:gridSpan w:val="2"/>
            <w:noWrap w:val="0"/>
            <w:vAlign w:val="center"/>
          </w:tcPr>
          <w:p w14:paraId="7E9B1B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指标分值</w:t>
            </w:r>
          </w:p>
        </w:tc>
        <w:tc>
          <w:tcPr>
            <w:tcW w:w="1377" w:type="dxa"/>
            <w:gridSpan w:val="2"/>
            <w:noWrap w:val="0"/>
            <w:vAlign w:val="center"/>
          </w:tcPr>
          <w:p w14:paraId="455DD5F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本</w:t>
            </w:r>
            <w:r>
              <w:rPr>
                <w:rFonts w:hint="eastAsia" w:ascii="Times New Roman" w:hAnsi="Times New Roman" w:cs="Times New Roman"/>
                <w:color w:val="auto"/>
                <w:spacing w:val="4"/>
                <w:sz w:val="21"/>
                <w:szCs w:val="21"/>
                <w:lang w:val="en-US" w:eastAsia="zh-CN"/>
              </w:rPr>
              <w:t>工程</w:t>
            </w:r>
            <w:r>
              <w:rPr>
                <w:rFonts w:hint="default" w:ascii="Times New Roman" w:hAnsi="Times New Roman" w:cs="Times New Roman"/>
                <w:color w:val="auto"/>
                <w:spacing w:val="4"/>
                <w:sz w:val="21"/>
                <w:szCs w:val="21"/>
              </w:rPr>
              <w:t>评分</w:t>
            </w:r>
          </w:p>
        </w:tc>
      </w:tr>
      <w:tr w14:paraId="48CF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restart"/>
            <w:noWrap w:val="0"/>
            <w:vAlign w:val="center"/>
          </w:tcPr>
          <w:p w14:paraId="530BED1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（1）生产工艺及设备要求</w:t>
            </w:r>
          </w:p>
        </w:tc>
        <w:tc>
          <w:tcPr>
            <w:tcW w:w="1364" w:type="dxa"/>
            <w:gridSpan w:val="2"/>
            <w:vMerge w:val="restart"/>
            <w:noWrap w:val="0"/>
            <w:vAlign w:val="center"/>
          </w:tcPr>
          <w:p w14:paraId="7C86678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45</w:t>
            </w:r>
          </w:p>
        </w:tc>
        <w:tc>
          <w:tcPr>
            <w:tcW w:w="4821" w:type="dxa"/>
            <w:gridSpan w:val="5"/>
            <w:noWrap w:val="0"/>
            <w:vAlign w:val="center"/>
          </w:tcPr>
          <w:p w14:paraId="1B10450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井筒质量</w:t>
            </w:r>
          </w:p>
        </w:tc>
        <w:tc>
          <w:tcPr>
            <w:tcW w:w="2898" w:type="dxa"/>
            <w:noWrap w:val="0"/>
            <w:vAlign w:val="center"/>
          </w:tcPr>
          <w:p w14:paraId="6CF477D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井筒设施完好</w:t>
            </w:r>
          </w:p>
        </w:tc>
        <w:tc>
          <w:tcPr>
            <w:tcW w:w="1102" w:type="dxa"/>
            <w:gridSpan w:val="2"/>
            <w:noWrap w:val="0"/>
            <w:vAlign w:val="center"/>
          </w:tcPr>
          <w:p w14:paraId="32A2B1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c>
          <w:tcPr>
            <w:tcW w:w="1377" w:type="dxa"/>
            <w:gridSpan w:val="2"/>
            <w:noWrap w:val="0"/>
            <w:vAlign w:val="center"/>
          </w:tcPr>
          <w:p w14:paraId="1CAB83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r>
      <w:tr w14:paraId="22DC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7FAE81C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364" w:type="dxa"/>
            <w:gridSpan w:val="2"/>
            <w:vMerge w:val="continue"/>
            <w:noWrap w:val="0"/>
            <w:vAlign w:val="center"/>
          </w:tcPr>
          <w:p w14:paraId="1AC0DCD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573" w:type="dxa"/>
            <w:vMerge w:val="restart"/>
            <w:noWrap w:val="0"/>
            <w:vAlign w:val="center"/>
          </w:tcPr>
          <w:p w14:paraId="0D46B7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采气</w:t>
            </w:r>
          </w:p>
        </w:tc>
        <w:tc>
          <w:tcPr>
            <w:tcW w:w="3073" w:type="dxa"/>
            <w:gridSpan w:val="2"/>
            <w:noWrap w:val="0"/>
            <w:vAlign w:val="center"/>
          </w:tcPr>
          <w:p w14:paraId="4B3B86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538" w:type="dxa"/>
            <w:noWrap w:val="0"/>
            <w:vAlign w:val="center"/>
          </w:tcPr>
          <w:p w14:paraId="0B3C827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637" w:type="dxa"/>
            <w:vMerge w:val="restart"/>
            <w:noWrap w:val="0"/>
            <w:vAlign w:val="center"/>
          </w:tcPr>
          <w:p w14:paraId="1B8D220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采油</w:t>
            </w:r>
          </w:p>
        </w:tc>
        <w:tc>
          <w:tcPr>
            <w:tcW w:w="2898" w:type="dxa"/>
            <w:noWrap w:val="0"/>
            <w:vAlign w:val="center"/>
          </w:tcPr>
          <w:p w14:paraId="50F519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套管气回收装置</w:t>
            </w:r>
          </w:p>
        </w:tc>
        <w:tc>
          <w:tcPr>
            <w:tcW w:w="1102" w:type="dxa"/>
            <w:gridSpan w:val="2"/>
            <w:noWrap w:val="0"/>
            <w:vAlign w:val="center"/>
          </w:tcPr>
          <w:p w14:paraId="14E2023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1377" w:type="dxa"/>
            <w:gridSpan w:val="2"/>
            <w:noWrap w:val="0"/>
            <w:vAlign w:val="center"/>
          </w:tcPr>
          <w:p w14:paraId="5F871EF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r>
      <w:tr w14:paraId="24E0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6B1B417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364" w:type="dxa"/>
            <w:gridSpan w:val="2"/>
            <w:vMerge w:val="continue"/>
            <w:noWrap w:val="0"/>
            <w:vAlign w:val="center"/>
          </w:tcPr>
          <w:p w14:paraId="52DE434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573" w:type="dxa"/>
            <w:vMerge w:val="continue"/>
            <w:noWrap w:val="0"/>
            <w:vAlign w:val="center"/>
          </w:tcPr>
          <w:p w14:paraId="0EE6CA3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3073" w:type="dxa"/>
            <w:gridSpan w:val="2"/>
            <w:noWrap w:val="0"/>
            <w:vAlign w:val="center"/>
          </w:tcPr>
          <w:p w14:paraId="59FBE5A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w:t>
            </w:r>
          </w:p>
        </w:tc>
        <w:tc>
          <w:tcPr>
            <w:tcW w:w="538" w:type="dxa"/>
            <w:noWrap w:val="0"/>
            <w:vAlign w:val="center"/>
          </w:tcPr>
          <w:p w14:paraId="24417A0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w:t>
            </w:r>
          </w:p>
        </w:tc>
        <w:tc>
          <w:tcPr>
            <w:tcW w:w="637" w:type="dxa"/>
            <w:vMerge w:val="continue"/>
            <w:noWrap w:val="0"/>
            <w:vAlign w:val="center"/>
          </w:tcPr>
          <w:p w14:paraId="02BAD7D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2898" w:type="dxa"/>
            <w:noWrap w:val="0"/>
            <w:vAlign w:val="center"/>
          </w:tcPr>
          <w:p w14:paraId="0203FD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防止落地原油产生措施</w:t>
            </w:r>
          </w:p>
        </w:tc>
        <w:tc>
          <w:tcPr>
            <w:tcW w:w="1102" w:type="dxa"/>
            <w:gridSpan w:val="2"/>
            <w:noWrap w:val="0"/>
            <w:vAlign w:val="center"/>
          </w:tcPr>
          <w:p w14:paraId="123F46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w:t>
            </w:r>
          </w:p>
        </w:tc>
        <w:tc>
          <w:tcPr>
            <w:tcW w:w="1377" w:type="dxa"/>
            <w:gridSpan w:val="2"/>
            <w:noWrap w:val="0"/>
            <w:vAlign w:val="center"/>
          </w:tcPr>
          <w:p w14:paraId="1451B7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w:t>
            </w:r>
          </w:p>
        </w:tc>
      </w:tr>
      <w:tr w14:paraId="346D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67BD262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364" w:type="dxa"/>
            <w:gridSpan w:val="2"/>
            <w:vMerge w:val="continue"/>
            <w:noWrap w:val="0"/>
            <w:vAlign w:val="center"/>
          </w:tcPr>
          <w:p w14:paraId="0DAAA9A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4821" w:type="dxa"/>
            <w:gridSpan w:val="5"/>
            <w:noWrap w:val="0"/>
            <w:vAlign w:val="center"/>
          </w:tcPr>
          <w:p w14:paraId="205DD6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采油方式</w:t>
            </w:r>
          </w:p>
        </w:tc>
        <w:tc>
          <w:tcPr>
            <w:tcW w:w="2898" w:type="dxa"/>
            <w:noWrap w:val="0"/>
            <w:vAlign w:val="center"/>
          </w:tcPr>
          <w:p w14:paraId="0B995D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采油方式经过综合评价确定</w:t>
            </w:r>
          </w:p>
        </w:tc>
        <w:tc>
          <w:tcPr>
            <w:tcW w:w="1102" w:type="dxa"/>
            <w:gridSpan w:val="2"/>
            <w:noWrap w:val="0"/>
            <w:vAlign w:val="center"/>
          </w:tcPr>
          <w:p w14:paraId="676010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1377" w:type="dxa"/>
            <w:gridSpan w:val="2"/>
            <w:noWrap w:val="0"/>
            <w:vAlign w:val="center"/>
          </w:tcPr>
          <w:p w14:paraId="3A8B79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r>
      <w:tr w14:paraId="7A22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2164384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364" w:type="dxa"/>
            <w:gridSpan w:val="2"/>
            <w:vMerge w:val="continue"/>
            <w:noWrap w:val="0"/>
            <w:vAlign w:val="center"/>
          </w:tcPr>
          <w:p w14:paraId="4B33DD0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4821" w:type="dxa"/>
            <w:gridSpan w:val="5"/>
            <w:noWrap w:val="0"/>
            <w:vAlign w:val="center"/>
          </w:tcPr>
          <w:p w14:paraId="09DD0B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集输流程</w:t>
            </w:r>
          </w:p>
        </w:tc>
        <w:tc>
          <w:tcPr>
            <w:tcW w:w="2898" w:type="dxa"/>
            <w:noWrap w:val="0"/>
            <w:vAlign w:val="center"/>
          </w:tcPr>
          <w:p w14:paraId="195E000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全密闭流程</w:t>
            </w:r>
          </w:p>
        </w:tc>
        <w:tc>
          <w:tcPr>
            <w:tcW w:w="1102" w:type="dxa"/>
            <w:gridSpan w:val="2"/>
            <w:noWrap w:val="0"/>
            <w:vAlign w:val="center"/>
          </w:tcPr>
          <w:p w14:paraId="4B395AB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1377" w:type="dxa"/>
            <w:gridSpan w:val="2"/>
            <w:noWrap w:val="0"/>
            <w:vAlign w:val="center"/>
          </w:tcPr>
          <w:p w14:paraId="6999E8F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r>
      <w:tr w14:paraId="57AB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restart"/>
            <w:noWrap w:val="0"/>
            <w:vAlign w:val="center"/>
          </w:tcPr>
          <w:p w14:paraId="78A9F84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（2）管理体系建设及</w:t>
            </w:r>
          </w:p>
          <w:p w14:paraId="70DB99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清洁生产审核</w:t>
            </w:r>
          </w:p>
        </w:tc>
        <w:tc>
          <w:tcPr>
            <w:tcW w:w="1364" w:type="dxa"/>
            <w:gridSpan w:val="2"/>
            <w:vMerge w:val="restart"/>
            <w:noWrap w:val="0"/>
            <w:vAlign w:val="center"/>
          </w:tcPr>
          <w:p w14:paraId="2EF4E3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35</w:t>
            </w:r>
          </w:p>
        </w:tc>
        <w:tc>
          <w:tcPr>
            <w:tcW w:w="7719" w:type="dxa"/>
            <w:gridSpan w:val="6"/>
            <w:noWrap w:val="0"/>
            <w:vAlign w:val="center"/>
          </w:tcPr>
          <w:p w14:paraId="75F9C33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建立HSE管理体系并通过验证</w:t>
            </w:r>
          </w:p>
        </w:tc>
        <w:tc>
          <w:tcPr>
            <w:tcW w:w="1102" w:type="dxa"/>
            <w:gridSpan w:val="2"/>
            <w:noWrap w:val="0"/>
            <w:vAlign w:val="center"/>
          </w:tcPr>
          <w:p w14:paraId="0296032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1377" w:type="dxa"/>
            <w:gridSpan w:val="2"/>
            <w:noWrap w:val="0"/>
            <w:vAlign w:val="center"/>
          </w:tcPr>
          <w:p w14:paraId="342E56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r>
      <w:tr w14:paraId="6900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42F9F88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364" w:type="dxa"/>
            <w:gridSpan w:val="2"/>
            <w:vMerge w:val="continue"/>
            <w:noWrap w:val="0"/>
            <w:vAlign w:val="center"/>
          </w:tcPr>
          <w:p w14:paraId="507689B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7719" w:type="dxa"/>
            <w:gridSpan w:val="6"/>
            <w:noWrap w:val="0"/>
            <w:vAlign w:val="center"/>
          </w:tcPr>
          <w:p w14:paraId="59C93AE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开展清洁生产审核</w:t>
            </w:r>
          </w:p>
        </w:tc>
        <w:tc>
          <w:tcPr>
            <w:tcW w:w="1102" w:type="dxa"/>
            <w:gridSpan w:val="2"/>
            <w:noWrap w:val="0"/>
            <w:vAlign w:val="center"/>
          </w:tcPr>
          <w:p w14:paraId="3B2EB0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w:t>
            </w:r>
          </w:p>
        </w:tc>
        <w:tc>
          <w:tcPr>
            <w:tcW w:w="1377" w:type="dxa"/>
            <w:gridSpan w:val="2"/>
            <w:noWrap w:val="0"/>
            <w:vAlign w:val="center"/>
          </w:tcPr>
          <w:p w14:paraId="7249CF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w:t>
            </w:r>
          </w:p>
        </w:tc>
      </w:tr>
      <w:tr w14:paraId="2223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3F50507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364" w:type="dxa"/>
            <w:gridSpan w:val="2"/>
            <w:vMerge w:val="continue"/>
            <w:noWrap w:val="0"/>
            <w:vAlign w:val="center"/>
          </w:tcPr>
          <w:p w14:paraId="40F8027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7719" w:type="dxa"/>
            <w:gridSpan w:val="6"/>
            <w:noWrap w:val="0"/>
            <w:vAlign w:val="center"/>
          </w:tcPr>
          <w:p w14:paraId="769E3B6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制定节能减排工作计划</w:t>
            </w:r>
          </w:p>
        </w:tc>
        <w:tc>
          <w:tcPr>
            <w:tcW w:w="1102" w:type="dxa"/>
            <w:gridSpan w:val="2"/>
            <w:noWrap w:val="0"/>
            <w:vAlign w:val="center"/>
          </w:tcPr>
          <w:p w14:paraId="689F811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c>
          <w:tcPr>
            <w:tcW w:w="1377" w:type="dxa"/>
            <w:gridSpan w:val="2"/>
            <w:noWrap w:val="0"/>
            <w:vAlign w:val="center"/>
          </w:tcPr>
          <w:p w14:paraId="08B5B24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r>
      <w:tr w14:paraId="2F79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restart"/>
            <w:noWrap w:val="0"/>
            <w:vAlign w:val="center"/>
          </w:tcPr>
          <w:p w14:paraId="63CF64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（3）环保政策法规执行情况</w:t>
            </w:r>
          </w:p>
        </w:tc>
        <w:tc>
          <w:tcPr>
            <w:tcW w:w="1364" w:type="dxa"/>
            <w:gridSpan w:val="2"/>
            <w:vMerge w:val="restart"/>
            <w:noWrap w:val="0"/>
            <w:vAlign w:val="center"/>
          </w:tcPr>
          <w:p w14:paraId="4982FD3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w:t>
            </w:r>
          </w:p>
        </w:tc>
        <w:tc>
          <w:tcPr>
            <w:tcW w:w="7719" w:type="dxa"/>
            <w:gridSpan w:val="6"/>
            <w:noWrap w:val="0"/>
            <w:vAlign w:val="center"/>
          </w:tcPr>
          <w:p w14:paraId="65A7EC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建设项</w:t>
            </w:r>
            <w:r>
              <w:rPr>
                <w:rFonts w:hint="eastAsia" w:ascii="宋体" w:hAnsi="宋体" w:eastAsia="宋体" w:cs="宋体"/>
                <w:color w:val="auto"/>
                <w:spacing w:val="4"/>
                <w:sz w:val="21"/>
                <w:szCs w:val="21"/>
              </w:rPr>
              <w:t>目“三同时”执</w:t>
            </w:r>
            <w:r>
              <w:rPr>
                <w:rFonts w:hint="default" w:ascii="Times New Roman" w:hAnsi="Times New Roman" w:cs="Times New Roman"/>
                <w:color w:val="auto"/>
                <w:spacing w:val="4"/>
                <w:sz w:val="21"/>
                <w:szCs w:val="21"/>
              </w:rPr>
              <w:t>行情况</w:t>
            </w:r>
          </w:p>
        </w:tc>
        <w:tc>
          <w:tcPr>
            <w:tcW w:w="1102" w:type="dxa"/>
            <w:gridSpan w:val="2"/>
            <w:noWrap w:val="0"/>
            <w:vAlign w:val="center"/>
          </w:tcPr>
          <w:p w14:paraId="56FBA28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c>
          <w:tcPr>
            <w:tcW w:w="1377" w:type="dxa"/>
            <w:gridSpan w:val="2"/>
            <w:noWrap w:val="0"/>
            <w:vAlign w:val="center"/>
          </w:tcPr>
          <w:p w14:paraId="72B45F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r>
      <w:tr w14:paraId="6DDE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564AF82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364" w:type="dxa"/>
            <w:gridSpan w:val="2"/>
            <w:vMerge w:val="continue"/>
            <w:noWrap w:val="0"/>
            <w:vAlign w:val="center"/>
          </w:tcPr>
          <w:p w14:paraId="16FA1C6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7719" w:type="dxa"/>
            <w:gridSpan w:val="6"/>
            <w:noWrap w:val="0"/>
            <w:vAlign w:val="center"/>
          </w:tcPr>
          <w:p w14:paraId="22EB830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建设项目环境影响评价制度执行情况</w:t>
            </w:r>
          </w:p>
        </w:tc>
        <w:tc>
          <w:tcPr>
            <w:tcW w:w="1102" w:type="dxa"/>
            <w:gridSpan w:val="2"/>
            <w:noWrap w:val="0"/>
            <w:vAlign w:val="center"/>
          </w:tcPr>
          <w:p w14:paraId="5484455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c>
          <w:tcPr>
            <w:tcW w:w="1377" w:type="dxa"/>
            <w:gridSpan w:val="2"/>
            <w:noWrap w:val="0"/>
            <w:vAlign w:val="center"/>
          </w:tcPr>
          <w:p w14:paraId="22FCDAA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r>
      <w:tr w14:paraId="51D2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28C43B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364" w:type="dxa"/>
            <w:gridSpan w:val="2"/>
            <w:vMerge w:val="continue"/>
            <w:noWrap w:val="0"/>
            <w:vAlign w:val="center"/>
          </w:tcPr>
          <w:p w14:paraId="7AFB20F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7719" w:type="dxa"/>
            <w:gridSpan w:val="6"/>
            <w:noWrap w:val="0"/>
            <w:vAlign w:val="center"/>
          </w:tcPr>
          <w:p w14:paraId="19FE5BB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污染物排放总量控制与减排措施情况</w:t>
            </w:r>
          </w:p>
        </w:tc>
        <w:tc>
          <w:tcPr>
            <w:tcW w:w="1102" w:type="dxa"/>
            <w:gridSpan w:val="2"/>
            <w:noWrap w:val="0"/>
            <w:vAlign w:val="center"/>
          </w:tcPr>
          <w:p w14:paraId="1E2A46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c>
          <w:tcPr>
            <w:tcW w:w="1377" w:type="dxa"/>
            <w:gridSpan w:val="2"/>
            <w:noWrap w:val="0"/>
            <w:vAlign w:val="center"/>
          </w:tcPr>
          <w:p w14:paraId="2839F2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r>
      <w:tr w14:paraId="5ECD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16" w:type="dxa"/>
            <w:vMerge w:val="continue"/>
            <w:noWrap w:val="0"/>
            <w:vAlign w:val="center"/>
          </w:tcPr>
          <w:p w14:paraId="4F9928C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1364" w:type="dxa"/>
            <w:gridSpan w:val="2"/>
            <w:vMerge w:val="continue"/>
            <w:noWrap w:val="0"/>
            <w:vAlign w:val="center"/>
          </w:tcPr>
          <w:p w14:paraId="0459F51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pacing w:val="4"/>
                <w:sz w:val="21"/>
                <w:szCs w:val="21"/>
              </w:rPr>
            </w:pPr>
          </w:p>
        </w:tc>
        <w:tc>
          <w:tcPr>
            <w:tcW w:w="7719" w:type="dxa"/>
            <w:gridSpan w:val="6"/>
            <w:noWrap w:val="0"/>
            <w:vAlign w:val="center"/>
          </w:tcPr>
          <w:p w14:paraId="33EEC80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老污染源限期治理项目完成情况</w:t>
            </w:r>
          </w:p>
        </w:tc>
        <w:tc>
          <w:tcPr>
            <w:tcW w:w="1102" w:type="dxa"/>
            <w:gridSpan w:val="2"/>
            <w:noWrap w:val="0"/>
            <w:vAlign w:val="center"/>
          </w:tcPr>
          <w:p w14:paraId="7F00E5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c>
          <w:tcPr>
            <w:tcW w:w="1377" w:type="dxa"/>
            <w:gridSpan w:val="2"/>
            <w:noWrap w:val="0"/>
            <w:vAlign w:val="center"/>
          </w:tcPr>
          <w:p w14:paraId="6041013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r>
      <w:tr w14:paraId="6125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399" w:type="dxa"/>
            <w:gridSpan w:val="9"/>
            <w:noWrap w:val="0"/>
            <w:vAlign w:val="center"/>
          </w:tcPr>
          <w:p w14:paraId="53F870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lang w:val="en-US" w:eastAsia="zh-CN" w:bidi="ar-SA"/>
              </w:rPr>
            </w:pPr>
            <w:r>
              <w:rPr>
                <w:rFonts w:hint="eastAsia" w:ascii="Times New Roman" w:hAnsi="Times New Roman" w:eastAsia="宋体" w:cs="Times New Roman"/>
                <w:color w:val="auto"/>
                <w:spacing w:val="4"/>
                <w:sz w:val="21"/>
                <w:szCs w:val="21"/>
                <w:lang w:val="en-US" w:eastAsia="zh-CN"/>
              </w:rPr>
              <w:t>结果</w:t>
            </w:r>
          </w:p>
        </w:tc>
        <w:tc>
          <w:tcPr>
            <w:tcW w:w="1102" w:type="dxa"/>
            <w:gridSpan w:val="2"/>
            <w:noWrap w:val="0"/>
            <w:vAlign w:val="center"/>
          </w:tcPr>
          <w:p w14:paraId="2C464B1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lang w:val="en-US" w:eastAsia="zh-CN" w:bidi="ar-SA"/>
              </w:rPr>
            </w:pPr>
            <w:r>
              <w:rPr>
                <w:rFonts w:hint="eastAsia" w:ascii="Times New Roman" w:hAnsi="Times New Roman" w:eastAsia="宋体" w:cs="Times New Roman"/>
                <w:color w:val="auto"/>
                <w:spacing w:val="4"/>
                <w:sz w:val="21"/>
                <w:szCs w:val="21"/>
                <w:lang w:val="en-US" w:eastAsia="zh-CN"/>
              </w:rPr>
              <w:t>权重分值</w:t>
            </w:r>
          </w:p>
        </w:tc>
        <w:tc>
          <w:tcPr>
            <w:tcW w:w="1377" w:type="dxa"/>
            <w:gridSpan w:val="2"/>
            <w:noWrap w:val="0"/>
            <w:vAlign w:val="center"/>
          </w:tcPr>
          <w:p w14:paraId="6A5910A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lang w:val="en-US" w:eastAsia="zh-CN" w:bidi="ar-SA"/>
              </w:rPr>
            </w:pPr>
            <w:r>
              <w:rPr>
                <w:rFonts w:hint="eastAsia" w:ascii="Times New Roman" w:hAnsi="Times New Roman" w:eastAsia="宋体" w:cs="Times New Roman"/>
                <w:color w:val="auto"/>
                <w:spacing w:val="4"/>
                <w:sz w:val="21"/>
                <w:szCs w:val="21"/>
                <w:lang w:val="en-US" w:eastAsia="zh-CN"/>
              </w:rPr>
              <w:t>评分</w:t>
            </w:r>
          </w:p>
        </w:tc>
      </w:tr>
      <w:tr w14:paraId="3FD1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399" w:type="dxa"/>
            <w:gridSpan w:val="9"/>
            <w:noWrap w:val="0"/>
            <w:vAlign w:val="center"/>
          </w:tcPr>
          <w:p w14:paraId="7E4F734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合计</w:t>
            </w:r>
          </w:p>
        </w:tc>
        <w:tc>
          <w:tcPr>
            <w:tcW w:w="1102" w:type="dxa"/>
            <w:gridSpan w:val="2"/>
            <w:noWrap w:val="0"/>
            <w:vAlign w:val="center"/>
          </w:tcPr>
          <w:p w14:paraId="2F8FDE8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210</w:t>
            </w:r>
          </w:p>
        </w:tc>
        <w:tc>
          <w:tcPr>
            <w:tcW w:w="1377" w:type="dxa"/>
            <w:gridSpan w:val="2"/>
            <w:noWrap w:val="0"/>
            <w:vAlign w:val="center"/>
          </w:tcPr>
          <w:p w14:paraId="6B4DD5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195</w:t>
            </w:r>
          </w:p>
        </w:tc>
      </w:tr>
      <w:tr w14:paraId="66B3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399" w:type="dxa"/>
            <w:gridSpan w:val="9"/>
            <w:noWrap w:val="0"/>
            <w:vAlign w:val="center"/>
          </w:tcPr>
          <w:p w14:paraId="0503FD5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比例（100%）</w:t>
            </w:r>
          </w:p>
        </w:tc>
        <w:tc>
          <w:tcPr>
            <w:tcW w:w="1102" w:type="dxa"/>
            <w:gridSpan w:val="2"/>
            <w:noWrap w:val="0"/>
            <w:vAlign w:val="center"/>
          </w:tcPr>
          <w:p w14:paraId="0F0FAD5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100</w:t>
            </w:r>
          </w:p>
        </w:tc>
        <w:tc>
          <w:tcPr>
            <w:tcW w:w="1377" w:type="dxa"/>
            <w:gridSpan w:val="2"/>
            <w:noWrap w:val="0"/>
            <w:vAlign w:val="center"/>
          </w:tcPr>
          <w:p w14:paraId="7FE188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92.86</w:t>
            </w:r>
          </w:p>
        </w:tc>
      </w:tr>
    </w:tbl>
    <w:p w14:paraId="5F1EC4E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根据目前我国石油和天然气开采行业的实际情况，不同等级的清洁生产企业的综合评价指标</w:t>
      </w:r>
      <w:r>
        <w:rPr>
          <w:rFonts w:hint="eastAsia"/>
          <w:color w:val="auto"/>
          <w:sz w:val="24"/>
          <w:szCs w:val="28"/>
          <w:lang w:val="en-US" w:eastAsia="zh-CN"/>
        </w:rPr>
        <w:t>见</w:t>
      </w:r>
      <w:r>
        <w:rPr>
          <w:rFonts w:hint="eastAsia"/>
          <w:color w:val="auto"/>
          <w:sz w:val="24"/>
          <w:szCs w:val="28"/>
        </w:rPr>
        <w:t>表</w:t>
      </w:r>
      <w:r>
        <w:rPr>
          <w:rFonts w:hint="eastAsia"/>
          <w:color w:val="auto"/>
          <w:sz w:val="24"/>
          <w:szCs w:val="28"/>
          <w:lang w:val="en-US" w:eastAsia="zh-CN"/>
        </w:rPr>
        <w:t>3.9-15</w:t>
      </w:r>
      <w:r>
        <w:rPr>
          <w:color w:val="auto"/>
          <w:sz w:val="24"/>
          <w:szCs w:val="28"/>
        </w:rPr>
        <w:t>。</w:t>
      </w:r>
    </w:p>
    <w:p w14:paraId="5DC5345A">
      <w:pPr>
        <w:pStyle w:val="32"/>
        <w:bidi w:val="0"/>
        <w:rPr>
          <w:color w:val="auto"/>
        </w:rPr>
      </w:pPr>
      <w:r>
        <w:rPr>
          <w:rFonts w:hint="eastAsia"/>
          <w:color w:val="auto"/>
        </w:rPr>
        <w:t>表</w:t>
      </w:r>
      <w:r>
        <w:rPr>
          <w:rFonts w:hint="eastAsia"/>
          <w:color w:val="auto"/>
          <w:lang w:val="en-US" w:eastAsia="zh-CN"/>
        </w:rPr>
        <w:t>3.9-15</w:t>
      </w:r>
      <w:r>
        <w:rPr>
          <w:color w:val="auto"/>
        </w:rPr>
        <w:t xml:space="preserve"> 石油和天然气开采行业不同等级清洁生产企业综合评价指数</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7"/>
        <w:gridCol w:w="7087"/>
      </w:tblGrid>
      <w:tr w14:paraId="0413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2ED1C217">
            <w:pPr>
              <w:adjustRightInd w:val="0"/>
              <w:snapToGrid w:val="0"/>
              <w:spacing w:line="30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清洁生产企业等级</w:t>
            </w:r>
          </w:p>
        </w:tc>
        <w:tc>
          <w:tcPr>
            <w:tcW w:w="2500" w:type="pct"/>
            <w:noWrap w:val="0"/>
            <w:vAlign w:val="center"/>
          </w:tcPr>
          <w:p w14:paraId="02398851">
            <w:pPr>
              <w:adjustRightInd w:val="0"/>
              <w:snapToGrid w:val="0"/>
              <w:spacing w:line="30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清洁生产综合评价指数</w:t>
            </w:r>
          </w:p>
        </w:tc>
      </w:tr>
      <w:tr w14:paraId="7C7C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2B8DBB44">
            <w:pPr>
              <w:adjustRightInd w:val="0"/>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清洁生产先进企业</w:t>
            </w:r>
          </w:p>
        </w:tc>
        <w:tc>
          <w:tcPr>
            <w:tcW w:w="2500" w:type="pct"/>
            <w:noWrap w:val="0"/>
            <w:vAlign w:val="center"/>
          </w:tcPr>
          <w:p w14:paraId="6BEDA44C">
            <w:pPr>
              <w:adjustRightInd w:val="0"/>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P≥90</w:t>
            </w:r>
          </w:p>
        </w:tc>
      </w:tr>
      <w:tr w14:paraId="7B94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41056136">
            <w:pPr>
              <w:adjustRightInd w:val="0"/>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清洁生产企业</w:t>
            </w:r>
          </w:p>
        </w:tc>
        <w:tc>
          <w:tcPr>
            <w:tcW w:w="2500" w:type="pct"/>
            <w:noWrap w:val="0"/>
            <w:vAlign w:val="center"/>
          </w:tcPr>
          <w:p w14:paraId="58A1DBEB">
            <w:pPr>
              <w:adjustRightInd w:val="0"/>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75≤P＜90</w:t>
            </w:r>
          </w:p>
        </w:tc>
      </w:tr>
    </w:tbl>
    <w:p w14:paraId="1FF9DF99">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ascii="宋体" w:hAnsi="宋体" w:eastAsia="宋体" w:cs="宋体"/>
          <w:color w:val="auto"/>
          <w:sz w:val="24"/>
          <w:szCs w:val="24"/>
        </w:rPr>
        <w:t>本次开发全过程较好</w:t>
      </w:r>
      <w:r>
        <w:rPr>
          <w:rFonts w:hint="eastAsia" w:ascii="宋体" w:hAnsi="宋体" w:cs="宋体"/>
          <w:color w:val="auto"/>
          <w:sz w:val="24"/>
          <w:szCs w:val="24"/>
          <w:lang w:eastAsia="zh-CN"/>
        </w:rPr>
        <w:t>地</w:t>
      </w:r>
      <w:r>
        <w:rPr>
          <w:rFonts w:ascii="宋体" w:hAnsi="宋体" w:eastAsia="宋体" w:cs="宋体"/>
          <w:color w:val="auto"/>
          <w:sz w:val="24"/>
          <w:szCs w:val="24"/>
        </w:rPr>
        <w:t>按照清洁生产的要求进行了设计，将清洁生产贯穿于建设与生产的全过程，符合清洁生产要求，达到国内清洁生产先进水平。</w:t>
      </w:r>
    </w:p>
    <w:p w14:paraId="7CCC6CA4">
      <w:pPr>
        <w:keepNext w:val="0"/>
        <w:keepLines w:val="0"/>
        <w:pageBreakBefore w:val="0"/>
        <w:widowControl/>
        <w:kinsoku/>
        <w:wordWrap/>
        <w:overflowPunct/>
        <w:topLinePunct w:val="0"/>
        <w:autoSpaceDE/>
        <w:autoSpaceDN/>
        <w:bidi w:val="0"/>
        <w:adjustRightInd/>
        <w:snapToGrid/>
        <w:spacing w:line="360" w:lineRule="auto"/>
        <w:textAlignment w:val="auto"/>
        <w:rPr>
          <w:color w:val="auto"/>
          <w:sz w:val="24"/>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35CCFB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根据目前我国石油和天然气开采行业的实际情况，不同等级的清洁生产企业的综合评价指标</w:t>
      </w:r>
      <w:r>
        <w:rPr>
          <w:rFonts w:hint="eastAsia"/>
          <w:color w:val="auto"/>
          <w:sz w:val="24"/>
          <w:szCs w:val="28"/>
          <w:lang w:val="en-US" w:eastAsia="zh-CN"/>
        </w:rPr>
        <w:t>见</w:t>
      </w:r>
      <w:r>
        <w:rPr>
          <w:rFonts w:hint="eastAsia"/>
          <w:color w:val="auto"/>
          <w:sz w:val="24"/>
          <w:szCs w:val="28"/>
        </w:rPr>
        <w:t>表</w:t>
      </w:r>
      <w:r>
        <w:rPr>
          <w:rFonts w:hint="eastAsia"/>
          <w:color w:val="auto"/>
          <w:sz w:val="24"/>
          <w:szCs w:val="28"/>
          <w:lang w:val="en-US" w:eastAsia="zh-CN"/>
        </w:rPr>
        <w:t>3.9-16</w:t>
      </w:r>
      <w:r>
        <w:rPr>
          <w:color w:val="auto"/>
          <w:sz w:val="24"/>
          <w:szCs w:val="28"/>
        </w:rPr>
        <w:t>。</w:t>
      </w:r>
    </w:p>
    <w:p w14:paraId="65D8703D">
      <w:pPr>
        <w:pStyle w:val="32"/>
        <w:bidi w:val="0"/>
        <w:rPr>
          <w:color w:val="auto"/>
        </w:rPr>
      </w:pPr>
      <w:r>
        <w:rPr>
          <w:rFonts w:hint="eastAsia"/>
          <w:color w:val="auto"/>
        </w:rPr>
        <w:t>表</w:t>
      </w:r>
      <w:r>
        <w:rPr>
          <w:rFonts w:hint="eastAsia"/>
          <w:color w:val="auto"/>
          <w:lang w:val="en-US" w:eastAsia="zh-CN"/>
        </w:rPr>
        <w:t>3.9-16</w:t>
      </w:r>
      <w:r>
        <w:rPr>
          <w:color w:val="auto"/>
        </w:rPr>
        <w:t xml:space="preserve"> 石油和天然气开采行业不同等级清洁生产企业综合评价指数</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F9B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33F549A1">
            <w:pPr>
              <w:adjustRightInd w:val="0"/>
              <w:snapToGrid w:val="0"/>
              <w:spacing w:line="30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清洁生产企业等级</w:t>
            </w:r>
          </w:p>
        </w:tc>
        <w:tc>
          <w:tcPr>
            <w:tcW w:w="2500" w:type="pct"/>
            <w:noWrap w:val="0"/>
            <w:vAlign w:val="center"/>
          </w:tcPr>
          <w:p w14:paraId="2F1C630F">
            <w:pPr>
              <w:adjustRightInd w:val="0"/>
              <w:snapToGrid w:val="0"/>
              <w:spacing w:line="30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清洁生产综合评价指数</w:t>
            </w:r>
          </w:p>
        </w:tc>
      </w:tr>
      <w:tr w14:paraId="16C3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170665BC">
            <w:pPr>
              <w:adjustRightInd w:val="0"/>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清洁生产先进企业</w:t>
            </w:r>
          </w:p>
        </w:tc>
        <w:tc>
          <w:tcPr>
            <w:tcW w:w="2500" w:type="pct"/>
            <w:noWrap w:val="0"/>
            <w:vAlign w:val="center"/>
          </w:tcPr>
          <w:p w14:paraId="3BCCFEEF">
            <w:pPr>
              <w:adjustRightInd w:val="0"/>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P≥90</w:t>
            </w:r>
          </w:p>
        </w:tc>
      </w:tr>
      <w:tr w14:paraId="3D13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6BF0CD41">
            <w:pPr>
              <w:adjustRightInd w:val="0"/>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清洁生产企业</w:t>
            </w:r>
          </w:p>
        </w:tc>
        <w:tc>
          <w:tcPr>
            <w:tcW w:w="2500" w:type="pct"/>
            <w:noWrap w:val="0"/>
            <w:vAlign w:val="center"/>
          </w:tcPr>
          <w:p w14:paraId="461E75D9">
            <w:pPr>
              <w:adjustRightInd w:val="0"/>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75≤P＜90</w:t>
            </w:r>
          </w:p>
        </w:tc>
      </w:tr>
    </w:tbl>
    <w:p w14:paraId="3291684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ascii="宋体" w:hAnsi="宋体" w:eastAsia="宋体" w:cs="宋体"/>
          <w:color w:val="auto"/>
          <w:sz w:val="24"/>
          <w:szCs w:val="24"/>
        </w:rPr>
        <w:t>本次开发全过程较好</w:t>
      </w:r>
      <w:r>
        <w:rPr>
          <w:rFonts w:hint="eastAsia" w:ascii="宋体" w:hAnsi="宋体" w:cs="宋体"/>
          <w:color w:val="auto"/>
          <w:sz w:val="24"/>
          <w:szCs w:val="24"/>
          <w:lang w:eastAsia="zh-CN"/>
        </w:rPr>
        <w:t>地</w:t>
      </w:r>
      <w:r>
        <w:rPr>
          <w:rFonts w:ascii="宋体" w:hAnsi="宋体" w:eastAsia="宋体" w:cs="宋体"/>
          <w:color w:val="auto"/>
          <w:sz w:val="24"/>
          <w:szCs w:val="24"/>
        </w:rPr>
        <w:t>按照清洁生产的要求进行了设计，将清洁生产贯穿于建设与生产的全过程，符合清洁生产要求，达到国内清洁生产先进水平。</w:t>
      </w:r>
    </w:p>
    <w:p w14:paraId="0F8E8718">
      <w:pPr>
        <w:pStyle w:val="5"/>
        <w:bidi w:val="0"/>
        <w:rPr>
          <w:rFonts w:hint="default"/>
          <w:color w:val="auto"/>
          <w:lang w:val="en-US" w:eastAsia="zh-CN"/>
        </w:rPr>
      </w:pPr>
      <w:r>
        <w:rPr>
          <w:rFonts w:hint="eastAsia"/>
          <w:color w:val="auto"/>
          <w:lang w:val="en-US" w:eastAsia="zh-CN"/>
        </w:rPr>
        <w:t>3.9.6总量控制</w:t>
      </w:r>
    </w:p>
    <w:p w14:paraId="1F11F0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rFonts w:hint="eastAsia"/>
          <w:color w:val="auto"/>
          <w:sz w:val="24"/>
          <w:szCs w:val="28"/>
        </w:rPr>
        <w:t>根据《“十四五”污染减排综合工作方案编制技术指南》，大气污染物减排因子为NOx、VOCs，水污染物减排因子为COD和氨氮。</w:t>
      </w:r>
    </w:p>
    <w:p w14:paraId="70E65AA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color w:val="auto"/>
          <w:sz w:val="24"/>
          <w:szCs w:val="28"/>
        </w:rPr>
        <w:t>含油废水由</w:t>
      </w:r>
      <w:r>
        <w:rPr>
          <w:rFonts w:hint="eastAsia"/>
          <w:color w:val="auto"/>
          <w:sz w:val="24"/>
          <w:szCs w:val="28"/>
          <w:lang w:val="en-US" w:eastAsia="zh-CN"/>
        </w:rPr>
        <w:t>百联站</w:t>
      </w:r>
      <w:r>
        <w:rPr>
          <w:rFonts w:hint="eastAsia"/>
          <w:color w:val="auto"/>
          <w:sz w:val="24"/>
          <w:szCs w:val="28"/>
        </w:rPr>
        <w:t>采出水处理</w:t>
      </w:r>
      <w:r>
        <w:rPr>
          <w:rFonts w:hint="eastAsia"/>
          <w:color w:val="auto"/>
          <w:sz w:val="24"/>
          <w:szCs w:val="28"/>
          <w:lang w:val="en-US" w:eastAsia="zh-CN"/>
        </w:rPr>
        <w:t>系统</w:t>
      </w:r>
      <w:r>
        <w:rPr>
          <w:rFonts w:hint="eastAsia"/>
          <w:color w:val="auto"/>
          <w:sz w:val="24"/>
          <w:szCs w:val="28"/>
        </w:rPr>
        <w:t>处理后</w:t>
      </w:r>
      <w:r>
        <w:rPr>
          <w:rFonts w:hint="eastAsia"/>
          <w:color w:val="auto"/>
          <w:sz w:val="24"/>
          <w:szCs w:val="28"/>
          <w:lang w:val="en-US" w:eastAsia="zh-CN"/>
        </w:rPr>
        <w:t>满足相应标准后回注</w:t>
      </w:r>
      <w:r>
        <w:rPr>
          <w:rFonts w:hint="eastAsia"/>
          <w:color w:val="auto"/>
          <w:sz w:val="24"/>
          <w:szCs w:val="28"/>
        </w:rPr>
        <w:t>，不外排，故不对化学需氧量、氨氮进行总量控制；</w:t>
      </w:r>
      <w:bookmarkStart w:id="186" w:name="_Hlk78399927"/>
      <w:r>
        <w:rPr>
          <w:rFonts w:hint="eastAsia"/>
          <w:color w:val="auto"/>
          <w:sz w:val="24"/>
          <w:szCs w:val="28"/>
        </w:rPr>
        <w:t>本项目</w:t>
      </w:r>
      <w:bookmarkEnd w:id="186"/>
      <w:r>
        <w:rPr>
          <w:rFonts w:hint="eastAsia"/>
          <w:color w:val="auto"/>
          <w:sz w:val="24"/>
          <w:szCs w:val="28"/>
        </w:rPr>
        <w:t>无有组织NOx、VOCs排放，</w:t>
      </w:r>
      <w:r>
        <w:rPr>
          <w:rFonts w:hint="eastAsia"/>
          <w:color w:val="auto"/>
          <w:sz w:val="24"/>
          <w:szCs w:val="28"/>
          <w:lang w:val="en-US" w:eastAsia="zh-CN"/>
        </w:rPr>
        <w:t>因此不</w:t>
      </w:r>
      <w:r>
        <w:rPr>
          <w:rFonts w:hint="eastAsia"/>
          <w:color w:val="auto"/>
          <w:sz w:val="24"/>
          <w:szCs w:val="28"/>
        </w:rPr>
        <w:t>进行总量控制指标申请。</w:t>
      </w:r>
    </w:p>
    <w:p w14:paraId="57FEC67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3CCB04B0">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277AF80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5E5AB82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65E9E71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1345E920">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3B16849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77AFD26D">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2E10836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6A2D47B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019C218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heme="minorBidi"/>
          <w:color w:val="auto"/>
          <w:kern w:val="2"/>
          <w:sz w:val="24"/>
          <w:szCs w:val="24"/>
          <w:lang w:val="en-US" w:eastAsia="zh-CN" w:bidi="ar-SA"/>
        </w:rPr>
      </w:pPr>
    </w:p>
    <w:p w14:paraId="3EAA376D">
      <w:pPr>
        <w:rPr>
          <w:color w:val="auto"/>
          <w:sz w:val="24"/>
          <w:szCs w:val="24"/>
        </w:rPr>
      </w:pPr>
      <w:r>
        <w:rPr>
          <w:color w:val="auto"/>
          <w:sz w:val="24"/>
          <w:szCs w:val="24"/>
        </w:rPr>
        <w:br w:type="page"/>
      </w:r>
    </w:p>
    <w:p w14:paraId="61DDAFD3">
      <w:pPr>
        <w:pStyle w:val="3"/>
        <w:bidi w:val="0"/>
        <w:rPr>
          <w:rFonts w:hint="default"/>
          <w:color w:val="auto"/>
          <w:lang w:val="en-US" w:eastAsia="zh-CN"/>
        </w:rPr>
      </w:pPr>
      <w:bookmarkStart w:id="187" w:name="_Toc28797"/>
      <w:bookmarkStart w:id="188" w:name="_Toc9712"/>
      <w:bookmarkStart w:id="189" w:name="_Toc15351"/>
      <w:bookmarkStart w:id="190" w:name="_Toc11306"/>
      <w:bookmarkStart w:id="191" w:name="_Toc26896"/>
      <w:r>
        <w:rPr>
          <w:rFonts w:hint="eastAsia"/>
          <w:color w:val="auto"/>
          <w:lang w:val="en-US" w:eastAsia="zh-CN"/>
        </w:rPr>
        <w:t>4区域环境现状调查与评价</w:t>
      </w:r>
      <w:bookmarkEnd w:id="187"/>
      <w:bookmarkEnd w:id="188"/>
      <w:bookmarkEnd w:id="189"/>
      <w:bookmarkEnd w:id="190"/>
      <w:bookmarkEnd w:id="191"/>
    </w:p>
    <w:p w14:paraId="64329D9D">
      <w:pPr>
        <w:pStyle w:val="2"/>
        <w:bidi w:val="0"/>
        <w:rPr>
          <w:rFonts w:hint="default"/>
          <w:color w:val="auto"/>
          <w:lang w:val="en-US" w:eastAsia="zh-CN"/>
        </w:rPr>
      </w:pPr>
      <w:bookmarkStart w:id="192" w:name="_Toc17184"/>
      <w:bookmarkStart w:id="193" w:name="_Toc6100"/>
      <w:bookmarkStart w:id="194" w:name="_Toc2292"/>
      <w:bookmarkStart w:id="195" w:name="_Toc6044"/>
      <w:bookmarkStart w:id="196" w:name="_Toc14042"/>
      <w:r>
        <w:rPr>
          <w:rFonts w:hint="eastAsia"/>
          <w:color w:val="auto"/>
          <w:lang w:val="en-US" w:eastAsia="zh-CN"/>
        </w:rPr>
        <w:t>4.1自然环境现状调查与评价</w:t>
      </w:r>
      <w:bookmarkEnd w:id="192"/>
      <w:bookmarkEnd w:id="193"/>
      <w:bookmarkEnd w:id="194"/>
      <w:bookmarkEnd w:id="195"/>
      <w:bookmarkEnd w:id="196"/>
    </w:p>
    <w:p w14:paraId="7BAE05EF">
      <w:pPr>
        <w:pStyle w:val="5"/>
        <w:bidi w:val="0"/>
        <w:rPr>
          <w:rFonts w:hint="default"/>
          <w:color w:val="auto"/>
          <w:lang w:val="en-US" w:eastAsia="zh-CN"/>
        </w:rPr>
      </w:pPr>
      <w:bookmarkStart w:id="197" w:name="_Toc32733"/>
      <w:bookmarkStart w:id="198" w:name="_Toc98"/>
      <w:r>
        <w:rPr>
          <w:rFonts w:hint="eastAsia"/>
          <w:color w:val="auto"/>
          <w:lang w:val="en-US" w:eastAsia="zh-CN"/>
        </w:rPr>
        <w:t>4.1.1地理位置</w:t>
      </w:r>
      <w:bookmarkEnd w:id="197"/>
      <w:bookmarkEnd w:id="198"/>
    </w:p>
    <w:p w14:paraId="7644A63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本工程建设区块有百厂探区、玛2、玛131、夏72和玛18-艾湖1，百厂探区位于克拉玛依市乌尔禾区，玛2、玛131、夏72和玛18-艾湖1位于塔城地区和布克赛尔蒙古自治县，项目区地理位置示意图见图1。</w:t>
      </w:r>
    </w:p>
    <w:p w14:paraId="59C7EA3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default" w:ascii="Times New Roman" w:hAnsi="Times New Roman" w:eastAsia="宋体" w:cs="Times New Roman"/>
          <w:color w:val="auto"/>
          <w:sz w:val="24"/>
          <w:szCs w:val="24"/>
          <w:lang w:val="en-US" w:eastAsia="zh-CN"/>
        </w:rPr>
        <w:t>克拉玛依市位于东经84°44′～86°1′，北纬44°7′～46°8′之</w:t>
      </w:r>
      <w:r>
        <w:rPr>
          <w:rFonts w:hint="eastAsia" w:eastAsia="宋体"/>
          <w:color w:val="auto"/>
          <w:sz w:val="24"/>
          <w:szCs w:val="24"/>
          <w:lang w:val="en-US" w:eastAsia="zh-CN"/>
        </w:rPr>
        <w:t>间，地处</w:t>
      </w:r>
      <w:r>
        <w:rPr>
          <w:rFonts w:hint="default" w:eastAsia="宋体"/>
          <w:color w:val="auto"/>
          <w:sz w:val="24"/>
          <w:szCs w:val="24"/>
          <w:lang w:val="en-US" w:eastAsia="zh-CN"/>
        </w:rPr>
        <w:fldChar w:fldCharType="begin"/>
      </w:r>
      <w:r>
        <w:rPr>
          <w:rFonts w:hint="default" w:eastAsia="宋体"/>
          <w:color w:val="auto"/>
          <w:sz w:val="24"/>
          <w:szCs w:val="24"/>
          <w:lang w:val="en-US" w:eastAsia="zh-CN"/>
        </w:rPr>
        <w:instrText xml:space="preserve"> HYPERLINK "https://baike.so.com/doc/5398828-5636270.html" \t "https://baike.so.com/doc/_blank" </w:instrText>
      </w:r>
      <w:r>
        <w:rPr>
          <w:rFonts w:hint="default" w:eastAsia="宋体"/>
          <w:color w:val="auto"/>
          <w:sz w:val="24"/>
          <w:szCs w:val="24"/>
          <w:lang w:val="en-US" w:eastAsia="zh-CN"/>
        </w:rPr>
        <w:fldChar w:fldCharType="separate"/>
      </w:r>
      <w:r>
        <w:rPr>
          <w:rFonts w:hint="default" w:eastAsia="宋体"/>
          <w:color w:val="auto"/>
          <w:sz w:val="24"/>
          <w:szCs w:val="24"/>
          <w:lang w:val="en-US" w:eastAsia="zh-CN"/>
        </w:rPr>
        <w:t>准噶尔盆地</w:t>
      </w:r>
      <w:r>
        <w:rPr>
          <w:rFonts w:hint="default" w:eastAsia="宋体"/>
          <w:color w:val="auto"/>
          <w:sz w:val="24"/>
          <w:szCs w:val="24"/>
          <w:lang w:val="en-US" w:eastAsia="zh-CN"/>
        </w:rPr>
        <w:fldChar w:fldCharType="end"/>
      </w:r>
      <w:r>
        <w:rPr>
          <w:rFonts w:hint="default" w:eastAsia="宋体"/>
          <w:color w:val="auto"/>
          <w:sz w:val="24"/>
          <w:szCs w:val="24"/>
          <w:lang w:val="en-US" w:eastAsia="zh-CN"/>
        </w:rPr>
        <w:t>西北缘。西北傍加依尔山，南依</w:t>
      </w:r>
      <w:r>
        <w:rPr>
          <w:rFonts w:hint="default" w:eastAsia="宋体"/>
          <w:color w:val="auto"/>
          <w:sz w:val="24"/>
          <w:szCs w:val="24"/>
          <w:lang w:val="en-US" w:eastAsia="zh-CN"/>
        </w:rPr>
        <w:fldChar w:fldCharType="begin"/>
      </w:r>
      <w:r>
        <w:rPr>
          <w:rFonts w:hint="default" w:eastAsia="宋体"/>
          <w:color w:val="auto"/>
          <w:sz w:val="24"/>
          <w:szCs w:val="24"/>
          <w:lang w:val="en-US" w:eastAsia="zh-CN"/>
        </w:rPr>
        <w:instrText xml:space="preserve"> HYPERLINK "https://baike.so.com/doc/1724320-1822958.html" \t "https://baike.so.com/doc/_blank" </w:instrText>
      </w:r>
      <w:r>
        <w:rPr>
          <w:rFonts w:hint="default" w:eastAsia="宋体"/>
          <w:color w:val="auto"/>
          <w:sz w:val="24"/>
          <w:szCs w:val="24"/>
          <w:lang w:val="en-US" w:eastAsia="zh-CN"/>
        </w:rPr>
        <w:fldChar w:fldCharType="separate"/>
      </w:r>
      <w:r>
        <w:rPr>
          <w:rFonts w:hint="default" w:eastAsia="宋体"/>
          <w:color w:val="auto"/>
          <w:sz w:val="24"/>
          <w:szCs w:val="24"/>
          <w:lang w:val="en-US" w:eastAsia="zh-CN"/>
        </w:rPr>
        <w:t>天山</w:t>
      </w:r>
      <w:r>
        <w:rPr>
          <w:rFonts w:hint="default" w:eastAsia="宋体"/>
          <w:color w:val="auto"/>
          <w:sz w:val="24"/>
          <w:szCs w:val="24"/>
          <w:lang w:val="en-US" w:eastAsia="zh-CN"/>
        </w:rPr>
        <w:fldChar w:fldCharType="end"/>
      </w:r>
      <w:r>
        <w:rPr>
          <w:rFonts w:hint="default" w:eastAsia="宋体"/>
          <w:color w:val="auto"/>
          <w:sz w:val="24"/>
          <w:szCs w:val="24"/>
          <w:lang w:val="en-US" w:eastAsia="zh-CN"/>
        </w:rPr>
        <w:t>北麓，</w:t>
      </w:r>
      <w:r>
        <w:rPr>
          <w:rFonts w:hint="eastAsia"/>
          <w:color w:val="auto"/>
          <w:sz w:val="24"/>
          <w:szCs w:val="24"/>
          <w:lang w:val="en-US" w:eastAsia="zh-CN"/>
        </w:rPr>
        <w:t>东临</w:t>
      </w:r>
      <w:r>
        <w:rPr>
          <w:rFonts w:hint="default" w:eastAsia="宋体"/>
          <w:color w:val="auto"/>
          <w:sz w:val="24"/>
          <w:szCs w:val="24"/>
          <w:lang w:val="en-US" w:eastAsia="zh-CN"/>
        </w:rPr>
        <w:t>古尔班通古特沙漠。北部、东北部与和布克赛尔蒙古自治县相接，西南与托里县为邻，南面与乌苏</w:t>
      </w:r>
      <w:r>
        <w:rPr>
          <w:rFonts w:hint="eastAsia"/>
          <w:color w:val="auto"/>
          <w:sz w:val="24"/>
          <w:szCs w:val="24"/>
          <w:lang w:val="en-US" w:eastAsia="zh-CN"/>
        </w:rPr>
        <w:t>市</w:t>
      </w:r>
      <w:r>
        <w:rPr>
          <w:rFonts w:hint="default" w:eastAsia="宋体"/>
          <w:color w:val="auto"/>
          <w:sz w:val="24"/>
          <w:szCs w:val="24"/>
          <w:lang w:val="en-US" w:eastAsia="zh-CN"/>
        </w:rPr>
        <w:t>、沙湾</w:t>
      </w:r>
      <w:r>
        <w:rPr>
          <w:rFonts w:hint="eastAsia"/>
          <w:color w:val="auto"/>
          <w:sz w:val="24"/>
          <w:szCs w:val="24"/>
          <w:lang w:val="en-US" w:eastAsia="zh-CN"/>
        </w:rPr>
        <w:t>市</w:t>
      </w:r>
      <w:r>
        <w:rPr>
          <w:rFonts w:hint="default" w:eastAsia="宋体"/>
          <w:color w:val="auto"/>
          <w:sz w:val="24"/>
          <w:szCs w:val="24"/>
          <w:lang w:val="en-US" w:eastAsia="zh-CN"/>
        </w:rPr>
        <w:t>接壤。中部、东部地势开阔平坦，向准噶尔盆地中心倾斜。市域东西最宽处110千米，南北最长处240千米，克拉玛依市总面积7733平方千米，市区面积约16平方千米。</w:t>
      </w:r>
      <w:r>
        <w:rPr>
          <w:rFonts w:hint="eastAsia"/>
          <w:color w:val="auto"/>
          <w:sz w:val="24"/>
          <w:szCs w:val="24"/>
          <w:lang w:val="en-US" w:eastAsia="zh-CN"/>
        </w:rPr>
        <w:t>海拔</w:t>
      </w:r>
      <w:r>
        <w:rPr>
          <w:rFonts w:hint="default" w:eastAsia="宋体"/>
          <w:color w:val="auto"/>
          <w:sz w:val="24"/>
          <w:szCs w:val="24"/>
          <w:lang w:val="en-US" w:eastAsia="zh-CN"/>
        </w:rPr>
        <w:t>在270～500米之间。市区距新疆维吾尔自治区首府乌鲁木齐公路里程313千米，飞机航程280千米。克拉玛依市独山子区被</w:t>
      </w:r>
      <w:r>
        <w:rPr>
          <w:rFonts w:hint="default" w:eastAsia="宋体"/>
          <w:color w:val="auto"/>
          <w:sz w:val="24"/>
          <w:szCs w:val="24"/>
          <w:lang w:val="en-US" w:eastAsia="zh-CN"/>
        </w:rPr>
        <w:fldChar w:fldCharType="begin"/>
      </w:r>
      <w:r>
        <w:rPr>
          <w:rFonts w:hint="default" w:eastAsia="宋体"/>
          <w:color w:val="auto"/>
          <w:sz w:val="24"/>
          <w:szCs w:val="24"/>
          <w:lang w:val="en-US" w:eastAsia="zh-CN"/>
        </w:rPr>
        <w:instrText xml:space="preserve"> HYPERLINK "https://baike.so.com/doc/1284572-1358284.html" \t "https://baike.so.com/doc/_blank" </w:instrText>
      </w:r>
      <w:r>
        <w:rPr>
          <w:rFonts w:hint="default" w:eastAsia="宋体"/>
          <w:color w:val="auto"/>
          <w:sz w:val="24"/>
          <w:szCs w:val="24"/>
          <w:lang w:val="en-US" w:eastAsia="zh-CN"/>
        </w:rPr>
        <w:fldChar w:fldCharType="separate"/>
      </w:r>
      <w:r>
        <w:rPr>
          <w:rFonts w:hint="default" w:eastAsia="宋体"/>
          <w:color w:val="auto"/>
          <w:sz w:val="24"/>
          <w:szCs w:val="24"/>
          <w:lang w:val="en-US" w:eastAsia="zh-CN"/>
        </w:rPr>
        <w:t>奎屯市</w:t>
      </w:r>
      <w:r>
        <w:rPr>
          <w:rFonts w:hint="default" w:eastAsia="宋体"/>
          <w:color w:val="auto"/>
          <w:sz w:val="24"/>
          <w:szCs w:val="24"/>
          <w:lang w:val="en-US" w:eastAsia="zh-CN"/>
        </w:rPr>
        <w:fldChar w:fldCharType="end"/>
      </w:r>
      <w:r>
        <w:rPr>
          <w:rFonts w:hint="default" w:eastAsia="宋体"/>
          <w:color w:val="auto"/>
          <w:sz w:val="24"/>
          <w:szCs w:val="24"/>
          <w:lang w:val="en-US" w:eastAsia="zh-CN"/>
        </w:rPr>
        <w:t>隔开于克拉玛依市南端，成为距市区150千米的</w:t>
      </w:r>
      <w:r>
        <w:rPr>
          <w:rFonts w:hint="eastAsia" w:ascii="宋体" w:hAnsi="宋体" w:eastAsia="宋体" w:cs="宋体"/>
          <w:color w:val="auto"/>
          <w:sz w:val="24"/>
          <w:szCs w:val="24"/>
          <w:lang w:val="en-US" w:eastAsia="zh-CN"/>
        </w:rPr>
        <w:t>“飞地”</w:t>
      </w:r>
      <w:r>
        <w:rPr>
          <w:rFonts w:hint="default" w:eastAsia="宋体"/>
          <w:color w:val="auto"/>
          <w:sz w:val="24"/>
          <w:szCs w:val="24"/>
          <w:lang w:val="en-US" w:eastAsia="zh-CN"/>
        </w:rPr>
        <w:t>。</w:t>
      </w:r>
    </w:p>
    <w:p w14:paraId="14523B4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rPr>
      </w:pPr>
      <w:r>
        <w:rPr>
          <w:rFonts w:hint="eastAsia" w:eastAsia="宋体"/>
          <w:color w:val="auto"/>
          <w:sz w:val="24"/>
          <w:szCs w:val="24"/>
          <w:lang w:val="en-US" w:eastAsia="zh-CN"/>
        </w:rPr>
        <w:t>和布克赛尔蒙古自治县位于准噶尔盆地西北部，是新疆维吾尔自治区西北部的一个边境民族自治县，位于东经</w:t>
      </w:r>
      <w:r>
        <w:rPr>
          <w:rFonts w:hint="default" w:eastAsia="宋体"/>
          <w:color w:val="auto"/>
          <w:sz w:val="24"/>
          <w:szCs w:val="24"/>
          <w:lang w:val="en-US" w:eastAsia="zh-CN"/>
        </w:rPr>
        <w:t>84°37′~87°20′</w:t>
      </w:r>
      <w:r>
        <w:rPr>
          <w:rFonts w:hint="eastAsia" w:eastAsia="宋体"/>
          <w:color w:val="auto"/>
          <w:sz w:val="24"/>
          <w:szCs w:val="24"/>
          <w:lang w:val="en-US" w:eastAsia="zh-CN"/>
        </w:rPr>
        <w:t>，北纬</w:t>
      </w:r>
      <w:r>
        <w:rPr>
          <w:rFonts w:hint="default" w:eastAsia="宋体"/>
          <w:color w:val="auto"/>
          <w:sz w:val="24"/>
          <w:szCs w:val="24"/>
          <w:lang w:val="en-US" w:eastAsia="zh-CN"/>
        </w:rPr>
        <w:t>45°20′~47°12′</w:t>
      </w:r>
      <w:r>
        <w:rPr>
          <w:rFonts w:hint="eastAsia" w:eastAsia="宋体"/>
          <w:color w:val="auto"/>
          <w:sz w:val="24"/>
          <w:szCs w:val="24"/>
          <w:lang w:val="en-US" w:eastAsia="zh-CN"/>
        </w:rPr>
        <w:t>之间，东西长约</w:t>
      </w:r>
      <w:r>
        <w:rPr>
          <w:rFonts w:hint="default" w:eastAsia="宋体"/>
          <w:color w:val="auto"/>
          <w:sz w:val="24"/>
          <w:szCs w:val="24"/>
          <w:lang w:val="en-US" w:eastAsia="zh-CN"/>
        </w:rPr>
        <w:t>210km</w:t>
      </w:r>
      <w:r>
        <w:rPr>
          <w:rFonts w:hint="eastAsia" w:eastAsia="宋体"/>
          <w:color w:val="auto"/>
          <w:sz w:val="24"/>
          <w:szCs w:val="24"/>
          <w:lang w:val="en-US" w:eastAsia="zh-CN"/>
        </w:rPr>
        <w:t>，南北长约</w:t>
      </w:r>
      <w:r>
        <w:rPr>
          <w:rFonts w:hint="default" w:eastAsia="宋体"/>
          <w:color w:val="auto"/>
          <w:sz w:val="24"/>
          <w:szCs w:val="24"/>
          <w:lang w:val="en-US" w:eastAsia="zh-CN"/>
        </w:rPr>
        <w:t>207km</w:t>
      </w:r>
      <w:r>
        <w:rPr>
          <w:rFonts w:hint="eastAsia" w:eastAsia="宋体"/>
          <w:color w:val="auto"/>
          <w:sz w:val="24"/>
          <w:szCs w:val="24"/>
          <w:lang w:val="en-US" w:eastAsia="zh-CN"/>
        </w:rPr>
        <w:t>。县境东接福海县，南在古尔班通古特沙漠与昌吉市、呼图壁县、玛纳斯县、沙湾县毗邻，西南接石油城克拉玛依市，西以白杨河为界与额敏县、托里县相连，西北与哈萨克斯坦共和国交界，北隔赛尔山与吉木乃县接壤。全县总面积</w:t>
      </w:r>
      <w:r>
        <w:rPr>
          <w:rFonts w:hint="default" w:eastAsia="宋体"/>
          <w:color w:val="auto"/>
          <w:sz w:val="24"/>
          <w:szCs w:val="24"/>
          <w:lang w:val="en-US" w:eastAsia="zh-CN"/>
        </w:rPr>
        <w:t>3.06</w:t>
      </w:r>
      <w:r>
        <w:rPr>
          <w:rFonts w:hint="eastAsia" w:eastAsia="宋体"/>
          <w:color w:val="auto"/>
          <w:sz w:val="24"/>
          <w:szCs w:val="24"/>
          <w:lang w:val="en-US" w:eastAsia="zh-CN"/>
        </w:rPr>
        <w:t>万</w:t>
      </w:r>
      <w:r>
        <w:rPr>
          <w:rFonts w:hint="default" w:eastAsia="宋体"/>
          <w:color w:val="auto"/>
          <w:sz w:val="24"/>
          <w:szCs w:val="24"/>
          <w:lang w:val="en-US" w:eastAsia="zh-CN"/>
        </w:rPr>
        <w:t>km</w:t>
      </w:r>
      <w:r>
        <w:rPr>
          <w:rFonts w:hint="default" w:eastAsia="宋体"/>
          <w:color w:val="auto"/>
          <w:sz w:val="24"/>
          <w:szCs w:val="24"/>
          <w:vertAlign w:val="superscript"/>
          <w:lang w:val="en-US" w:eastAsia="zh-CN"/>
        </w:rPr>
        <w:t>2</w:t>
      </w:r>
      <w:r>
        <w:rPr>
          <w:rFonts w:hint="eastAsia" w:eastAsia="宋体"/>
          <w:color w:val="auto"/>
          <w:sz w:val="24"/>
          <w:szCs w:val="24"/>
          <w:lang w:val="en-US" w:eastAsia="zh-CN"/>
        </w:rPr>
        <w:t>。</w:t>
      </w:r>
    </w:p>
    <w:p w14:paraId="3D25661B">
      <w:pPr>
        <w:pStyle w:val="5"/>
        <w:bidi w:val="0"/>
        <w:rPr>
          <w:rFonts w:hint="default"/>
          <w:color w:val="auto"/>
          <w:lang w:val="en-US" w:eastAsia="zh-CN"/>
        </w:rPr>
      </w:pPr>
      <w:bookmarkStart w:id="199" w:name="_Toc19165"/>
      <w:bookmarkStart w:id="200" w:name="_Toc22699"/>
      <w:r>
        <w:rPr>
          <w:rFonts w:hint="eastAsia"/>
          <w:color w:val="auto"/>
          <w:lang w:val="en-US" w:eastAsia="zh-CN"/>
        </w:rPr>
        <w:t>4.1.2地形地貌</w:t>
      </w:r>
      <w:bookmarkEnd w:id="199"/>
      <w:bookmarkEnd w:id="200"/>
    </w:p>
    <w:p w14:paraId="0EBD34BF">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eastAsia="宋体"/>
          <w:color w:val="auto"/>
          <w:sz w:val="24"/>
          <w:szCs w:val="24"/>
          <w:lang w:val="en-US" w:eastAsia="zh-CN"/>
        </w:rPr>
        <w:t>克拉玛依地处我国第二大沙漠</w:t>
      </w:r>
      <w:r>
        <w:rPr>
          <w:rFonts w:hint="default" w:eastAsia="宋体"/>
          <w:color w:val="auto"/>
          <w:sz w:val="24"/>
          <w:szCs w:val="24"/>
          <w:lang w:val="en-US" w:eastAsia="zh-CN"/>
        </w:rPr>
        <w:t>—</w:t>
      </w:r>
      <w:r>
        <w:rPr>
          <w:rFonts w:hint="eastAsia" w:eastAsia="宋体"/>
          <w:color w:val="auto"/>
          <w:sz w:val="24"/>
          <w:szCs w:val="24"/>
          <w:lang w:val="en-US" w:eastAsia="zh-CN"/>
        </w:rPr>
        <w:t>古尔班通古特沙漠的西北缘的冲积扇前倾平原地带，总的地貌特征比较单一，多为开阔平坦的单一戈壁滩。中心城区位于山脉与盆地之间的漫坡上，北有加依尔山，南北走向，由构造剥蚀低山及丘陵地形组成，</w:t>
      </w:r>
      <w:r>
        <w:rPr>
          <w:rFonts w:hint="eastAsia"/>
          <w:color w:val="auto"/>
          <w:sz w:val="24"/>
          <w:szCs w:val="24"/>
          <w:lang w:val="en-US" w:eastAsia="zh-CN"/>
        </w:rPr>
        <w:t>海拔</w:t>
      </w:r>
      <w:r>
        <w:rPr>
          <w:rFonts w:hint="default" w:eastAsia="宋体"/>
          <w:color w:val="auto"/>
          <w:sz w:val="24"/>
          <w:szCs w:val="24"/>
          <w:lang w:val="en-US" w:eastAsia="zh-CN"/>
        </w:rPr>
        <w:t>600m</w:t>
      </w:r>
      <w:r>
        <w:rPr>
          <w:rFonts w:hint="eastAsia" w:eastAsia="宋体"/>
          <w:color w:val="auto"/>
          <w:sz w:val="24"/>
          <w:szCs w:val="24"/>
          <w:lang w:val="en-US" w:eastAsia="zh-CN"/>
        </w:rPr>
        <w:t>～</w:t>
      </w:r>
      <w:r>
        <w:rPr>
          <w:rFonts w:hint="default" w:eastAsia="宋体"/>
          <w:color w:val="auto"/>
          <w:sz w:val="24"/>
          <w:szCs w:val="24"/>
          <w:lang w:val="en-US" w:eastAsia="zh-CN"/>
        </w:rPr>
        <w:t>800m</w:t>
      </w:r>
      <w:r>
        <w:rPr>
          <w:rFonts w:hint="eastAsia" w:eastAsia="宋体"/>
          <w:color w:val="auto"/>
          <w:sz w:val="24"/>
          <w:szCs w:val="24"/>
          <w:lang w:val="en-US" w:eastAsia="zh-CN"/>
        </w:rPr>
        <w:t>；南部独山子山</w:t>
      </w:r>
      <w:r>
        <w:rPr>
          <w:rFonts w:hint="eastAsia"/>
          <w:color w:val="auto"/>
          <w:sz w:val="24"/>
          <w:szCs w:val="24"/>
          <w:lang w:val="en-US" w:eastAsia="zh-CN"/>
        </w:rPr>
        <w:t>海拔</w:t>
      </w:r>
      <w:r>
        <w:rPr>
          <w:rFonts w:hint="eastAsia" w:eastAsia="宋体"/>
          <w:color w:val="auto"/>
          <w:sz w:val="24"/>
          <w:szCs w:val="24"/>
          <w:lang w:val="en-US" w:eastAsia="zh-CN"/>
        </w:rPr>
        <w:t>为</w:t>
      </w:r>
      <w:r>
        <w:rPr>
          <w:rFonts w:hint="default" w:eastAsia="宋体"/>
          <w:color w:val="auto"/>
          <w:sz w:val="24"/>
          <w:szCs w:val="24"/>
          <w:lang w:val="en-US" w:eastAsia="zh-CN"/>
        </w:rPr>
        <w:t>1283m</w:t>
      </w:r>
      <w:r>
        <w:rPr>
          <w:rFonts w:hint="eastAsia" w:eastAsia="宋体"/>
          <w:color w:val="auto"/>
          <w:sz w:val="24"/>
          <w:szCs w:val="24"/>
          <w:lang w:val="en-US" w:eastAsia="zh-CN"/>
        </w:rPr>
        <w:t>；东南面是茫茫戈壁滩，一直伸展到盆地中部的沙漠区；中部、东部地势开阔平坦，向准噶尔盆地中心倾斜。大部分地区在海拔</w:t>
      </w:r>
      <w:r>
        <w:rPr>
          <w:rFonts w:hint="default" w:eastAsia="宋体"/>
          <w:color w:val="auto"/>
          <w:sz w:val="24"/>
          <w:szCs w:val="24"/>
          <w:lang w:val="en-US" w:eastAsia="zh-CN"/>
        </w:rPr>
        <w:t>270m</w:t>
      </w:r>
      <w:r>
        <w:rPr>
          <w:rFonts w:hint="eastAsia" w:eastAsia="宋体"/>
          <w:color w:val="auto"/>
          <w:sz w:val="24"/>
          <w:szCs w:val="24"/>
          <w:lang w:val="en-US" w:eastAsia="zh-CN"/>
        </w:rPr>
        <w:t>～</w:t>
      </w:r>
      <w:r>
        <w:rPr>
          <w:rFonts w:hint="default" w:eastAsia="宋体"/>
          <w:color w:val="auto"/>
          <w:sz w:val="24"/>
          <w:szCs w:val="24"/>
          <w:lang w:val="en-US" w:eastAsia="zh-CN"/>
        </w:rPr>
        <w:t xml:space="preserve">500m </w:t>
      </w:r>
      <w:r>
        <w:rPr>
          <w:rFonts w:hint="eastAsia" w:eastAsia="宋体"/>
          <w:color w:val="auto"/>
          <w:sz w:val="24"/>
          <w:szCs w:val="24"/>
          <w:lang w:val="en-US" w:eastAsia="zh-CN"/>
        </w:rPr>
        <w:t>之间，整个市域地势呈西北高，东南低，南北向和东西向坡度为</w:t>
      </w:r>
      <w:r>
        <w:rPr>
          <w:rFonts w:hint="default" w:eastAsia="宋体"/>
          <w:color w:val="auto"/>
          <w:sz w:val="24"/>
          <w:szCs w:val="24"/>
          <w:lang w:val="en-US" w:eastAsia="zh-CN"/>
        </w:rPr>
        <w:t>2%</w:t>
      </w:r>
      <w:r>
        <w:rPr>
          <w:rFonts w:hint="eastAsia" w:eastAsia="宋体"/>
          <w:color w:val="auto"/>
          <w:sz w:val="24"/>
          <w:szCs w:val="24"/>
          <w:lang w:val="en-US" w:eastAsia="zh-CN"/>
        </w:rPr>
        <w:t>。</w:t>
      </w:r>
    </w:p>
    <w:p w14:paraId="5ADB322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eastAsia="宋体"/>
          <w:color w:val="auto"/>
          <w:sz w:val="24"/>
          <w:szCs w:val="24"/>
          <w:lang w:val="en-US" w:eastAsia="zh-CN"/>
        </w:rPr>
        <w:t>和布克赛尔蒙古自治县地貌比较复杂，有山地、丘陵、平原、荒漠，县境海拔最高点是赛尔山的木斯套峰，海拔</w:t>
      </w:r>
      <w:r>
        <w:rPr>
          <w:rFonts w:hint="default" w:eastAsia="宋体"/>
          <w:color w:val="auto"/>
          <w:sz w:val="24"/>
          <w:szCs w:val="24"/>
          <w:lang w:val="en-US" w:eastAsia="zh-CN"/>
        </w:rPr>
        <w:t>3835m</w:t>
      </w:r>
      <w:r>
        <w:rPr>
          <w:rFonts w:hint="eastAsia" w:eastAsia="宋体"/>
          <w:color w:val="auto"/>
          <w:sz w:val="24"/>
          <w:szCs w:val="24"/>
          <w:lang w:val="en-US" w:eastAsia="zh-CN"/>
        </w:rPr>
        <w:t>，终年积雪，最低点为南部边缘已干涸的玛纳斯湖，海拔</w:t>
      </w:r>
      <w:r>
        <w:rPr>
          <w:rFonts w:hint="default" w:eastAsia="宋体"/>
          <w:color w:val="auto"/>
          <w:sz w:val="24"/>
          <w:szCs w:val="24"/>
          <w:lang w:val="en-US" w:eastAsia="zh-CN"/>
        </w:rPr>
        <w:t>249m</w:t>
      </w:r>
      <w:r>
        <w:rPr>
          <w:rFonts w:hint="eastAsia" w:eastAsia="宋体"/>
          <w:color w:val="auto"/>
          <w:sz w:val="24"/>
          <w:szCs w:val="24"/>
          <w:lang w:val="en-US" w:eastAsia="zh-CN"/>
        </w:rPr>
        <w:t>。其地势特征为北高南低，北部地区地形以山区和低山区为主，海拔在</w:t>
      </w:r>
      <w:r>
        <w:rPr>
          <w:rFonts w:hint="default" w:eastAsia="宋体"/>
          <w:color w:val="auto"/>
          <w:sz w:val="24"/>
          <w:szCs w:val="24"/>
          <w:lang w:val="en-US" w:eastAsia="zh-CN"/>
        </w:rPr>
        <w:t>1000m~1500m</w:t>
      </w:r>
      <w:r>
        <w:rPr>
          <w:rFonts w:hint="eastAsia" w:eastAsia="宋体"/>
          <w:color w:val="auto"/>
          <w:sz w:val="24"/>
          <w:szCs w:val="24"/>
          <w:lang w:val="en-US" w:eastAsia="zh-CN"/>
        </w:rPr>
        <w:t>，南部以平原为主，海拔在</w:t>
      </w:r>
      <w:r>
        <w:rPr>
          <w:rFonts w:hint="default" w:eastAsia="宋体"/>
          <w:color w:val="auto"/>
          <w:sz w:val="24"/>
          <w:szCs w:val="24"/>
          <w:lang w:val="en-US" w:eastAsia="zh-CN"/>
        </w:rPr>
        <w:t>1000m</w:t>
      </w:r>
      <w:r>
        <w:rPr>
          <w:rFonts w:hint="eastAsia" w:eastAsia="宋体"/>
          <w:color w:val="auto"/>
          <w:sz w:val="24"/>
          <w:szCs w:val="24"/>
          <w:lang w:val="en-US" w:eastAsia="zh-CN"/>
        </w:rPr>
        <w:t>以下。县境内明显可分为四大地区，即北部及西北部高山、亚高山地区，和布克谷地，中部中低山丘陵区，南部平原荒漠区。北部及西北部高山、亚高山地区包括赛尔山、北中部地区哈同山（水流较少，景象较为荒凉）、西北部边境连接赛尔山和哈同山脉的铁布克山。和布克谷地包括赛尔山以南，哈同山以北。中部中低山丘陵区包括哈同山东部及阿德尔山、赛勒克特山、阿尔根特山、沙勒布尔特山、迪伦山等组成，这一地区植被少、水源缺乏，地面起伏不平。南部平原荒漠区包括中、低带以南的广大平原、荒漠地区，由此以南至准噶尔腹地，其北部为和布克河下游和夏孜盖三角洲，是农作物种植区。</w:t>
      </w:r>
    </w:p>
    <w:p w14:paraId="67E9520B">
      <w:pPr>
        <w:pStyle w:val="5"/>
        <w:bidi w:val="0"/>
        <w:rPr>
          <w:rFonts w:hint="default"/>
          <w:color w:val="auto"/>
          <w:lang w:val="en-US" w:eastAsia="zh-CN"/>
        </w:rPr>
      </w:pPr>
      <w:bookmarkStart w:id="201" w:name="_Toc30443"/>
      <w:bookmarkStart w:id="202" w:name="_Toc23124"/>
      <w:r>
        <w:rPr>
          <w:rFonts w:hint="eastAsia"/>
          <w:color w:val="auto"/>
          <w:lang w:val="en-US" w:eastAsia="zh-CN"/>
        </w:rPr>
        <w:t>4.1.3气候与气象</w:t>
      </w:r>
      <w:bookmarkEnd w:id="201"/>
      <w:bookmarkEnd w:id="202"/>
    </w:p>
    <w:p w14:paraId="7603383D">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eastAsia="宋体"/>
          <w:color w:val="auto"/>
          <w:sz w:val="24"/>
          <w:szCs w:val="24"/>
          <w:lang w:eastAsia="zh-CN"/>
        </w:rPr>
        <w:t>（</w:t>
      </w:r>
      <w:r>
        <w:rPr>
          <w:rFonts w:hint="eastAsia" w:eastAsia="宋体"/>
          <w:color w:val="auto"/>
          <w:sz w:val="24"/>
          <w:szCs w:val="24"/>
          <w:lang w:val="en-US" w:eastAsia="zh-CN"/>
        </w:rPr>
        <w:t>1</w:t>
      </w:r>
      <w:r>
        <w:rPr>
          <w:rFonts w:hint="eastAsia" w:eastAsia="宋体"/>
          <w:color w:val="auto"/>
          <w:sz w:val="24"/>
          <w:szCs w:val="24"/>
          <w:lang w:eastAsia="zh-CN"/>
        </w:rPr>
        <w:t>）</w:t>
      </w:r>
      <w:r>
        <w:rPr>
          <w:rFonts w:hint="eastAsia" w:eastAsia="宋体"/>
          <w:color w:val="auto"/>
          <w:sz w:val="24"/>
          <w:szCs w:val="24"/>
          <w:lang w:val="en-US" w:eastAsia="zh-CN"/>
        </w:rPr>
        <w:t>克拉玛依市乌尔禾区</w:t>
      </w:r>
    </w:p>
    <w:p w14:paraId="4B98E6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乌尔禾区属典型大陆性北温带干旱气候区，日照充足，日照时数2637小时以上</w:t>
      </w:r>
      <w:r>
        <w:rPr>
          <w:rFonts w:hint="eastAsia" w:cstheme="minorBidi"/>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昼夜温差大，光热资源丰富，年均10℃以上积温3600℃以上，降水量小，蒸发量大，冬季积雪少，无霜期160天左右。年平均气温8.4℃。乌尔禾区干旱少雨，蒸发大于降水100倍。乌尔禾区境内累年平均降水量96.4mm，年均蒸发量3016.4mm，是同期降水量的31.3倍。从1989-1994年累积年平均霜日121天，平均初日为11月17日，平均终日为3月12日，累年平均无霜期225天。主要气象要素</w:t>
      </w:r>
      <w:r>
        <w:rPr>
          <w:rFonts w:hint="eastAsia" w:cstheme="minorBidi"/>
          <w:color w:val="auto"/>
          <w:kern w:val="2"/>
          <w:sz w:val="24"/>
          <w:szCs w:val="24"/>
          <w:lang w:val="en-US" w:eastAsia="zh-CN" w:bidi="ar-SA"/>
        </w:rPr>
        <w:t>如下</w:t>
      </w:r>
      <w:r>
        <w:rPr>
          <w:rFonts w:hint="eastAsia" w:ascii="Times New Roman" w:hAnsi="Times New Roman" w:eastAsia="宋体" w:cstheme="minorBidi"/>
          <w:color w:val="auto"/>
          <w:kern w:val="2"/>
          <w:sz w:val="24"/>
          <w:szCs w:val="24"/>
          <w:lang w:val="en-US" w:eastAsia="zh-CN" w:bidi="ar-SA"/>
        </w:rPr>
        <w:t>表</w:t>
      </w:r>
      <w:r>
        <w:rPr>
          <w:rFonts w:hint="eastAsia" w:eastAsia="宋体" w:cstheme="minorBidi"/>
          <w:color w:val="auto"/>
          <w:kern w:val="2"/>
          <w:sz w:val="24"/>
          <w:szCs w:val="24"/>
          <w:lang w:val="en-US" w:eastAsia="zh-CN" w:bidi="ar-SA"/>
        </w:rPr>
        <w:t>4</w:t>
      </w:r>
      <w:r>
        <w:rPr>
          <w:rFonts w:hint="default" w:ascii="Times New Roman" w:hAnsi="Times New Roman" w:eastAsia="宋体" w:cstheme="minorBidi"/>
          <w:color w:val="auto"/>
          <w:kern w:val="2"/>
          <w:sz w:val="24"/>
          <w:szCs w:val="24"/>
          <w:lang w:val="en-US" w:eastAsia="zh-CN" w:bidi="ar-SA"/>
        </w:rPr>
        <w:t>.1-1</w:t>
      </w:r>
      <w:r>
        <w:rPr>
          <w:rFonts w:hint="eastAsia" w:ascii="Times New Roman" w:hAnsi="Times New Roman" w:eastAsia="宋体" w:cstheme="minorBidi"/>
          <w:color w:val="auto"/>
          <w:kern w:val="2"/>
          <w:sz w:val="24"/>
          <w:szCs w:val="24"/>
          <w:lang w:val="en-US" w:eastAsia="zh-CN" w:bidi="ar-SA"/>
        </w:rPr>
        <w:t>所示。</w:t>
      </w:r>
    </w:p>
    <w:p w14:paraId="443CCA1A">
      <w:pPr>
        <w:pStyle w:val="43"/>
        <w:bidi w:val="0"/>
        <w:rPr>
          <w:rFonts w:hint="default"/>
          <w:color w:val="auto"/>
        </w:rPr>
      </w:pPr>
      <w:r>
        <w:rPr>
          <w:rFonts w:hint="default"/>
          <w:color w:val="auto"/>
        </w:rPr>
        <w:t>表</w:t>
      </w:r>
      <w:r>
        <w:rPr>
          <w:rFonts w:hint="eastAsia"/>
          <w:color w:val="auto"/>
          <w:lang w:val="en-US" w:eastAsia="zh-CN"/>
        </w:rPr>
        <w:t>4.1-1</w:t>
      </w:r>
      <w:r>
        <w:rPr>
          <w:rFonts w:hint="default"/>
          <w:color w:val="auto"/>
        </w:rPr>
        <w:t xml:space="preserve">  </w:t>
      </w:r>
      <w:r>
        <w:rPr>
          <w:rFonts w:hint="eastAsia"/>
          <w:color w:val="auto"/>
          <w:lang w:val="en-US" w:eastAsia="zh-CN"/>
        </w:rPr>
        <w:t>克拉玛依乌尔禾</w:t>
      </w:r>
      <w:r>
        <w:rPr>
          <w:rFonts w:hint="default"/>
          <w:color w:val="auto"/>
        </w:rPr>
        <w:t>区域常规气象资料统计</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440"/>
        <w:gridCol w:w="4243"/>
        <w:gridCol w:w="1184"/>
        <w:gridCol w:w="1713"/>
      </w:tblGrid>
      <w:tr w14:paraId="49EF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99" w:type="pct"/>
            <w:gridSpan w:val="3"/>
            <w:vAlign w:val="center"/>
          </w:tcPr>
          <w:p w14:paraId="52B5C0B9">
            <w:pPr>
              <w:pStyle w:val="49"/>
              <w:adjustRightInd/>
              <w:snapToGrid/>
              <w:spacing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 目 名 称</w:t>
            </w:r>
          </w:p>
        </w:tc>
        <w:tc>
          <w:tcPr>
            <w:tcW w:w="695" w:type="pct"/>
            <w:vAlign w:val="center"/>
          </w:tcPr>
          <w:p w14:paraId="0E80F1F7">
            <w:pPr>
              <w:pStyle w:val="49"/>
              <w:adjustRightInd/>
              <w:snapToGrid/>
              <w:spacing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  位</w:t>
            </w:r>
          </w:p>
        </w:tc>
        <w:tc>
          <w:tcPr>
            <w:tcW w:w="1005" w:type="pct"/>
            <w:vAlign w:val="center"/>
          </w:tcPr>
          <w:p w14:paraId="287A4F20">
            <w:pPr>
              <w:pStyle w:val="49"/>
              <w:adjustRightInd/>
              <w:snapToGrid/>
              <w:spacing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  值</w:t>
            </w:r>
          </w:p>
        </w:tc>
      </w:tr>
      <w:tr w14:paraId="1AE5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09" w:type="pct"/>
            <w:gridSpan w:val="2"/>
            <w:vMerge w:val="restart"/>
            <w:vAlign w:val="center"/>
          </w:tcPr>
          <w:p w14:paraId="62A79DE3">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气温</w:t>
            </w:r>
          </w:p>
        </w:tc>
        <w:tc>
          <w:tcPr>
            <w:tcW w:w="2489" w:type="pct"/>
            <w:vAlign w:val="center"/>
          </w:tcPr>
          <w:p w14:paraId="6A1836FB">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最冷月平均</w:t>
            </w:r>
          </w:p>
        </w:tc>
        <w:tc>
          <w:tcPr>
            <w:tcW w:w="695" w:type="pct"/>
            <w:vAlign w:val="center"/>
          </w:tcPr>
          <w:p w14:paraId="0654D051">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1E7D71AF">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6.7</w:t>
            </w:r>
          </w:p>
        </w:tc>
      </w:tr>
      <w:tr w14:paraId="56A3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765795E4">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3A3DC9C3">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最热月平均</w:t>
            </w:r>
          </w:p>
        </w:tc>
        <w:tc>
          <w:tcPr>
            <w:tcW w:w="695" w:type="pct"/>
            <w:vAlign w:val="center"/>
          </w:tcPr>
          <w:p w14:paraId="146EDC46">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07631E28">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27.4</w:t>
            </w:r>
          </w:p>
        </w:tc>
      </w:tr>
      <w:tr w14:paraId="0E50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03FA0EC5">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360D5A70">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 端 最 高</w:t>
            </w:r>
          </w:p>
        </w:tc>
        <w:tc>
          <w:tcPr>
            <w:tcW w:w="695" w:type="pct"/>
            <w:vAlign w:val="center"/>
          </w:tcPr>
          <w:p w14:paraId="4424E475">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0608CDBC">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43.8</w:t>
            </w:r>
          </w:p>
        </w:tc>
      </w:tr>
      <w:tr w14:paraId="064A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400FDE57">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23E6EC04">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 端 最 低</w:t>
            </w:r>
          </w:p>
        </w:tc>
        <w:tc>
          <w:tcPr>
            <w:tcW w:w="695" w:type="pct"/>
            <w:vAlign w:val="center"/>
          </w:tcPr>
          <w:p w14:paraId="00F13CBF">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3840E0F4">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-40.2</w:t>
            </w:r>
          </w:p>
        </w:tc>
      </w:tr>
      <w:tr w14:paraId="7F77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6B60DF2F">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4D7A8C04">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  平  均</w:t>
            </w:r>
          </w:p>
        </w:tc>
        <w:tc>
          <w:tcPr>
            <w:tcW w:w="695" w:type="pct"/>
            <w:vAlign w:val="center"/>
          </w:tcPr>
          <w:p w14:paraId="2FFFC620">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42FCA6C8">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8.4</w:t>
            </w:r>
          </w:p>
        </w:tc>
      </w:tr>
      <w:tr w14:paraId="6E73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restart"/>
            <w:vAlign w:val="center"/>
          </w:tcPr>
          <w:p w14:paraId="7664D7CD">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设计计算用</w:t>
            </w:r>
          </w:p>
          <w:p w14:paraId="7C9D167B">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采暖期天数</w:t>
            </w:r>
          </w:p>
        </w:tc>
        <w:tc>
          <w:tcPr>
            <w:tcW w:w="2489" w:type="pct"/>
            <w:vAlign w:val="center"/>
          </w:tcPr>
          <w:p w14:paraId="583C1AF2">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日平均温度≥</w:t>
            </w:r>
            <w:r>
              <w:rPr>
                <w:rFonts w:hint="default" w:ascii="Times New Roman" w:hAnsi="Times New Roman" w:cs="Times New Roman"/>
                <w:color w:val="auto"/>
                <w:sz w:val="21"/>
                <w:szCs w:val="21"/>
                <w:lang w:val="en-US" w:eastAsia="zh-CN"/>
              </w:rPr>
              <w:t>30℃天数</w:t>
            </w:r>
          </w:p>
        </w:tc>
        <w:tc>
          <w:tcPr>
            <w:tcW w:w="695" w:type="pct"/>
            <w:vAlign w:val="center"/>
          </w:tcPr>
          <w:p w14:paraId="1F9B0F20">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w:t>
            </w:r>
          </w:p>
        </w:tc>
        <w:tc>
          <w:tcPr>
            <w:tcW w:w="1005" w:type="pct"/>
            <w:vAlign w:val="center"/>
          </w:tcPr>
          <w:p w14:paraId="3EAD96FC">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r>
      <w:tr w14:paraId="254A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3A9AC139">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489" w:type="pct"/>
            <w:vAlign w:val="center"/>
          </w:tcPr>
          <w:p w14:paraId="0EC1C6F0">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日平均温度≤</w:t>
            </w:r>
            <w:r>
              <w:rPr>
                <w:rFonts w:hint="default" w:ascii="Times New Roman" w:hAnsi="Times New Roman" w:cs="Times New Roman"/>
                <w:color w:val="auto"/>
                <w:sz w:val="21"/>
                <w:szCs w:val="21"/>
                <w:lang w:val="en-US" w:eastAsia="zh-CN"/>
              </w:rPr>
              <w:t>5℃天数</w:t>
            </w:r>
          </w:p>
        </w:tc>
        <w:tc>
          <w:tcPr>
            <w:tcW w:w="695" w:type="pct"/>
            <w:vAlign w:val="center"/>
          </w:tcPr>
          <w:p w14:paraId="2BBE537B">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w:t>
            </w:r>
          </w:p>
        </w:tc>
        <w:tc>
          <w:tcPr>
            <w:tcW w:w="1005" w:type="pct"/>
            <w:vAlign w:val="center"/>
          </w:tcPr>
          <w:p w14:paraId="571698E8">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150\-9.3</w:t>
            </w:r>
          </w:p>
        </w:tc>
      </w:tr>
      <w:tr w14:paraId="11BA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56053197">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489" w:type="pct"/>
            <w:vAlign w:val="center"/>
          </w:tcPr>
          <w:p w14:paraId="21AD0848">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日平均温度≤</w:t>
            </w:r>
            <w:r>
              <w:rPr>
                <w:rFonts w:hint="default" w:ascii="Times New Roman" w:hAnsi="Times New Roman" w:cs="Times New Roman"/>
                <w:color w:val="auto"/>
                <w:sz w:val="21"/>
                <w:szCs w:val="21"/>
                <w:lang w:val="en-US" w:eastAsia="zh-CN"/>
              </w:rPr>
              <w:t>8℃天数</w:t>
            </w:r>
          </w:p>
        </w:tc>
        <w:tc>
          <w:tcPr>
            <w:tcW w:w="695" w:type="pct"/>
            <w:vAlign w:val="center"/>
          </w:tcPr>
          <w:p w14:paraId="65D9149F">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w:t>
            </w:r>
          </w:p>
        </w:tc>
        <w:tc>
          <w:tcPr>
            <w:tcW w:w="1005" w:type="pct"/>
            <w:vAlign w:val="center"/>
          </w:tcPr>
          <w:p w14:paraId="3C03F3E1">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164\-8</w:t>
            </w:r>
          </w:p>
        </w:tc>
      </w:tr>
      <w:tr w14:paraId="4B21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51" w:type="pct"/>
            <w:vMerge w:val="restart"/>
            <w:vAlign w:val="center"/>
          </w:tcPr>
          <w:p w14:paraId="56D1F685">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室外计算（干球）温度</w:t>
            </w:r>
          </w:p>
        </w:tc>
        <w:tc>
          <w:tcPr>
            <w:tcW w:w="258" w:type="pct"/>
            <w:vMerge w:val="restart"/>
            <w:vAlign w:val="center"/>
          </w:tcPr>
          <w:p w14:paraId="29739A5B">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冬季</w:t>
            </w:r>
          </w:p>
        </w:tc>
        <w:tc>
          <w:tcPr>
            <w:tcW w:w="2489" w:type="pct"/>
            <w:vAlign w:val="center"/>
          </w:tcPr>
          <w:p w14:paraId="31469F0E">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采暖（冬季采用每年平均不保证</w:t>
            </w:r>
            <w:r>
              <w:rPr>
                <w:rFonts w:hint="default" w:ascii="Times New Roman" w:hAnsi="Times New Roman" w:cs="Times New Roman"/>
                <w:color w:val="auto"/>
                <w:sz w:val="21"/>
                <w:szCs w:val="21"/>
                <w:lang w:val="en-US" w:eastAsia="zh-CN"/>
              </w:rPr>
              <w:t>5天的日平均温度</w:t>
            </w:r>
            <w:r>
              <w:rPr>
                <w:rFonts w:hint="default" w:ascii="Times New Roman" w:hAnsi="Times New Roman" w:cs="Times New Roman"/>
                <w:color w:val="auto"/>
                <w:sz w:val="21"/>
                <w:szCs w:val="21"/>
                <w:lang w:eastAsia="zh-CN"/>
              </w:rPr>
              <w:t>）</w:t>
            </w:r>
          </w:p>
        </w:tc>
        <w:tc>
          <w:tcPr>
            <w:tcW w:w="695" w:type="pct"/>
            <w:vAlign w:val="center"/>
          </w:tcPr>
          <w:p w14:paraId="6F29FEB6">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p>
        </w:tc>
        <w:tc>
          <w:tcPr>
            <w:tcW w:w="1005" w:type="pct"/>
            <w:vAlign w:val="center"/>
          </w:tcPr>
          <w:p w14:paraId="2C7FBA67">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w:t>
            </w:r>
          </w:p>
        </w:tc>
      </w:tr>
      <w:tr w14:paraId="1721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51" w:type="pct"/>
            <w:vMerge w:val="continue"/>
            <w:vAlign w:val="center"/>
          </w:tcPr>
          <w:p w14:paraId="360E6051">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58" w:type="pct"/>
            <w:vMerge w:val="continue"/>
            <w:vAlign w:val="center"/>
          </w:tcPr>
          <w:p w14:paraId="67F8F77A">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489" w:type="pct"/>
            <w:vAlign w:val="center"/>
          </w:tcPr>
          <w:p w14:paraId="2BC0255B">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空调（采用每年平均不保证</w:t>
            </w:r>
            <w:r>
              <w:rPr>
                <w:rFonts w:hint="default" w:ascii="Times New Roman" w:hAnsi="Times New Roman" w:cs="Times New Roman"/>
                <w:color w:val="auto"/>
                <w:sz w:val="21"/>
                <w:szCs w:val="21"/>
                <w:lang w:val="en-US" w:eastAsia="zh-CN"/>
              </w:rPr>
              <w:t>1天的日平均温度</w:t>
            </w:r>
            <w:r>
              <w:rPr>
                <w:rFonts w:hint="default" w:ascii="Times New Roman" w:hAnsi="Times New Roman" w:cs="Times New Roman"/>
                <w:color w:val="auto"/>
                <w:sz w:val="21"/>
                <w:szCs w:val="21"/>
                <w:lang w:eastAsia="zh-CN"/>
              </w:rPr>
              <w:t>）</w:t>
            </w:r>
          </w:p>
        </w:tc>
        <w:tc>
          <w:tcPr>
            <w:tcW w:w="695" w:type="pct"/>
            <w:vAlign w:val="center"/>
          </w:tcPr>
          <w:p w14:paraId="61D3916B">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p>
        </w:tc>
        <w:tc>
          <w:tcPr>
            <w:tcW w:w="1005" w:type="pct"/>
            <w:vAlign w:val="center"/>
          </w:tcPr>
          <w:p w14:paraId="64B5EDCA">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-14.5</w:t>
            </w:r>
          </w:p>
        </w:tc>
      </w:tr>
      <w:tr w14:paraId="798F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51" w:type="pct"/>
            <w:vMerge w:val="continue"/>
            <w:vAlign w:val="center"/>
          </w:tcPr>
          <w:p w14:paraId="4CF0155B">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58" w:type="pct"/>
            <w:vMerge w:val="continue"/>
            <w:vAlign w:val="center"/>
          </w:tcPr>
          <w:p w14:paraId="7B9DCB24">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489" w:type="pct"/>
            <w:vAlign w:val="center"/>
          </w:tcPr>
          <w:p w14:paraId="3D59E166">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最低的日平均温度</w:t>
            </w:r>
          </w:p>
        </w:tc>
        <w:tc>
          <w:tcPr>
            <w:tcW w:w="695" w:type="pct"/>
            <w:vAlign w:val="center"/>
          </w:tcPr>
          <w:p w14:paraId="0E004CEF">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05" w:type="pct"/>
            <w:vAlign w:val="center"/>
          </w:tcPr>
          <w:p w14:paraId="06D8FD35">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-28.2</w:t>
            </w:r>
          </w:p>
        </w:tc>
      </w:tr>
      <w:tr w14:paraId="7C51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51" w:type="pct"/>
            <w:vMerge w:val="continue"/>
            <w:vAlign w:val="center"/>
          </w:tcPr>
          <w:p w14:paraId="3AE65E8C">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58" w:type="pct"/>
            <w:vMerge w:val="restart"/>
            <w:vAlign w:val="center"/>
          </w:tcPr>
          <w:p w14:paraId="72CFDA67">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夏季</w:t>
            </w:r>
          </w:p>
        </w:tc>
        <w:tc>
          <w:tcPr>
            <w:tcW w:w="2489" w:type="pct"/>
            <w:vAlign w:val="center"/>
          </w:tcPr>
          <w:p w14:paraId="05668CB9">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通风（采用每年最热月</w:t>
            </w:r>
            <w:r>
              <w:rPr>
                <w:rFonts w:hint="default" w:ascii="Times New Roman" w:hAnsi="Times New Roman" w:cs="Times New Roman"/>
                <w:color w:val="auto"/>
                <w:sz w:val="21"/>
                <w:szCs w:val="21"/>
                <w:lang w:val="en-US" w:eastAsia="zh-CN"/>
              </w:rPr>
              <w:t>14时的月平均温度的平均值</w:t>
            </w:r>
            <w:r>
              <w:rPr>
                <w:rFonts w:hint="default" w:ascii="Times New Roman" w:hAnsi="Times New Roman" w:cs="Times New Roman"/>
                <w:color w:val="auto"/>
                <w:sz w:val="21"/>
                <w:szCs w:val="21"/>
                <w:lang w:eastAsia="zh-CN"/>
              </w:rPr>
              <w:t>）</w:t>
            </w:r>
          </w:p>
        </w:tc>
        <w:tc>
          <w:tcPr>
            <w:tcW w:w="695" w:type="pct"/>
            <w:vAlign w:val="center"/>
          </w:tcPr>
          <w:p w14:paraId="3794F15B">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p>
        </w:tc>
        <w:tc>
          <w:tcPr>
            <w:tcW w:w="1005" w:type="pct"/>
            <w:vAlign w:val="center"/>
          </w:tcPr>
          <w:p w14:paraId="47D775B8">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31.2</w:t>
            </w:r>
          </w:p>
        </w:tc>
      </w:tr>
      <w:tr w14:paraId="7B14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51" w:type="pct"/>
            <w:vMerge w:val="continue"/>
            <w:vAlign w:val="center"/>
          </w:tcPr>
          <w:p w14:paraId="047A8D2D">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58" w:type="pct"/>
            <w:vMerge w:val="continue"/>
            <w:vAlign w:val="center"/>
          </w:tcPr>
          <w:p w14:paraId="2E9C5B79">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489" w:type="pct"/>
            <w:vAlign w:val="center"/>
          </w:tcPr>
          <w:p w14:paraId="69B66C49">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空调（采用每年平均不保证</w:t>
            </w:r>
            <w:r>
              <w:rPr>
                <w:rFonts w:hint="default" w:ascii="Times New Roman" w:hAnsi="Times New Roman" w:cs="Times New Roman"/>
                <w:color w:val="auto"/>
                <w:sz w:val="21"/>
                <w:szCs w:val="21"/>
                <w:lang w:val="en-US" w:eastAsia="zh-CN"/>
              </w:rPr>
              <w:t>50小时的干球温度</w:t>
            </w:r>
            <w:r>
              <w:rPr>
                <w:rFonts w:hint="default" w:ascii="Times New Roman" w:hAnsi="Times New Roman" w:cs="Times New Roman"/>
                <w:color w:val="auto"/>
                <w:sz w:val="21"/>
                <w:szCs w:val="21"/>
                <w:lang w:eastAsia="zh-CN"/>
              </w:rPr>
              <w:t>）</w:t>
            </w:r>
          </w:p>
        </w:tc>
        <w:tc>
          <w:tcPr>
            <w:tcW w:w="695" w:type="pct"/>
            <w:vAlign w:val="center"/>
          </w:tcPr>
          <w:p w14:paraId="209C7C92">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p>
        </w:tc>
        <w:tc>
          <w:tcPr>
            <w:tcW w:w="1005" w:type="pct"/>
            <w:vAlign w:val="center"/>
          </w:tcPr>
          <w:p w14:paraId="4029AC8A">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25.2</w:t>
            </w:r>
          </w:p>
        </w:tc>
      </w:tr>
      <w:tr w14:paraId="4DB9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51" w:type="pct"/>
            <w:vMerge w:val="continue"/>
            <w:vAlign w:val="center"/>
          </w:tcPr>
          <w:p w14:paraId="076AB8A7">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58" w:type="pct"/>
            <w:vMerge w:val="continue"/>
            <w:vAlign w:val="center"/>
          </w:tcPr>
          <w:p w14:paraId="1761770D">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489" w:type="pct"/>
            <w:vAlign w:val="center"/>
          </w:tcPr>
          <w:p w14:paraId="08B51484">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空调日平均（采用每年平均不保证</w:t>
            </w:r>
            <w:r>
              <w:rPr>
                <w:rFonts w:hint="default" w:ascii="Times New Roman" w:hAnsi="Times New Roman" w:cs="Times New Roman"/>
                <w:color w:val="auto"/>
                <w:sz w:val="21"/>
                <w:szCs w:val="21"/>
                <w:lang w:val="en-US" w:eastAsia="zh-CN"/>
              </w:rPr>
              <w:t>5天的日平均温度</w:t>
            </w:r>
            <w:r>
              <w:rPr>
                <w:rFonts w:hint="default" w:ascii="Times New Roman" w:hAnsi="Times New Roman" w:cs="Times New Roman"/>
                <w:color w:val="auto"/>
                <w:sz w:val="21"/>
                <w:szCs w:val="21"/>
                <w:lang w:eastAsia="zh-CN"/>
              </w:rPr>
              <w:t>）</w:t>
            </w:r>
          </w:p>
        </w:tc>
        <w:tc>
          <w:tcPr>
            <w:tcW w:w="695" w:type="pct"/>
            <w:vAlign w:val="center"/>
          </w:tcPr>
          <w:p w14:paraId="7E16D0DB">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p>
        </w:tc>
        <w:tc>
          <w:tcPr>
            <w:tcW w:w="1005" w:type="pct"/>
            <w:vAlign w:val="center"/>
          </w:tcPr>
          <w:p w14:paraId="10557E66">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25.1</w:t>
            </w:r>
          </w:p>
        </w:tc>
      </w:tr>
      <w:tr w14:paraId="597C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51" w:type="pct"/>
            <w:vMerge w:val="continue"/>
            <w:vAlign w:val="center"/>
          </w:tcPr>
          <w:p w14:paraId="0372C17A">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58" w:type="pct"/>
            <w:vMerge w:val="continue"/>
            <w:vAlign w:val="center"/>
          </w:tcPr>
          <w:p w14:paraId="1DEECBC8">
            <w:pPr>
              <w:pStyle w:val="49"/>
              <w:adjustRightInd/>
              <w:snapToGrid/>
              <w:spacing w:line="240" w:lineRule="auto"/>
              <w:ind w:firstLine="0"/>
              <w:jc w:val="center"/>
              <w:rPr>
                <w:rFonts w:hint="default" w:ascii="Times New Roman" w:hAnsi="Times New Roman" w:cs="Times New Roman"/>
                <w:color w:val="auto"/>
                <w:sz w:val="21"/>
                <w:szCs w:val="21"/>
                <w:lang w:eastAsia="zh-CN"/>
              </w:rPr>
            </w:pPr>
          </w:p>
        </w:tc>
        <w:tc>
          <w:tcPr>
            <w:tcW w:w="2489" w:type="pct"/>
            <w:vAlign w:val="center"/>
          </w:tcPr>
          <w:p w14:paraId="7A4233F2">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日较差</w:t>
            </w:r>
            <w:r>
              <w:rPr>
                <w:rFonts w:hint="default" w:ascii="Times New Roman" w:hAnsi="Times New Roman" w:cs="Times New Roman"/>
                <w:color w:val="auto"/>
                <w:sz w:val="21"/>
                <w:szCs w:val="21"/>
                <w:lang w:val="en-US" w:eastAsia="zh-CN"/>
              </w:rPr>
              <w:t>[（室外计算干球温度-室外空调日平均温度）/0.52]</w:t>
            </w:r>
          </w:p>
        </w:tc>
        <w:tc>
          <w:tcPr>
            <w:tcW w:w="695" w:type="pct"/>
            <w:vAlign w:val="center"/>
          </w:tcPr>
          <w:p w14:paraId="13B8E978">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p>
        </w:tc>
        <w:tc>
          <w:tcPr>
            <w:tcW w:w="1005" w:type="pct"/>
            <w:vAlign w:val="center"/>
          </w:tcPr>
          <w:p w14:paraId="3F1065F6">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w:t>
            </w:r>
          </w:p>
        </w:tc>
      </w:tr>
      <w:tr w14:paraId="4273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09" w:type="pct"/>
            <w:gridSpan w:val="2"/>
            <w:vMerge w:val="restart"/>
            <w:vAlign w:val="center"/>
          </w:tcPr>
          <w:p w14:paraId="6DDCB3F6">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室外计算</w:t>
            </w:r>
          </w:p>
          <w:p w14:paraId="6A7838AF">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相对湿度</w:t>
            </w:r>
          </w:p>
        </w:tc>
        <w:tc>
          <w:tcPr>
            <w:tcW w:w="2489" w:type="pct"/>
            <w:vAlign w:val="center"/>
          </w:tcPr>
          <w:p w14:paraId="5E0E03C1">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最冷月</w:t>
            </w:r>
          </w:p>
        </w:tc>
        <w:tc>
          <w:tcPr>
            <w:tcW w:w="695" w:type="pct"/>
            <w:vAlign w:val="center"/>
          </w:tcPr>
          <w:p w14:paraId="5290F7D4">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2F927970">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r>
      <w:tr w14:paraId="0F0B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6EDD4017">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2CD5DB9A">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最热月</w:t>
            </w:r>
          </w:p>
        </w:tc>
        <w:tc>
          <w:tcPr>
            <w:tcW w:w="695" w:type="pct"/>
            <w:vAlign w:val="center"/>
          </w:tcPr>
          <w:p w14:paraId="63BB9A5F">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66D6EF1C">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41</w:t>
            </w:r>
          </w:p>
        </w:tc>
      </w:tr>
      <w:tr w14:paraId="641F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07F42977">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7ADFDE58">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最热月</w:t>
            </w:r>
            <w:r>
              <w:rPr>
                <w:rFonts w:hint="default" w:ascii="Times New Roman" w:hAnsi="Times New Roman" w:cs="Times New Roman"/>
                <w:color w:val="auto"/>
                <w:sz w:val="21"/>
                <w:szCs w:val="21"/>
                <w:lang w:val="en-US" w:eastAsia="zh-CN"/>
              </w:rPr>
              <w:t>14时平均</w:t>
            </w:r>
          </w:p>
        </w:tc>
        <w:tc>
          <w:tcPr>
            <w:tcW w:w="695" w:type="pct"/>
            <w:vAlign w:val="center"/>
          </w:tcPr>
          <w:p w14:paraId="7D9B9727">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581665E3">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w:t>
            </w:r>
          </w:p>
        </w:tc>
      </w:tr>
      <w:tr w14:paraId="1CC2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9" w:type="pct"/>
            <w:gridSpan w:val="2"/>
            <w:vMerge w:val="restart"/>
            <w:vAlign w:val="center"/>
          </w:tcPr>
          <w:p w14:paraId="5AE4B600">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平均风速</w:t>
            </w:r>
          </w:p>
        </w:tc>
        <w:tc>
          <w:tcPr>
            <w:tcW w:w="2489" w:type="pct"/>
            <w:vAlign w:val="center"/>
          </w:tcPr>
          <w:p w14:paraId="18730BAE">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冬      季</w:t>
            </w:r>
          </w:p>
        </w:tc>
        <w:tc>
          <w:tcPr>
            <w:tcW w:w="695" w:type="pct"/>
            <w:vAlign w:val="center"/>
          </w:tcPr>
          <w:p w14:paraId="256E0DB0">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m/s</w:t>
            </w:r>
          </w:p>
        </w:tc>
        <w:tc>
          <w:tcPr>
            <w:tcW w:w="1005" w:type="pct"/>
            <w:vAlign w:val="center"/>
          </w:tcPr>
          <w:p w14:paraId="031F3C3D">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0.9</w:t>
            </w:r>
          </w:p>
        </w:tc>
      </w:tr>
      <w:tr w14:paraId="3CCC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4A9BC86F">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72ECE6D1">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     季</w:t>
            </w:r>
          </w:p>
        </w:tc>
        <w:tc>
          <w:tcPr>
            <w:tcW w:w="695" w:type="pct"/>
            <w:vAlign w:val="center"/>
          </w:tcPr>
          <w:p w14:paraId="1BB5D87F">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m/s</w:t>
            </w:r>
          </w:p>
        </w:tc>
        <w:tc>
          <w:tcPr>
            <w:tcW w:w="1005" w:type="pct"/>
            <w:vAlign w:val="center"/>
          </w:tcPr>
          <w:p w14:paraId="12D3CCC9">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r>
      <w:tr w14:paraId="6323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14A06685">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37C0DF44">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  平  均</w:t>
            </w:r>
          </w:p>
        </w:tc>
        <w:tc>
          <w:tcPr>
            <w:tcW w:w="695" w:type="pct"/>
            <w:vAlign w:val="center"/>
          </w:tcPr>
          <w:p w14:paraId="3B1C3BA5">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m/s</w:t>
            </w:r>
          </w:p>
        </w:tc>
        <w:tc>
          <w:tcPr>
            <w:tcW w:w="1005" w:type="pct"/>
            <w:vAlign w:val="center"/>
          </w:tcPr>
          <w:p w14:paraId="25B924D3">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w:t>
            </w:r>
          </w:p>
        </w:tc>
      </w:tr>
      <w:tr w14:paraId="3CFF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9" w:type="pct"/>
            <w:gridSpan w:val="2"/>
            <w:vMerge w:val="restart"/>
            <w:vAlign w:val="center"/>
          </w:tcPr>
          <w:p w14:paraId="57742C16">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最多风向</w:t>
            </w:r>
          </w:p>
          <w:p w14:paraId="57E00D6F">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及其</w:t>
            </w:r>
            <w:r>
              <w:rPr>
                <w:rFonts w:hint="default" w:ascii="Times New Roman" w:hAnsi="Times New Roman" w:cs="Times New Roman"/>
                <w:color w:val="auto"/>
                <w:sz w:val="21"/>
                <w:szCs w:val="21"/>
              </w:rPr>
              <w:t>频率</w:t>
            </w:r>
          </w:p>
        </w:tc>
        <w:tc>
          <w:tcPr>
            <w:tcW w:w="2489" w:type="pct"/>
            <w:vAlign w:val="center"/>
          </w:tcPr>
          <w:p w14:paraId="621C032C">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冬      季</w:t>
            </w:r>
          </w:p>
        </w:tc>
        <w:tc>
          <w:tcPr>
            <w:tcW w:w="695" w:type="pct"/>
            <w:vAlign w:val="center"/>
          </w:tcPr>
          <w:p w14:paraId="2E77B68A">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400F14ED">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w:t>
            </w:r>
            <w:r>
              <w:rPr>
                <w:rFonts w:hint="default" w:ascii="Times New Roman" w:hAnsi="Times New Roman" w:cs="Times New Roman"/>
                <w:color w:val="auto"/>
                <w:sz w:val="21"/>
                <w:szCs w:val="21"/>
              </w:rPr>
              <w:t>NW</w:t>
            </w:r>
            <w:r>
              <w:rPr>
                <w:rFonts w:hint="default" w:ascii="Times New Roman" w:hAnsi="Times New Roman" w:cs="Times New Roman"/>
                <w:color w:val="auto"/>
                <w:sz w:val="21"/>
                <w:szCs w:val="21"/>
                <w:lang w:val="en-US" w:eastAsia="zh-CN"/>
              </w:rPr>
              <w:t>11</w:t>
            </w:r>
          </w:p>
        </w:tc>
      </w:tr>
      <w:tr w14:paraId="36E8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68D05493">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7862922D">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      季</w:t>
            </w:r>
          </w:p>
        </w:tc>
        <w:tc>
          <w:tcPr>
            <w:tcW w:w="695" w:type="pct"/>
            <w:vAlign w:val="center"/>
          </w:tcPr>
          <w:p w14:paraId="3A933F2D">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74D65295">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w:t>
            </w:r>
            <w:r>
              <w:rPr>
                <w:rFonts w:hint="default" w:ascii="Times New Roman" w:hAnsi="Times New Roman" w:cs="Times New Roman"/>
                <w:color w:val="auto"/>
                <w:sz w:val="21"/>
                <w:szCs w:val="21"/>
              </w:rPr>
              <w:t>NW</w:t>
            </w:r>
            <w:r>
              <w:rPr>
                <w:rFonts w:hint="default" w:ascii="Times New Roman" w:hAnsi="Times New Roman" w:cs="Times New Roman"/>
                <w:color w:val="auto"/>
                <w:sz w:val="21"/>
                <w:szCs w:val="21"/>
                <w:lang w:val="en-US" w:eastAsia="zh-CN"/>
              </w:rPr>
              <w:t>15</w:t>
            </w:r>
          </w:p>
        </w:tc>
      </w:tr>
      <w:tr w14:paraId="17CD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6B5D4180">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4FCB7B30">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全年最多</w:t>
            </w:r>
          </w:p>
        </w:tc>
        <w:tc>
          <w:tcPr>
            <w:tcW w:w="695" w:type="pct"/>
            <w:vAlign w:val="center"/>
          </w:tcPr>
          <w:p w14:paraId="0F72D3D3">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6B4A824F">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w:t>
            </w:r>
            <w:r>
              <w:rPr>
                <w:rFonts w:hint="default" w:ascii="Times New Roman" w:hAnsi="Times New Roman" w:cs="Times New Roman"/>
                <w:color w:val="auto"/>
                <w:sz w:val="21"/>
                <w:szCs w:val="21"/>
              </w:rPr>
              <w:t>NW</w:t>
            </w:r>
            <w:r>
              <w:rPr>
                <w:rFonts w:hint="default" w:ascii="Times New Roman" w:hAnsi="Times New Roman" w:cs="Times New Roman"/>
                <w:color w:val="auto"/>
                <w:sz w:val="21"/>
                <w:szCs w:val="21"/>
                <w:lang w:val="en-US" w:eastAsia="zh-CN"/>
              </w:rPr>
              <w:t>9</w:t>
            </w:r>
          </w:p>
        </w:tc>
      </w:tr>
      <w:tr w14:paraId="21F1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restart"/>
            <w:vAlign w:val="center"/>
          </w:tcPr>
          <w:p w14:paraId="751371BB">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极大风速及风向</w:t>
            </w:r>
          </w:p>
        </w:tc>
        <w:tc>
          <w:tcPr>
            <w:tcW w:w="2489" w:type="pct"/>
            <w:vAlign w:val="center"/>
          </w:tcPr>
          <w:p w14:paraId="679AD45D">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风速</w:t>
            </w:r>
            <w:r>
              <w:rPr>
                <w:rFonts w:hint="default" w:ascii="Times New Roman" w:hAnsi="Times New Roman" w:cs="Times New Roman"/>
                <w:color w:val="auto"/>
                <w:sz w:val="21"/>
                <w:szCs w:val="21"/>
                <w:lang w:val="en-US" w:eastAsia="zh-CN"/>
              </w:rPr>
              <w:t>/标准风压</w:t>
            </w:r>
          </w:p>
        </w:tc>
        <w:tc>
          <w:tcPr>
            <w:tcW w:w="695" w:type="pct"/>
            <w:vAlign w:val="center"/>
          </w:tcPr>
          <w:p w14:paraId="314BA00A">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m/s/Pa</w:t>
            </w:r>
          </w:p>
        </w:tc>
        <w:tc>
          <w:tcPr>
            <w:tcW w:w="1005" w:type="pct"/>
            <w:vAlign w:val="center"/>
          </w:tcPr>
          <w:p w14:paraId="04D67A92">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32.0</w:t>
            </w:r>
          </w:p>
        </w:tc>
      </w:tr>
      <w:tr w14:paraId="34F0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1E1AAAFB">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p>
        </w:tc>
        <w:tc>
          <w:tcPr>
            <w:tcW w:w="2489" w:type="pct"/>
            <w:vAlign w:val="center"/>
          </w:tcPr>
          <w:p w14:paraId="3948EDD7">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风向</w:t>
            </w:r>
          </w:p>
        </w:tc>
        <w:tc>
          <w:tcPr>
            <w:tcW w:w="695" w:type="pct"/>
            <w:vAlign w:val="center"/>
          </w:tcPr>
          <w:p w14:paraId="57EA9A13">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05" w:type="pct"/>
            <w:vAlign w:val="center"/>
          </w:tcPr>
          <w:p w14:paraId="36003960">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NNW</w:t>
            </w:r>
          </w:p>
        </w:tc>
      </w:tr>
      <w:tr w14:paraId="510D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99" w:type="pct"/>
            <w:gridSpan w:val="3"/>
            <w:vAlign w:val="center"/>
          </w:tcPr>
          <w:p w14:paraId="4930F55A">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最大积雪厚度/雪</w:t>
            </w:r>
            <w:r>
              <w:rPr>
                <w:rFonts w:hint="default" w:ascii="Times New Roman" w:hAnsi="Times New Roman" w:cs="Times New Roman"/>
                <w:color w:val="auto"/>
                <w:sz w:val="21"/>
                <w:szCs w:val="21"/>
                <w:lang w:eastAsia="zh-CN"/>
              </w:rPr>
              <w:t>荷</w:t>
            </w:r>
          </w:p>
        </w:tc>
        <w:tc>
          <w:tcPr>
            <w:tcW w:w="695" w:type="pct"/>
            <w:vAlign w:val="center"/>
          </w:tcPr>
          <w:p w14:paraId="296C2B92">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mm/Pa</w:t>
            </w:r>
          </w:p>
        </w:tc>
        <w:tc>
          <w:tcPr>
            <w:tcW w:w="1005" w:type="pct"/>
            <w:vAlign w:val="center"/>
          </w:tcPr>
          <w:p w14:paraId="7570A1E0">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r>
      <w:tr w14:paraId="361F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99" w:type="pct"/>
            <w:gridSpan w:val="3"/>
            <w:vAlign w:val="center"/>
          </w:tcPr>
          <w:p w14:paraId="7F175C12">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最大冻土深度平均值/极值</w:t>
            </w:r>
          </w:p>
        </w:tc>
        <w:tc>
          <w:tcPr>
            <w:tcW w:w="695" w:type="pct"/>
            <w:vAlign w:val="center"/>
          </w:tcPr>
          <w:p w14:paraId="1598858B">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cm/cm</w:t>
            </w:r>
          </w:p>
        </w:tc>
        <w:tc>
          <w:tcPr>
            <w:tcW w:w="1005" w:type="pct"/>
            <w:vAlign w:val="center"/>
          </w:tcPr>
          <w:p w14:paraId="062DC13C">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117/171</w:t>
            </w:r>
          </w:p>
        </w:tc>
      </w:tr>
      <w:tr w14:paraId="6B59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9" w:type="pct"/>
            <w:gridSpan w:val="2"/>
            <w:vMerge w:val="restart"/>
            <w:vAlign w:val="center"/>
          </w:tcPr>
          <w:p w14:paraId="051636CB">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地下土壤温度</w:t>
            </w:r>
          </w:p>
        </w:tc>
        <w:tc>
          <w:tcPr>
            <w:tcW w:w="2489" w:type="pct"/>
            <w:vAlign w:val="center"/>
          </w:tcPr>
          <w:p w14:paraId="6246B702">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-0.8m处历年各月平均值</w:t>
            </w:r>
          </w:p>
        </w:tc>
        <w:tc>
          <w:tcPr>
            <w:tcW w:w="695" w:type="pct"/>
            <w:vAlign w:val="center"/>
          </w:tcPr>
          <w:p w14:paraId="3DBBF856">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4F4EB8D1">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12.5</w:t>
            </w:r>
          </w:p>
        </w:tc>
      </w:tr>
      <w:tr w14:paraId="7DAD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62A57C29">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2AE3A4FC">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-1.6m处历年各月平均值</w:t>
            </w:r>
          </w:p>
        </w:tc>
        <w:tc>
          <w:tcPr>
            <w:tcW w:w="695" w:type="pct"/>
            <w:vAlign w:val="center"/>
          </w:tcPr>
          <w:p w14:paraId="7F2C4783">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5" w:type="pct"/>
            <w:vAlign w:val="center"/>
          </w:tcPr>
          <w:p w14:paraId="6E484134">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12.</w:t>
            </w:r>
            <w:r>
              <w:rPr>
                <w:rFonts w:hint="default" w:ascii="Times New Roman" w:hAnsi="Times New Roman" w:cs="Times New Roman"/>
                <w:color w:val="auto"/>
                <w:sz w:val="21"/>
                <w:szCs w:val="21"/>
                <w:lang w:val="en-US" w:eastAsia="zh-CN"/>
              </w:rPr>
              <w:t>2</w:t>
            </w:r>
          </w:p>
        </w:tc>
      </w:tr>
      <w:tr w14:paraId="6BC6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299" w:type="pct"/>
            <w:gridSpan w:val="3"/>
            <w:vAlign w:val="center"/>
          </w:tcPr>
          <w:p w14:paraId="41C94E2A">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雷暴日数</w:t>
            </w:r>
          </w:p>
        </w:tc>
        <w:tc>
          <w:tcPr>
            <w:tcW w:w="695" w:type="pct"/>
            <w:vAlign w:val="center"/>
          </w:tcPr>
          <w:p w14:paraId="22838F82">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w:t>
            </w:r>
          </w:p>
        </w:tc>
        <w:tc>
          <w:tcPr>
            <w:tcW w:w="1005" w:type="pct"/>
            <w:vAlign w:val="center"/>
          </w:tcPr>
          <w:p w14:paraId="5BC62F3A">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r>
      <w:tr w14:paraId="337D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299" w:type="pct"/>
            <w:gridSpan w:val="3"/>
            <w:vAlign w:val="center"/>
          </w:tcPr>
          <w:p w14:paraId="748B617A">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沙暴日数</w:t>
            </w:r>
          </w:p>
        </w:tc>
        <w:tc>
          <w:tcPr>
            <w:tcW w:w="695" w:type="pct"/>
            <w:vAlign w:val="center"/>
          </w:tcPr>
          <w:p w14:paraId="137F9E65">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d/a</w:t>
            </w:r>
          </w:p>
        </w:tc>
        <w:tc>
          <w:tcPr>
            <w:tcW w:w="1005" w:type="pct"/>
            <w:vAlign w:val="center"/>
          </w:tcPr>
          <w:p w14:paraId="59E855C3">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r>
      <w:tr w14:paraId="13DF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299" w:type="pct"/>
            <w:gridSpan w:val="3"/>
            <w:vAlign w:val="center"/>
          </w:tcPr>
          <w:p w14:paraId="53B7241E">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有雾日数</w:t>
            </w:r>
          </w:p>
        </w:tc>
        <w:tc>
          <w:tcPr>
            <w:tcW w:w="695" w:type="pct"/>
            <w:vAlign w:val="center"/>
          </w:tcPr>
          <w:p w14:paraId="042E3728">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d/a</w:t>
            </w:r>
          </w:p>
        </w:tc>
        <w:tc>
          <w:tcPr>
            <w:tcW w:w="1005" w:type="pct"/>
            <w:vAlign w:val="center"/>
          </w:tcPr>
          <w:p w14:paraId="7EE603D3">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r>
      <w:tr w14:paraId="2113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299" w:type="pct"/>
            <w:gridSpan w:val="3"/>
            <w:vAlign w:val="center"/>
          </w:tcPr>
          <w:p w14:paraId="02D6A0D8">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年蒸发量</w:t>
            </w:r>
          </w:p>
        </w:tc>
        <w:tc>
          <w:tcPr>
            <w:tcW w:w="695" w:type="pct"/>
            <w:vAlign w:val="center"/>
          </w:tcPr>
          <w:p w14:paraId="75AC0685">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005" w:type="pct"/>
            <w:vAlign w:val="center"/>
          </w:tcPr>
          <w:p w14:paraId="2CE06046">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1819.6</w:t>
            </w:r>
          </w:p>
        </w:tc>
      </w:tr>
      <w:tr w14:paraId="582B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9" w:type="pct"/>
            <w:gridSpan w:val="2"/>
            <w:vMerge w:val="restart"/>
            <w:vAlign w:val="center"/>
          </w:tcPr>
          <w:p w14:paraId="7189DBD9">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大气压力</w:t>
            </w:r>
          </w:p>
        </w:tc>
        <w:tc>
          <w:tcPr>
            <w:tcW w:w="2489" w:type="pct"/>
            <w:vAlign w:val="center"/>
          </w:tcPr>
          <w:p w14:paraId="31176A8D">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冬    季</w:t>
            </w:r>
          </w:p>
        </w:tc>
        <w:tc>
          <w:tcPr>
            <w:tcW w:w="695" w:type="pct"/>
            <w:vAlign w:val="center"/>
          </w:tcPr>
          <w:p w14:paraId="2BF2C752">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102Pa</w:t>
            </w:r>
          </w:p>
        </w:tc>
        <w:tc>
          <w:tcPr>
            <w:tcW w:w="1005" w:type="pct"/>
            <w:vAlign w:val="center"/>
          </w:tcPr>
          <w:p w14:paraId="16D02CAD">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996.3</w:t>
            </w:r>
          </w:p>
        </w:tc>
      </w:tr>
      <w:tr w14:paraId="243F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303B48F9">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4DAF30EA">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    季</w:t>
            </w:r>
          </w:p>
        </w:tc>
        <w:tc>
          <w:tcPr>
            <w:tcW w:w="695" w:type="pct"/>
            <w:vAlign w:val="center"/>
          </w:tcPr>
          <w:p w14:paraId="528DBDA9">
            <w:pPr>
              <w:pStyle w:val="49"/>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102Pa</w:t>
            </w:r>
          </w:p>
        </w:tc>
        <w:tc>
          <w:tcPr>
            <w:tcW w:w="1005" w:type="pct"/>
            <w:vAlign w:val="center"/>
          </w:tcPr>
          <w:p w14:paraId="779EDF33">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76.2</w:t>
            </w:r>
          </w:p>
        </w:tc>
      </w:tr>
      <w:tr w14:paraId="4886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restart"/>
            <w:vAlign w:val="center"/>
          </w:tcPr>
          <w:p w14:paraId="6FA94632">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降水量</w:t>
            </w:r>
          </w:p>
        </w:tc>
        <w:tc>
          <w:tcPr>
            <w:tcW w:w="2489" w:type="pct"/>
            <w:vAlign w:val="center"/>
          </w:tcPr>
          <w:p w14:paraId="6FB27D03">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一日最大值</w:t>
            </w:r>
          </w:p>
        </w:tc>
        <w:tc>
          <w:tcPr>
            <w:tcW w:w="695" w:type="pct"/>
            <w:vAlign w:val="center"/>
          </w:tcPr>
          <w:p w14:paraId="101D3627">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mm</w:t>
            </w:r>
          </w:p>
        </w:tc>
        <w:tc>
          <w:tcPr>
            <w:tcW w:w="1005" w:type="pct"/>
            <w:vAlign w:val="center"/>
          </w:tcPr>
          <w:p w14:paraId="097E3D61">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27.6</w:t>
            </w:r>
          </w:p>
        </w:tc>
      </w:tr>
      <w:tr w14:paraId="4A5F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153946CA">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00F18939">
            <w:pPr>
              <w:pStyle w:val="49"/>
              <w:adjustRightInd/>
              <w:snapToGrid/>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一小时最大值</w:t>
            </w:r>
          </w:p>
        </w:tc>
        <w:tc>
          <w:tcPr>
            <w:tcW w:w="695" w:type="pct"/>
            <w:vAlign w:val="center"/>
          </w:tcPr>
          <w:p w14:paraId="55A746F5">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mm</w:t>
            </w:r>
          </w:p>
        </w:tc>
        <w:tc>
          <w:tcPr>
            <w:tcW w:w="1005" w:type="pct"/>
            <w:vAlign w:val="center"/>
          </w:tcPr>
          <w:p w14:paraId="7C6BE942">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p>
        </w:tc>
      </w:tr>
      <w:tr w14:paraId="3E5A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0120A164">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1BB637DB">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历年平均值</w:t>
            </w:r>
            <w:r>
              <w:rPr>
                <w:rFonts w:hint="default" w:ascii="Times New Roman" w:hAnsi="Times New Roman" w:cs="Times New Roman"/>
                <w:color w:val="auto"/>
                <w:sz w:val="21"/>
                <w:szCs w:val="21"/>
                <w:lang w:val="en-US" w:eastAsia="zh-CN"/>
              </w:rPr>
              <w:t>/极大值</w:t>
            </w:r>
          </w:p>
        </w:tc>
        <w:tc>
          <w:tcPr>
            <w:tcW w:w="695" w:type="pct"/>
            <w:vAlign w:val="center"/>
          </w:tcPr>
          <w:p w14:paraId="29F759BA">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mm/mm</w:t>
            </w:r>
          </w:p>
        </w:tc>
        <w:tc>
          <w:tcPr>
            <w:tcW w:w="1005" w:type="pct"/>
            <w:vAlign w:val="center"/>
          </w:tcPr>
          <w:p w14:paraId="102A5E5F">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58.2/67.0</w:t>
            </w:r>
          </w:p>
        </w:tc>
      </w:tr>
      <w:tr w14:paraId="2AF3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09" w:type="pct"/>
            <w:gridSpan w:val="2"/>
            <w:vMerge w:val="continue"/>
            <w:vAlign w:val="center"/>
          </w:tcPr>
          <w:p w14:paraId="742F49D1">
            <w:pPr>
              <w:pStyle w:val="49"/>
              <w:adjustRightInd/>
              <w:snapToGrid/>
              <w:spacing w:line="240" w:lineRule="auto"/>
              <w:ind w:firstLine="0"/>
              <w:jc w:val="center"/>
              <w:rPr>
                <w:rFonts w:hint="default" w:ascii="Times New Roman" w:hAnsi="Times New Roman" w:cs="Times New Roman"/>
                <w:color w:val="auto"/>
                <w:sz w:val="21"/>
                <w:szCs w:val="21"/>
              </w:rPr>
            </w:pPr>
          </w:p>
        </w:tc>
        <w:tc>
          <w:tcPr>
            <w:tcW w:w="2489" w:type="pct"/>
            <w:vAlign w:val="center"/>
          </w:tcPr>
          <w:p w14:paraId="6C46FB3E">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年降水天数平均值</w:t>
            </w:r>
            <w:r>
              <w:rPr>
                <w:rFonts w:hint="default" w:ascii="Times New Roman" w:hAnsi="Times New Roman" w:cs="Times New Roman"/>
                <w:color w:val="auto"/>
                <w:sz w:val="21"/>
                <w:szCs w:val="21"/>
                <w:lang w:val="en-US" w:eastAsia="zh-CN"/>
              </w:rPr>
              <w:t>/极大值</w:t>
            </w:r>
          </w:p>
        </w:tc>
        <w:tc>
          <w:tcPr>
            <w:tcW w:w="695" w:type="pct"/>
            <w:vAlign w:val="center"/>
          </w:tcPr>
          <w:p w14:paraId="57B638C4">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d/a/d/a</w:t>
            </w:r>
          </w:p>
        </w:tc>
        <w:tc>
          <w:tcPr>
            <w:tcW w:w="1005" w:type="pct"/>
            <w:vAlign w:val="center"/>
          </w:tcPr>
          <w:p w14:paraId="719402E9">
            <w:pPr>
              <w:pStyle w:val="49"/>
              <w:adjustRightInd/>
              <w:snapToGrid/>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32.2/42</w:t>
            </w:r>
          </w:p>
        </w:tc>
      </w:tr>
    </w:tbl>
    <w:p w14:paraId="4EAE1AD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eastAsia="宋体" w:cstheme="minorBidi"/>
          <w:color w:val="auto"/>
          <w:kern w:val="2"/>
          <w:sz w:val="24"/>
          <w:szCs w:val="24"/>
          <w:lang w:val="en-US" w:eastAsia="zh-CN" w:bidi="ar-SA"/>
        </w:rPr>
        <w:t>（2）塔城地区和布克赛尔蒙古自治县</w:t>
      </w:r>
    </w:p>
    <w:p w14:paraId="380976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heme="minorBidi"/>
          <w:color w:val="auto"/>
          <w:kern w:val="2"/>
          <w:sz w:val="24"/>
          <w:szCs w:val="24"/>
          <w:lang w:val="en-US" w:eastAsia="zh-CN" w:bidi="ar-SA"/>
        </w:rPr>
      </w:pPr>
      <w:r>
        <w:rPr>
          <w:rFonts w:hint="default" w:ascii="Times New Roman" w:hAnsi="Times New Roman" w:eastAsia="宋体" w:cs="Times New Roman"/>
          <w:i w:val="0"/>
          <w:iCs w:val="0"/>
          <w:caps w:val="0"/>
          <w:color w:val="auto"/>
          <w:spacing w:val="0"/>
          <w:sz w:val="24"/>
          <w:szCs w:val="24"/>
          <w:shd w:val="clear" w:fill="FFFFFF"/>
        </w:rPr>
        <w:t>和布克赛尔蒙古自治县地处内陆，远离海洋，属大陆性北温带干旱气候，气候特点为冬寒漫长、夏凉短促、无霜期短、降水较少、蒸发旺盛、空气干燥、积雪薄而不稳定，春秋多大风，全年盛行西风。由于纬度及地形的差异，全县分为两个大的不同气候区。北部山地气候区，包括和布克谷地在内，≥10℃的积温在2100℃左右，年平均气温只有3.1℃--3.5℃，无霜期短，仅135天左右；降水量除中山带以上稍多外，一般降水都在150毫米左右；积雪不稳定，有明显的冬季逆温层，有利于牲畜越冬和喜凉作物的生长，但春秋多有偏西大风，常受风灾之害。南部平原气候区，热量丰富，年平均气温7.0℃--7.3℃，≥10℃的积温在3300--3350℃之间，光照充足，无霜期较长达180—190天；降水少，年平均降水只有88.5毫米，蒸发量大；夏季炎热，有干热风之害；冬季严寒，降雪少，积雪薄，不宜种植冬小麦。</w:t>
      </w:r>
      <w:r>
        <w:rPr>
          <w:rFonts w:hint="eastAsia" w:ascii="Times New Roman" w:hAnsi="Times New Roman" w:eastAsia="宋体" w:cstheme="minorBidi"/>
          <w:color w:val="auto"/>
          <w:kern w:val="2"/>
          <w:sz w:val="24"/>
          <w:szCs w:val="24"/>
          <w:lang w:val="en-US" w:eastAsia="zh-CN" w:bidi="ar-SA"/>
        </w:rPr>
        <w:t>主要气象要素如表</w:t>
      </w:r>
      <w:r>
        <w:rPr>
          <w:rFonts w:hint="eastAsia" w:eastAsia="宋体" w:cstheme="minorBidi"/>
          <w:color w:val="auto"/>
          <w:kern w:val="2"/>
          <w:sz w:val="24"/>
          <w:szCs w:val="24"/>
          <w:lang w:val="en-US" w:eastAsia="zh-CN" w:bidi="ar-SA"/>
        </w:rPr>
        <w:t>4</w:t>
      </w:r>
      <w:r>
        <w:rPr>
          <w:rFonts w:hint="default" w:ascii="Times New Roman" w:hAnsi="Times New Roman" w:eastAsia="宋体" w:cstheme="minorBidi"/>
          <w:color w:val="auto"/>
          <w:kern w:val="2"/>
          <w:sz w:val="24"/>
          <w:szCs w:val="24"/>
          <w:lang w:val="en-US" w:eastAsia="zh-CN" w:bidi="ar-SA"/>
        </w:rPr>
        <w:t>.1-</w:t>
      </w:r>
      <w:r>
        <w:rPr>
          <w:rFonts w:hint="eastAsia" w:ascii="Times New Roman" w:hAnsi="Times New Roman" w:eastAsia="宋体" w:cstheme="minorBidi"/>
          <w:color w:val="auto"/>
          <w:kern w:val="2"/>
          <w:sz w:val="24"/>
          <w:szCs w:val="24"/>
          <w:lang w:val="en-US" w:eastAsia="zh-CN" w:bidi="ar-SA"/>
        </w:rPr>
        <w:t>2所示。</w:t>
      </w:r>
    </w:p>
    <w:p w14:paraId="01D3874D">
      <w:pPr>
        <w:pStyle w:val="43"/>
        <w:bidi w:val="0"/>
        <w:rPr>
          <w:rFonts w:hint="default"/>
          <w:color w:val="auto"/>
        </w:rPr>
      </w:pPr>
      <w:r>
        <w:rPr>
          <w:rFonts w:hint="default"/>
          <w:color w:val="auto"/>
        </w:rPr>
        <w:t>表</w:t>
      </w:r>
      <w:r>
        <w:rPr>
          <w:rFonts w:hint="eastAsia"/>
          <w:color w:val="auto"/>
          <w:lang w:val="en-US" w:eastAsia="zh-CN"/>
        </w:rPr>
        <w:t>4.1-2</w:t>
      </w:r>
      <w:r>
        <w:rPr>
          <w:rFonts w:hint="default"/>
          <w:color w:val="auto"/>
        </w:rPr>
        <w:t xml:space="preserve">  </w:t>
      </w:r>
      <w:r>
        <w:rPr>
          <w:rFonts w:hint="eastAsia"/>
          <w:color w:val="auto"/>
          <w:lang w:val="en-US" w:eastAsia="zh-CN"/>
        </w:rPr>
        <w:t>塔城地区和布克赛尔蒙古自治县</w:t>
      </w:r>
      <w:r>
        <w:rPr>
          <w:rFonts w:hint="default"/>
          <w:color w:val="auto"/>
        </w:rPr>
        <w:t>区域常规气象资料统计</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3892"/>
        <w:gridCol w:w="1176"/>
        <w:gridCol w:w="1980"/>
      </w:tblGrid>
      <w:tr w14:paraId="58BC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147" w:type="pct"/>
            <w:gridSpan w:val="2"/>
            <w:noWrap w:val="0"/>
            <w:vAlign w:val="center"/>
          </w:tcPr>
          <w:p w14:paraId="4C458642">
            <w:pPr>
              <w:pStyle w:val="34"/>
              <w:bidi w:val="0"/>
              <w:rPr>
                <w:rFonts w:hint="default"/>
                <w:b/>
                <w:bCs/>
                <w:color w:val="auto"/>
              </w:rPr>
            </w:pPr>
            <w:r>
              <w:rPr>
                <w:rFonts w:hint="default"/>
                <w:b/>
                <w:bCs/>
                <w:color w:val="auto"/>
              </w:rPr>
              <w:t>项  目  名  称</w:t>
            </w:r>
          </w:p>
        </w:tc>
        <w:tc>
          <w:tcPr>
            <w:tcW w:w="690" w:type="pct"/>
            <w:noWrap w:val="0"/>
            <w:vAlign w:val="center"/>
          </w:tcPr>
          <w:p w14:paraId="3F0DE756">
            <w:pPr>
              <w:pStyle w:val="34"/>
              <w:bidi w:val="0"/>
              <w:rPr>
                <w:rFonts w:hint="default"/>
                <w:b/>
                <w:bCs/>
                <w:color w:val="auto"/>
              </w:rPr>
            </w:pPr>
            <w:r>
              <w:rPr>
                <w:rFonts w:hint="default"/>
                <w:b/>
                <w:bCs/>
                <w:color w:val="auto"/>
              </w:rPr>
              <w:t>单  位</w:t>
            </w:r>
          </w:p>
        </w:tc>
        <w:tc>
          <w:tcPr>
            <w:tcW w:w="1162" w:type="pct"/>
            <w:noWrap w:val="0"/>
            <w:vAlign w:val="center"/>
          </w:tcPr>
          <w:p w14:paraId="5ED7A9FF">
            <w:pPr>
              <w:pStyle w:val="34"/>
              <w:bidi w:val="0"/>
              <w:rPr>
                <w:rFonts w:hint="default"/>
                <w:b/>
                <w:bCs/>
                <w:color w:val="auto"/>
              </w:rPr>
            </w:pPr>
            <w:r>
              <w:rPr>
                <w:rFonts w:hint="default"/>
                <w:b/>
                <w:bCs/>
                <w:color w:val="auto"/>
              </w:rPr>
              <w:t>数  值</w:t>
            </w:r>
          </w:p>
        </w:tc>
      </w:tr>
      <w:tr w14:paraId="730D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restart"/>
            <w:noWrap w:val="0"/>
            <w:vAlign w:val="center"/>
          </w:tcPr>
          <w:p w14:paraId="121E320D">
            <w:pPr>
              <w:pStyle w:val="34"/>
              <w:bidi w:val="0"/>
              <w:rPr>
                <w:rFonts w:hint="default"/>
                <w:color w:val="auto"/>
              </w:rPr>
            </w:pPr>
            <w:r>
              <w:rPr>
                <w:rFonts w:hint="default"/>
                <w:color w:val="auto"/>
              </w:rPr>
              <w:t>气温</w:t>
            </w:r>
          </w:p>
        </w:tc>
        <w:tc>
          <w:tcPr>
            <w:tcW w:w="2284" w:type="pct"/>
            <w:noWrap w:val="0"/>
            <w:vAlign w:val="center"/>
          </w:tcPr>
          <w:p w14:paraId="6EE66827">
            <w:pPr>
              <w:pStyle w:val="34"/>
              <w:bidi w:val="0"/>
              <w:rPr>
                <w:rFonts w:hint="default"/>
                <w:color w:val="auto"/>
              </w:rPr>
            </w:pPr>
            <w:r>
              <w:rPr>
                <w:rFonts w:hint="default"/>
                <w:color w:val="auto"/>
              </w:rPr>
              <w:t>最冷月平均</w:t>
            </w:r>
          </w:p>
        </w:tc>
        <w:tc>
          <w:tcPr>
            <w:tcW w:w="690" w:type="pct"/>
            <w:noWrap w:val="0"/>
            <w:vAlign w:val="center"/>
          </w:tcPr>
          <w:p w14:paraId="42DC53E5">
            <w:pPr>
              <w:pStyle w:val="34"/>
              <w:bidi w:val="0"/>
              <w:rPr>
                <w:rFonts w:hint="default"/>
                <w:color w:val="auto"/>
              </w:rPr>
            </w:pPr>
            <w:r>
              <w:rPr>
                <w:rFonts w:hint="default"/>
                <w:color w:val="auto"/>
              </w:rPr>
              <w:t>℃</w:t>
            </w:r>
          </w:p>
        </w:tc>
        <w:tc>
          <w:tcPr>
            <w:tcW w:w="1162" w:type="pct"/>
            <w:noWrap w:val="0"/>
            <w:vAlign w:val="center"/>
          </w:tcPr>
          <w:p w14:paraId="508B54B1">
            <w:pPr>
              <w:pStyle w:val="34"/>
              <w:bidi w:val="0"/>
              <w:rPr>
                <w:rFonts w:hint="default"/>
                <w:color w:val="auto"/>
                <w:lang w:val="en-US" w:eastAsia="zh-CN"/>
              </w:rPr>
            </w:pPr>
            <w:r>
              <w:rPr>
                <w:rFonts w:hint="default"/>
                <w:color w:val="auto"/>
              </w:rPr>
              <w:t>-</w:t>
            </w:r>
            <w:r>
              <w:rPr>
                <w:rFonts w:hint="eastAsia"/>
                <w:color w:val="auto"/>
                <w:lang w:val="en-US" w:eastAsia="zh-CN"/>
              </w:rPr>
              <w:t>20.8</w:t>
            </w:r>
          </w:p>
        </w:tc>
      </w:tr>
      <w:tr w14:paraId="5356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11A07FA7">
            <w:pPr>
              <w:pStyle w:val="34"/>
              <w:bidi w:val="0"/>
              <w:rPr>
                <w:rFonts w:hint="default"/>
                <w:color w:val="auto"/>
              </w:rPr>
            </w:pPr>
          </w:p>
        </w:tc>
        <w:tc>
          <w:tcPr>
            <w:tcW w:w="2284" w:type="pct"/>
            <w:noWrap w:val="0"/>
            <w:vAlign w:val="center"/>
          </w:tcPr>
          <w:p w14:paraId="4D56D36B">
            <w:pPr>
              <w:pStyle w:val="34"/>
              <w:bidi w:val="0"/>
              <w:rPr>
                <w:rFonts w:hint="default"/>
                <w:color w:val="auto"/>
              </w:rPr>
            </w:pPr>
            <w:r>
              <w:rPr>
                <w:rFonts w:hint="default"/>
                <w:color w:val="auto"/>
              </w:rPr>
              <w:t>最热月平均</w:t>
            </w:r>
          </w:p>
        </w:tc>
        <w:tc>
          <w:tcPr>
            <w:tcW w:w="690" w:type="pct"/>
            <w:noWrap w:val="0"/>
            <w:vAlign w:val="center"/>
          </w:tcPr>
          <w:p w14:paraId="1CF8E11C">
            <w:pPr>
              <w:pStyle w:val="34"/>
              <w:bidi w:val="0"/>
              <w:rPr>
                <w:rFonts w:hint="default"/>
                <w:color w:val="auto"/>
              </w:rPr>
            </w:pPr>
            <w:r>
              <w:rPr>
                <w:rFonts w:hint="default"/>
                <w:color w:val="auto"/>
              </w:rPr>
              <w:t>℃</w:t>
            </w:r>
          </w:p>
        </w:tc>
        <w:tc>
          <w:tcPr>
            <w:tcW w:w="1162" w:type="pct"/>
            <w:noWrap w:val="0"/>
            <w:vAlign w:val="center"/>
          </w:tcPr>
          <w:p w14:paraId="6AE65B02">
            <w:pPr>
              <w:pStyle w:val="34"/>
              <w:bidi w:val="0"/>
              <w:rPr>
                <w:rFonts w:hint="eastAsia"/>
                <w:color w:val="auto"/>
                <w:lang w:eastAsia="zh-CN"/>
              </w:rPr>
            </w:pPr>
            <w:r>
              <w:rPr>
                <w:rFonts w:hint="default"/>
                <w:color w:val="auto"/>
              </w:rPr>
              <w:t>27.</w:t>
            </w:r>
            <w:r>
              <w:rPr>
                <w:rFonts w:hint="eastAsia"/>
                <w:color w:val="auto"/>
                <w:lang w:val="en-US" w:eastAsia="zh-CN"/>
              </w:rPr>
              <w:t>7</w:t>
            </w:r>
          </w:p>
        </w:tc>
      </w:tr>
      <w:tr w14:paraId="7CE3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65660B3A">
            <w:pPr>
              <w:pStyle w:val="34"/>
              <w:bidi w:val="0"/>
              <w:rPr>
                <w:rFonts w:hint="default"/>
                <w:color w:val="auto"/>
              </w:rPr>
            </w:pPr>
          </w:p>
        </w:tc>
        <w:tc>
          <w:tcPr>
            <w:tcW w:w="2284" w:type="pct"/>
            <w:noWrap w:val="0"/>
            <w:vAlign w:val="center"/>
          </w:tcPr>
          <w:p w14:paraId="5F7CD3E7">
            <w:pPr>
              <w:pStyle w:val="34"/>
              <w:bidi w:val="0"/>
              <w:rPr>
                <w:rFonts w:hint="default"/>
                <w:color w:val="auto"/>
              </w:rPr>
            </w:pPr>
            <w:r>
              <w:rPr>
                <w:rFonts w:hint="default"/>
                <w:color w:val="auto"/>
              </w:rPr>
              <w:t>极端最高</w:t>
            </w:r>
          </w:p>
        </w:tc>
        <w:tc>
          <w:tcPr>
            <w:tcW w:w="690" w:type="pct"/>
            <w:noWrap w:val="0"/>
            <w:vAlign w:val="center"/>
          </w:tcPr>
          <w:p w14:paraId="76E11901">
            <w:pPr>
              <w:pStyle w:val="34"/>
              <w:bidi w:val="0"/>
              <w:rPr>
                <w:rFonts w:hint="default"/>
                <w:color w:val="auto"/>
              </w:rPr>
            </w:pPr>
            <w:r>
              <w:rPr>
                <w:rFonts w:hint="default"/>
                <w:color w:val="auto"/>
              </w:rPr>
              <w:t>℃</w:t>
            </w:r>
          </w:p>
        </w:tc>
        <w:tc>
          <w:tcPr>
            <w:tcW w:w="1162" w:type="pct"/>
            <w:noWrap w:val="0"/>
            <w:vAlign w:val="center"/>
          </w:tcPr>
          <w:p w14:paraId="7A8959A1">
            <w:pPr>
              <w:pStyle w:val="34"/>
              <w:bidi w:val="0"/>
              <w:rPr>
                <w:rFonts w:hint="default"/>
                <w:color w:val="auto"/>
                <w:lang w:val="en-US" w:eastAsia="zh-CN"/>
              </w:rPr>
            </w:pPr>
            <w:r>
              <w:rPr>
                <w:rFonts w:hint="eastAsia"/>
                <w:color w:val="auto"/>
                <w:lang w:val="en-US" w:eastAsia="zh-CN"/>
              </w:rPr>
              <w:t>42.3</w:t>
            </w:r>
          </w:p>
        </w:tc>
      </w:tr>
      <w:tr w14:paraId="1475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5BF5CF44">
            <w:pPr>
              <w:pStyle w:val="34"/>
              <w:bidi w:val="0"/>
              <w:rPr>
                <w:rFonts w:hint="default"/>
                <w:color w:val="auto"/>
              </w:rPr>
            </w:pPr>
          </w:p>
        </w:tc>
        <w:tc>
          <w:tcPr>
            <w:tcW w:w="2284" w:type="pct"/>
            <w:noWrap w:val="0"/>
            <w:vAlign w:val="center"/>
          </w:tcPr>
          <w:p w14:paraId="05075DB2">
            <w:pPr>
              <w:pStyle w:val="34"/>
              <w:bidi w:val="0"/>
              <w:rPr>
                <w:rFonts w:hint="default"/>
                <w:color w:val="auto"/>
              </w:rPr>
            </w:pPr>
            <w:r>
              <w:rPr>
                <w:rFonts w:hint="default"/>
                <w:color w:val="auto"/>
              </w:rPr>
              <w:t>极端最低</w:t>
            </w:r>
          </w:p>
        </w:tc>
        <w:tc>
          <w:tcPr>
            <w:tcW w:w="690" w:type="pct"/>
            <w:noWrap w:val="0"/>
            <w:vAlign w:val="center"/>
          </w:tcPr>
          <w:p w14:paraId="61F8D4CC">
            <w:pPr>
              <w:pStyle w:val="34"/>
              <w:bidi w:val="0"/>
              <w:rPr>
                <w:rFonts w:hint="default"/>
                <w:color w:val="auto"/>
              </w:rPr>
            </w:pPr>
            <w:r>
              <w:rPr>
                <w:rFonts w:hint="default"/>
                <w:color w:val="auto"/>
              </w:rPr>
              <w:t>℃</w:t>
            </w:r>
          </w:p>
        </w:tc>
        <w:tc>
          <w:tcPr>
            <w:tcW w:w="1162" w:type="pct"/>
            <w:noWrap w:val="0"/>
            <w:vAlign w:val="center"/>
          </w:tcPr>
          <w:p w14:paraId="28637AA2">
            <w:pPr>
              <w:pStyle w:val="34"/>
              <w:bidi w:val="0"/>
              <w:rPr>
                <w:rFonts w:hint="default"/>
                <w:color w:val="auto"/>
                <w:lang w:val="en-US" w:eastAsia="zh-CN"/>
              </w:rPr>
            </w:pPr>
            <w:r>
              <w:rPr>
                <w:rFonts w:hint="default"/>
                <w:color w:val="auto"/>
              </w:rPr>
              <w:t>-3</w:t>
            </w:r>
            <w:r>
              <w:rPr>
                <w:rFonts w:hint="eastAsia"/>
                <w:color w:val="auto"/>
                <w:lang w:val="en-US" w:eastAsia="zh-CN"/>
              </w:rPr>
              <w:t>4.5</w:t>
            </w:r>
          </w:p>
        </w:tc>
      </w:tr>
      <w:tr w14:paraId="7A99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0E04C413">
            <w:pPr>
              <w:pStyle w:val="34"/>
              <w:bidi w:val="0"/>
              <w:rPr>
                <w:rFonts w:hint="default"/>
                <w:color w:val="auto"/>
              </w:rPr>
            </w:pPr>
          </w:p>
        </w:tc>
        <w:tc>
          <w:tcPr>
            <w:tcW w:w="2284" w:type="pct"/>
            <w:noWrap w:val="0"/>
            <w:vAlign w:val="center"/>
          </w:tcPr>
          <w:p w14:paraId="012D9628">
            <w:pPr>
              <w:pStyle w:val="34"/>
              <w:bidi w:val="0"/>
              <w:rPr>
                <w:rFonts w:hint="default"/>
                <w:color w:val="auto"/>
              </w:rPr>
            </w:pPr>
            <w:r>
              <w:rPr>
                <w:rFonts w:hint="default"/>
                <w:color w:val="auto"/>
              </w:rPr>
              <w:t>年平均</w:t>
            </w:r>
          </w:p>
        </w:tc>
        <w:tc>
          <w:tcPr>
            <w:tcW w:w="690" w:type="pct"/>
            <w:noWrap w:val="0"/>
            <w:vAlign w:val="center"/>
          </w:tcPr>
          <w:p w14:paraId="25C627A5">
            <w:pPr>
              <w:pStyle w:val="34"/>
              <w:bidi w:val="0"/>
              <w:rPr>
                <w:rFonts w:hint="default"/>
                <w:color w:val="auto"/>
              </w:rPr>
            </w:pPr>
            <w:r>
              <w:rPr>
                <w:rFonts w:hint="default"/>
                <w:color w:val="auto"/>
              </w:rPr>
              <w:t>℃</w:t>
            </w:r>
          </w:p>
        </w:tc>
        <w:tc>
          <w:tcPr>
            <w:tcW w:w="1162" w:type="pct"/>
            <w:noWrap w:val="0"/>
            <w:vAlign w:val="center"/>
          </w:tcPr>
          <w:p w14:paraId="3C2329D0">
            <w:pPr>
              <w:pStyle w:val="34"/>
              <w:bidi w:val="0"/>
              <w:rPr>
                <w:rFonts w:hint="default"/>
                <w:color w:val="auto"/>
                <w:lang w:val="en-US" w:eastAsia="zh-CN"/>
              </w:rPr>
            </w:pPr>
            <w:r>
              <w:rPr>
                <w:rFonts w:hint="eastAsia"/>
                <w:color w:val="auto"/>
                <w:lang w:val="en-US" w:eastAsia="zh-CN"/>
              </w:rPr>
              <w:t>5.3</w:t>
            </w:r>
          </w:p>
        </w:tc>
      </w:tr>
      <w:tr w14:paraId="247A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restart"/>
            <w:noWrap w:val="0"/>
            <w:vAlign w:val="center"/>
          </w:tcPr>
          <w:p w14:paraId="31DB6B3F">
            <w:pPr>
              <w:pStyle w:val="34"/>
              <w:bidi w:val="0"/>
              <w:rPr>
                <w:rFonts w:hint="default"/>
                <w:color w:val="auto"/>
              </w:rPr>
            </w:pPr>
            <w:r>
              <w:rPr>
                <w:rFonts w:hint="default"/>
                <w:color w:val="auto"/>
              </w:rPr>
              <w:t>相对湿度</w:t>
            </w:r>
          </w:p>
        </w:tc>
        <w:tc>
          <w:tcPr>
            <w:tcW w:w="2284" w:type="pct"/>
            <w:noWrap w:val="0"/>
            <w:vAlign w:val="center"/>
          </w:tcPr>
          <w:p w14:paraId="6F085B30">
            <w:pPr>
              <w:pStyle w:val="34"/>
              <w:bidi w:val="0"/>
              <w:rPr>
                <w:rFonts w:hint="default"/>
                <w:color w:val="auto"/>
              </w:rPr>
            </w:pPr>
            <w:r>
              <w:rPr>
                <w:rFonts w:hint="default"/>
                <w:color w:val="auto"/>
              </w:rPr>
              <w:t>冬季</w:t>
            </w:r>
          </w:p>
        </w:tc>
        <w:tc>
          <w:tcPr>
            <w:tcW w:w="690" w:type="pct"/>
            <w:noWrap w:val="0"/>
            <w:vAlign w:val="center"/>
          </w:tcPr>
          <w:p w14:paraId="15FE383C">
            <w:pPr>
              <w:pStyle w:val="34"/>
              <w:bidi w:val="0"/>
              <w:rPr>
                <w:rFonts w:hint="default"/>
                <w:color w:val="auto"/>
              </w:rPr>
            </w:pPr>
            <w:r>
              <w:rPr>
                <w:rFonts w:hint="default"/>
                <w:color w:val="auto"/>
              </w:rPr>
              <w:t>%</w:t>
            </w:r>
          </w:p>
        </w:tc>
        <w:tc>
          <w:tcPr>
            <w:tcW w:w="1162" w:type="pct"/>
            <w:noWrap w:val="0"/>
            <w:vAlign w:val="center"/>
          </w:tcPr>
          <w:p w14:paraId="568C15FB">
            <w:pPr>
              <w:pStyle w:val="34"/>
              <w:bidi w:val="0"/>
              <w:rPr>
                <w:rFonts w:hint="default"/>
                <w:color w:val="auto"/>
                <w:lang w:val="en-US" w:eastAsia="zh-CN"/>
              </w:rPr>
            </w:pPr>
            <w:r>
              <w:rPr>
                <w:rFonts w:hint="eastAsia"/>
                <w:color w:val="auto"/>
                <w:lang w:val="en-US" w:eastAsia="zh-CN"/>
              </w:rPr>
              <w:t>79</w:t>
            </w:r>
          </w:p>
        </w:tc>
      </w:tr>
      <w:tr w14:paraId="4FAC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74D327D9">
            <w:pPr>
              <w:pStyle w:val="34"/>
              <w:bidi w:val="0"/>
              <w:rPr>
                <w:rFonts w:hint="default"/>
                <w:color w:val="auto"/>
              </w:rPr>
            </w:pPr>
          </w:p>
        </w:tc>
        <w:tc>
          <w:tcPr>
            <w:tcW w:w="2284" w:type="pct"/>
            <w:noWrap w:val="0"/>
            <w:vAlign w:val="center"/>
          </w:tcPr>
          <w:p w14:paraId="114FB324">
            <w:pPr>
              <w:pStyle w:val="34"/>
              <w:bidi w:val="0"/>
              <w:rPr>
                <w:rFonts w:hint="default"/>
                <w:color w:val="auto"/>
              </w:rPr>
            </w:pPr>
            <w:r>
              <w:rPr>
                <w:rFonts w:hint="default"/>
                <w:color w:val="auto"/>
              </w:rPr>
              <w:t>夏季</w:t>
            </w:r>
          </w:p>
        </w:tc>
        <w:tc>
          <w:tcPr>
            <w:tcW w:w="690" w:type="pct"/>
            <w:noWrap w:val="0"/>
            <w:vAlign w:val="center"/>
          </w:tcPr>
          <w:p w14:paraId="463847D7">
            <w:pPr>
              <w:pStyle w:val="34"/>
              <w:bidi w:val="0"/>
              <w:rPr>
                <w:rFonts w:hint="default"/>
                <w:color w:val="auto"/>
              </w:rPr>
            </w:pPr>
            <w:r>
              <w:rPr>
                <w:rFonts w:hint="default"/>
                <w:color w:val="auto"/>
              </w:rPr>
              <w:t>%</w:t>
            </w:r>
          </w:p>
        </w:tc>
        <w:tc>
          <w:tcPr>
            <w:tcW w:w="1162" w:type="pct"/>
            <w:noWrap w:val="0"/>
            <w:vAlign w:val="center"/>
          </w:tcPr>
          <w:p w14:paraId="0ECB4775">
            <w:pPr>
              <w:pStyle w:val="34"/>
              <w:bidi w:val="0"/>
              <w:rPr>
                <w:rFonts w:hint="default"/>
                <w:color w:val="auto"/>
                <w:lang w:val="en-US" w:eastAsia="zh-CN"/>
              </w:rPr>
            </w:pPr>
            <w:r>
              <w:rPr>
                <w:rFonts w:hint="eastAsia"/>
                <w:color w:val="auto"/>
                <w:lang w:val="en-US" w:eastAsia="zh-CN"/>
              </w:rPr>
              <w:t>35</w:t>
            </w:r>
          </w:p>
        </w:tc>
      </w:tr>
      <w:tr w14:paraId="6DF4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1713CD50">
            <w:pPr>
              <w:pStyle w:val="34"/>
              <w:bidi w:val="0"/>
              <w:rPr>
                <w:rFonts w:hint="default"/>
                <w:color w:val="auto"/>
              </w:rPr>
            </w:pPr>
          </w:p>
        </w:tc>
        <w:tc>
          <w:tcPr>
            <w:tcW w:w="2284" w:type="pct"/>
            <w:noWrap w:val="0"/>
            <w:vAlign w:val="center"/>
          </w:tcPr>
          <w:p w14:paraId="3772765D">
            <w:pPr>
              <w:pStyle w:val="34"/>
              <w:bidi w:val="0"/>
              <w:rPr>
                <w:rFonts w:hint="default"/>
                <w:color w:val="auto"/>
              </w:rPr>
            </w:pPr>
            <w:r>
              <w:rPr>
                <w:rFonts w:hint="default"/>
                <w:color w:val="auto"/>
              </w:rPr>
              <w:t>年平均</w:t>
            </w:r>
          </w:p>
        </w:tc>
        <w:tc>
          <w:tcPr>
            <w:tcW w:w="690" w:type="pct"/>
            <w:noWrap w:val="0"/>
            <w:vAlign w:val="center"/>
          </w:tcPr>
          <w:p w14:paraId="55153CD2">
            <w:pPr>
              <w:pStyle w:val="34"/>
              <w:bidi w:val="0"/>
              <w:rPr>
                <w:rFonts w:hint="default"/>
                <w:color w:val="auto"/>
              </w:rPr>
            </w:pPr>
            <w:r>
              <w:rPr>
                <w:rFonts w:hint="default"/>
                <w:color w:val="auto"/>
              </w:rPr>
              <w:t>%</w:t>
            </w:r>
          </w:p>
        </w:tc>
        <w:tc>
          <w:tcPr>
            <w:tcW w:w="1162" w:type="pct"/>
            <w:noWrap w:val="0"/>
            <w:vAlign w:val="center"/>
          </w:tcPr>
          <w:p w14:paraId="4B7D2A58">
            <w:pPr>
              <w:pStyle w:val="34"/>
              <w:bidi w:val="0"/>
              <w:rPr>
                <w:rFonts w:hint="default"/>
                <w:color w:val="auto"/>
                <w:lang w:val="en-US" w:eastAsia="zh-CN"/>
              </w:rPr>
            </w:pPr>
            <w:r>
              <w:rPr>
                <w:rFonts w:hint="eastAsia"/>
                <w:color w:val="auto"/>
                <w:lang w:val="en-US" w:eastAsia="zh-CN"/>
              </w:rPr>
              <w:t>53</w:t>
            </w:r>
          </w:p>
        </w:tc>
      </w:tr>
      <w:tr w14:paraId="54E8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restart"/>
            <w:noWrap w:val="0"/>
            <w:vAlign w:val="center"/>
          </w:tcPr>
          <w:p w14:paraId="53AFA228">
            <w:pPr>
              <w:pStyle w:val="34"/>
              <w:bidi w:val="0"/>
              <w:rPr>
                <w:rFonts w:hint="default"/>
                <w:color w:val="auto"/>
              </w:rPr>
            </w:pPr>
            <w:r>
              <w:rPr>
                <w:rFonts w:hint="default"/>
                <w:color w:val="auto"/>
              </w:rPr>
              <w:t>风</w:t>
            </w:r>
          </w:p>
        </w:tc>
        <w:tc>
          <w:tcPr>
            <w:tcW w:w="2284" w:type="pct"/>
            <w:noWrap w:val="0"/>
            <w:vAlign w:val="center"/>
          </w:tcPr>
          <w:p w14:paraId="2820D956">
            <w:pPr>
              <w:pStyle w:val="34"/>
              <w:bidi w:val="0"/>
              <w:rPr>
                <w:rFonts w:hint="default"/>
                <w:color w:val="auto"/>
                <w:lang w:val="en-US" w:eastAsia="zh-CN"/>
              </w:rPr>
            </w:pPr>
            <w:r>
              <w:rPr>
                <w:rFonts w:hint="eastAsia"/>
                <w:color w:val="auto"/>
                <w:lang w:val="en-US" w:eastAsia="zh-CN"/>
              </w:rPr>
              <w:t>冬季平均风速</w:t>
            </w:r>
          </w:p>
        </w:tc>
        <w:tc>
          <w:tcPr>
            <w:tcW w:w="690" w:type="pct"/>
            <w:shd w:val="clear" w:color="auto" w:fill="auto"/>
            <w:noWrap w:val="0"/>
            <w:vAlign w:val="center"/>
          </w:tcPr>
          <w:p w14:paraId="2393850B">
            <w:pPr>
              <w:pStyle w:val="34"/>
              <w:bidi w:val="0"/>
              <w:rPr>
                <w:rFonts w:hint="default"/>
                <w:color w:val="auto"/>
                <w:lang w:val="en-US" w:eastAsia="zh-CN"/>
              </w:rPr>
            </w:pPr>
            <w:r>
              <w:rPr>
                <w:rFonts w:hint="default"/>
                <w:color w:val="auto"/>
              </w:rPr>
              <w:t>m/s</w:t>
            </w:r>
          </w:p>
        </w:tc>
        <w:tc>
          <w:tcPr>
            <w:tcW w:w="1162" w:type="pct"/>
            <w:noWrap w:val="0"/>
            <w:vAlign w:val="center"/>
          </w:tcPr>
          <w:p w14:paraId="22FA007C">
            <w:pPr>
              <w:pStyle w:val="34"/>
              <w:bidi w:val="0"/>
              <w:rPr>
                <w:rFonts w:hint="default"/>
                <w:color w:val="auto"/>
                <w:lang w:val="en-US" w:eastAsia="zh-CN"/>
              </w:rPr>
            </w:pPr>
            <w:r>
              <w:rPr>
                <w:rFonts w:hint="eastAsia"/>
                <w:color w:val="auto"/>
                <w:lang w:val="en-US" w:eastAsia="zh-CN"/>
              </w:rPr>
              <w:t>1.4</w:t>
            </w:r>
          </w:p>
        </w:tc>
      </w:tr>
      <w:tr w14:paraId="3C39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55E112FE">
            <w:pPr>
              <w:pStyle w:val="34"/>
              <w:bidi w:val="0"/>
              <w:rPr>
                <w:rFonts w:hint="default"/>
                <w:color w:val="auto"/>
              </w:rPr>
            </w:pPr>
          </w:p>
        </w:tc>
        <w:tc>
          <w:tcPr>
            <w:tcW w:w="2284" w:type="pct"/>
            <w:noWrap w:val="0"/>
            <w:vAlign w:val="center"/>
          </w:tcPr>
          <w:p w14:paraId="57893F01">
            <w:pPr>
              <w:pStyle w:val="34"/>
              <w:bidi w:val="0"/>
              <w:rPr>
                <w:rFonts w:hint="default"/>
                <w:color w:val="auto"/>
                <w:lang w:val="en-US" w:eastAsia="zh-CN"/>
              </w:rPr>
            </w:pPr>
            <w:r>
              <w:rPr>
                <w:rFonts w:hint="eastAsia"/>
                <w:color w:val="auto"/>
                <w:lang w:val="en-US" w:eastAsia="zh-CN"/>
              </w:rPr>
              <w:t>夏季平均风速</w:t>
            </w:r>
          </w:p>
        </w:tc>
        <w:tc>
          <w:tcPr>
            <w:tcW w:w="690" w:type="pct"/>
            <w:shd w:val="clear" w:color="auto" w:fill="auto"/>
            <w:noWrap w:val="0"/>
            <w:vAlign w:val="center"/>
          </w:tcPr>
          <w:p w14:paraId="0E3C8479">
            <w:pPr>
              <w:pStyle w:val="34"/>
              <w:bidi w:val="0"/>
              <w:rPr>
                <w:rFonts w:hint="default"/>
                <w:color w:val="auto"/>
                <w:lang w:val="en-US" w:eastAsia="zh-CN"/>
              </w:rPr>
            </w:pPr>
            <w:r>
              <w:rPr>
                <w:rFonts w:hint="default"/>
                <w:color w:val="auto"/>
              </w:rPr>
              <w:t>m/s</w:t>
            </w:r>
          </w:p>
        </w:tc>
        <w:tc>
          <w:tcPr>
            <w:tcW w:w="1162" w:type="pct"/>
            <w:noWrap w:val="0"/>
            <w:vAlign w:val="center"/>
          </w:tcPr>
          <w:p w14:paraId="6A67A96E">
            <w:pPr>
              <w:pStyle w:val="34"/>
              <w:bidi w:val="0"/>
              <w:rPr>
                <w:rFonts w:hint="default"/>
                <w:color w:val="auto"/>
                <w:lang w:val="en-US" w:eastAsia="zh-CN"/>
              </w:rPr>
            </w:pPr>
            <w:r>
              <w:rPr>
                <w:rFonts w:hint="eastAsia"/>
                <w:color w:val="auto"/>
                <w:lang w:val="en-US" w:eastAsia="zh-CN"/>
              </w:rPr>
              <w:t>3.0</w:t>
            </w:r>
          </w:p>
        </w:tc>
      </w:tr>
      <w:tr w14:paraId="4E50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335ABAB1">
            <w:pPr>
              <w:pStyle w:val="34"/>
              <w:bidi w:val="0"/>
              <w:rPr>
                <w:rFonts w:hint="default"/>
                <w:color w:val="auto"/>
              </w:rPr>
            </w:pPr>
          </w:p>
        </w:tc>
        <w:tc>
          <w:tcPr>
            <w:tcW w:w="2284" w:type="pct"/>
            <w:shd w:val="clear" w:color="auto" w:fill="auto"/>
            <w:noWrap w:val="0"/>
            <w:vAlign w:val="center"/>
          </w:tcPr>
          <w:p w14:paraId="18EE5BFB">
            <w:pPr>
              <w:pStyle w:val="34"/>
              <w:bidi w:val="0"/>
              <w:rPr>
                <w:rFonts w:hint="default"/>
                <w:color w:val="auto"/>
                <w:lang w:val="en-US" w:eastAsia="zh-CN"/>
              </w:rPr>
            </w:pPr>
            <w:r>
              <w:rPr>
                <w:rFonts w:hint="default"/>
                <w:color w:val="auto"/>
              </w:rPr>
              <w:t>年平均风速</w:t>
            </w:r>
          </w:p>
        </w:tc>
        <w:tc>
          <w:tcPr>
            <w:tcW w:w="690" w:type="pct"/>
            <w:shd w:val="clear" w:color="auto" w:fill="auto"/>
            <w:noWrap w:val="0"/>
            <w:vAlign w:val="center"/>
          </w:tcPr>
          <w:p w14:paraId="155E9571">
            <w:pPr>
              <w:pStyle w:val="34"/>
              <w:bidi w:val="0"/>
              <w:rPr>
                <w:rFonts w:hint="default"/>
                <w:color w:val="auto"/>
                <w:lang w:val="en-US" w:eastAsia="zh-CN"/>
              </w:rPr>
            </w:pPr>
            <w:r>
              <w:rPr>
                <w:rFonts w:hint="default"/>
                <w:color w:val="auto"/>
              </w:rPr>
              <w:t>m/s</w:t>
            </w:r>
          </w:p>
        </w:tc>
        <w:tc>
          <w:tcPr>
            <w:tcW w:w="1162" w:type="pct"/>
            <w:shd w:val="clear" w:color="auto" w:fill="auto"/>
            <w:noWrap w:val="0"/>
            <w:vAlign w:val="center"/>
          </w:tcPr>
          <w:p w14:paraId="007D7561">
            <w:pPr>
              <w:pStyle w:val="34"/>
              <w:bidi w:val="0"/>
              <w:rPr>
                <w:rFonts w:hint="eastAsia"/>
                <w:color w:val="auto"/>
                <w:lang w:val="en-US" w:eastAsia="zh-CN"/>
              </w:rPr>
            </w:pPr>
            <w:r>
              <w:rPr>
                <w:rFonts w:hint="eastAsia"/>
                <w:color w:val="auto"/>
                <w:lang w:val="en-US" w:eastAsia="zh-CN"/>
              </w:rPr>
              <w:t>2.6</w:t>
            </w:r>
          </w:p>
        </w:tc>
      </w:tr>
      <w:tr w14:paraId="6E7C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745C3876">
            <w:pPr>
              <w:pStyle w:val="34"/>
              <w:bidi w:val="0"/>
              <w:rPr>
                <w:rFonts w:hint="default"/>
                <w:color w:val="auto"/>
              </w:rPr>
            </w:pPr>
          </w:p>
        </w:tc>
        <w:tc>
          <w:tcPr>
            <w:tcW w:w="2284" w:type="pct"/>
            <w:noWrap w:val="0"/>
            <w:vAlign w:val="center"/>
          </w:tcPr>
          <w:p w14:paraId="159D5D62">
            <w:pPr>
              <w:pStyle w:val="34"/>
              <w:bidi w:val="0"/>
              <w:rPr>
                <w:rFonts w:hint="default"/>
                <w:color w:val="auto"/>
              </w:rPr>
            </w:pPr>
            <w:r>
              <w:rPr>
                <w:rFonts w:hint="default"/>
                <w:color w:val="auto"/>
              </w:rPr>
              <w:t>最大风速</w:t>
            </w:r>
          </w:p>
        </w:tc>
        <w:tc>
          <w:tcPr>
            <w:tcW w:w="690" w:type="pct"/>
            <w:noWrap w:val="0"/>
            <w:vAlign w:val="center"/>
          </w:tcPr>
          <w:p w14:paraId="211DAA6D">
            <w:pPr>
              <w:pStyle w:val="34"/>
              <w:bidi w:val="0"/>
              <w:rPr>
                <w:rFonts w:hint="default"/>
                <w:color w:val="auto"/>
              </w:rPr>
            </w:pPr>
            <w:r>
              <w:rPr>
                <w:rFonts w:hint="default"/>
                <w:color w:val="auto"/>
              </w:rPr>
              <w:t>m/s</w:t>
            </w:r>
          </w:p>
        </w:tc>
        <w:tc>
          <w:tcPr>
            <w:tcW w:w="1162" w:type="pct"/>
            <w:noWrap w:val="0"/>
            <w:vAlign w:val="center"/>
          </w:tcPr>
          <w:p w14:paraId="030B8395">
            <w:pPr>
              <w:pStyle w:val="34"/>
              <w:bidi w:val="0"/>
              <w:rPr>
                <w:rFonts w:hint="default"/>
                <w:color w:val="auto"/>
                <w:lang w:val="en-US" w:eastAsia="zh-CN"/>
              </w:rPr>
            </w:pPr>
            <w:r>
              <w:rPr>
                <w:rFonts w:hint="eastAsia"/>
                <w:color w:val="auto"/>
                <w:lang w:val="en-US" w:eastAsia="zh-CN"/>
              </w:rPr>
              <w:t>27</w:t>
            </w:r>
          </w:p>
        </w:tc>
      </w:tr>
      <w:tr w14:paraId="012D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624ABE0E">
            <w:pPr>
              <w:pStyle w:val="34"/>
              <w:bidi w:val="0"/>
              <w:rPr>
                <w:rFonts w:hint="default"/>
                <w:color w:val="auto"/>
              </w:rPr>
            </w:pPr>
          </w:p>
        </w:tc>
        <w:tc>
          <w:tcPr>
            <w:tcW w:w="2284" w:type="pct"/>
            <w:noWrap w:val="0"/>
            <w:vAlign w:val="center"/>
          </w:tcPr>
          <w:p w14:paraId="124BF147">
            <w:pPr>
              <w:pStyle w:val="34"/>
              <w:bidi w:val="0"/>
              <w:rPr>
                <w:rFonts w:hint="default"/>
                <w:color w:val="auto"/>
              </w:rPr>
            </w:pPr>
            <w:r>
              <w:rPr>
                <w:rFonts w:hint="default"/>
                <w:color w:val="auto"/>
              </w:rPr>
              <w:t>年平均主风向</w:t>
            </w:r>
          </w:p>
        </w:tc>
        <w:tc>
          <w:tcPr>
            <w:tcW w:w="690" w:type="pct"/>
            <w:noWrap w:val="0"/>
            <w:vAlign w:val="center"/>
          </w:tcPr>
          <w:p w14:paraId="57B8B147">
            <w:pPr>
              <w:pStyle w:val="34"/>
              <w:bidi w:val="0"/>
              <w:rPr>
                <w:rFonts w:hint="default"/>
                <w:color w:val="auto"/>
              </w:rPr>
            </w:pPr>
            <w:r>
              <w:rPr>
                <w:rFonts w:hint="default"/>
                <w:color w:val="auto"/>
              </w:rPr>
              <w:t>/</w:t>
            </w:r>
          </w:p>
        </w:tc>
        <w:tc>
          <w:tcPr>
            <w:tcW w:w="1162" w:type="pct"/>
            <w:noWrap w:val="0"/>
            <w:vAlign w:val="center"/>
          </w:tcPr>
          <w:p w14:paraId="4E703D58">
            <w:pPr>
              <w:pStyle w:val="34"/>
              <w:bidi w:val="0"/>
              <w:rPr>
                <w:rFonts w:hint="default"/>
                <w:color w:val="auto"/>
              </w:rPr>
            </w:pPr>
            <w:r>
              <w:rPr>
                <w:rFonts w:hint="default"/>
                <w:color w:val="auto"/>
              </w:rPr>
              <w:t>NW</w:t>
            </w:r>
          </w:p>
        </w:tc>
      </w:tr>
      <w:tr w14:paraId="6444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restart"/>
            <w:noWrap w:val="0"/>
            <w:vAlign w:val="center"/>
          </w:tcPr>
          <w:p w14:paraId="2365445E">
            <w:pPr>
              <w:pStyle w:val="34"/>
              <w:bidi w:val="0"/>
              <w:rPr>
                <w:rFonts w:hint="default"/>
                <w:color w:val="auto"/>
                <w:lang w:val="en-US" w:eastAsia="zh-CN"/>
              </w:rPr>
            </w:pPr>
            <w:r>
              <w:rPr>
                <w:rFonts w:hint="eastAsia"/>
                <w:color w:val="auto"/>
                <w:lang w:val="en-US" w:eastAsia="zh-CN"/>
              </w:rPr>
              <w:t>大气压力</w:t>
            </w:r>
          </w:p>
        </w:tc>
        <w:tc>
          <w:tcPr>
            <w:tcW w:w="2284" w:type="pct"/>
            <w:noWrap w:val="0"/>
            <w:vAlign w:val="center"/>
          </w:tcPr>
          <w:p w14:paraId="56B39E29">
            <w:pPr>
              <w:pStyle w:val="34"/>
              <w:bidi w:val="0"/>
              <w:rPr>
                <w:rFonts w:hint="eastAsia"/>
                <w:color w:val="auto"/>
                <w:lang w:eastAsia="zh-CN"/>
              </w:rPr>
            </w:pPr>
            <w:r>
              <w:rPr>
                <w:rFonts w:hint="eastAsia"/>
                <w:color w:val="auto"/>
                <w:lang w:val="en-US" w:eastAsia="zh-CN"/>
              </w:rPr>
              <w:t>冬季</w:t>
            </w:r>
          </w:p>
        </w:tc>
        <w:tc>
          <w:tcPr>
            <w:tcW w:w="690" w:type="pct"/>
            <w:noWrap w:val="0"/>
            <w:vAlign w:val="center"/>
          </w:tcPr>
          <w:p w14:paraId="23F60014">
            <w:pPr>
              <w:pStyle w:val="34"/>
              <w:bidi w:val="0"/>
              <w:rPr>
                <w:rFonts w:hint="default"/>
                <w:color w:val="auto"/>
                <w:lang w:val="en-US" w:eastAsia="zh-CN"/>
              </w:rPr>
            </w:pPr>
            <w:r>
              <w:rPr>
                <w:rFonts w:hint="eastAsia"/>
                <w:color w:val="auto"/>
                <w:lang w:val="en-US" w:eastAsia="zh-CN"/>
              </w:rPr>
              <w:t>102Pa</w:t>
            </w:r>
          </w:p>
        </w:tc>
        <w:tc>
          <w:tcPr>
            <w:tcW w:w="1162" w:type="pct"/>
            <w:noWrap w:val="0"/>
            <w:vAlign w:val="center"/>
          </w:tcPr>
          <w:p w14:paraId="29BCD7AE">
            <w:pPr>
              <w:pStyle w:val="34"/>
              <w:bidi w:val="0"/>
              <w:rPr>
                <w:rFonts w:hint="default"/>
                <w:color w:val="auto"/>
                <w:lang w:val="en-US" w:eastAsia="zh-CN"/>
              </w:rPr>
            </w:pPr>
            <w:r>
              <w:rPr>
                <w:rFonts w:hint="eastAsia"/>
                <w:color w:val="auto"/>
                <w:lang w:val="en-US" w:eastAsia="zh-CN"/>
              </w:rPr>
              <w:t>982.9</w:t>
            </w:r>
          </w:p>
        </w:tc>
      </w:tr>
      <w:tr w14:paraId="04CF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vMerge w:val="continue"/>
            <w:noWrap w:val="0"/>
            <w:vAlign w:val="center"/>
          </w:tcPr>
          <w:p w14:paraId="3BC2C075">
            <w:pPr>
              <w:pStyle w:val="34"/>
              <w:bidi w:val="0"/>
              <w:rPr>
                <w:rFonts w:hint="default"/>
                <w:color w:val="auto"/>
              </w:rPr>
            </w:pPr>
          </w:p>
        </w:tc>
        <w:tc>
          <w:tcPr>
            <w:tcW w:w="2284" w:type="pct"/>
            <w:noWrap w:val="0"/>
            <w:vAlign w:val="center"/>
          </w:tcPr>
          <w:p w14:paraId="65D9F27F">
            <w:pPr>
              <w:pStyle w:val="34"/>
              <w:bidi w:val="0"/>
              <w:rPr>
                <w:rFonts w:hint="eastAsia"/>
                <w:color w:val="auto"/>
                <w:lang w:eastAsia="zh-CN"/>
              </w:rPr>
            </w:pPr>
            <w:r>
              <w:rPr>
                <w:rFonts w:hint="eastAsia"/>
                <w:color w:val="auto"/>
                <w:lang w:val="en-US" w:eastAsia="zh-CN"/>
              </w:rPr>
              <w:t>夏季</w:t>
            </w:r>
          </w:p>
        </w:tc>
        <w:tc>
          <w:tcPr>
            <w:tcW w:w="690" w:type="pct"/>
            <w:noWrap w:val="0"/>
            <w:vAlign w:val="center"/>
          </w:tcPr>
          <w:p w14:paraId="62BC0C4E">
            <w:pPr>
              <w:pStyle w:val="34"/>
              <w:bidi w:val="0"/>
              <w:rPr>
                <w:rFonts w:hint="default"/>
                <w:color w:val="auto"/>
              </w:rPr>
            </w:pPr>
            <w:r>
              <w:rPr>
                <w:rFonts w:hint="eastAsia"/>
                <w:color w:val="auto"/>
                <w:lang w:val="en-US" w:eastAsia="zh-CN"/>
              </w:rPr>
              <w:t>102Pa</w:t>
            </w:r>
          </w:p>
        </w:tc>
        <w:tc>
          <w:tcPr>
            <w:tcW w:w="1162" w:type="pct"/>
            <w:noWrap w:val="0"/>
            <w:vAlign w:val="center"/>
          </w:tcPr>
          <w:p w14:paraId="754FBFE7">
            <w:pPr>
              <w:pStyle w:val="34"/>
              <w:bidi w:val="0"/>
              <w:rPr>
                <w:rFonts w:hint="default"/>
                <w:color w:val="auto"/>
                <w:lang w:val="en-US" w:eastAsia="zh-CN"/>
              </w:rPr>
            </w:pPr>
            <w:r>
              <w:rPr>
                <w:rFonts w:hint="eastAsia"/>
                <w:color w:val="auto"/>
                <w:lang w:val="en-US" w:eastAsia="zh-CN"/>
              </w:rPr>
              <w:t>867.0</w:t>
            </w:r>
          </w:p>
        </w:tc>
      </w:tr>
      <w:tr w14:paraId="47CC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63" w:type="pct"/>
            <w:noWrap w:val="0"/>
            <w:vAlign w:val="center"/>
          </w:tcPr>
          <w:p w14:paraId="09A64EA8">
            <w:pPr>
              <w:pStyle w:val="34"/>
              <w:bidi w:val="0"/>
              <w:rPr>
                <w:rFonts w:hint="default"/>
                <w:color w:val="auto"/>
              </w:rPr>
            </w:pPr>
            <w:r>
              <w:rPr>
                <w:rFonts w:hint="default"/>
                <w:color w:val="auto"/>
              </w:rPr>
              <w:t>积雪</w:t>
            </w:r>
          </w:p>
        </w:tc>
        <w:tc>
          <w:tcPr>
            <w:tcW w:w="2284" w:type="pct"/>
            <w:noWrap w:val="0"/>
            <w:vAlign w:val="center"/>
          </w:tcPr>
          <w:p w14:paraId="33625EDC">
            <w:pPr>
              <w:pStyle w:val="34"/>
              <w:bidi w:val="0"/>
              <w:rPr>
                <w:rFonts w:hint="default"/>
                <w:color w:val="auto"/>
              </w:rPr>
            </w:pPr>
            <w:r>
              <w:rPr>
                <w:rFonts w:hint="default"/>
                <w:color w:val="auto"/>
              </w:rPr>
              <w:t>积雪最大厚度</w:t>
            </w:r>
          </w:p>
        </w:tc>
        <w:tc>
          <w:tcPr>
            <w:tcW w:w="690" w:type="pct"/>
            <w:noWrap w:val="0"/>
            <w:vAlign w:val="center"/>
          </w:tcPr>
          <w:p w14:paraId="3CBED6E4">
            <w:pPr>
              <w:pStyle w:val="34"/>
              <w:bidi w:val="0"/>
              <w:rPr>
                <w:rFonts w:hint="default"/>
                <w:color w:val="auto"/>
              </w:rPr>
            </w:pPr>
            <w:r>
              <w:rPr>
                <w:rFonts w:hint="default"/>
                <w:color w:val="auto"/>
              </w:rPr>
              <w:t>mm</w:t>
            </w:r>
          </w:p>
        </w:tc>
        <w:tc>
          <w:tcPr>
            <w:tcW w:w="1162" w:type="pct"/>
            <w:noWrap w:val="0"/>
            <w:vAlign w:val="center"/>
          </w:tcPr>
          <w:p w14:paraId="14AFB9C3">
            <w:pPr>
              <w:pStyle w:val="34"/>
              <w:bidi w:val="0"/>
              <w:rPr>
                <w:rFonts w:hint="default"/>
                <w:color w:val="auto"/>
                <w:lang w:val="en-US" w:eastAsia="zh-CN"/>
              </w:rPr>
            </w:pPr>
            <w:r>
              <w:rPr>
                <w:rFonts w:hint="eastAsia"/>
                <w:color w:val="auto"/>
                <w:lang w:val="en-US" w:eastAsia="zh-CN"/>
              </w:rPr>
              <w:t>140</w:t>
            </w:r>
          </w:p>
        </w:tc>
      </w:tr>
      <w:tr w14:paraId="7E2E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147" w:type="pct"/>
            <w:gridSpan w:val="2"/>
            <w:noWrap w:val="0"/>
            <w:vAlign w:val="center"/>
          </w:tcPr>
          <w:p w14:paraId="608834EF">
            <w:pPr>
              <w:pStyle w:val="34"/>
              <w:bidi w:val="0"/>
              <w:rPr>
                <w:rFonts w:hint="default"/>
                <w:color w:val="auto"/>
                <w:lang w:val="en-US" w:eastAsia="zh-CN"/>
              </w:rPr>
            </w:pPr>
            <w:r>
              <w:rPr>
                <w:rFonts w:hint="eastAsia"/>
                <w:color w:val="auto"/>
                <w:lang w:val="en-US" w:eastAsia="zh-CN"/>
              </w:rPr>
              <w:t>最大冻土深度平均值/极值</w:t>
            </w:r>
          </w:p>
        </w:tc>
        <w:tc>
          <w:tcPr>
            <w:tcW w:w="690" w:type="pct"/>
            <w:noWrap w:val="0"/>
            <w:vAlign w:val="center"/>
          </w:tcPr>
          <w:p w14:paraId="3EFC323E">
            <w:pPr>
              <w:pStyle w:val="34"/>
              <w:bidi w:val="0"/>
              <w:rPr>
                <w:rFonts w:hint="default"/>
                <w:color w:val="auto"/>
                <w:lang w:val="en-US" w:eastAsia="zh-CN"/>
              </w:rPr>
            </w:pPr>
            <w:r>
              <w:rPr>
                <w:rFonts w:hint="eastAsia"/>
                <w:color w:val="auto"/>
                <w:lang w:val="en-US" w:eastAsia="zh-CN"/>
              </w:rPr>
              <w:t>cm</w:t>
            </w:r>
          </w:p>
        </w:tc>
        <w:tc>
          <w:tcPr>
            <w:tcW w:w="1162" w:type="pct"/>
            <w:noWrap w:val="0"/>
            <w:vAlign w:val="center"/>
          </w:tcPr>
          <w:p w14:paraId="337DC98A">
            <w:pPr>
              <w:pStyle w:val="34"/>
              <w:bidi w:val="0"/>
              <w:rPr>
                <w:rFonts w:hint="default"/>
                <w:color w:val="auto"/>
                <w:lang w:val="en-US" w:eastAsia="zh-CN"/>
              </w:rPr>
            </w:pPr>
            <w:r>
              <w:rPr>
                <w:rFonts w:hint="eastAsia"/>
                <w:color w:val="auto"/>
                <w:lang w:val="en-US" w:eastAsia="zh-CN"/>
              </w:rPr>
              <w:t>114/167</w:t>
            </w:r>
          </w:p>
        </w:tc>
      </w:tr>
    </w:tbl>
    <w:p w14:paraId="1C4E4DF9">
      <w:pPr>
        <w:pStyle w:val="5"/>
        <w:bidi w:val="0"/>
        <w:rPr>
          <w:rFonts w:hint="default"/>
          <w:color w:val="auto"/>
          <w:lang w:val="en-US" w:eastAsia="zh-CN"/>
        </w:rPr>
      </w:pPr>
      <w:bookmarkStart w:id="203" w:name="_Toc21368"/>
      <w:bookmarkStart w:id="204" w:name="_Toc10820"/>
      <w:r>
        <w:rPr>
          <w:rFonts w:hint="eastAsia"/>
          <w:color w:val="auto"/>
          <w:lang w:val="en-US" w:eastAsia="zh-CN"/>
        </w:rPr>
        <w:t>4.1.4水文与水文地质</w:t>
      </w:r>
      <w:bookmarkEnd w:id="203"/>
      <w:bookmarkEnd w:id="204"/>
    </w:p>
    <w:p w14:paraId="51BB9E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）克拉玛依市</w:t>
      </w:r>
    </w:p>
    <w:p w14:paraId="209134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就区域尺度而言，受地形、地貌、大气环境等诸多因素的影响，形成了克拉玛依特殊的环境水文特征。按干旱指数衡量，评价区属极干旱地区，水资源匮乏。</w:t>
      </w:r>
    </w:p>
    <w:p w14:paraId="681257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①地表水水文条件</w:t>
      </w:r>
    </w:p>
    <w:p w14:paraId="125A7A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克拉玛依地区属内流区，境内分布有三大水系，分别是天山北麓中段水系的白杨河下游、达尔布图河、卡拉苏河和玛纳斯河下游，艾比湖水系的奎屯河独山子段；阿尔泰山南麓诸河水系的调水工程。境内河流为流程短、水量小的季节河。主要有</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条河流（白杨河、克拉苏河、达尔布图河、玛纳斯河、奎屯河），</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座湖泊（艾里克湖和小艾里克湖），</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座水库（白杨河水库、白碱滩水库、黄羊泉水库、风城水库、三坪水库、阿依库勒水库）。项目区内无地表水。</w:t>
      </w:r>
    </w:p>
    <w:p w14:paraId="4676BC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②区域地下水水文地质条件</w:t>
      </w:r>
    </w:p>
    <w:p w14:paraId="7B5621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市区及附近地区地下水资源匮乏，即使有一点潜水，也多属上层滞水性质，未形成连片的含水层。地下水矿化度、含盐量高，不存在利用价值，为地下水的贫水区。地下水的补给来源主要是雪融水、降雨和少量的裂隙水。引水工程（年供水能力</w:t>
      </w:r>
      <w:r>
        <w:rPr>
          <w:rFonts w:hint="default" w:ascii="Times New Roman" w:hAnsi="Times New Roman" w:eastAsia="宋体" w:cs="Times New Roman"/>
          <w:color w:val="auto"/>
          <w:kern w:val="0"/>
          <w:sz w:val="24"/>
          <w:szCs w:val="24"/>
          <w:lang w:val="en-US" w:eastAsia="zh-CN" w:bidi="ar"/>
        </w:rPr>
        <w:t>4×10</w:t>
      </w:r>
      <w:r>
        <w:rPr>
          <w:rFonts w:hint="default" w:ascii="Times New Roman" w:hAnsi="Times New Roman" w:eastAsia="宋体" w:cs="Times New Roman"/>
          <w:color w:val="auto"/>
          <w:kern w:val="0"/>
          <w:sz w:val="24"/>
          <w:szCs w:val="24"/>
          <w:vertAlign w:val="superscript"/>
          <w:lang w:val="en-US" w:eastAsia="zh-CN" w:bidi="ar"/>
        </w:rPr>
        <w:t>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2000</w:t>
      </w:r>
      <w:r>
        <w:rPr>
          <w:rFonts w:hint="eastAsia" w:ascii="宋体" w:hAnsi="宋体" w:eastAsia="宋体" w:cs="宋体"/>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-2003</w:t>
      </w:r>
      <w:r>
        <w:rPr>
          <w:rFonts w:hint="eastAsia" w:ascii="宋体" w:hAnsi="宋体" w:eastAsia="宋体" w:cs="宋体"/>
          <w:color w:val="auto"/>
          <w:kern w:val="0"/>
          <w:sz w:val="24"/>
          <w:szCs w:val="24"/>
          <w:lang w:val="en-US" w:eastAsia="zh-CN" w:bidi="ar"/>
        </w:rPr>
        <w:t>年供水</w:t>
      </w:r>
      <w:r>
        <w:rPr>
          <w:rFonts w:hint="default" w:ascii="Times New Roman" w:hAnsi="Times New Roman" w:eastAsia="宋体" w:cs="Times New Roman"/>
          <w:color w:val="auto"/>
          <w:kern w:val="0"/>
          <w:sz w:val="24"/>
          <w:szCs w:val="24"/>
          <w:lang w:val="en-US" w:eastAsia="zh-CN" w:bidi="ar"/>
        </w:rPr>
        <w:t>7×10</w:t>
      </w:r>
      <w:r>
        <w:rPr>
          <w:rFonts w:hint="default" w:ascii="Times New Roman" w:hAnsi="Times New Roman" w:eastAsia="宋体" w:cs="Times New Roman"/>
          <w:color w:val="auto"/>
          <w:kern w:val="0"/>
          <w:sz w:val="24"/>
          <w:szCs w:val="24"/>
          <w:vertAlign w:val="superscript"/>
          <w:lang w:val="en-US" w:eastAsia="zh-CN" w:bidi="ar"/>
        </w:rPr>
        <w:t>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）是克拉玛依市主要的生产和生活水源。</w:t>
      </w:r>
    </w:p>
    <w:p w14:paraId="0128A0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克拉玛依市地下水的赋存与分布直接受构造控制，水文地质分带明显，并与地貌岩相带相适应，从加依尔山山前向准噶尔盆地中心，即由山地过渡为山前洪积倾斜平原</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洪积冲积平原</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冲积湖积平原。地下水含水层结构，由单一的卵砾石层变为砂砾（卵）石、砂、粘性土的综合互层。地下水类型由基岩裂隙水、碎屑岩类孔隙裂隙水、松散岩类裂隙水单层结构的潜水过渡到多层结构的潜水</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承压（自流）水。从山前洪积砾质倾斜平原到冲积湖积平原，潜水的埋藏深度由深逐渐变浅，呈平行山地的带状分布。地下水在山区接受大气降水直接渗入的补给，在强烈的构造断裂、节理、裂隙的控制下径流、赋存、运移，以侧向径流的形式排泄向南东方向，大部分以地下径流的形式排泄到盆地中部冲湖积平原，小部分以泉的形式溢出地表。</w:t>
      </w:r>
    </w:p>
    <w:p w14:paraId="5E5541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本工程所在区域地下水质主要为百口泉地下水源地第三系碎屑岩类孔隙水和第四系松散岩类孔隙水，该水源地第一含水层在北部和南部地区，一般埋藏深度</w:t>
      </w:r>
      <w:r>
        <w:rPr>
          <w:rFonts w:hint="default" w:ascii="Times New Roman" w:hAnsi="Times New Roman" w:eastAsia="宋体" w:cs="Times New Roman"/>
          <w:color w:val="auto"/>
          <w:kern w:val="0"/>
          <w:sz w:val="24"/>
          <w:szCs w:val="24"/>
          <w:lang w:val="en-US" w:eastAsia="zh-CN" w:bidi="ar"/>
        </w:rPr>
        <w:t>15-30m</w:t>
      </w:r>
      <w:r>
        <w:rPr>
          <w:rFonts w:hint="eastAsia" w:ascii="宋体" w:hAnsi="宋体" w:eastAsia="宋体" w:cs="宋体"/>
          <w:color w:val="auto"/>
          <w:kern w:val="0"/>
          <w:sz w:val="24"/>
          <w:szCs w:val="24"/>
          <w:lang w:val="en-US" w:eastAsia="zh-CN" w:bidi="ar"/>
        </w:rPr>
        <w:t>，个别地段埋藏较浅。由于地质构造运动，北部山区成吉思汗</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哈拉阿拉特山成为古生代的褶皱降起带，百口泉</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黄羊泉地区处于准噶尔盆地中</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新生界的沉降区。从隆起带到沉降区，地下水形成与赋存呈现出有规律的变化。在褶皱带与沉降区间的达尔布图大断裂切穿了中新生界部分地层，也横切过达尔布图河、克拉苏河和白杨河，使得北部山区的基岩裂隙水和河水，成为含松散岩类孔隙和碎屑岩类孔隙和碎屑岩类孔隙裂隙地层主要补给源。褶皱带的山区古老基岩裂隙水赋存于古生代变质岩的构造裂隙中。地下水主要依靠大气降水和积雪融水的补给。沉降区主要赋存松散岩类孔隙水及碎屑岩类裂隙孔隙水。松散岩类孔隙水赋存于第四系中，而碎屑岩类裂隙主要赋存于第三系和白垩系岩层的裂隙孔隙水。据前人供水水文地质勘查资料表明，孔隙潜水、第三系裂隙孔隙水主要埋藏分</w:t>
      </w:r>
      <w:r>
        <w:rPr>
          <w:rFonts w:hint="eastAsia" w:ascii="宋体" w:hAnsi="宋体" w:cs="宋体"/>
          <w:color w:val="auto"/>
          <w:kern w:val="0"/>
          <w:sz w:val="24"/>
          <w:szCs w:val="24"/>
          <w:lang w:val="en-US" w:eastAsia="zh-CN" w:bidi="ar"/>
        </w:rPr>
        <w:t>布在</w:t>
      </w:r>
      <w:r>
        <w:rPr>
          <w:rFonts w:hint="eastAsia" w:ascii="宋体" w:hAnsi="宋体" w:eastAsia="宋体" w:cs="宋体"/>
          <w:color w:val="auto"/>
          <w:kern w:val="0"/>
          <w:sz w:val="24"/>
          <w:szCs w:val="24"/>
          <w:lang w:val="en-US" w:eastAsia="zh-CN" w:bidi="ar"/>
        </w:rPr>
        <w:t>靠近山区的百口泉地区。</w:t>
      </w:r>
    </w:p>
    <w:p w14:paraId="7BF9E4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）和布克赛尔蒙古自治县</w:t>
      </w:r>
    </w:p>
    <w:p w14:paraId="1DCEAA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①河流</w:t>
      </w:r>
    </w:p>
    <w:p w14:paraId="4CE02D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cs="宋体"/>
          <w:color w:val="auto"/>
          <w:kern w:val="0"/>
          <w:sz w:val="24"/>
          <w:szCs w:val="24"/>
          <w:lang w:val="en-US" w:eastAsia="zh-CN" w:bidi="ar"/>
        </w:rPr>
        <w:t>和布克赛尔蒙古自治县</w:t>
      </w:r>
      <w:r>
        <w:rPr>
          <w:rFonts w:hint="eastAsia" w:ascii="宋体" w:hAnsi="宋体" w:eastAsia="宋体" w:cs="宋体"/>
          <w:color w:val="auto"/>
          <w:kern w:val="0"/>
          <w:sz w:val="24"/>
          <w:szCs w:val="24"/>
          <w:lang w:val="en-US" w:eastAsia="zh-CN" w:bidi="ar"/>
        </w:rPr>
        <w:t>境内有两条主要河流，白杨河与和布克河，有大小沟溪</w:t>
      </w:r>
      <w:r>
        <w:rPr>
          <w:rFonts w:hint="default" w:ascii="Times New Roman" w:hAnsi="Times New Roman" w:eastAsia="宋体" w:cs="Times New Roman"/>
          <w:color w:val="auto"/>
          <w:kern w:val="0"/>
          <w:sz w:val="24"/>
          <w:szCs w:val="24"/>
          <w:lang w:val="en-US" w:eastAsia="zh-CN" w:bidi="ar"/>
        </w:rPr>
        <w:t>31</w:t>
      </w:r>
      <w:r>
        <w:rPr>
          <w:rFonts w:hint="eastAsia" w:ascii="宋体" w:hAnsi="宋体" w:eastAsia="宋体" w:cs="宋体"/>
          <w:color w:val="auto"/>
          <w:kern w:val="0"/>
          <w:sz w:val="24"/>
          <w:szCs w:val="24"/>
          <w:lang w:val="en-US" w:eastAsia="zh-CN" w:bidi="ar"/>
        </w:rPr>
        <w:t>条。白杨河发源于和布克赛尔蒙古自治县的旦木郭勒，年径流量</w:t>
      </w:r>
      <w:r>
        <w:rPr>
          <w:rFonts w:hint="default" w:ascii="Times New Roman" w:hAnsi="Times New Roman" w:eastAsia="宋体" w:cs="Times New Roman"/>
          <w:color w:val="auto"/>
          <w:kern w:val="0"/>
          <w:sz w:val="24"/>
          <w:szCs w:val="24"/>
          <w:lang w:val="en-US" w:eastAsia="zh-CN" w:bidi="ar"/>
        </w:rPr>
        <w:t>2.4</w:t>
      </w:r>
      <w:r>
        <w:rPr>
          <w:rFonts w:hint="eastAsia" w:ascii="宋体" w:hAnsi="宋体" w:eastAsia="宋体" w:cs="宋体"/>
          <w:color w:val="auto"/>
          <w:kern w:val="0"/>
          <w:sz w:val="24"/>
          <w:szCs w:val="24"/>
          <w:lang w:val="en-US" w:eastAsia="zh-CN" w:bidi="ar"/>
        </w:rPr>
        <w:t>亿</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，和布克河发源于铁布肯乌散乡的霍尔茹，属和布克谷地的泉流河系，其年径流量约为</w:t>
      </w:r>
      <w:r>
        <w:rPr>
          <w:rFonts w:hint="default" w:ascii="Times New Roman" w:hAnsi="Times New Roman" w:eastAsia="宋体" w:cs="Times New Roman"/>
          <w:color w:val="auto"/>
          <w:kern w:val="0"/>
          <w:sz w:val="24"/>
          <w:szCs w:val="24"/>
          <w:lang w:val="en-US" w:eastAsia="zh-CN" w:bidi="ar"/>
        </w:rPr>
        <w:t>4200</w:t>
      </w:r>
      <w:r>
        <w:rPr>
          <w:rFonts w:hint="eastAsia" w:ascii="宋体" w:hAnsi="宋体" w:eastAsia="宋体" w:cs="宋体"/>
          <w:color w:val="auto"/>
          <w:kern w:val="0"/>
          <w:sz w:val="24"/>
          <w:szCs w:val="24"/>
          <w:lang w:val="en-US" w:eastAsia="zh-CN" w:bidi="ar"/>
        </w:rPr>
        <w:t>万</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，是和布克赛尔蒙古自治县南部灌区、察和特灌区水源与加音塔拉水库的主要蓄水水源。水资源总量</w:t>
      </w:r>
      <w:r>
        <w:rPr>
          <w:rFonts w:hint="default" w:ascii="Times New Roman" w:hAnsi="Times New Roman" w:eastAsia="宋体" w:cs="Times New Roman"/>
          <w:color w:val="auto"/>
          <w:kern w:val="0"/>
          <w:sz w:val="24"/>
          <w:szCs w:val="24"/>
          <w:lang w:val="en-US" w:eastAsia="zh-CN" w:bidi="ar"/>
        </w:rPr>
        <w:t>4.35</w:t>
      </w:r>
      <w:r>
        <w:rPr>
          <w:rFonts w:hint="eastAsia" w:ascii="宋体" w:hAnsi="宋体" w:eastAsia="宋体" w:cs="宋体"/>
          <w:color w:val="auto"/>
          <w:kern w:val="0"/>
          <w:sz w:val="24"/>
          <w:szCs w:val="24"/>
          <w:lang w:val="en-US" w:eastAsia="zh-CN" w:bidi="ar"/>
        </w:rPr>
        <w:t>亿</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，可利用水资源量</w:t>
      </w:r>
      <w:r>
        <w:rPr>
          <w:rFonts w:hint="default" w:ascii="Times New Roman" w:hAnsi="Times New Roman" w:eastAsia="宋体" w:cs="Times New Roman"/>
          <w:color w:val="auto"/>
          <w:kern w:val="0"/>
          <w:sz w:val="24"/>
          <w:szCs w:val="24"/>
          <w:lang w:val="en-US" w:eastAsia="zh-CN" w:bidi="ar"/>
        </w:rPr>
        <w:t>2.56</w:t>
      </w:r>
      <w:r>
        <w:rPr>
          <w:rFonts w:hint="eastAsia" w:ascii="宋体" w:hAnsi="宋体" w:eastAsia="宋体" w:cs="宋体"/>
          <w:color w:val="auto"/>
          <w:kern w:val="0"/>
          <w:sz w:val="24"/>
          <w:szCs w:val="24"/>
          <w:lang w:val="en-US" w:eastAsia="zh-CN" w:bidi="ar"/>
        </w:rPr>
        <w:t>亿</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，已利用水资源量</w:t>
      </w:r>
      <w:r>
        <w:rPr>
          <w:rFonts w:hint="default" w:ascii="Times New Roman" w:hAnsi="Times New Roman" w:eastAsia="宋体" w:cs="Times New Roman"/>
          <w:color w:val="auto"/>
          <w:kern w:val="0"/>
          <w:sz w:val="24"/>
          <w:szCs w:val="24"/>
          <w:lang w:val="en-US" w:eastAsia="zh-CN" w:bidi="ar"/>
        </w:rPr>
        <w:t>0.79</w:t>
      </w:r>
      <w:r>
        <w:rPr>
          <w:rFonts w:hint="eastAsia" w:ascii="宋体" w:hAnsi="宋体" w:eastAsia="宋体" w:cs="宋体"/>
          <w:color w:val="auto"/>
          <w:kern w:val="0"/>
          <w:sz w:val="24"/>
          <w:szCs w:val="24"/>
          <w:lang w:val="en-US" w:eastAsia="zh-CN" w:bidi="ar"/>
        </w:rPr>
        <w:t>亿</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；地表水资源量</w:t>
      </w:r>
      <w:r>
        <w:rPr>
          <w:rFonts w:hint="default" w:ascii="Times New Roman" w:hAnsi="Times New Roman" w:eastAsia="宋体" w:cs="Times New Roman"/>
          <w:color w:val="auto"/>
          <w:kern w:val="0"/>
          <w:sz w:val="24"/>
          <w:szCs w:val="24"/>
          <w:lang w:val="en-US" w:eastAsia="zh-CN" w:bidi="ar"/>
        </w:rPr>
        <w:t>2.55</w:t>
      </w:r>
      <w:r>
        <w:rPr>
          <w:rFonts w:hint="eastAsia" w:ascii="宋体" w:hAnsi="宋体" w:eastAsia="宋体" w:cs="宋体"/>
          <w:color w:val="auto"/>
          <w:kern w:val="0"/>
          <w:sz w:val="24"/>
          <w:szCs w:val="24"/>
          <w:lang w:val="en-US" w:eastAsia="zh-CN" w:bidi="ar"/>
        </w:rPr>
        <w:t>亿</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，可开采量</w:t>
      </w:r>
      <w:r>
        <w:rPr>
          <w:rFonts w:hint="default" w:ascii="Times New Roman" w:hAnsi="Times New Roman" w:eastAsia="宋体" w:cs="Times New Roman"/>
          <w:color w:val="auto"/>
          <w:kern w:val="0"/>
          <w:sz w:val="24"/>
          <w:szCs w:val="24"/>
          <w:lang w:val="en-US" w:eastAsia="zh-CN" w:bidi="ar"/>
        </w:rPr>
        <w:t>1.85</w:t>
      </w:r>
      <w:r>
        <w:rPr>
          <w:rFonts w:hint="eastAsia" w:ascii="宋体" w:hAnsi="宋体" w:eastAsia="宋体" w:cs="宋体"/>
          <w:color w:val="auto"/>
          <w:kern w:val="0"/>
          <w:sz w:val="24"/>
          <w:szCs w:val="24"/>
          <w:lang w:val="en-US" w:eastAsia="zh-CN" w:bidi="ar"/>
        </w:rPr>
        <w:t>亿</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；地下水资源量</w:t>
      </w:r>
      <w:r>
        <w:rPr>
          <w:rFonts w:hint="default" w:ascii="Times New Roman" w:hAnsi="Times New Roman" w:eastAsia="宋体" w:cs="Times New Roman"/>
          <w:color w:val="auto"/>
          <w:kern w:val="0"/>
          <w:sz w:val="24"/>
          <w:szCs w:val="24"/>
          <w:lang w:val="en-US" w:eastAsia="zh-CN" w:bidi="ar"/>
        </w:rPr>
        <w:t>1.80</w:t>
      </w:r>
      <w:r>
        <w:rPr>
          <w:rFonts w:hint="eastAsia" w:ascii="宋体" w:hAnsi="宋体" w:eastAsia="宋体" w:cs="宋体"/>
          <w:color w:val="auto"/>
          <w:kern w:val="0"/>
          <w:sz w:val="24"/>
          <w:szCs w:val="24"/>
          <w:lang w:val="en-US" w:eastAsia="zh-CN" w:bidi="ar"/>
        </w:rPr>
        <w:t>亿</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，可开采量</w:t>
      </w:r>
      <w:r>
        <w:rPr>
          <w:rFonts w:hint="default" w:ascii="Times New Roman" w:hAnsi="Times New Roman" w:eastAsia="宋体" w:cs="Times New Roman"/>
          <w:color w:val="auto"/>
          <w:kern w:val="0"/>
          <w:sz w:val="24"/>
          <w:szCs w:val="24"/>
          <w:lang w:val="en-US" w:eastAsia="zh-CN" w:bidi="ar"/>
        </w:rPr>
        <w:t>0.71</w:t>
      </w:r>
      <w:r>
        <w:rPr>
          <w:rFonts w:hint="eastAsia" w:ascii="宋体" w:hAnsi="宋体" w:eastAsia="宋体" w:cs="宋体"/>
          <w:color w:val="auto"/>
          <w:kern w:val="0"/>
          <w:sz w:val="24"/>
          <w:szCs w:val="24"/>
          <w:lang w:val="en-US" w:eastAsia="zh-CN" w:bidi="ar"/>
        </w:rPr>
        <w:t>亿</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w:t>
      </w:r>
    </w:p>
    <w:p w14:paraId="44592C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②湖泊</w:t>
      </w:r>
    </w:p>
    <w:p w14:paraId="60F4AB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玛纳斯湖</w:t>
      </w:r>
    </w:p>
    <w:p w14:paraId="0231E4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玛纳斯湖是玛纳斯河的尾闾，位于天山北部准噶尔盆地中心，是主要汇集天山北坡地表径流而成的内陆湖，原为准噶尔盆地西部的一个大型咸水湖及周围盐沼和草甸，近年来因农业垦荒截水，发源于哈比尔原山的玛纳斯河完全断流，湖区已变成干涸的盐地和盐漠。玛纳斯湖地下水位较高，离地面约 </w:t>
      </w:r>
      <w:r>
        <w:rPr>
          <w:rFonts w:hint="default" w:ascii="Times New Roman" w:hAnsi="Times New Roman" w:eastAsia="宋体" w:cs="Times New Roman"/>
          <w:color w:val="auto"/>
          <w:kern w:val="0"/>
          <w:sz w:val="24"/>
          <w:szCs w:val="24"/>
          <w:lang w:val="en-US" w:eastAsia="zh-CN" w:bidi="ar"/>
        </w:rPr>
        <w:t>2m</w:t>
      </w:r>
      <w:r>
        <w:rPr>
          <w:rFonts w:hint="eastAsia" w:ascii="宋体" w:hAnsi="宋体" w:eastAsia="宋体" w:cs="宋体"/>
          <w:color w:val="auto"/>
          <w:kern w:val="0"/>
          <w:sz w:val="24"/>
          <w:szCs w:val="24"/>
          <w:lang w:val="en-US" w:eastAsia="zh-CN" w:bidi="ar"/>
        </w:rPr>
        <w:t>，东面和南面是固定、半固定沙漠（古尔班通道古特沙漠）。玛纳斯湖湿地地区植被组成极其贫乏，以梭梭灌木为主。湖泊在水源稀少、降水贫乏的干旱气候背景下蒸发更加强烈，迅速萎缩并形成间歇干涸的荒漠景观。</w:t>
      </w:r>
    </w:p>
    <w:p w14:paraId="369171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艾里克湖</w:t>
      </w:r>
    </w:p>
    <w:p w14:paraId="1C56E3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艾里克湖位于克拉玛依市乌尔禾区境内，地处准噶尔盆地西部低山丘陵的东缘，为白杨河的尾闾湖泊，湖盆三面环山，水源补给大部分来自白杨河，面积</w:t>
      </w:r>
      <w:r>
        <w:rPr>
          <w:rFonts w:hint="default" w:ascii="Times New Roman" w:hAnsi="Times New Roman" w:eastAsia="宋体" w:cs="Times New Roman"/>
          <w:color w:val="auto"/>
          <w:kern w:val="0"/>
          <w:sz w:val="24"/>
          <w:szCs w:val="24"/>
          <w:lang w:val="en-US" w:eastAsia="zh-CN" w:bidi="ar"/>
        </w:rPr>
        <w:t>52.4km2</w:t>
      </w:r>
      <w:r>
        <w:rPr>
          <w:rFonts w:hint="eastAsia" w:ascii="宋体" w:hAnsi="宋体" w:eastAsia="宋体" w:cs="宋体"/>
          <w:color w:val="auto"/>
          <w:kern w:val="0"/>
          <w:sz w:val="24"/>
          <w:szCs w:val="24"/>
          <w:lang w:val="en-US" w:eastAsia="zh-CN" w:bidi="ar"/>
        </w:rPr>
        <w:t>，长度</w:t>
      </w:r>
      <w:r>
        <w:rPr>
          <w:rFonts w:hint="default" w:ascii="Times New Roman" w:hAnsi="Times New Roman" w:eastAsia="宋体" w:cs="Times New Roman"/>
          <w:color w:val="auto"/>
          <w:kern w:val="0"/>
          <w:sz w:val="24"/>
          <w:szCs w:val="24"/>
          <w:lang w:val="en-US" w:eastAsia="zh-CN" w:bidi="ar"/>
        </w:rPr>
        <w:t>12.4km</w:t>
      </w:r>
      <w:r>
        <w:rPr>
          <w:rFonts w:hint="eastAsia" w:ascii="宋体" w:hAnsi="宋体" w:eastAsia="宋体" w:cs="宋体"/>
          <w:color w:val="auto"/>
          <w:kern w:val="0"/>
          <w:sz w:val="24"/>
          <w:szCs w:val="24"/>
          <w:lang w:val="en-US" w:eastAsia="zh-CN" w:bidi="ar"/>
        </w:rPr>
        <w:t>，最大宽度</w:t>
      </w:r>
      <w:r>
        <w:rPr>
          <w:rFonts w:hint="default" w:ascii="Times New Roman" w:hAnsi="Times New Roman" w:eastAsia="宋体" w:cs="Times New Roman"/>
          <w:color w:val="auto"/>
          <w:kern w:val="0"/>
          <w:sz w:val="24"/>
          <w:szCs w:val="24"/>
          <w:lang w:val="en-US" w:eastAsia="zh-CN" w:bidi="ar"/>
        </w:rPr>
        <w:t>4.2km</w:t>
      </w:r>
      <w:r>
        <w:rPr>
          <w:rFonts w:hint="eastAsia" w:ascii="宋体" w:hAnsi="宋体" w:eastAsia="宋体" w:cs="宋体"/>
          <w:color w:val="auto"/>
          <w:kern w:val="0"/>
          <w:sz w:val="24"/>
          <w:szCs w:val="24"/>
          <w:lang w:val="en-US" w:eastAsia="zh-CN" w:bidi="ar"/>
        </w:rPr>
        <w:t>，平均宽度为</w:t>
      </w:r>
      <w:r>
        <w:rPr>
          <w:rFonts w:hint="default" w:ascii="Times New Roman" w:hAnsi="Times New Roman" w:eastAsia="宋体" w:cs="Times New Roman"/>
          <w:color w:val="auto"/>
          <w:kern w:val="0"/>
          <w:sz w:val="24"/>
          <w:szCs w:val="24"/>
          <w:lang w:val="en-US" w:eastAsia="zh-CN" w:bidi="ar"/>
        </w:rPr>
        <w:t>3.5km</w:t>
      </w:r>
      <w:r>
        <w:rPr>
          <w:rFonts w:hint="eastAsia" w:ascii="宋体" w:hAnsi="宋体" w:eastAsia="宋体" w:cs="宋体"/>
          <w:color w:val="auto"/>
          <w:kern w:val="0"/>
          <w:sz w:val="24"/>
          <w:szCs w:val="24"/>
          <w:lang w:val="en-US" w:eastAsia="zh-CN" w:bidi="ar"/>
        </w:rPr>
        <w:t>。湖泊环抱小盆地及大面积洪积扇平原，自然坡降约</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。最低海拔</w:t>
      </w:r>
      <w:r>
        <w:rPr>
          <w:rFonts w:hint="default" w:ascii="Times New Roman" w:hAnsi="Times New Roman" w:eastAsia="宋体" w:cs="Times New Roman"/>
          <w:color w:val="auto"/>
          <w:kern w:val="0"/>
          <w:sz w:val="24"/>
          <w:szCs w:val="24"/>
          <w:lang w:val="en-US" w:eastAsia="zh-CN" w:bidi="ar"/>
        </w:rPr>
        <w:t>278m</w:t>
      </w:r>
      <w:r>
        <w:rPr>
          <w:rFonts w:hint="eastAsia" w:ascii="宋体" w:hAnsi="宋体" w:eastAsia="宋体" w:cs="宋体"/>
          <w:color w:val="auto"/>
          <w:kern w:val="0"/>
          <w:sz w:val="24"/>
          <w:szCs w:val="24"/>
          <w:lang w:val="en-US" w:eastAsia="zh-CN" w:bidi="ar"/>
        </w:rPr>
        <w:t>，大部分海拔在</w:t>
      </w:r>
      <w:r>
        <w:rPr>
          <w:rFonts w:hint="default" w:ascii="Times New Roman" w:hAnsi="Times New Roman" w:eastAsia="宋体" w:cs="Times New Roman"/>
          <w:color w:val="auto"/>
          <w:kern w:val="0"/>
          <w:sz w:val="24"/>
          <w:szCs w:val="24"/>
          <w:lang w:val="en-US" w:eastAsia="zh-CN" w:bidi="ar"/>
        </w:rPr>
        <w:t>300m</w:t>
      </w:r>
      <w:r>
        <w:rPr>
          <w:rFonts w:hint="eastAsia" w:ascii="宋体" w:hAnsi="宋体" w:eastAsia="宋体" w:cs="宋体"/>
          <w:color w:val="auto"/>
          <w:kern w:val="0"/>
          <w:sz w:val="24"/>
          <w:szCs w:val="24"/>
          <w:lang w:val="en-US" w:eastAsia="zh-CN" w:bidi="ar"/>
        </w:rPr>
        <w:t>左右。地貌单元上艾里克湖东南接玛纳斯河下游冲积，湖积平原，分为构造剥蚀地貌、堆积地貌两类，地势基本由西北向东南倾斜。艾里克湖地处温带大陆性荒漠气候，年均降水量</w:t>
      </w:r>
      <w:r>
        <w:rPr>
          <w:rFonts w:hint="default" w:ascii="Times New Roman" w:hAnsi="Times New Roman" w:eastAsia="宋体" w:cs="Times New Roman"/>
          <w:color w:val="auto"/>
          <w:kern w:val="0"/>
          <w:sz w:val="24"/>
          <w:szCs w:val="24"/>
          <w:lang w:val="en-US" w:eastAsia="zh-CN" w:bidi="ar"/>
        </w:rPr>
        <w:t>96.4mm</w:t>
      </w:r>
      <w:r>
        <w:rPr>
          <w:rFonts w:hint="eastAsia" w:ascii="宋体" w:hAnsi="宋体" w:eastAsia="宋体" w:cs="宋体"/>
          <w:color w:val="auto"/>
          <w:kern w:val="0"/>
          <w:sz w:val="24"/>
          <w:szCs w:val="24"/>
          <w:lang w:val="en-US" w:eastAsia="zh-CN" w:bidi="ar"/>
        </w:rPr>
        <w:t>，年均雨日</w:t>
      </w:r>
      <w:r>
        <w:rPr>
          <w:rFonts w:hint="default" w:ascii="Times New Roman" w:hAnsi="Times New Roman" w:eastAsia="宋体" w:cs="Times New Roman"/>
          <w:color w:val="auto"/>
          <w:kern w:val="0"/>
          <w:sz w:val="24"/>
          <w:szCs w:val="24"/>
          <w:lang w:val="en-US" w:eastAsia="zh-CN" w:bidi="ar"/>
        </w:rPr>
        <w:t>98.6</w:t>
      </w:r>
      <w:r>
        <w:rPr>
          <w:rFonts w:hint="eastAsia" w:ascii="宋体" w:hAnsi="宋体" w:eastAsia="宋体" w:cs="宋体"/>
          <w:color w:val="auto"/>
          <w:kern w:val="0"/>
          <w:sz w:val="24"/>
          <w:szCs w:val="24"/>
          <w:lang w:val="en-US" w:eastAsia="zh-CN" w:bidi="ar"/>
        </w:rPr>
        <w:t>天，寒暑差异悬殊，冬季积雪较厚，年均日照</w:t>
      </w:r>
      <w:r>
        <w:rPr>
          <w:rFonts w:hint="default" w:ascii="Times New Roman" w:hAnsi="Times New Roman" w:eastAsia="宋体" w:cs="Times New Roman"/>
          <w:color w:val="auto"/>
          <w:kern w:val="0"/>
          <w:sz w:val="24"/>
          <w:szCs w:val="24"/>
          <w:lang w:val="en-US" w:eastAsia="zh-CN" w:bidi="ar"/>
        </w:rPr>
        <w:t>2637</w:t>
      </w:r>
      <w:r>
        <w:rPr>
          <w:rFonts w:hint="eastAsia" w:ascii="宋体" w:hAnsi="宋体" w:eastAsia="宋体" w:cs="宋体"/>
          <w:color w:val="auto"/>
          <w:kern w:val="0"/>
          <w:sz w:val="24"/>
          <w:szCs w:val="24"/>
          <w:lang w:val="en-US" w:eastAsia="zh-CN" w:bidi="ar"/>
        </w:rPr>
        <w:t>小时，年均平均气温</w:t>
      </w:r>
      <w:r>
        <w:rPr>
          <w:rFonts w:hint="default" w:ascii="Times New Roman" w:hAnsi="Times New Roman" w:eastAsia="宋体" w:cs="Times New Roman"/>
          <w:color w:val="auto"/>
          <w:kern w:val="0"/>
          <w:sz w:val="24"/>
          <w:szCs w:val="24"/>
          <w:lang w:val="en-US" w:eastAsia="zh-CN" w:bidi="ar"/>
        </w:rPr>
        <w:t>8.4℃</w:t>
      </w:r>
      <w:r>
        <w:rPr>
          <w:rFonts w:hint="eastAsia" w:ascii="宋体" w:hAnsi="宋体" w:eastAsia="宋体" w:cs="宋体"/>
          <w:color w:val="auto"/>
          <w:kern w:val="0"/>
          <w:sz w:val="24"/>
          <w:szCs w:val="24"/>
          <w:lang w:val="en-US" w:eastAsia="zh-CN" w:bidi="ar"/>
        </w:rPr>
        <w:t>。年均蒸发量</w:t>
      </w:r>
      <w:r>
        <w:rPr>
          <w:rFonts w:hint="default" w:ascii="Times New Roman" w:hAnsi="Times New Roman" w:eastAsia="宋体" w:cs="Times New Roman"/>
          <w:color w:val="auto"/>
          <w:kern w:val="0"/>
          <w:sz w:val="24"/>
          <w:szCs w:val="24"/>
          <w:lang w:val="en-US" w:eastAsia="zh-CN" w:bidi="ar"/>
        </w:rPr>
        <w:t>3016.4mm</w:t>
      </w:r>
      <w:r>
        <w:rPr>
          <w:rFonts w:hint="eastAsia" w:ascii="宋体" w:hAnsi="宋体" w:eastAsia="宋体" w:cs="宋体"/>
          <w:color w:val="auto"/>
          <w:kern w:val="0"/>
          <w:sz w:val="24"/>
          <w:szCs w:val="24"/>
          <w:lang w:val="en-US" w:eastAsia="zh-CN" w:bidi="ar"/>
        </w:rPr>
        <w:t>，年均无霜期</w:t>
      </w:r>
      <w:r>
        <w:rPr>
          <w:rFonts w:hint="default" w:ascii="Times New Roman" w:hAnsi="Times New Roman" w:eastAsia="宋体" w:cs="Times New Roman"/>
          <w:color w:val="auto"/>
          <w:kern w:val="0"/>
          <w:sz w:val="24"/>
          <w:szCs w:val="24"/>
          <w:lang w:val="en-US" w:eastAsia="zh-CN" w:bidi="ar"/>
        </w:rPr>
        <w:t>225</w:t>
      </w:r>
      <w:r>
        <w:rPr>
          <w:rFonts w:hint="eastAsia" w:ascii="宋体" w:hAnsi="宋体" w:eastAsia="宋体" w:cs="宋体"/>
          <w:color w:val="auto"/>
          <w:kern w:val="0"/>
          <w:sz w:val="24"/>
          <w:szCs w:val="24"/>
          <w:lang w:val="en-US" w:eastAsia="zh-CN" w:bidi="ar"/>
        </w:rPr>
        <w:t>天，年均冻土日</w:t>
      </w:r>
      <w:r>
        <w:rPr>
          <w:rFonts w:hint="default" w:ascii="Times New Roman" w:hAnsi="Times New Roman" w:eastAsia="宋体" w:cs="Times New Roman"/>
          <w:color w:val="auto"/>
          <w:kern w:val="0"/>
          <w:sz w:val="24"/>
          <w:szCs w:val="24"/>
          <w:lang w:val="en-US" w:eastAsia="zh-CN" w:bidi="ar"/>
        </w:rPr>
        <w:t>123</w:t>
      </w:r>
      <w:r>
        <w:rPr>
          <w:rFonts w:hint="eastAsia" w:ascii="宋体" w:hAnsi="宋体" w:eastAsia="宋体" w:cs="宋体"/>
          <w:color w:val="auto"/>
          <w:kern w:val="0"/>
          <w:sz w:val="24"/>
          <w:szCs w:val="24"/>
          <w:lang w:val="en-US" w:eastAsia="zh-CN" w:bidi="ar"/>
        </w:rPr>
        <w:t>天，最大冻土深度</w:t>
      </w:r>
      <w:r>
        <w:rPr>
          <w:rFonts w:hint="default" w:ascii="Times New Roman" w:hAnsi="Times New Roman" w:eastAsia="宋体" w:cs="Times New Roman"/>
          <w:color w:val="auto"/>
          <w:kern w:val="0"/>
          <w:sz w:val="24"/>
          <w:szCs w:val="24"/>
          <w:lang w:val="en-US" w:eastAsia="zh-CN" w:bidi="ar"/>
        </w:rPr>
        <w:t>180cm</w:t>
      </w:r>
      <w:r>
        <w:rPr>
          <w:rFonts w:hint="eastAsia" w:ascii="宋体" w:hAnsi="宋体" w:eastAsia="宋体" w:cs="宋体"/>
          <w:color w:val="auto"/>
          <w:kern w:val="0"/>
          <w:sz w:val="24"/>
          <w:szCs w:val="24"/>
          <w:lang w:val="en-US" w:eastAsia="zh-CN" w:bidi="ar"/>
        </w:rPr>
        <w:t>，平均冻土深度</w:t>
      </w:r>
      <w:r>
        <w:rPr>
          <w:rFonts w:hint="default" w:ascii="Times New Roman" w:hAnsi="Times New Roman" w:eastAsia="宋体" w:cs="Times New Roman"/>
          <w:color w:val="auto"/>
          <w:kern w:val="0"/>
          <w:sz w:val="24"/>
          <w:szCs w:val="24"/>
          <w:lang w:val="en-US" w:eastAsia="zh-CN" w:bidi="ar"/>
        </w:rPr>
        <w:t>140cm</w:t>
      </w:r>
      <w:r>
        <w:rPr>
          <w:rFonts w:hint="eastAsia" w:ascii="宋体" w:hAnsi="宋体" w:eastAsia="宋体" w:cs="宋体"/>
          <w:color w:val="auto"/>
          <w:kern w:val="0"/>
          <w:sz w:val="24"/>
          <w:szCs w:val="24"/>
          <w:lang w:val="en-US" w:eastAsia="zh-CN" w:bidi="ar"/>
        </w:rPr>
        <w:t>。春季、秋季多大风，七、八级大风年均</w:t>
      </w:r>
      <w:r>
        <w:rPr>
          <w:rFonts w:hint="default" w:ascii="Times New Roman" w:hAnsi="Times New Roman" w:eastAsia="宋体" w:cs="Times New Roman"/>
          <w:color w:val="auto"/>
          <w:kern w:val="0"/>
          <w:sz w:val="24"/>
          <w:szCs w:val="24"/>
          <w:lang w:val="en-US" w:eastAsia="zh-CN" w:bidi="ar"/>
        </w:rPr>
        <w:t>68</w:t>
      </w:r>
      <w:r>
        <w:rPr>
          <w:rFonts w:hint="eastAsia" w:ascii="宋体" w:hAnsi="宋体" w:eastAsia="宋体" w:cs="宋体"/>
          <w:color w:val="auto"/>
          <w:kern w:val="0"/>
          <w:sz w:val="24"/>
          <w:szCs w:val="24"/>
          <w:lang w:val="en-US" w:eastAsia="zh-CN" w:bidi="ar"/>
        </w:rPr>
        <w:t>天，平均风速达</w:t>
      </w:r>
      <w:r>
        <w:rPr>
          <w:rFonts w:hint="default" w:ascii="Times New Roman" w:hAnsi="Times New Roman" w:eastAsia="宋体" w:cs="Times New Roman"/>
          <w:color w:val="auto"/>
          <w:kern w:val="0"/>
          <w:sz w:val="24"/>
          <w:szCs w:val="24"/>
          <w:lang w:val="en-US" w:eastAsia="zh-CN" w:bidi="ar"/>
        </w:rPr>
        <w:t>3.5m/s</w:t>
      </w:r>
      <w:r>
        <w:rPr>
          <w:rFonts w:hint="eastAsia" w:ascii="宋体" w:hAnsi="宋体" w:eastAsia="宋体" w:cs="宋体"/>
          <w:color w:val="auto"/>
          <w:kern w:val="0"/>
          <w:sz w:val="24"/>
          <w:szCs w:val="24"/>
          <w:lang w:val="en-US" w:eastAsia="zh-CN" w:bidi="ar"/>
        </w:rPr>
        <w:t>，定时最大风速可达</w:t>
      </w:r>
      <w:r>
        <w:rPr>
          <w:rFonts w:hint="default" w:ascii="Times New Roman" w:hAnsi="Times New Roman" w:eastAsia="宋体" w:cs="Times New Roman"/>
          <w:color w:val="auto"/>
          <w:kern w:val="0"/>
          <w:sz w:val="24"/>
          <w:szCs w:val="24"/>
          <w:lang w:val="en-US" w:eastAsia="zh-CN" w:bidi="ar"/>
        </w:rPr>
        <w:t>30.3m/s</w:t>
      </w:r>
      <w:r>
        <w:rPr>
          <w:rFonts w:hint="eastAsia" w:ascii="宋体" w:hAnsi="宋体" w:eastAsia="宋体" w:cs="宋体"/>
          <w:color w:val="auto"/>
          <w:kern w:val="0"/>
          <w:sz w:val="24"/>
          <w:szCs w:val="24"/>
          <w:lang w:val="en-US" w:eastAsia="zh-CN" w:bidi="ar"/>
        </w:rPr>
        <w:t>，风向西北，处于地震烈度</w:t>
      </w:r>
      <w:r>
        <w:rPr>
          <w:rFonts w:hint="default" w:ascii="Times New Roman" w:hAnsi="Times New Roman" w:eastAsia="宋体" w:cs="Times New Roman"/>
          <w:color w:val="auto"/>
          <w:kern w:val="0"/>
          <w:sz w:val="24"/>
          <w:szCs w:val="24"/>
          <w:lang w:val="en-US" w:eastAsia="zh-CN" w:bidi="ar"/>
        </w:rPr>
        <w:t>7</w:t>
      </w:r>
      <w:r>
        <w:rPr>
          <w:rFonts w:hint="eastAsia" w:ascii="宋体" w:hAnsi="宋体" w:eastAsia="宋体" w:cs="宋体"/>
          <w:color w:val="auto"/>
          <w:kern w:val="0"/>
          <w:sz w:val="24"/>
          <w:szCs w:val="24"/>
          <w:lang w:val="en-US" w:eastAsia="zh-CN" w:bidi="ar"/>
        </w:rPr>
        <w:t>度区。艾里克湖湖区芦苇丛生，鱼跃禽鸣，野猪、黄羊经常出没，树木成林，农田纵横，艾里克湖因此被誉为“戈壁沙漠上的一颗明珠”。</w:t>
      </w:r>
    </w:p>
    <w:p w14:paraId="1B54A8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项目区位于准噶尔盆地西北边缘，地下水的赋存与分布直接受构造控制，水文地质分带明显，并与地貌岩相带相适应，从加依尔山山前向准噶尔盆地中心，即由山地过渡为山前洪积倾斜平原</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洪积冲积平原</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冲积湖积平原。地下水含水层结构，由单一的卵砾石层变为砂砾（卵）石、砂、粘性土的综合互层。地下水类型由基岩裂隙水、碎屑岩类孔隙裂隙水、松散岩类裂隙水单层结构的潜水过渡到多层结构的潜水</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承压（自流）水。从山前洪积砾质倾斜平原到冲积湖积平原，潜水的埋藏深度由深逐渐变浅，呈平行山地的带状分布。地下水在山区接受大气降水直接渗入的补给，在强烈的构造断裂、节理、裂隙的控制下径流、赋存、运移，以侧向径流的形式排泄向南东方向，大部</w:t>
      </w:r>
      <w:r>
        <w:rPr>
          <w:rFonts w:hint="eastAsia" w:ascii="宋体" w:hAnsi="宋体" w:cs="宋体"/>
          <w:color w:val="auto"/>
          <w:kern w:val="0"/>
          <w:sz w:val="24"/>
          <w:szCs w:val="24"/>
          <w:lang w:val="en-US" w:eastAsia="zh-CN" w:bidi="ar"/>
        </w:rPr>
        <w:t>分</w:t>
      </w:r>
      <w:r>
        <w:rPr>
          <w:rFonts w:hint="eastAsia" w:ascii="宋体" w:hAnsi="宋体" w:eastAsia="宋体" w:cs="宋体"/>
          <w:color w:val="auto"/>
          <w:kern w:val="0"/>
          <w:sz w:val="24"/>
          <w:szCs w:val="24"/>
          <w:lang w:val="en-US" w:eastAsia="zh-CN" w:bidi="ar"/>
        </w:rPr>
        <w:t>以地下径流的形式排泄到盆地中部冲湖积平原，小部</w:t>
      </w:r>
      <w:r>
        <w:rPr>
          <w:rFonts w:hint="eastAsia" w:ascii="宋体" w:hAnsi="宋体" w:cs="宋体"/>
          <w:color w:val="auto"/>
          <w:kern w:val="0"/>
          <w:sz w:val="24"/>
          <w:szCs w:val="24"/>
          <w:lang w:val="en-US" w:eastAsia="zh-CN" w:bidi="ar"/>
        </w:rPr>
        <w:t>分</w:t>
      </w:r>
      <w:r>
        <w:rPr>
          <w:rFonts w:hint="eastAsia" w:ascii="宋体" w:hAnsi="宋体" w:eastAsia="宋体" w:cs="宋体"/>
          <w:color w:val="auto"/>
          <w:kern w:val="0"/>
          <w:sz w:val="24"/>
          <w:szCs w:val="24"/>
          <w:lang w:val="en-US" w:eastAsia="zh-CN" w:bidi="ar"/>
        </w:rPr>
        <w:t>以泉的形式溢出地表。</w:t>
      </w:r>
    </w:p>
    <w:p w14:paraId="4EE90FDD">
      <w:pPr>
        <w:pStyle w:val="11"/>
        <w:rPr>
          <w:rFonts w:hint="default" w:ascii="Times New Roman" w:hAnsi="Times New Roman" w:cs="Times New Roman"/>
          <w:color w:val="auto"/>
          <w:lang w:val="en-US"/>
        </w:rPr>
      </w:pPr>
      <w:r>
        <w:rPr>
          <w:rFonts w:hint="default" w:ascii="Times New Roman" w:hAnsi="Times New Roman" w:eastAsia="宋体" w:cs="Times New Roman"/>
          <w:color w:val="auto"/>
          <w:kern w:val="0"/>
          <w:sz w:val="24"/>
          <w:szCs w:val="24"/>
          <w:lang w:val="en-US" w:eastAsia="zh-CN" w:bidi="ar"/>
        </w:rPr>
        <w:t>根据相关资料显示，在玛湖一带白垩系碎屑岩类裂隙孔隙水含水层顶板埋深在80～130m之间，单井涌水量一般为496.23～635.12m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矿化度8.4～15.3g，为半咸水、盐水，水化学类型主要为NaCl型水。根据已钻水井的水文地质柱状图可以看出，第四系以下无第三系地层分布，第四系地层之下为白垩系地层，岩性由上至下为砂岩、泥岩交替出现。该区静水位埋深在+6.12～+25m之间，含水层顶板埋深在87～130m之间，含水层有效厚度在125.91～129.33m之间。项目区水文地质柱状图及剖面图分别见</w:t>
      </w:r>
      <w:r>
        <w:rPr>
          <w:rFonts w:hint="eastAsia" w:cs="Times New Roman"/>
          <w:color w:val="auto"/>
          <w:kern w:val="0"/>
          <w:sz w:val="24"/>
          <w:szCs w:val="24"/>
          <w:lang w:val="en-US" w:eastAsia="zh-CN" w:bidi="ar"/>
        </w:rPr>
        <w:t>附图10</w:t>
      </w:r>
      <w:r>
        <w:rPr>
          <w:rFonts w:hint="default" w:ascii="Times New Roman" w:hAnsi="Times New Roman" w:eastAsia="宋体" w:cs="Times New Roman"/>
          <w:color w:val="auto"/>
          <w:kern w:val="0"/>
          <w:sz w:val="24"/>
          <w:szCs w:val="24"/>
          <w:lang w:val="en-US" w:eastAsia="zh-CN" w:bidi="ar"/>
        </w:rPr>
        <w:t>。</w:t>
      </w:r>
    </w:p>
    <w:p w14:paraId="4783174C">
      <w:pPr>
        <w:pStyle w:val="2"/>
        <w:bidi w:val="0"/>
        <w:rPr>
          <w:rFonts w:hint="default"/>
          <w:color w:val="auto"/>
          <w:lang w:val="en-US" w:eastAsia="zh-CN"/>
        </w:rPr>
      </w:pPr>
      <w:bookmarkStart w:id="205" w:name="_Toc12149"/>
      <w:bookmarkStart w:id="206" w:name="_Toc30185"/>
      <w:bookmarkStart w:id="207" w:name="_Toc30594"/>
      <w:r>
        <w:rPr>
          <w:rFonts w:hint="eastAsia"/>
          <w:color w:val="auto"/>
          <w:lang w:val="en-US" w:eastAsia="zh-CN"/>
        </w:rPr>
        <w:t>4.2环境质量现状调查与评价</w:t>
      </w:r>
      <w:bookmarkEnd w:id="205"/>
      <w:bookmarkEnd w:id="206"/>
      <w:bookmarkEnd w:id="207"/>
    </w:p>
    <w:p w14:paraId="1901D119">
      <w:pPr>
        <w:pStyle w:val="5"/>
        <w:bidi w:val="0"/>
        <w:rPr>
          <w:rFonts w:hint="default"/>
          <w:color w:val="auto"/>
          <w:lang w:val="en-US" w:eastAsia="zh-CN"/>
        </w:rPr>
      </w:pPr>
      <w:bookmarkStart w:id="208" w:name="_Toc31766"/>
      <w:r>
        <w:rPr>
          <w:rFonts w:hint="eastAsia"/>
          <w:color w:val="auto"/>
          <w:lang w:val="en-US" w:eastAsia="zh-CN"/>
        </w:rPr>
        <w:t>4.2.1环境空气质量现状调查与评价</w:t>
      </w:r>
      <w:bookmarkEnd w:id="208"/>
    </w:p>
    <w:p w14:paraId="6255E066">
      <w:pPr>
        <w:pStyle w:val="6"/>
        <w:bidi w:val="0"/>
        <w:rPr>
          <w:rFonts w:hint="default"/>
          <w:color w:val="auto"/>
          <w:lang w:val="en-US" w:eastAsia="zh-CN"/>
        </w:rPr>
      </w:pPr>
      <w:r>
        <w:rPr>
          <w:rFonts w:hint="eastAsia"/>
          <w:color w:val="auto"/>
          <w:lang w:val="en-US" w:eastAsia="zh-CN"/>
        </w:rPr>
        <w:t>4.2.1.1区域大气环境质量达标判定</w:t>
      </w:r>
    </w:p>
    <w:p w14:paraId="4BF2391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根据《环境影响评价技术导则 大气环境》（HJ2.2-2018）中6.2.1.1要求“项目所在区域达标判定，优先采用国家或地方生态环境主管部门公开发布的评价基准年环境质量公告或环境质量报告中的数据或结论”以及6.2.1.3规定“评价范围内没有环境空气质量监测网数据或公开发布的环境空气质量现状数据的，可选择符合HJ664规定，并且与评价范围地理位置邻近，地形、气候条件相近的环境空气质量城市点或区域点监测数据”。</w:t>
      </w:r>
    </w:p>
    <w:p w14:paraId="03861D8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塔城地区和布克赛尔蒙古自治县境内没有环境空气质量监测网数据，</w:t>
      </w:r>
      <w:r>
        <w:rPr>
          <w:rFonts w:hint="eastAsia" w:cstheme="minorBidi"/>
          <w:color w:val="auto"/>
          <w:kern w:val="2"/>
          <w:sz w:val="24"/>
          <w:szCs w:val="24"/>
          <w:lang w:val="en-US" w:eastAsia="zh-CN" w:bidi="ar-SA"/>
        </w:rPr>
        <w:t>本工程</w:t>
      </w:r>
      <w:r>
        <w:rPr>
          <w:rFonts w:hint="eastAsia" w:ascii="Times New Roman" w:hAnsi="Times New Roman" w:eastAsia="宋体" w:cstheme="minorBidi"/>
          <w:color w:val="auto"/>
          <w:kern w:val="2"/>
          <w:sz w:val="24"/>
          <w:szCs w:val="24"/>
          <w:lang w:val="en-US" w:eastAsia="zh-CN" w:bidi="ar-SA"/>
        </w:rPr>
        <w:t>在和布克赛尔蒙古自治县建设地点西北侧最远距克拉玛依市乌尔禾城区约32km。因此达标性判定均采用克拉玛依市乌尔禾区数据。</w:t>
      </w:r>
    </w:p>
    <w:p w14:paraId="50A80C45">
      <w:pPr>
        <w:pStyle w:val="43"/>
        <w:bidi w:val="0"/>
        <w:rPr>
          <w:rFonts w:cs="Times New Roman"/>
          <w:color w:val="auto"/>
        </w:rPr>
      </w:pPr>
      <w:bookmarkStart w:id="209" w:name="_Ref91839590"/>
      <w:r>
        <w:rPr>
          <w:color w:val="auto"/>
        </w:rPr>
        <w:t>表</w:t>
      </w:r>
      <w:r>
        <w:rPr>
          <w:rFonts w:hint="eastAsia"/>
          <w:color w:val="auto"/>
          <w:lang w:val="en-US" w:eastAsia="zh-CN"/>
        </w:rPr>
        <w:t>4.2</w:t>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209"/>
      <w:r>
        <w:rPr>
          <w:color w:val="auto"/>
        </w:rPr>
        <w:t xml:space="preserve">  </w:t>
      </w:r>
      <w:r>
        <w:rPr>
          <w:rFonts w:hint="eastAsia"/>
          <w:color w:val="auto"/>
          <w:lang w:val="en-US" w:eastAsia="zh-CN"/>
        </w:rPr>
        <w:t>项目区</w:t>
      </w:r>
      <w:r>
        <w:rPr>
          <w:color w:val="auto"/>
        </w:rPr>
        <w:t>202</w:t>
      </w:r>
      <w:r>
        <w:rPr>
          <w:rFonts w:hint="eastAsia"/>
          <w:color w:val="auto"/>
          <w:lang w:val="en-US" w:eastAsia="zh-CN"/>
        </w:rPr>
        <w:t>4</w:t>
      </w:r>
      <w:r>
        <w:rPr>
          <w:color w:val="auto"/>
        </w:rPr>
        <w:t>年环境空气质量状况</w:t>
      </w:r>
    </w:p>
    <w:tbl>
      <w:tblPr>
        <w:tblStyle w:val="27"/>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1"/>
        <w:gridCol w:w="2205"/>
        <w:gridCol w:w="1635"/>
        <w:gridCol w:w="1485"/>
        <w:gridCol w:w="960"/>
        <w:gridCol w:w="833"/>
      </w:tblGrid>
      <w:tr w14:paraId="50FF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311" w:type="dxa"/>
            <w:shd w:val="clear" w:color="auto" w:fill="auto"/>
            <w:noWrap/>
            <w:vAlign w:val="center"/>
          </w:tcPr>
          <w:p w14:paraId="04DF38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监测因子</w:t>
            </w:r>
          </w:p>
        </w:tc>
        <w:tc>
          <w:tcPr>
            <w:tcW w:w="2205" w:type="dxa"/>
            <w:shd w:val="clear" w:color="auto" w:fill="auto"/>
            <w:noWrap/>
            <w:vAlign w:val="center"/>
          </w:tcPr>
          <w:p w14:paraId="6F6293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评价指标</w:t>
            </w:r>
          </w:p>
        </w:tc>
        <w:tc>
          <w:tcPr>
            <w:tcW w:w="1635" w:type="dxa"/>
            <w:shd w:val="clear" w:color="auto" w:fill="auto"/>
            <w:noWrap/>
            <w:vAlign w:val="center"/>
          </w:tcPr>
          <w:p w14:paraId="7B6560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Style w:val="52"/>
                <w:rFonts w:hint="default" w:ascii="Times New Roman" w:hAnsi="Times New Roman" w:eastAsia="宋体" w:cs="Times New Roman"/>
                <w:b/>
                <w:bCs/>
                <w:color w:val="auto"/>
                <w:sz w:val="21"/>
                <w:szCs w:val="21"/>
                <w:lang w:val="en-US" w:eastAsia="zh-CN" w:bidi="ar"/>
              </w:rPr>
              <w:t>现状浓度（</w:t>
            </w:r>
            <w:r>
              <w:rPr>
                <w:rStyle w:val="53"/>
                <w:rFonts w:hint="default" w:ascii="Times New Roman" w:hAnsi="Times New Roman" w:eastAsia="宋体" w:cs="Times New Roman"/>
                <w:b/>
                <w:bCs/>
                <w:color w:val="auto"/>
                <w:sz w:val="21"/>
                <w:szCs w:val="21"/>
                <w:lang w:val="en-US" w:eastAsia="zh-CN" w:bidi="ar"/>
              </w:rPr>
              <w:t>μ</w:t>
            </w:r>
            <w:r>
              <w:rPr>
                <w:rStyle w:val="52"/>
                <w:rFonts w:hint="default" w:ascii="Times New Roman" w:hAnsi="Times New Roman" w:eastAsia="宋体" w:cs="Times New Roman"/>
                <w:b/>
                <w:bCs/>
                <w:color w:val="auto"/>
                <w:sz w:val="21"/>
                <w:szCs w:val="21"/>
                <w:lang w:val="en-US" w:eastAsia="zh-CN" w:bidi="ar"/>
              </w:rPr>
              <w:t>g/m</w:t>
            </w:r>
            <w:r>
              <w:rPr>
                <w:rStyle w:val="52"/>
                <w:rFonts w:hint="default" w:ascii="Times New Roman" w:hAnsi="Times New Roman" w:eastAsia="宋体" w:cs="Times New Roman"/>
                <w:b/>
                <w:bCs/>
                <w:color w:val="auto"/>
                <w:sz w:val="21"/>
                <w:szCs w:val="21"/>
                <w:vertAlign w:val="superscript"/>
                <w:lang w:val="en-US" w:eastAsia="zh-CN" w:bidi="ar"/>
              </w:rPr>
              <w:t>3</w:t>
            </w:r>
            <w:r>
              <w:rPr>
                <w:rStyle w:val="52"/>
                <w:rFonts w:hint="default" w:ascii="Times New Roman" w:hAnsi="Times New Roman" w:eastAsia="宋体" w:cs="Times New Roman"/>
                <w:b/>
                <w:bCs/>
                <w:color w:val="auto"/>
                <w:sz w:val="21"/>
                <w:szCs w:val="21"/>
                <w:lang w:val="en-US" w:eastAsia="zh-CN" w:bidi="ar"/>
              </w:rPr>
              <w:t>)</w:t>
            </w:r>
          </w:p>
        </w:tc>
        <w:tc>
          <w:tcPr>
            <w:tcW w:w="1485" w:type="dxa"/>
            <w:shd w:val="clear" w:color="auto" w:fill="auto"/>
            <w:noWrap/>
            <w:vAlign w:val="center"/>
          </w:tcPr>
          <w:p w14:paraId="6C0E57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标准值（μg/m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960" w:type="dxa"/>
            <w:shd w:val="clear" w:color="auto" w:fill="auto"/>
            <w:noWrap/>
            <w:vAlign w:val="center"/>
          </w:tcPr>
          <w:p w14:paraId="1426F5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占比率</w:t>
            </w:r>
          </w:p>
        </w:tc>
        <w:tc>
          <w:tcPr>
            <w:tcW w:w="833" w:type="dxa"/>
            <w:shd w:val="clear" w:color="auto" w:fill="auto"/>
            <w:noWrap/>
            <w:vAlign w:val="center"/>
          </w:tcPr>
          <w:p w14:paraId="142FA7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达标情况</w:t>
            </w:r>
          </w:p>
        </w:tc>
      </w:tr>
      <w:tr w14:paraId="36F1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11" w:type="dxa"/>
            <w:shd w:val="clear" w:color="auto" w:fill="auto"/>
            <w:noWrap/>
            <w:vAlign w:val="center"/>
          </w:tcPr>
          <w:p w14:paraId="7F7C1A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2205" w:type="dxa"/>
            <w:shd w:val="clear" w:color="auto" w:fill="auto"/>
            <w:noWrap/>
            <w:vAlign w:val="center"/>
          </w:tcPr>
          <w:p w14:paraId="22F6D9C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年平均值</w:t>
            </w:r>
          </w:p>
        </w:tc>
        <w:tc>
          <w:tcPr>
            <w:tcW w:w="1635" w:type="dxa"/>
            <w:shd w:val="clear" w:color="auto" w:fill="auto"/>
            <w:noWrap/>
            <w:vAlign w:val="center"/>
          </w:tcPr>
          <w:p w14:paraId="1B36D33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7.53</w:t>
            </w:r>
          </w:p>
        </w:tc>
        <w:tc>
          <w:tcPr>
            <w:tcW w:w="1485" w:type="dxa"/>
            <w:shd w:val="clear" w:color="auto" w:fill="auto"/>
            <w:noWrap/>
            <w:vAlign w:val="center"/>
          </w:tcPr>
          <w:p w14:paraId="043DC9A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960" w:type="dxa"/>
            <w:shd w:val="clear" w:color="auto" w:fill="auto"/>
            <w:noWrap/>
            <w:vAlign w:val="center"/>
          </w:tcPr>
          <w:p w14:paraId="160E815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12.55</w:t>
            </w:r>
          </w:p>
        </w:tc>
        <w:tc>
          <w:tcPr>
            <w:tcW w:w="833" w:type="dxa"/>
            <w:shd w:val="clear" w:color="auto" w:fill="auto"/>
            <w:noWrap/>
            <w:vAlign w:val="center"/>
          </w:tcPr>
          <w:p w14:paraId="5AB123A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7C9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11" w:type="dxa"/>
            <w:shd w:val="clear" w:color="auto" w:fill="auto"/>
            <w:noWrap/>
            <w:vAlign w:val="center"/>
          </w:tcPr>
          <w:p w14:paraId="29AD9B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2205" w:type="dxa"/>
            <w:shd w:val="clear" w:color="auto" w:fill="auto"/>
            <w:noWrap/>
            <w:vAlign w:val="center"/>
          </w:tcPr>
          <w:p w14:paraId="23DBB20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年平均值</w:t>
            </w:r>
          </w:p>
        </w:tc>
        <w:tc>
          <w:tcPr>
            <w:tcW w:w="1635" w:type="dxa"/>
            <w:shd w:val="clear" w:color="auto" w:fill="auto"/>
            <w:noWrap/>
            <w:vAlign w:val="center"/>
          </w:tcPr>
          <w:p w14:paraId="0472DCB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16.06</w:t>
            </w:r>
          </w:p>
        </w:tc>
        <w:tc>
          <w:tcPr>
            <w:tcW w:w="1485" w:type="dxa"/>
            <w:shd w:val="clear" w:color="auto" w:fill="auto"/>
            <w:noWrap/>
            <w:vAlign w:val="center"/>
          </w:tcPr>
          <w:p w14:paraId="4BB9BC7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960" w:type="dxa"/>
            <w:shd w:val="clear" w:color="auto" w:fill="auto"/>
            <w:noWrap/>
            <w:vAlign w:val="center"/>
          </w:tcPr>
          <w:p w14:paraId="2843079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40.15</w:t>
            </w:r>
          </w:p>
        </w:tc>
        <w:tc>
          <w:tcPr>
            <w:tcW w:w="833" w:type="dxa"/>
            <w:shd w:val="clear" w:color="auto" w:fill="auto"/>
            <w:noWrap/>
            <w:vAlign w:val="center"/>
          </w:tcPr>
          <w:p w14:paraId="3BABDA1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9D0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11" w:type="dxa"/>
            <w:shd w:val="clear" w:color="auto" w:fill="auto"/>
            <w:noWrap/>
            <w:vAlign w:val="center"/>
          </w:tcPr>
          <w:p w14:paraId="3DF06C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PM</w:t>
            </w:r>
            <w:r>
              <w:rPr>
                <w:rFonts w:hint="default" w:ascii="Times New Roman" w:hAnsi="Times New Roman" w:eastAsia="宋体" w:cs="Times New Roman"/>
                <w:i w:val="0"/>
                <w:iCs w:val="0"/>
                <w:color w:val="auto"/>
                <w:kern w:val="0"/>
                <w:sz w:val="21"/>
                <w:szCs w:val="21"/>
                <w:u w:val="none"/>
                <w:vertAlign w:val="subscript"/>
                <w:lang w:val="en-US" w:eastAsia="zh-CN" w:bidi="ar"/>
              </w:rPr>
              <w:t>10</w:t>
            </w:r>
          </w:p>
        </w:tc>
        <w:tc>
          <w:tcPr>
            <w:tcW w:w="2205" w:type="dxa"/>
            <w:shd w:val="clear" w:color="auto" w:fill="auto"/>
            <w:noWrap/>
            <w:vAlign w:val="center"/>
          </w:tcPr>
          <w:p w14:paraId="4440BE9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年平均值</w:t>
            </w:r>
          </w:p>
        </w:tc>
        <w:tc>
          <w:tcPr>
            <w:tcW w:w="1635" w:type="dxa"/>
            <w:shd w:val="clear" w:color="auto" w:fill="auto"/>
            <w:noWrap/>
            <w:vAlign w:val="center"/>
          </w:tcPr>
          <w:p w14:paraId="2E28CD4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41.58</w:t>
            </w:r>
          </w:p>
        </w:tc>
        <w:tc>
          <w:tcPr>
            <w:tcW w:w="1485" w:type="dxa"/>
            <w:shd w:val="clear" w:color="auto" w:fill="auto"/>
            <w:noWrap/>
            <w:vAlign w:val="center"/>
          </w:tcPr>
          <w:p w14:paraId="6063297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960" w:type="dxa"/>
            <w:shd w:val="clear" w:color="auto" w:fill="auto"/>
            <w:noWrap/>
            <w:vAlign w:val="center"/>
          </w:tcPr>
          <w:p w14:paraId="41B9E77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59.4</w:t>
            </w:r>
            <w:r>
              <w:rPr>
                <w:rFonts w:hint="eastAsia" w:ascii="Times New Roman" w:hAnsi="Times New Roman" w:eastAsia="宋体" w:cs="Times New Roman"/>
                <w:i w:val="0"/>
                <w:iCs w:val="0"/>
                <w:color w:val="auto"/>
                <w:kern w:val="0"/>
                <w:sz w:val="21"/>
                <w:szCs w:val="21"/>
                <w:u w:val="none"/>
                <w:lang w:val="en-US" w:eastAsia="zh-CN" w:bidi="ar"/>
              </w:rPr>
              <w:t>0</w:t>
            </w:r>
          </w:p>
        </w:tc>
        <w:tc>
          <w:tcPr>
            <w:tcW w:w="833" w:type="dxa"/>
            <w:shd w:val="clear" w:color="auto" w:fill="auto"/>
            <w:noWrap/>
            <w:vAlign w:val="center"/>
          </w:tcPr>
          <w:p w14:paraId="02E6CA2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3D0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11" w:type="dxa"/>
            <w:shd w:val="clear" w:color="auto" w:fill="auto"/>
            <w:noWrap/>
            <w:vAlign w:val="center"/>
          </w:tcPr>
          <w:p w14:paraId="4BA469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PM</w:t>
            </w:r>
            <w:r>
              <w:rPr>
                <w:rFonts w:hint="default" w:ascii="Times New Roman" w:hAnsi="Times New Roman" w:eastAsia="宋体" w:cs="Times New Roman"/>
                <w:i w:val="0"/>
                <w:iCs w:val="0"/>
                <w:color w:val="auto"/>
                <w:kern w:val="0"/>
                <w:sz w:val="21"/>
                <w:szCs w:val="21"/>
                <w:u w:val="none"/>
                <w:vertAlign w:val="subscript"/>
                <w:lang w:val="en-US" w:eastAsia="zh-CN" w:bidi="ar"/>
              </w:rPr>
              <w:t>2.5</w:t>
            </w:r>
          </w:p>
        </w:tc>
        <w:tc>
          <w:tcPr>
            <w:tcW w:w="2205" w:type="dxa"/>
            <w:shd w:val="clear" w:color="auto" w:fill="auto"/>
            <w:noWrap/>
            <w:vAlign w:val="center"/>
          </w:tcPr>
          <w:p w14:paraId="5BF3D86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年平均值</w:t>
            </w:r>
          </w:p>
        </w:tc>
        <w:tc>
          <w:tcPr>
            <w:tcW w:w="1635" w:type="dxa"/>
            <w:shd w:val="clear" w:color="auto" w:fill="auto"/>
            <w:noWrap/>
            <w:vAlign w:val="center"/>
          </w:tcPr>
          <w:p w14:paraId="74E3365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21.79</w:t>
            </w:r>
          </w:p>
        </w:tc>
        <w:tc>
          <w:tcPr>
            <w:tcW w:w="1485" w:type="dxa"/>
            <w:shd w:val="clear" w:color="auto" w:fill="auto"/>
            <w:noWrap/>
            <w:vAlign w:val="center"/>
          </w:tcPr>
          <w:p w14:paraId="6E2FFD6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960" w:type="dxa"/>
            <w:shd w:val="clear" w:color="auto" w:fill="auto"/>
            <w:noWrap/>
            <w:vAlign w:val="center"/>
          </w:tcPr>
          <w:p w14:paraId="4AC2D99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62.26</w:t>
            </w:r>
          </w:p>
        </w:tc>
        <w:tc>
          <w:tcPr>
            <w:tcW w:w="833" w:type="dxa"/>
            <w:shd w:val="clear" w:color="auto" w:fill="auto"/>
            <w:noWrap/>
            <w:vAlign w:val="center"/>
          </w:tcPr>
          <w:p w14:paraId="6B4C50D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B68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11" w:type="dxa"/>
            <w:shd w:val="clear" w:color="auto" w:fill="auto"/>
            <w:noWrap/>
            <w:vAlign w:val="center"/>
          </w:tcPr>
          <w:p w14:paraId="37B3F1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w:t>
            </w:r>
          </w:p>
        </w:tc>
        <w:tc>
          <w:tcPr>
            <w:tcW w:w="2205" w:type="dxa"/>
            <w:shd w:val="clear" w:color="auto" w:fill="auto"/>
            <w:noWrap/>
            <w:vAlign w:val="center"/>
          </w:tcPr>
          <w:p w14:paraId="44B8843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24小时平均第95百分位数</w:t>
            </w:r>
          </w:p>
        </w:tc>
        <w:tc>
          <w:tcPr>
            <w:tcW w:w="1635" w:type="dxa"/>
            <w:shd w:val="clear" w:color="auto" w:fill="auto"/>
            <w:noWrap/>
            <w:vAlign w:val="center"/>
          </w:tcPr>
          <w:p w14:paraId="5A21424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0.44(mg/m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1485" w:type="dxa"/>
            <w:shd w:val="clear" w:color="auto" w:fill="auto"/>
            <w:noWrap/>
            <w:vAlign w:val="center"/>
          </w:tcPr>
          <w:p w14:paraId="14BB0E8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60" w:type="dxa"/>
            <w:shd w:val="clear" w:color="auto" w:fill="auto"/>
            <w:noWrap/>
            <w:vAlign w:val="center"/>
          </w:tcPr>
          <w:p w14:paraId="2388BAD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11</w:t>
            </w:r>
            <w:r>
              <w:rPr>
                <w:rFonts w:hint="eastAsia" w:ascii="Times New Roman" w:hAnsi="Times New Roman" w:eastAsia="宋体" w:cs="Times New Roman"/>
                <w:i w:val="0"/>
                <w:iCs w:val="0"/>
                <w:color w:val="auto"/>
                <w:kern w:val="0"/>
                <w:sz w:val="21"/>
                <w:szCs w:val="21"/>
                <w:u w:val="none"/>
                <w:lang w:val="en-US" w:eastAsia="zh-CN" w:bidi="ar"/>
              </w:rPr>
              <w:t>.00</w:t>
            </w:r>
          </w:p>
        </w:tc>
        <w:tc>
          <w:tcPr>
            <w:tcW w:w="833" w:type="dxa"/>
            <w:shd w:val="clear" w:color="auto" w:fill="auto"/>
            <w:noWrap/>
            <w:vAlign w:val="center"/>
          </w:tcPr>
          <w:p w14:paraId="5AE278D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414E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11" w:type="dxa"/>
            <w:shd w:val="clear" w:color="auto" w:fill="auto"/>
            <w:noWrap/>
            <w:vAlign w:val="center"/>
          </w:tcPr>
          <w:p w14:paraId="54CE27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O</w:t>
            </w:r>
            <w:r>
              <w:rPr>
                <w:rFonts w:hint="default" w:ascii="Times New Roman" w:hAnsi="Times New Roman" w:eastAsia="宋体" w:cs="Times New Roman"/>
                <w:i w:val="0"/>
                <w:iCs w:val="0"/>
                <w:color w:val="auto"/>
                <w:kern w:val="0"/>
                <w:sz w:val="21"/>
                <w:szCs w:val="21"/>
                <w:u w:val="none"/>
                <w:vertAlign w:val="subscript"/>
                <w:lang w:val="en-US" w:eastAsia="zh-CN" w:bidi="ar"/>
              </w:rPr>
              <w:t>3</w:t>
            </w:r>
          </w:p>
        </w:tc>
        <w:tc>
          <w:tcPr>
            <w:tcW w:w="2205" w:type="dxa"/>
            <w:shd w:val="clear" w:color="auto" w:fill="auto"/>
            <w:noWrap/>
            <w:vAlign w:val="center"/>
          </w:tcPr>
          <w:p w14:paraId="3CF066E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最大8小时平均第90百分位数</w:t>
            </w:r>
          </w:p>
        </w:tc>
        <w:tc>
          <w:tcPr>
            <w:tcW w:w="1635" w:type="dxa"/>
            <w:shd w:val="clear" w:color="auto" w:fill="auto"/>
            <w:noWrap/>
            <w:vAlign w:val="center"/>
          </w:tcPr>
          <w:p w14:paraId="639DF29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74.02</w:t>
            </w:r>
          </w:p>
        </w:tc>
        <w:tc>
          <w:tcPr>
            <w:tcW w:w="1485" w:type="dxa"/>
            <w:shd w:val="clear" w:color="auto" w:fill="auto"/>
            <w:noWrap/>
            <w:vAlign w:val="center"/>
          </w:tcPr>
          <w:p w14:paraId="6FFF496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960" w:type="dxa"/>
            <w:shd w:val="clear" w:color="auto" w:fill="auto"/>
            <w:noWrap/>
            <w:vAlign w:val="center"/>
          </w:tcPr>
          <w:p w14:paraId="584DD30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46.26</w:t>
            </w:r>
          </w:p>
        </w:tc>
        <w:tc>
          <w:tcPr>
            <w:tcW w:w="833" w:type="dxa"/>
            <w:shd w:val="clear" w:color="auto" w:fill="auto"/>
            <w:noWrap/>
            <w:vAlign w:val="center"/>
          </w:tcPr>
          <w:p w14:paraId="6497FCB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665638F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由上表可知：2024年项目所在地克拉玛依市乌尔禾区SO</w:t>
      </w:r>
      <w:r>
        <w:rPr>
          <w:rFonts w:hint="eastAsia" w:ascii="Times New Roman" w:hAnsi="Times New Roman" w:eastAsia="宋体" w:cstheme="minorBidi"/>
          <w:color w:val="auto"/>
          <w:kern w:val="2"/>
          <w:sz w:val="24"/>
          <w:szCs w:val="24"/>
          <w:vertAlign w:val="subscript"/>
          <w:lang w:val="en-US" w:eastAsia="zh-CN" w:bidi="ar-SA"/>
        </w:rPr>
        <w:t>2</w:t>
      </w:r>
      <w:r>
        <w:rPr>
          <w:rFonts w:hint="eastAsia" w:ascii="Times New Roman" w:hAnsi="Times New Roman" w:eastAsia="宋体" w:cstheme="minorBidi"/>
          <w:color w:val="auto"/>
          <w:kern w:val="2"/>
          <w:sz w:val="24"/>
          <w:szCs w:val="24"/>
          <w:lang w:val="en-US" w:eastAsia="zh-CN" w:bidi="ar-SA"/>
        </w:rPr>
        <w:t>、NO</w:t>
      </w:r>
      <w:r>
        <w:rPr>
          <w:rFonts w:hint="eastAsia" w:ascii="Times New Roman" w:hAnsi="Times New Roman" w:eastAsia="宋体" w:cstheme="minorBidi"/>
          <w:color w:val="auto"/>
          <w:kern w:val="2"/>
          <w:sz w:val="24"/>
          <w:szCs w:val="24"/>
          <w:vertAlign w:val="subscript"/>
          <w:lang w:val="en-US" w:eastAsia="zh-CN" w:bidi="ar-SA"/>
        </w:rPr>
        <w:t>2</w:t>
      </w:r>
      <w:r>
        <w:rPr>
          <w:rFonts w:hint="eastAsia" w:ascii="Times New Roman" w:hAnsi="Times New Roman" w:eastAsia="宋体" w:cstheme="minorBidi"/>
          <w:color w:val="auto"/>
          <w:kern w:val="2"/>
          <w:sz w:val="24"/>
          <w:szCs w:val="24"/>
          <w:lang w:val="en-US" w:eastAsia="zh-CN" w:bidi="ar-SA"/>
        </w:rPr>
        <w:t>、PM</w:t>
      </w:r>
      <w:r>
        <w:rPr>
          <w:rFonts w:hint="eastAsia" w:ascii="Times New Roman" w:hAnsi="Times New Roman" w:eastAsia="宋体" w:cstheme="minorBidi"/>
          <w:color w:val="auto"/>
          <w:kern w:val="2"/>
          <w:sz w:val="24"/>
          <w:szCs w:val="24"/>
          <w:vertAlign w:val="subscript"/>
          <w:lang w:val="en-US" w:eastAsia="zh-CN" w:bidi="ar-SA"/>
        </w:rPr>
        <w:t>10</w:t>
      </w:r>
      <w:r>
        <w:rPr>
          <w:rFonts w:hint="eastAsia" w:ascii="Times New Roman" w:hAnsi="Times New Roman" w:eastAsia="宋体" w:cstheme="minorBidi"/>
          <w:color w:val="auto"/>
          <w:kern w:val="2"/>
          <w:sz w:val="24"/>
          <w:szCs w:val="24"/>
          <w:lang w:val="en-US" w:eastAsia="zh-CN" w:bidi="ar-SA"/>
        </w:rPr>
        <w:t>、PM</w:t>
      </w:r>
      <w:r>
        <w:rPr>
          <w:rFonts w:hint="eastAsia" w:ascii="Times New Roman" w:hAnsi="Times New Roman" w:eastAsia="宋体" w:cstheme="minorBidi"/>
          <w:color w:val="auto"/>
          <w:kern w:val="2"/>
          <w:sz w:val="24"/>
          <w:szCs w:val="24"/>
          <w:vertAlign w:val="subscript"/>
          <w:lang w:val="en-US" w:eastAsia="zh-CN" w:bidi="ar-SA"/>
        </w:rPr>
        <w:t>2.5</w:t>
      </w:r>
      <w:r>
        <w:rPr>
          <w:rFonts w:hint="eastAsia" w:ascii="Times New Roman" w:hAnsi="Times New Roman" w:eastAsia="宋体" w:cstheme="minorBidi"/>
          <w:color w:val="auto"/>
          <w:kern w:val="2"/>
          <w:sz w:val="24"/>
          <w:szCs w:val="24"/>
          <w:lang w:val="en-US" w:eastAsia="zh-CN" w:bidi="ar-SA"/>
        </w:rPr>
        <w:t>、CO、O</w:t>
      </w:r>
      <w:r>
        <w:rPr>
          <w:rFonts w:hint="eastAsia" w:ascii="Times New Roman" w:hAnsi="Times New Roman" w:eastAsia="宋体" w:cstheme="minorBidi"/>
          <w:color w:val="auto"/>
          <w:kern w:val="2"/>
          <w:sz w:val="24"/>
          <w:szCs w:val="24"/>
          <w:vertAlign w:val="subscript"/>
          <w:lang w:val="en-US" w:eastAsia="zh-CN" w:bidi="ar-SA"/>
        </w:rPr>
        <w:t>3</w:t>
      </w:r>
      <w:r>
        <w:rPr>
          <w:rFonts w:hint="eastAsia" w:ascii="Times New Roman" w:hAnsi="Times New Roman" w:eastAsia="宋体" w:cstheme="minorBidi"/>
          <w:color w:val="auto"/>
          <w:kern w:val="2"/>
          <w:sz w:val="24"/>
          <w:szCs w:val="24"/>
          <w:lang w:val="en-US" w:eastAsia="zh-CN" w:bidi="ar-SA"/>
        </w:rPr>
        <w:t>等污染物长期浓度均可满足《环境空气质量标准》（GB3095-2012）中二级标准限值，为环境空气质量达标区。</w:t>
      </w:r>
    </w:p>
    <w:p w14:paraId="1823BF7D">
      <w:pPr>
        <w:pStyle w:val="6"/>
        <w:bidi w:val="0"/>
        <w:rPr>
          <w:rFonts w:hint="default"/>
          <w:color w:val="auto"/>
          <w:lang w:val="en-US" w:eastAsia="zh-CN"/>
        </w:rPr>
      </w:pPr>
      <w:r>
        <w:rPr>
          <w:rFonts w:hint="eastAsia"/>
          <w:color w:val="auto"/>
          <w:lang w:val="en-US" w:eastAsia="zh-CN"/>
        </w:rPr>
        <w:t>4.2.1.2近5年的区域环境质量调查</w:t>
      </w:r>
    </w:p>
    <w:p w14:paraId="587FA73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color w:val="auto"/>
          <w:sz w:val="24"/>
          <w:szCs w:val="28"/>
          <w:shd w:val="clear" w:color="auto" w:fill="auto"/>
          <w:lang w:val="en-US" w:eastAsia="zh-CN"/>
        </w:rPr>
        <w:t>根据《环境影响评价技术导则 陆地石油天然气开发建设项目》（HJ349-2023），滚动开发区块建设项目还应收集近5年的区域环境质量资料，本工程玛2、玛131、玛18-艾湖1区块为滚动开发区块，该区块位于塔城地区和布克赛尔蒙古自治县，本次评价采用</w:t>
      </w:r>
      <w:r>
        <w:rPr>
          <w:rFonts w:hint="eastAsia" w:ascii="宋体" w:hAnsi="宋体" w:eastAsia="宋体" w:cs="宋体"/>
          <w:color w:val="auto"/>
          <w:sz w:val="24"/>
          <w:szCs w:val="24"/>
        </w:rPr>
        <w:t>中华人民共和国生态环境部环境工程评估中心发布的“环境空气质量模型技术支持服务系统”中</w:t>
      </w:r>
      <w:r>
        <w:rPr>
          <w:rFonts w:hint="eastAsia" w:ascii="Times New Roman" w:hAnsi="Times New Roman" w:cs="Times New Roman"/>
          <w:color w:val="auto"/>
          <w:sz w:val="24"/>
          <w:szCs w:val="24"/>
          <w:lang w:val="en-US" w:eastAsia="zh-CN"/>
        </w:rPr>
        <w:t>塔城地区</w:t>
      </w:r>
      <w:r>
        <w:rPr>
          <w:rFonts w:hint="eastAsia" w:cs="Times New Roman"/>
          <w:color w:val="auto"/>
          <w:sz w:val="24"/>
          <w:szCs w:val="24"/>
          <w:lang w:val="en-US" w:eastAsia="zh-CN"/>
        </w:rPr>
        <w:t>2020年-2024年达标区判定数据，作为项目区环境空气质量现状的数据来源，区域环境空气质量数据见表4.2-2。</w:t>
      </w:r>
    </w:p>
    <w:p w14:paraId="4021C209">
      <w:pPr>
        <w:pStyle w:val="43"/>
        <w:bidi w:val="0"/>
        <w:rPr>
          <w:rFonts w:hint="default"/>
          <w:color w:val="auto"/>
          <w:lang w:val="en-GB"/>
        </w:rPr>
      </w:pPr>
      <w:r>
        <w:rPr>
          <w:rFonts w:hint="default"/>
          <w:color w:val="auto"/>
          <w:lang w:val="en-GB"/>
        </w:rPr>
        <w:t>表</w:t>
      </w:r>
      <w:r>
        <w:rPr>
          <w:rFonts w:hint="eastAsia"/>
          <w:color w:val="auto"/>
          <w:lang w:val="en-US" w:eastAsia="zh-CN"/>
        </w:rPr>
        <w:t>4.2-2</w:t>
      </w:r>
      <w:r>
        <w:rPr>
          <w:rFonts w:hint="default"/>
          <w:color w:val="auto"/>
          <w:lang w:val="en-GB"/>
        </w:rPr>
        <w:t xml:space="preserve">  </w:t>
      </w:r>
      <w:r>
        <w:rPr>
          <w:rFonts w:hint="eastAsia"/>
          <w:color w:val="auto"/>
          <w:lang w:val="en-US" w:eastAsia="zh-CN"/>
        </w:rPr>
        <w:t>2020-2024年</w:t>
      </w:r>
      <w:r>
        <w:rPr>
          <w:rFonts w:hint="default"/>
          <w:color w:val="auto"/>
          <w:lang w:val="en-GB"/>
        </w:rPr>
        <w:t>环境空气质量及评价结果一览表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999"/>
        <w:gridCol w:w="1108"/>
        <w:gridCol w:w="1108"/>
        <w:gridCol w:w="1108"/>
        <w:gridCol w:w="1108"/>
        <w:gridCol w:w="1111"/>
      </w:tblGrid>
      <w:tr w14:paraId="6ED6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restart"/>
            <w:noWrap w:val="0"/>
            <w:vAlign w:val="center"/>
          </w:tcPr>
          <w:p w14:paraId="38EE0F95">
            <w:pPr>
              <w:pStyle w:val="48"/>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w:t>
            </w:r>
          </w:p>
          <w:p w14:paraId="2C6DD4E7">
            <w:pPr>
              <w:pStyle w:val="48"/>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因子</w:t>
            </w:r>
          </w:p>
        </w:tc>
        <w:tc>
          <w:tcPr>
            <w:tcW w:w="1174" w:type="pct"/>
            <w:vMerge w:val="restart"/>
            <w:noWrap w:val="0"/>
            <w:vAlign w:val="center"/>
          </w:tcPr>
          <w:p w14:paraId="640BC9C5">
            <w:pPr>
              <w:pStyle w:val="48"/>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评价指标</w:t>
            </w:r>
          </w:p>
        </w:tc>
        <w:tc>
          <w:tcPr>
            <w:tcW w:w="3254" w:type="pct"/>
            <w:gridSpan w:val="5"/>
            <w:noWrap w:val="0"/>
            <w:vAlign w:val="center"/>
          </w:tcPr>
          <w:p w14:paraId="12CF23BB">
            <w:pPr>
              <w:pStyle w:val="48"/>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14:paraId="3D30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noWrap w:val="0"/>
            <w:vAlign w:val="center"/>
          </w:tcPr>
          <w:p w14:paraId="230D0B63">
            <w:pPr>
              <w:pStyle w:val="48"/>
              <w:spacing w:line="240" w:lineRule="exact"/>
              <w:jc w:val="center"/>
              <w:rPr>
                <w:rFonts w:hint="default" w:ascii="Times New Roman" w:hAnsi="Times New Roman" w:eastAsia="宋体" w:cs="Times New Roman"/>
                <w:b/>
                <w:bCs/>
                <w:color w:val="auto"/>
                <w:sz w:val="21"/>
                <w:szCs w:val="21"/>
              </w:rPr>
            </w:pPr>
          </w:p>
        </w:tc>
        <w:tc>
          <w:tcPr>
            <w:tcW w:w="1174" w:type="pct"/>
            <w:vMerge w:val="continue"/>
            <w:noWrap w:val="0"/>
            <w:vAlign w:val="center"/>
          </w:tcPr>
          <w:p w14:paraId="365110C6">
            <w:pPr>
              <w:pStyle w:val="48"/>
              <w:spacing w:line="240" w:lineRule="exact"/>
              <w:jc w:val="center"/>
              <w:rPr>
                <w:rFonts w:hint="default" w:ascii="Times New Roman" w:hAnsi="Times New Roman" w:eastAsia="宋体" w:cs="Times New Roman"/>
                <w:b/>
                <w:bCs/>
                <w:color w:val="auto"/>
                <w:sz w:val="21"/>
                <w:szCs w:val="21"/>
              </w:rPr>
            </w:pPr>
          </w:p>
        </w:tc>
        <w:tc>
          <w:tcPr>
            <w:tcW w:w="650" w:type="pct"/>
            <w:shd w:val="clear" w:color="auto" w:fill="auto"/>
            <w:noWrap w:val="0"/>
            <w:vAlign w:val="center"/>
          </w:tcPr>
          <w:p w14:paraId="577949CB">
            <w:pPr>
              <w:pStyle w:val="48"/>
              <w:spacing w:line="240" w:lineRule="exact"/>
              <w:ind w:firstLine="0" w:firstLineChars="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2020年</w:t>
            </w:r>
          </w:p>
        </w:tc>
        <w:tc>
          <w:tcPr>
            <w:tcW w:w="650" w:type="pct"/>
            <w:shd w:val="clear" w:color="auto" w:fill="auto"/>
            <w:noWrap w:val="0"/>
            <w:vAlign w:val="center"/>
          </w:tcPr>
          <w:p w14:paraId="065C1E3E">
            <w:pPr>
              <w:pStyle w:val="48"/>
              <w:spacing w:line="240" w:lineRule="exact"/>
              <w:ind w:firstLine="0" w:firstLineChars="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2021年</w:t>
            </w:r>
          </w:p>
        </w:tc>
        <w:tc>
          <w:tcPr>
            <w:tcW w:w="650" w:type="pct"/>
            <w:shd w:val="clear" w:color="auto" w:fill="auto"/>
            <w:noWrap w:val="0"/>
            <w:vAlign w:val="center"/>
          </w:tcPr>
          <w:p w14:paraId="4AE0361D">
            <w:pPr>
              <w:pStyle w:val="48"/>
              <w:spacing w:line="240" w:lineRule="exact"/>
              <w:ind w:firstLine="0" w:firstLineChars="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2022年</w:t>
            </w:r>
          </w:p>
        </w:tc>
        <w:tc>
          <w:tcPr>
            <w:tcW w:w="650" w:type="pct"/>
            <w:shd w:val="clear" w:color="auto" w:fill="auto"/>
            <w:noWrap w:val="0"/>
            <w:vAlign w:val="center"/>
          </w:tcPr>
          <w:p w14:paraId="29F80849">
            <w:pPr>
              <w:pStyle w:val="48"/>
              <w:spacing w:line="240" w:lineRule="exact"/>
              <w:ind w:firstLine="0" w:firstLineChars="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2023年</w:t>
            </w:r>
          </w:p>
        </w:tc>
        <w:tc>
          <w:tcPr>
            <w:tcW w:w="652" w:type="pct"/>
            <w:noWrap w:val="0"/>
            <w:vAlign w:val="center"/>
          </w:tcPr>
          <w:p w14:paraId="58687E68">
            <w:pPr>
              <w:pStyle w:val="48"/>
              <w:spacing w:line="24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202</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年</w:t>
            </w:r>
          </w:p>
        </w:tc>
      </w:tr>
      <w:tr w14:paraId="35B6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noWrap w:val="0"/>
            <w:vAlign w:val="center"/>
          </w:tcPr>
          <w:p w14:paraId="1199F996">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SO</w:t>
            </w:r>
            <w:r>
              <w:rPr>
                <w:rFonts w:hint="default" w:ascii="Times New Roman" w:hAnsi="Times New Roman" w:eastAsia="宋体" w:cs="Times New Roman"/>
                <w:b w:val="0"/>
                <w:bCs w:val="0"/>
                <w:color w:val="auto"/>
                <w:sz w:val="21"/>
                <w:szCs w:val="21"/>
                <w:vertAlign w:val="subscript"/>
              </w:rPr>
              <w:t>2</w:t>
            </w:r>
          </w:p>
        </w:tc>
        <w:tc>
          <w:tcPr>
            <w:tcW w:w="1174" w:type="pct"/>
            <w:noWrap w:val="0"/>
            <w:vAlign w:val="center"/>
          </w:tcPr>
          <w:p w14:paraId="4EC9DF40">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年平均值</w:t>
            </w:r>
          </w:p>
        </w:tc>
        <w:tc>
          <w:tcPr>
            <w:tcW w:w="650" w:type="pct"/>
            <w:shd w:val="clear" w:color="auto" w:fill="auto"/>
            <w:noWrap w:val="0"/>
            <w:vAlign w:val="center"/>
          </w:tcPr>
          <w:p w14:paraId="2476E9E7">
            <w:pPr>
              <w:pStyle w:val="48"/>
              <w:spacing w:line="240" w:lineRule="exact"/>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w:t>
            </w:r>
          </w:p>
        </w:tc>
        <w:tc>
          <w:tcPr>
            <w:tcW w:w="650" w:type="pct"/>
            <w:shd w:val="clear" w:color="auto" w:fill="auto"/>
            <w:noWrap w:val="0"/>
            <w:vAlign w:val="center"/>
          </w:tcPr>
          <w:p w14:paraId="77551891">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5</w:t>
            </w:r>
          </w:p>
        </w:tc>
        <w:tc>
          <w:tcPr>
            <w:tcW w:w="650" w:type="pct"/>
            <w:shd w:val="clear" w:color="auto" w:fill="auto"/>
            <w:noWrap w:val="0"/>
            <w:vAlign w:val="center"/>
          </w:tcPr>
          <w:p w14:paraId="705A1F98">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4</w:t>
            </w:r>
          </w:p>
        </w:tc>
        <w:tc>
          <w:tcPr>
            <w:tcW w:w="650" w:type="pct"/>
            <w:shd w:val="clear" w:color="auto" w:fill="auto"/>
            <w:noWrap w:val="0"/>
            <w:vAlign w:val="center"/>
          </w:tcPr>
          <w:p w14:paraId="576423F6">
            <w:pPr>
              <w:pStyle w:val="48"/>
              <w:spacing w:line="240" w:lineRule="exact"/>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5</w:t>
            </w:r>
          </w:p>
        </w:tc>
        <w:tc>
          <w:tcPr>
            <w:tcW w:w="652" w:type="pct"/>
            <w:shd w:val="clear" w:color="auto" w:fill="auto"/>
            <w:noWrap w:val="0"/>
            <w:vAlign w:val="center"/>
          </w:tcPr>
          <w:p w14:paraId="648961A7">
            <w:pPr>
              <w:pStyle w:val="48"/>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r>
      <w:tr w14:paraId="026E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noWrap w:val="0"/>
            <w:vAlign w:val="center"/>
          </w:tcPr>
          <w:p w14:paraId="01398099">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NO</w:t>
            </w:r>
            <w:r>
              <w:rPr>
                <w:rFonts w:hint="default" w:ascii="Times New Roman" w:hAnsi="Times New Roman" w:eastAsia="宋体" w:cs="Times New Roman"/>
                <w:b w:val="0"/>
                <w:bCs w:val="0"/>
                <w:color w:val="auto"/>
                <w:sz w:val="21"/>
                <w:szCs w:val="21"/>
                <w:vertAlign w:val="subscript"/>
              </w:rPr>
              <w:t>2</w:t>
            </w:r>
          </w:p>
        </w:tc>
        <w:tc>
          <w:tcPr>
            <w:tcW w:w="1174" w:type="pct"/>
            <w:noWrap w:val="0"/>
            <w:vAlign w:val="center"/>
          </w:tcPr>
          <w:p w14:paraId="501C4C9E">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年平均值</w:t>
            </w:r>
          </w:p>
        </w:tc>
        <w:tc>
          <w:tcPr>
            <w:tcW w:w="650" w:type="pct"/>
            <w:shd w:val="clear" w:color="auto" w:fill="auto"/>
            <w:noWrap w:val="0"/>
            <w:vAlign w:val="center"/>
          </w:tcPr>
          <w:p w14:paraId="24D24464">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10</w:t>
            </w:r>
          </w:p>
        </w:tc>
        <w:tc>
          <w:tcPr>
            <w:tcW w:w="650" w:type="pct"/>
            <w:shd w:val="clear" w:color="auto" w:fill="auto"/>
            <w:noWrap w:val="0"/>
            <w:vAlign w:val="center"/>
          </w:tcPr>
          <w:p w14:paraId="5CB58795">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11</w:t>
            </w:r>
          </w:p>
        </w:tc>
        <w:tc>
          <w:tcPr>
            <w:tcW w:w="650" w:type="pct"/>
            <w:shd w:val="clear" w:color="auto" w:fill="auto"/>
            <w:noWrap w:val="0"/>
            <w:vAlign w:val="center"/>
          </w:tcPr>
          <w:p w14:paraId="3FF80F1C">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10</w:t>
            </w:r>
          </w:p>
        </w:tc>
        <w:tc>
          <w:tcPr>
            <w:tcW w:w="650" w:type="pct"/>
            <w:shd w:val="clear" w:color="auto" w:fill="auto"/>
            <w:noWrap w:val="0"/>
            <w:vAlign w:val="center"/>
          </w:tcPr>
          <w:p w14:paraId="00A1A038">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23</w:t>
            </w:r>
          </w:p>
        </w:tc>
        <w:tc>
          <w:tcPr>
            <w:tcW w:w="652" w:type="pct"/>
            <w:shd w:val="clear" w:color="auto" w:fill="auto"/>
            <w:noWrap w:val="0"/>
            <w:vAlign w:val="center"/>
          </w:tcPr>
          <w:p w14:paraId="1CE1FFC3">
            <w:pPr>
              <w:pStyle w:val="48"/>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7</w:t>
            </w:r>
          </w:p>
        </w:tc>
      </w:tr>
      <w:tr w14:paraId="3809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noWrap w:val="0"/>
            <w:vAlign w:val="center"/>
          </w:tcPr>
          <w:p w14:paraId="41AC3564">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10</w:t>
            </w:r>
          </w:p>
        </w:tc>
        <w:tc>
          <w:tcPr>
            <w:tcW w:w="1174" w:type="pct"/>
            <w:noWrap w:val="0"/>
            <w:vAlign w:val="center"/>
          </w:tcPr>
          <w:p w14:paraId="65912998">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年平均值</w:t>
            </w:r>
          </w:p>
        </w:tc>
        <w:tc>
          <w:tcPr>
            <w:tcW w:w="650" w:type="pct"/>
            <w:shd w:val="clear" w:color="auto" w:fill="auto"/>
            <w:noWrap w:val="0"/>
            <w:vAlign w:val="center"/>
          </w:tcPr>
          <w:p w14:paraId="640DEF51">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37</w:t>
            </w:r>
          </w:p>
        </w:tc>
        <w:tc>
          <w:tcPr>
            <w:tcW w:w="650" w:type="pct"/>
            <w:shd w:val="clear" w:color="auto" w:fill="auto"/>
            <w:noWrap w:val="0"/>
            <w:vAlign w:val="center"/>
          </w:tcPr>
          <w:p w14:paraId="69FA09CC">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38</w:t>
            </w:r>
          </w:p>
        </w:tc>
        <w:tc>
          <w:tcPr>
            <w:tcW w:w="650" w:type="pct"/>
            <w:shd w:val="clear" w:color="auto" w:fill="auto"/>
            <w:noWrap w:val="0"/>
            <w:vAlign w:val="center"/>
          </w:tcPr>
          <w:p w14:paraId="3218907E">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32</w:t>
            </w:r>
          </w:p>
        </w:tc>
        <w:tc>
          <w:tcPr>
            <w:tcW w:w="650" w:type="pct"/>
            <w:shd w:val="clear" w:color="auto" w:fill="auto"/>
            <w:noWrap w:val="0"/>
            <w:vAlign w:val="center"/>
          </w:tcPr>
          <w:p w14:paraId="3275AE65">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30</w:t>
            </w:r>
          </w:p>
        </w:tc>
        <w:tc>
          <w:tcPr>
            <w:tcW w:w="652" w:type="pct"/>
            <w:shd w:val="clear" w:color="auto" w:fill="auto"/>
            <w:noWrap w:val="0"/>
            <w:vAlign w:val="center"/>
          </w:tcPr>
          <w:p w14:paraId="76EABED9">
            <w:pPr>
              <w:pStyle w:val="48"/>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29</w:t>
            </w:r>
          </w:p>
        </w:tc>
      </w:tr>
      <w:tr w14:paraId="7173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noWrap w:val="0"/>
            <w:vAlign w:val="center"/>
          </w:tcPr>
          <w:p w14:paraId="3840F2B6">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2.5</w:t>
            </w:r>
          </w:p>
        </w:tc>
        <w:tc>
          <w:tcPr>
            <w:tcW w:w="1174" w:type="pct"/>
            <w:noWrap w:val="0"/>
            <w:vAlign w:val="center"/>
          </w:tcPr>
          <w:p w14:paraId="2586482B">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年平均值</w:t>
            </w:r>
          </w:p>
        </w:tc>
        <w:tc>
          <w:tcPr>
            <w:tcW w:w="650" w:type="pct"/>
            <w:shd w:val="clear" w:color="auto" w:fill="auto"/>
            <w:noWrap w:val="0"/>
            <w:vAlign w:val="center"/>
          </w:tcPr>
          <w:p w14:paraId="1C3BE9BC">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12</w:t>
            </w:r>
          </w:p>
        </w:tc>
        <w:tc>
          <w:tcPr>
            <w:tcW w:w="650" w:type="pct"/>
            <w:shd w:val="clear" w:color="auto" w:fill="auto"/>
            <w:noWrap w:val="0"/>
            <w:vAlign w:val="center"/>
          </w:tcPr>
          <w:p w14:paraId="4CE76CDC">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12</w:t>
            </w:r>
          </w:p>
        </w:tc>
        <w:tc>
          <w:tcPr>
            <w:tcW w:w="650" w:type="pct"/>
            <w:shd w:val="clear" w:color="auto" w:fill="auto"/>
            <w:noWrap w:val="0"/>
            <w:vAlign w:val="center"/>
          </w:tcPr>
          <w:p w14:paraId="502C5E54">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14</w:t>
            </w:r>
          </w:p>
        </w:tc>
        <w:tc>
          <w:tcPr>
            <w:tcW w:w="650" w:type="pct"/>
            <w:shd w:val="clear" w:color="auto" w:fill="auto"/>
            <w:noWrap w:val="0"/>
            <w:vAlign w:val="center"/>
          </w:tcPr>
          <w:p w14:paraId="41F1DE8E">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14</w:t>
            </w:r>
          </w:p>
        </w:tc>
        <w:tc>
          <w:tcPr>
            <w:tcW w:w="652" w:type="pct"/>
            <w:shd w:val="clear" w:color="auto" w:fill="auto"/>
            <w:noWrap w:val="0"/>
            <w:vAlign w:val="center"/>
          </w:tcPr>
          <w:p w14:paraId="19BA58BF">
            <w:pPr>
              <w:pStyle w:val="48"/>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13</w:t>
            </w:r>
          </w:p>
        </w:tc>
      </w:tr>
      <w:tr w14:paraId="4342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71" w:type="pct"/>
            <w:noWrap w:val="0"/>
            <w:vAlign w:val="center"/>
          </w:tcPr>
          <w:p w14:paraId="3A9F87C3">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CO</w:t>
            </w:r>
          </w:p>
        </w:tc>
        <w:tc>
          <w:tcPr>
            <w:tcW w:w="1174" w:type="pct"/>
            <w:noWrap w:val="0"/>
            <w:vAlign w:val="center"/>
          </w:tcPr>
          <w:p w14:paraId="2B1597ED">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24小时平均第95百分位数</w:t>
            </w:r>
          </w:p>
        </w:tc>
        <w:tc>
          <w:tcPr>
            <w:tcW w:w="650" w:type="pct"/>
            <w:shd w:val="clear" w:color="auto" w:fill="auto"/>
            <w:noWrap w:val="0"/>
            <w:vAlign w:val="center"/>
          </w:tcPr>
          <w:p w14:paraId="494AB9EF">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w:t>
            </w:r>
            <w:r>
              <w:rPr>
                <w:rFonts w:hint="eastAsia"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tc>
        <w:tc>
          <w:tcPr>
            <w:tcW w:w="650" w:type="pct"/>
            <w:shd w:val="clear" w:color="auto" w:fill="auto"/>
            <w:noWrap w:val="0"/>
            <w:vAlign w:val="center"/>
          </w:tcPr>
          <w:p w14:paraId="44FC74DD">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0.9</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tc>
        <w:tc>
          <w:tcPr>
            <w:tcW w:w="650" w:type="pct"/>
            <w:shd w:val="clear" w:color="auto" w:fill="auto"/>
            <w:noWrap w:val="0"/>
            <w:vAlign w:val="center"/>
          </w:tcPr>
          <w:p w14:paraId="4064A9B6">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0.6</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tc>
        <w:tc>
          <w:tcPr>
            <w:tcW w:w="650" w:type="pct"/>
            <w:shd w:val="clear" w:color="auto" w:fill="auto"/>
            <w:noWrap w:val="0"/>
            <w:vAlign w:val="center"/>
          </w:tcPr>
          <w:p w14:paraId="5FA5C07D">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2.1</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tc>
        <w:tc>
          <w:tcPr>
            <w:tcW w:w="652" w:type="pct"/>
            <w:shd w:val="clear" w:color="auto" w:fill="auto"/>
            <w:noWrap w:val="0"/>
            <w:vAlign w:val="center"/>
          </w:tcPr>
          <w:p w14:paraId="250D12E6">
            <w:pPr>
              <w:pStyle w:val="48"/>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0.4</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tc>
      </w:tr>
      <w:tr w14:paraId="7205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noWrap w:val="0"/>
            <w:vAlign w:val="center"/>
          </w:tcPr>
          <w:p w14:paraId="1858CDD2">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O</w:t>
            </w:r>
            <w:r>
              <w:rPr>
                <w:rFonts w:hint="default" w:ascii="Times New Roman" w:hAnsi="Times New Roman" w:eastAsia="宋体" w:cs="Times New Roman"/>
                <w:b w:val="0"/>
                <w:bCs w:val="0"/>
                <w:color w:val="auto"/>
                <w:sz w:val="21"/>
                <w:szCs w:val="21"/>
                <w:vertAlign w:val="subscript"/>
              </w:rPr>
              <w:t>3</w:t>
            </w:r>
          </w:p>
        </w:tc>
        <w:tc>
          <w:tcPr>
            <w:tcW w:w="1174" w:type="pct"/>
            <w:noWrap w:val="0"/>
            <w:vAlign w:val="center"/>
          </w:tcPr>
          <w:p w14:paraId="4C7BCF87">
            <w:pPr>
              <w:pStyle w:val="48"/>
              <w:spacing w:line="2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最大8小时平均第90百分位数</w:t>
            </w:r>
          </w:p>
        </w:tc>
        <w:tc>
          <w:tcPr>
            <w:tcW w:w="650" w:type="pct"/>
            <w:shd w:val="clear" w:color="auto" w:fill="auto"/>
            <w:noWrap w:val="0"/>
            <w:vAlign w:val="center"/>
          </w:tcPr>
          <w:p w14:paraId="32339E9A">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106</w:t>
            </w:r>
          </w:p>
        </w:tc>
        <w:tc>
          <w:tcPr>
            <w:tcW w:w="650" w:type="pct"/>
            <w:shd w:val="clear" w:color="auto" w:fill="auto"/>
            <w:noWrap w:val="0"/>
            <w:vAlign w:val="center"/>
          </w:tcPr>
          <w:p w14:paraId="3678C938">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102</w:t>
            </w:r>
          </w:p>
        </w:tc>
        <w:tc>
          <w:tcPr>
            <w:tcW w:w="650" w:type="pct"/>
            <w:shd w:val="clear" w:color="auto" w:fill="auto"/>
            <w:noWrap w:val="0"/>
            <w:vAlign w:val="center"/>
          </w:tcPr>
          <w:p w14:paraId="3FA79501">
            <w:pPr>
              <w:pStyle w:val="48"/>
              <w:spacing w:line="240" w:lineRule="exact"/>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104</w:t>
            </w:r>
          </w:p>
        </w:tc>
        <w:tc>
          <w:tcPr>
            <w:tcW w:w="650" w:type="pct"/>
            <w:shd w:val="clear" w:color="auto" w:fill="auto"/>
            <w:noWrap w:val="0"/>
            <w:vAlign w:val="center"/>
          </w:tcPr>
          <w:p w14:paraId="5B489441">
            <w:pPr>
              <w:pStyle w:val="48"/>
              <w:spacing w:line="24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110</w:t>
            </w:r>
          </w:p>
        </w:tc>
        <w:tc>
          <w:tcPr>
            <w:tcW w:w="652" w:type="pct"/>
            <w:shd w:val="clear" w:color="auto" w:fill="auto"/>
            <w:noWrap w:val="0"/>
            <w:vAlign w:val="center"/>
          </w:tcPr>
          <w:p w14:paraId="68927303">
            <w:pPr>
              <w:pStyle w:val="48"/>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77</w:t>
            </w:r>
          </w:p>
        </w:tc>
      </w:tr>
    </w:tbl>
    <w:p w14:paraId="7D7CA78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color w:val="auto"/>
          <w:sz w:val="24"/>
          <w:szCs w:val="28"/>
        </w:rPr>
        <w:t>根据</w:t>
      </w:r>
      <w:r>
        <w:rPr>
          <w:color w:val="auto"/>
          <w:sz w:val="24"/>
          <w:szCs w:val="28"/>
        </w:rPr>
        <w:fldChar w:fldCharType="begin"/>
      </w:r>
      <w:r>
        <w:rPr>
          <w:color w:val="auto"/>
          <w:sz w:val="24"/>
          <w:szCs w:val="28"/>
        </w:rPr>
        <w:instrText xml:space="preserve"> REF _Ref169886261 \h  \* MERGEFORMAT </w:instrText>
      </w:r>
      <w:r>
        <w:rPr>
          <w:color w:val="auto"/>
          <w:sz w:val="24"/>
          <w:szCs w:val="28"/>
        </w:rPr>
        <w:fldChar w:fldCharType="separate"/>
      </w:r>
      <w:r>
        <w:rPr>
          <w:color w:val="auto"/>
          <w:sz w:val="24"/>
          <w:szCs w:val="28"/>
        </w:rPr>
        <w:t>表</w:t>
      </w:r>
      <w:r>
        <w:rPr>
          <w:rFonts w:hint="eastAsia"/>
          <w:color w:val="auto"/>
          <w:sz w:val="24"/>
          <w:szCs w:val="28"/>
          <w:lang w:val="en-US" w:eastAsia="zh-CN"/>
        </w:rPr>
        <w:t>4</w:t>
      </w:r>
      <w:r>
        <w:rPr>
          <w:color w:val="auto"/>
          <w:sz w:val="24"/>
          <w:szCs w:val="28"/>
        </w:rPr>
        <w:fldChar w:fldCharType="end"/>
      </w:r>
      <w:r>
        <w:rPr>
          <w:rFonts w:hint="eastAsia"/>
          <w:color w:val="auto"/>
          <w:sz w:val="24"/>
          <w:szCs w:val="28"/>
          <w:lang w:val="en-US" w:eastAsia="zh-CN"/>
        </w:rPr>
        <w:t>.2-2</w:t>
      </w:r>
      <w:r>
        <w:rPr>
          <w:color w:val="auto"/>
          <w:sz w:val="24"/>
          <w:szCs w:val="28"/>
        </w:rPr>
        <w:t>可看出，</w:t>
      </w:r>
      <w:r>
        <w:rPr>
          <w:rFonts w:hint="eastAsia"/>
          <w:color w:val="auto"/>
          <w:sz w:val="24"/>
          <w:szCs w:val="28"/>
        </w:rPr>
        <w:t>项目所在区域连续</w:t>
      </w:r>
      <w:r>
        <w:rPr>
          <w:rFonts w:hint="eastAsia"/>
          <w:color w:val="auto"/>
          <w:sz w:val="24"/>
          <w:szCs w:val="28"/>
          <w:lang w:val="en-US" w:eastAsia="zh-CN"/>
        </w:rPr>
        <w:t>5</w:t>
      </w:r>
      <w:r>
        <w:rPr>
          <w:rFonts w:hint="eastAsia"/>
          <w:color w:val="auto"/>
          <w:sz w:val="24"/>
          <w:szCs w:val="28"/>
        </w:rPr>
        <w:t>年为环境空气质量达标区。</w:t>
      </w:r>
    </w:p>
    <w:p w14:paraId="5BA822B0">
      <w:pPr>
        <w:pStyle w:val="6"/>
        <w:bidi w:val="0"/>
        <w:rPr>
          <w:rFonts w:hint="default"/>
          <w:color w:val="auto"/>
          <w:lang w:val="en-US" w:eastAsia="zh-CN"/>
        </w:rPr>
      </w:pPr>
      <w:r>
        <w:rPr>
          <w:rFonts w:hint="eastAsia"/>
          <w:color w:val="auto"/>
          <w:lang w:val="en-US" w:eastAsia="zh-CN"/>
        </w:rPr>
        <w:t>4.2.1.3其他污染物环境质量现状监测</w:t>
      </w:r>
    </w:p>
    <w:p w14:paraId="2E32758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①监测点位及因子</w:t>
      </w:r>
    </w:p>
    <w:p w14:paraId="09C2F66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本次环境空气质量对项目特征污染物非甲烷总烃、硫化氢进行补充监测，共布设4个点位，</w:t>
      </w:r>
      <w:bookmarkStart w:id="210" w:name="OLE_LINK5"/>
      <w:r>
        <w:rPr>
          <w:rFonts w:hint="eastAsia"/>
          <w:color w:val="auto"/>
          <w:sz w:val="24"/>
          <w:szCs w:val="28"/>
          <w:lang w:val="en-US" w:eastAsia="zh-CN"/>
        </w:rPr>
        <w:t>点位区域环境空气质量与评价范围地理位置邻近，地形、气候条件相近</w:t>
      </w:r>
      <w:bookmarkEnd w:id="210"/>
      <w:r>
        <w:rPr>
          <w:rFonts w:hint="eastAsia"/>
          <w:color w:val="auto"/>
          <w:sz w:val="24"/>
          <w:szCs w:val="28"/>
          <w:lang w:val="en-US" w:eastAsia="zh-CN"/>
        </w:rPr>
        <w:t>，点位布置见表4.2-3，大气监测布点图见附图11。</w:t>
      </w:r>
    </w:p>
    <w:p w14:paraId="288E6386">
      <w:pPr>
        <w:pStyle w:val="43"/>
        <w:bidi w:val="0"/>
        <w:rPr>
          <w:rFonts w:hint="default"/>
          <w:color w:val="auto"/>
          <w:lang w:val="en-US" w:eastAsia="zh-CN"/>
        </w:rPr>
      </w:pPr>
      <w:r>
        <w:rPr>
          <w:rFonts w:hint="eastAsia"/>
          <w:color w:val="auto"/>
          <w:lang w:val="en-US" w:eastAsia="zh-CN"/>
        </w:rPr>
        <w:t>表4.2-3  环境空气质量补充监测位置</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2610"/>
        <w:gridCol w:w="1905"/>
        <w:gridCol w:w="1095"/>
        <w:gridCol w:w="2183"/>
      </w:tblGrid>
      <w:tr w14:paraId="5E61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14:paraId="6E9532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2"/>
                <w:vertAlign w:val="baseline"/>
                <w:lang w:val="en-US" w:eastAsia="zh-CN"/>
              </w:rPr>
            </w:pPr>
            <w:r>
              <w:rPr>
                <w:rFonts w:hint="eastAsia"/>
                <w:b/>
                <w:bCs/>
                <w:color w:val="auto"/>
                <w:sz w:val="21"/>
                <w:szCs w:val="22"/>
                <w:vertAlign w:val="baseline"/>
                <w:lang w:val="en-US" w:eastAsia="zh-CN"/>
              </w:rPr>
              <w:t>序号</w:t>
            </w:r>
          </w:p>
        </w:tc>
        <w:tc>
          <w:tcPr>
            <w:tcW w:w="4515" w:type="dxa"/>
            <w:gridSpan w:val="2"/>
            <w:vAlign w:val="center"/>
          </w:tcPr>
          <w:p w14:paraId="04CCA1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2"/>
                <w:vertAlign w:val="baseline"/>
                <w:lang w:val="en-US" w:eastAsia="zh-CN"/>
              </w:rPr>
            </w:pPr>
            <w:r>
              <w:rPr>
                <w:rFonts w:hint="eastAsia"/>
                <w:b/>
                <w:bCs/>
                <w:color w:val="auto"/>
                <w:sz w:val="21"/>
                <w:szCs w:val="22"/>
                <w:vertAlign w:val="baseline"/>
                <w:lang w:val="en-US" w:eastAsia="zh-CN"/>
              </w:rPr>
              <w:t>监测点位</w:t>
            </w:r>
          </w:p>
        </w:tc>
        <w:tc>
          <w:tcPr>
            <w:tcW w:w="1095" w:type="dxa"/>
            <w:vAlign w:val="center"/>
          </w:tcPr>
          <w:p w14:paraId="5EBFBA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2"/>
                <w:vertAlign w:val="baseline"/>
                <w:lang w:val="en-US" w:eastAsia="zh-CN"/>
              </w:rPr>
            </w:pPr>
            <w:r>
              <w:rPr>
                <w:rFonts w:hint="eastAsia"/>
                <w:b/>
                <w:bCs/>
                <w:color w:val="auto"/>
                <w:sz w:val="21"/>
                <w:szCs w:val="22"/>
                <w:vertAlign w:val="baseline"/>
                <w:lang w:val="en-US" w:eastAsia="zh-CN"/>
              </w:rPr>
              <w:t>监测因子</w:t>
            </w:r>
          </w:p>
        </w:tc>
        <w:tc>
          <w:tcPr>
            <w:tcW w:w="2183" w:type="dxa"/>
            <w:vAlign w:val="center"/>
          </w:tcPr>
          <w:p w14:paraId="572C2E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2"/>
                <w:vertAlign w:val="baseline"/>
                <w:lang w:val="en-US" w:eastAsia="zh-CN"/>
              </w:rPr>
            </w:pPr>
            <w:r>
              <w:rPr>
                <w:rFonts w:hint="eastAsia"/>
                <w:b/>
                <w:bCs/>
                <w:color w:val="auto"/>
                <w:sz w:val="21"/>
                <w:szCs w:val="22"/>
                <w:vertAlign w:val="baseline"/>
                <w:lang w:val="en-US" w:eastAsia="zh-CN"/>
              </w:rPr>
              <w:t>位置关系</w:t>
            </w:r>
          </w:p>
        </w:tc>
      </w:tr>
      <w:tr w14:paraId="626D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14:paraId="697469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1</w:t>
            </w:r>
          </w:p>
        </w:tc>
        <w:tc>
          <w:tcPr>
            <w:tcW w:w="2610" w:type="dxa"/>
            <w:vAlign w:val="center"/>
          </w:tcPr>
          <w:p w14:paraId="6DBBB0E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监测点</w:t>
            </w:r>
            <w:r>
              <w:rPr>
                <w:rStyle w:val="55"/>
                <w:rFonts w:eastAsia="宋体"/>
                <w:color w:val="auto"/>
                <w:lang w:val="en-US" w:eastAsia="zh-CN" w:bidi="ar"/>
              </w:rPr>
              <w:t>G1</w:t>
            </w:r>
            <w:r>
              <w:rPr>
                <w:rFonts w:hint="eastAsia" w:ascii="宋体" w:hAnsi="宋体" w:eastAsia="宋体" w:cs="宋体"/>
                <w:i w:val="0"/>
                <w:iCs w:val="0"/>
                <w:color w:val="auto"/>
                <w:kern w:val="0"/>
                <w:sz w:val="22"/>
                <w:szCs w:val="22"/>
                <w:u w:val="none"/>
                <w:lang w:val="en-US" w:eastAsia="zh-CN" w:bidi="ar"/>
              </w:rPr>
              <w:t>，项目区当季主导风向下风向</w:t>
            </w:r>
          </w:p>
        </w:tc>
        <w:tc>
          <w:tcPr>
            <w:tcW w:w="1905" w:type="dxa"/>
            <w:vAlign w:val="center"/>
          </w:tcPr>
          <w:p w14:paraId="38EDE77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cs="Times New Roman"/>
                <w:i w:val="0"/>
                <w:iCs w:val="0"/>
                <w:color w:val="auto"/>
                <w:kern w:val="0"/>
                <w:sz w:val="21"/>
                <w:szCs w:val="21"/>
                <w:u w:val="none"/>
                <w:lang w:val="en-US" w:eastAsia="zh-CN" w:bidi="ar"/>
              </w:rPr>
              <w:t>*****</w:t>
            </w:r>
          </w:p>
        </w:tc>
        <w:tc>
          <w:tcPr>
            <w:tcW w:w="1095" w:type="dxa"/>
            <w:vMerge w:val="restart"/>
            <w:vAlign w:val="center"/>
          </w:tcPr>
          <w:p w14:paraId="7FFD9E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非甲烷总烃、硫化氢</w:t>
            </w:r>
          </w:p>
        </w:tc>
        <w:tc>
          <w:tcPr>
            <w:tcW w:w="2183" w:type="dxa"/>
            <w:vAlign w:val="center"/>
          </w:tcPr>
          <w:p w14:paraId="0BC174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百209H井场东南侧570m处</w:t>
            </w:r>
          </w:p>
        </w:tc>
      </w:tr>
      <w:tr w14:paraId="6852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14:paraId="7668F6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2</w:t>
            </w:r>
          </w:p>
        </w:tc>
        <w:tc>
          <w:tcPr>
            <w:tcW w:w="2610" w:type="dxa"/>
            <w:vAlign w:val="center"/>
          </w:tcPr>
          <w:p w14:paraId="6880D19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监测点</w:t>
            </w:r>
            <w:r>
              <w:rPr>
                <w:rStyle w:val="55"/>
                <w:rFonts w:eastAsia="宋体"/>
                <w:color w:val="auto"/>
                <w:lang w:val="en-US" w:eastAsia="zh-CN" w:bidi="ar"/>
              </w:rPr>
              <w:t>G2</w:t>
            </w:r>
            <w:r>
              <w:rPr>
                <w:rFonts w:hint="eastAsia" w:ascii="宋体" w:hAnsi="宋体" w:eastAsia="宋体" w:cs="宋体"/>
                <w:i w:val="0"/>
                <w:iCs w:val="0"/>
                <w:color w:val="auto"/>
                <w:kern w:val="0"/>
                <w:sz w:val="22"/>
                <w:szCs w:val="22"/>
                <w:u w:val="none"/>
                <w:lang w:val="en-US" w:eastAsia="zh-CN" w:bidi="ar"/>
              </w:rPr>
              <w:t>，项目区当季主导风向下风向</w:t>
            </w:r>
          </w:p>
        </w:tc>
        <w:tc>
          <w:tcPr>
            <w:tcW w:w="1905" w:type="dxa"/>
            <w:vAlign w:val="center"/>
          </w:tcPr>
          <w:p w14:paraId="20B12CD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cs="Times New Roman"/>
                <w:i w:val="0"/>
                <w:iCs w:val="0"/>
                <w:color w:val="auto"/>
                <w:kern w:val="0"/>
                <w:sz w:val="21"/>
                <w:szCs w:val="21"/>
                <w:u w:val="none"/>
                <w:lang w:val="en-US" w:eastAsia="zh-CN" w:bidi="ar"/>
              </w:rPr>
              <w:t>*****</w:t>
            </w:r>
          </w:p>
        </w:tc>
        <w:tc>
          <w:tcPr>
            <w:tcW w:w="1095" w:type="dxa"/>
            <w:vMerge w:val="continue"/>
            <w:vAlign w:val="center"/>
          </w:tcPr>
          <w:p w14:paraId="1EF007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p>
        </w:tc>
        <w:tc>
          <w:tcPr>
            <w:tcW w:w="2183" w:type="dxa"/>
            <w:vAlign w:val="center"/>
          </w:tcPr>
          <w:p w14:paraId="73643D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玛61井场东南侧520m处</w:t>
            </w:r>
          </w:p>
        </w:tc>
      </w:tr>
      <w:tr w14:paraId="7B0C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14:paraId="303196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3</w:t>
            </w:r>
          </w:p>
        </w:tc>
        <w:tc>
          <w:tcPr>
            <w:tcW w:w="2610" w:type="dxa"/>
            <w:vAlign w:val="center"/>
          </w:tcPr>
          <w:p w14:paraId="5DE65F6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监测点</w:t>
            </w:r>
            <w:r>
              <w:rPr>
                <w:rStyle w:val="55"/>
                <w:rFonts w:eastAsia="宋体"/>
                <w:color w:val="auto"/>
                <w:lang w:val="en-US" w:eastAsia="zh-CN" w:bidi="ar"/>
              </w:rPr>
              <w:t>G3</w:t>
            </w:r>
            <w:r>
              <w:rPr>
                <w:rFonts w:hint="eastAsia" w:ascii="宋体" w:hAnsi="宋体" w:eastAsia="宋体" w:cs="宋体"/>
                <w:i w:val="0"/>
                <w:iCs w:val="0"/>
                <w:color w:val="auto"/>
                <w:kern w:val="0"/>
                <w:sz w:val="22"/>
                <w:szCs w:val="22"/>
                <w:u w:val="none"/>
                <w:lang w:val="en-US" w:eastAsia="zh-CN" w:bidi="ar"/>
              </w:rPr>
              <w:t>，项目区当季主导风向下风向</w:t>
            </w:r>
          </w:p>
        </w:tc>
        <w:tc>
          <w:tcPr>
            <w:tcW w:w="1905" w:type="dxa"/>
            <w:vAlign w:val="center"/>
          </w:tcPr>
          <w:p w14:paraId="0C9D7A9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cs="Times New Roman"/>
                <w:i w:val="0"/>
                <w:iCs w:val="0"/>
                <w:color w:val="auto"/>
                <w:kern w:val="0"/>
                <w:sz w:val="21"/>
                <w:szCs w:val="21"/>
                <w:u w:val="none"/>
                <w:lang w:val="en-US" w:eastAsia="zh-CN" w:bidi="ar"/>
              </w:rPr>
              <w:t>*****</w:t>
            </w:r>
          </w:p>
        </w:tc>
        <w:tc>
          <w:tcPr>
            <w:tcW w:w="1095" w:type="dxa"/>
            <w:vMerge w:val="continue"/>
            <w:vAlign w:val="center"/>
          </w:tcPr>
          <w:p w14:paraId="63D26D5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p>
        </w:tc>
        <w:tc>
          <w:tcPr>
            <w:tcW w:w="2183" w:type="dxa"/>
            <w:vAlign w:val="center"/>
          </w:tcPr>
          <w:p w14:paraId="1CFCAA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玛2油区下风向2.4km处，新疆和布克赛尔蒙古自治县江格尔沙漠公园内</w:t>
            </w:r>
          </w:p>
        </w:tc>
      </w:tr>
      <w:tr w14:paraId="4270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14:paraId="153ACC1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2"/>
                <w:vertAlign w:val="baseline"/>
                <w:lang w:val="en-US" w:eastAsia="zh-CN"/>
              </w:rPr>
            </w:pPr>
            <w:r>
              <w:rPr>
                <w:rFonts w:hint="eastAsia"/>
                <w:color w:val="auto"/>
                <w:sz w:val="21"/>
                <w:szCs w:val="22"/>
                <w:vertAlign w:val="baseline"/>
                <w:lang w:val="en-US" w:eastAsia="zh-CN"/>
              </w:rPr>
              <w:t>4</w:t>
            </w:r>
          </w:p>
        </w:tc>
        <w:tc>
          <w:tcPr>
            <w:tcW w:w="2610" w:type="dxa"/>
            <w:vAlign w:val="center"/>
          </w:tcPr>
          <w:p w14:paraId="4395623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监测点</w:t>
            </w:r>
            <w:r>
              <w:rPr>
                <w:rStyle w:val="55"/>
                <w:rFonts w:eastAsia="宋体"/>
                <w:color w:val="auto"/>
                <w:lang w:val="en-US" w:eastAsia="zh-CN" w:bidi="ar"/>
              </w:rPr>
              <w:t>G4</w:t>
            </w:r>
            <w:r>
              <w:rPr>
                <w:rFonts w:hint="eastAsia" w:ascii="宋体" w:hAnsi="宋体" w:eastAsia="宋体" w:cs="宋体"/>
                <w:i w:val="0"/>
                <w:iCs w:val="0"/>
                <w:color w:val="auto"/>
                <w:kern w:val="0"/>
                <w:sz w:val="22"/>
                <w:szCs w:val="22"/>
                <w:u w:val="none"/>
                <w:lang w:val="en-US" w:eastAsia="zh-CN" w:bidi="ar"/>
              </w:rPr>
              <w:t>，项目区当季主导风向下风向</w:t>
            </w:r>
          </w:p>
        </w:tc>
        <w:tc>
          <w:tcPr>
            <w:tcW w:w="1905" w:type="dxa"/>
            <w:vAlign w:val="center"/>
          </w:tcPr>
          <w:p w14:paraId="0608E95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cs="Times New Roman"/>
                <w:i w:val="0"/>
                <w:iCs w:val="0"/>
                <w:color w:val="auto"/>
                <w:kern w:val="0"/>
                <w:sz w:val="21"/>
                <w:szCs w:val="21"/>
                <w:u w:val="none"/>
                <w:lang w:val="en-US" w:eastAsia="zh-CN" w:bidi="ar"/>
              </w:rPr>
              <w:t>*****</w:t>
            </w:r>
          </w:p>
        </w:tc>
        <w:tc>
          <w:tcPr>
            <w:tcW w:w="1095" w:type="dxa"/>
            <w:vMerge w:val="continue"/>
            <w:vAlign w:val="center"/>
          </w:tcPr>
          <w:p w14:paraId="1199D7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p>
        </w:tc>
        <w:tc>
          <w:tcPr>
            <w:tcW w:w="2183" w:type="dxa"/>
            <w:vAlign w:val="center"/>
          </w:tcPr>
          <w:p w14:paraId="2EE89B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 w:val="21"/>
                <w:szCs w:val="22"/>
                <w:vertAlign w:val="baseline"/>
                <w:lang w:val="en-US" w:eastAsia="zh-CN"/>
              </w:rPr>
            </w:pPr>
            <w:r>
              <w:rPr>
                <w:rFonts w:hint="eastAsia"/>
                <w:color w:val="auto"/>
                <w:sz w:val="21"/>
                <w:szCs w:val="22"/>
                <w:vertAlign w:val="baseline"/>
                <w:lang w:val="en-US" w:eastAsia="zh-CN"/>
              </w:rPr>
              <w:t>赛探1井场东南侧93m处</w:t>
            </w:r>
          </w:p>
        </w:tc>
      </w:tr>
    </w:tbl>
    <w:p w14:paraId="0994F40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②监测项目及分析方法</w:t>
      </w:r>
    </w:p>
    <w:p w14:paraId="4643E34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采样及项目分析方法按照《环境空气质量手工监测技术规范》（HJ194-2017）及其修改单中的有关要求执行，具体分析方法见表4.2-4。</w:t>
      </w:r>
    </w:p>
    <w:p w14:paraId="6DD8B263">
      <w:pPr>
        <w:pStyle w:val="32"/>
        <w:bidi w:val="0"/>
        <w:rPr>
          <w:rFonts w:hint="default"/>
          <w:color w:val="auto"/>
          <w:lang w:val="en-US" w:eastAsia="zh-CN"/>
        </w:rPr>
      </w:pPr>
      <w:r>
        <w:rPr>
          <w:rFonts w:hint="eastAsia"/>
          <w:color w:val="auto"/>
          <w:lang w:val="en-US" w:eastAsia="zh-CN"/>
        </w:rPr>
        <w:t>表4.2-4  环境空气各监测因子分析方法及检出限一览表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396"/>
        <w:gridCol w:w="4591"/>
        <w:gridCol w:w="794"/>
        <w:gridCol w:w="1085"/>
      </w:tblGrid>
      <w:tr w14:paraId="49CE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3" w:type="pct"/>
            <w:vAlign w:val="center"/>
          </w:tcPr>
          <w:p w14:paraId="675257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序号</w:t>
            </w:r>
          </w:p>
        </w:tc>
        <w:tc>
          <w:tcPr>
            <w:tcW w:w="819" w:type="pct"/>
            <w:vAlign w:val="center"/>
          </w:tcPr>
          <w:p w14:paraId="1E582E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监测因子</w:t>
            </w:r>
          </w:p>
        </w:tc>
        <w:tc>
          <w:tcPr>
            <w:tcW w:w="2693" w:type="pct"/>
            <w:vAlign w:val="center"/>
          </w:tcPr>
          <w:p w14:paraId="6F1F8F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检测方法</w:t>
            </w:r>
          </w:p>
        </w:tc>
        <w:tc>
          <w:tcPr>
            <w:tcW w:w="466" w:type="pct"/>
            <w:vAlign w:val="center"/>
          </w:tcPr>
          <w:p w14:paraId="5C263D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单位</w:t>
            </w:r>
          </w:p>
        </w:tc>
        <w:tc>
          <w:tcPr>
            <w:tcW w:w="636" w:type="pct"/>
            <w:vAlign w:val="center"/>
          </w:tcPr>
          <w:p w14:paraId="7D47A97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检出限</w:t>
            </w:r>
          </w:p>
        </w:tc>
      </w:tr>
      <w:tr w14:paraId="2CF0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3" w:type="pct"/>
            <w:vAlign w:val="center"/>
          </w:tcPr>
          <w:p w14:paraId="528C82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w:t>
            </w:r>
          </w:p>
        </w:tc>
        <w:tc>
          <w:tcPr>
            <w:tcW w:w="819" w:type="pct"/>
            <w:vAlign w:val="center"/>
          </w:tcPr>
          <w:p w14:paraId="6121B4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非甲烷总烃</w:t>
            </w:r>
          </w:p>
        </w:tc>
        <w:tc>
          <w:tcPr>
            <w:tcW w:w="2693" w:type="pct"/>
            <w:vAlign w:val="center"/>
          </w:tcPr>
          <w:p w14:paraId="4918EE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《环境空气 总烃、甲烷和非甲烷总烃的测定 直接进样-气相色谱法》（HJ604-2017）</w:t>
            </w:r>
          </w:p>
        </w:tc>
        <w:tc>
          <w:tcPr>
            <w:tcW w:w="466" w:type="pct"/>
            <w:vAlign w:val="center"/>
          </w:tcPr>
          <w:p w14:paraId="7A462A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mg/m</w:t>
            </w:r>
            <w:r>
              <w:rPr>
                <w:rFonts w:hint="eastAsia" w:cs="Times New Roman"/>
                <w:color w:val="auto"/>
                <w:sz w:val="21"/>
                <w:szCs w:val="22"/>
                <w:vertAlign w:val="superscript"/>
                <w:lang w:val="en-US" w:eastAsia="zh-CN"/>
              </w:rPr>
              <w:t>3</w:t>
            </w:r>
          </w:p>
        </w:tc>
        <w:tc>
          <w:tcPr>
            <w:tcW w:w="636" w:type="pct"/>
            <w:vAlign w:val="center"/>
          </w:tcPr>
          <w:p w14:paraId="6D49BC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0.07</w:t>
            </w:r>
          </w:p>
        </w:tc>
      </w:tr>
      <w:tr w14:paraId="6E30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3" w:type="pct"/>
            <w:vAlign w:val="center"/>
          </w:tcPr>
          <w:p w14:paraId="6C0604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2</w:t>
            </w:r>
          </w:p>
        </w:tc>
        <w:tc>
          <w:tcPr>
            <w:tcW w:w="819" w:type="pct"/>
            <w:vAlign w:val="center"/>
          </w:tcPr>
          <w:p w14:paraId="53285C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硫化氢</w:t>
            </w:r>
          </w:p>
        </w:tc>
        <w:tc>
          <w:tcPr>
            <w:tcW w:w="2693" w:type="pct"/>
            <w:vAlign w:val="center"/>
          </w:tcPr>
          <w:p w14:paraId="7DA2176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《空气质量 硫化氢、甲硫醇、甲硫醚和二甲二硫的测定 气相色谱法》（GB/T14678-1993）</w:t>
            </w:r>
          </w:p>
        </w:tc>
        <w:tc>
          <w:tcPr>
            <w:tcW w:w="466" w:type="pct"/>
            <w:vAlign w:val="center"/>
          </w:tcPr>
          <w:p w14:paraId="608334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mg/m</w:t>
            </w:r>
            <w:r>
              <w:rPr>
                <w:rFonts w:hint="eastAsia" w:cs="Times New Roman"/>
                <w:color w:val="auto"/>
                <w:sz w:val="21"/>
                <w:szCs w:val="22"/>
                <w:vertAlign w:val="superscript"/>
                <w:lang w:val="en-US" w:eastAsia="zh-CN"/>
              </w:rPr>
              <w:t>3</w:t>
            </w:r>
          </w:p>
        </w:tc>
        <w:tc>
          <w:tcPr>
            <w:tcW w:w="636" w:type="pct"/>
            <w:vAlign w:val="center"/>
          </w:tcPr>
          <w:p w14:paraId="62FDF79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1.0</w:t>
            </w:r>
            <w:r>
              <w:rPr>
                <w:rFonts w:hint="default" w:ascii="Arial" w:hAnsi="Arial" w:cs="Arial"/>
                <w:color w:val="auto"/>
                <w:sz w:val="21"/>
                <w:szCs w:val="22"/>
                <w:vertAlign w:val="baseline"/>
                <w:lang w:val="en-US" w:eastAsia="zh-CN"/>
              </w:rPr>
              <w:t>×</w:t>
            </w:r>
            <w:r>
              <w:rPr>
                <w:rFonts w:hint="eastAsia" w:cs="Times New Roman"/>
                <w:color w:val="auto"/>
                <w:sz w:val="21"/>
                <w:szCs w:val="22"/>
                <w:vertAlign w:val="baseline"/>
                <w:lang w:val="en-US" w:eastAsia="zh-CN"/>
              </w:rPr>
              <w:t>10</w:t>
            </w:r>
            <w:r>
              <w:rPr>
                <w:rFonts w:hint="eastAsia" w:cs="Times New Roman"/>
                <w:color w:val="auto"/>
                <w:sz w:val="21"/>
                <w:szCs w:val="22"/>
                <w:vertAlign w:val="superscript"/>
                <w:lang w:val="en-US" w:eastAsia="zh-CN"/>
              </w:rPr>
              <w:t>-3</w:t>
            </w:r>
          </w:p>
        </w:tc>
      </w:tr>
    </w:tbl>
    <w:p w14:paraId="2A3C9DC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③监测时间及频率</w:t>
      </w:r>
    </w:p>
    <w:p w14:paraId="09E1D69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监测时间为2025年8月31日~2025年9月6日，硫化氢每天监测4次、非甲烷每天监测16次，连续监测7天。</w:t>
      </w:r>
    </w:p>
    <w:p w14:paraId="0C9EEE5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④评价标准</w:t>
      </w:r>
    </w:p>
    <w:p w14:paraId="0D70BB8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4"/>
        </w:rPr>
        <w:t>非甲烷总烃1小时评价浓度参考执行《大气污染物综合排放标准》（GB16297-1996）详解中的浓度限值2.0mg/m³，H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S执行《环境影响评价技术导则大气环境》（HJ2.2-2018）附录D中其他污染物空气质量浓度参考限值（10μg/m³）的浓度限值要求。</w:t>
      </w:r>
    </w:p>
    <w:p w14:paraId="5537F41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⑤监测结果及评价</w:t>
      </w:r>
    </w:p>
    <w:p w14:paraId="52F4146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监测结果及评价结果见表4.5-5。</w:t>
      </w:r>
    </w:p>
    <w:p w14:paraId="4E234103">
      <w:pPr>
        <w:pStyle w:val="32"/>
        <w:bidi w:val="0"/>
        <w:rPr>
          <w:rFonts w:hint="default"/>
          <w:color w:val="auto"/>
          <w:lang w:val="en-US" w:eastAsia="zh-CN"/>
        </w:rPr>
      </w:pPr>
      <w:r>
        <w:rPr>
          <w:rFonts w:hint="eastAsia"/>
          <w:color w:val="auto"/>
          <w:lang w:val="en-US" w:eastAsia="zh-CN"/>
        </w:rPr>
        <w:t>表4.2-5  其他污染物环境质量现状评价表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1406"/>
        <w:gridCol w:w="1416"/>
        <w:gridCol w:w="1407"/>
        <w:gridCol w:w="1409"/>
        <w:gridCol w:w="1409"/>
      </w:tblGrid>
      <w:tr w14:paraId="0110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Align w:val="center"/>
          </w:tcPr>
          <w:p w14:paraId="6305E3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监测点位</w:t>
            </w:r>
          </w:p>
        </w:tc>
        <w:tc>
          <w:tcPr>
            <w:tcW w:w="1406" w:type="dxa"/>
            <w:vAlign w:val="center"/>
          </w:tcPr>
          <w:p w14:paraId="47A186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污染物</w:t>
            </w:r>
          </w:p>
        </w:tc>
        <w:tc>
          <w:tcPr>
            <w:tcW w:w="1416" w:type="dxa"/>
            <w:vAlign w:val="center"/>
          </w:tcPr>
          <w:p w14:paraId="2C2944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评价标准（</w:t>
            </w:r>
            <w:r>
              <w:rPr>
                <w:rFonts w:hint="default" w:ascii="Times New Roman" w:hAnsi="Times New Roman" w:cs="Times New Roman"/>
                <w:b/>
                <w:bCs/>
                <w:color w:val="auto"/>
                <w:sz w:val="21"/>
                <w:szCs w:val="22"/>
                <w:vertAlign w:val="baseline"/>
                <w:lang w:val="en-US" w:eastAsia="zh-CN"/>
              </w:rPr>
              <w:t>μ</w:t>
            </w:r>
            <w:r>
              <w:rPr>
                <w:rFonts w:hint="eastAsia" w:ascii="Times New Roman" w:hAnsi="Times New Roman" w:cs="Times New Roman"/>
                <w:b/>
                <w:bCs/>
                <w:color w:val="auto"/>
                <w:sz w:val="21"/>
                <w:szCs w:val="22"/>
                <w:vertAlign w:val="baseline"/>
                <w:lang w:val="en-US" w:eastAsia="zh-CN"/>
              </w:rPr>
              <w:t>g/m</w:t>
            </w:r>
            <w:r>
              <w:rPr>
                <w:rFonts w:hint="eastAsia" w:ascii="Times New Roman" w:hAnsi="Times New Roman" w:cs="Times New Roman"/>
                <w:b/>
                <w:bCs/>
                <w:color w:val="auto"/>
                <w:sz w:val="21"/>
                <w:szCs w:val="22"/>
                <w:vertAlign w:val="superscript"/>
                <w:lang w:val="en-US" w:eastAsia="zh-CN"/>
              </w:rPr>
              <w:t>3</w:t>
            </w:r>
            <w:r>
              <w:rPr>
                <w:rFonts w:hint="eastAsia" w:cs="Times New Roman"/>
                <w:b/>
                <w:bCs/>
                <w:color w:val="auto"/>
                <w:sz w:val="21"/>
                <w:szCs w:val="22"/>
                <w:vertAlign w:val="baseline"/>
                <w:lang w:val="en-US" w:eastAsia="zh-CN"/>
              </w:rPr>
              <w:t>）</w:t>
            </w:r>
          </w:p>
        </w:tc>
        <w:tc>
          <w:tcPr>
            <w:tcW w:w="1407" w:type="dxa"/>
            <w:vAlign w:val="center"/>
          </w:tcPr>
          <w:p w14:paraId="04B697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监测浓度范围（</w:t>
            </w:r>
            <w:r>
              <w:rPr>
                <w:rFonts w:hint="default" w:ascii="Times New Roman" w:hAnsi="Times New Roman" w:cs="Times New Roman"/>
                <w:b/>
                <w:bCs/>
                <w:color w:val="auto"/>
                <w:sz w:val="21"/>
                <w:szCs w:val="22"/>
                <w:vertAlign w:val="baseline"/>
                <w:lang w:val="en-US" w:eastAsia="zh-CN"/>
              </w:rPr>
              <w:t>μ</w:t>
            </w:r>
            <w:r>
              <w:rPr>
                <w:rFonts w:hint="eastAsia" w:ascii="Times New Roman" w:hAnsi="Times New Roman" w:cs="Times New Roman"/>
                <w:b/>
                <w:bCs/>
                <w:color w:val="auto"/>
                <w:sz w:val="21"/>
                <w:szCs w:val="22"/>
                <w:vertAlign w:val="baseline"/>
                <w:lang w:val="en-US" w:eastAsia="zh-CN"/>
              </w:rPr>
              <w:t>g/m</w:t>
            </w:r>
            <w:r>
              <w:rPr>
                <w:rFonts w:hint="eastAsia" w:ascii="Times New Roman" w:hAnsi="Times New Roman" w:cs="Times New Roman"/>
                <w:b/>
                <w:bCs/>
                <w:color w:val="auto"/>
                <w:sz w:val="21"/>
                <w:szCs w:val="22"/>
                <w:vertAlign w:val="superscript"/>
                <w:lang w:val="en-US" w:eastAsia="zh-CN"/>
              </w:rPr>
              <w:t>3</w:t>
            </w:r>
            <w:r>
              <w:rPr>
                <w:rFonts w:hint="eastAsia" w:cs="Times New Roman"/>
                <w:b/>
                <w:bCs/>
                <w:color w:val="auto"/>
                <w:sz w:val="21"/>
                <w:szCs w:val="22"/>
                <w:vertAlign w:val="baseline"/>
                <w:lang w:val="en-US" w:eastAsia="zh-CN"/>
              </w:rPr>
              <w:t>）</w:t>
            </w:r>
          </w:p>
        </w:tc>
        <w:tc>
          <w:tcPr>
            <w:tcW w:w="1409" w:type="dxa"/>
            <w:vAlign w:val="center"/>
          </w:tcPr>
          <w:p w14:paraId="0C1B7F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最大浓度占标率</w:t>
            </w:r>
          </w:p>
        </w:tc>
        <w:tc>
          <w:tcPr>
            <w:tcW w:w="1409" w:type="dxa"/>
            <w:vAlign w:val="center"/>
          </w:tcPr>
          <w:p w14:paraId="069ACD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2"/>
                <w:vertAlign w:val="baseline"/>
                <w:lang w:val="en-US" w:eastAsia="zh-CN"/>
              </w:rPr>
            </w:pPr>
            <w:r>
              <w:rPr>
                <w:rFonts w:hint="eastAsia" w:cs="Times New Roman"/>
                <w:b/>
                <w:bCs/>
                <w:color w:val="auto"/>
                <w:sz w:val="21"/>
                <w:szCs w:val="22"/>
                <w:vertAlign w:val="baseline"/>
                <w:lang w:val="en-US" w:eastAsia="zh-CN"/>
              </w:rPr>
              <w:t>达标情况</w:t>
            </w:r>
          </w:p>
        </w:tc>
      </w:tr>
      <w:tr w14:paraId="2636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Merge w:val="restart"/>
            <w:vAlign w:val="center"/>
          </w:tcPr>
          <w:p w14:paraId="6CFBF621">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G1</w:t>
            </w:r>
          </w:p>
        </w:tc>
        <w:tc>
          <w:tcPr>
            <w:tcW w:w="1406" w:type="dxa"/>
            <w:vAlign w:val="center"/>
          </w:tcPr>
          <w:p w14:paraId="7EE14B8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非甲烷总烃</w:t>
            </w:r>
          </w:p>
        </w:tc>
        <w:tc>
          <w:tcPr>
            <w:tcW w:w="1416" w:type="dxa"/>
            <w:vAlign w:val="center"/>
          </w:tcPr>
          <w:p w14:paraId="00D4D7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2000</w:t>
            </w:r>
          </w:p>
        </w:tc>
        <w:tc>
          <w:tcPr>
            <w:tcW w:w="1407" w:type="dxa"/>
            <w:vAlign w:val="center"/>
          </w:tcPr>
          <w:p w14:paraId="6FFD7F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1240~1390</w:t>
            </w:r>
          </w:p>
        </w:tc>
        <w:tc>
          <w:tcPr>
            <w:tcW w:w="1409" w:type="dxa"/>
            <w:vAlign w:val="center"/>
          </w:tcPr>
          <w:p w14:paraId="44C929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69.5</w:t>
            </w:r>
          </w:p>
        </w:tc>
        <w:tc>
          <w:tcPr>
            <w:tcW w:w="1409" w:type="dxa"/>
            <w:vAlign w:val="center"/>
          </w:tcPr>
          <w:p w14:paraId="06FA7A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达标</w:t>
            </w:r>
          </w:p>
        </w:tc>
      </w:tr>
      <w:tr w14:paraId="436C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Merge w:val="continue"/>
            <w:vAlign w:val="center"/>
          </w:tcPr>
          <w:p w14:paraId="156E311A">
            <w:pPr>
              <w:jc w:val="center"/>
              <w:rPr>
                <w:rFonts w:hint="eastAsia" w:eastAsia="宋体" w:cs="Times New Roman"/>
                <w:color w:val="auto"/>
                <w:sz w:val="21"/>
                <w:szCs w:val="21"/>
                <w:lang w:val="en-US" w:eastAsia="zh-CN"/>
              </w:rPr>
            </w:pPr>
          </w:p>
        </w:tc>
        <w:tc>
          <w:tcPr>
            <w:tcW w:w="1406" w:type="dxa"/>
            <w:vAlign w:val="center"/>
          </w:tcPr>
          <w:p w14:paraId="535BFD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硫化氢</w:t>
            </w:r>
          </w:p>
        </w:tc>
        <w:tc>
          <w:tcPr>
            <w:tcW w:w="1416" w:type="dxa"/>
            <w:vAlign w:val="center"/>
          </w:tcPr>
          <w:p w14:paraId="0BF397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10</w:t>
            </w:r>
          </w:p>
        </w:tc>
        <w:tc>
          <w:tcPr>
            <w:tcW w:w="1407" w:type="dxa"/>
            <w:vAlign w:val="center"/>
          </w:tcPr>
          <w:p w14:paraId="09AD95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&lt;1</w:t>
            </w:r>
          </w:p>
        </w:tc>
        <w:tc>
          <w:tcPr>
            <w:tcW w:w="1409" w:type="dxa"/>
            <w:vAlign w:val="center"/>
          </w:tcPr>
          <w:p w14:paraId="1102AC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w:t>
            </w:r>
          </w:p>
        </w:tc>
        <w:tc>
          <w:tcPr>
            <w:tcW w:w="1409" w:type="dxa"/>
            <w:vAlign w:val="center"/>
          </w:tcPr>
          <w:p w14:paraId="0E854F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达标</w:t>
            </w:r>
          </w:p>
        </w:tc>
      </w:tr>
      <w:tr w14:paraId="7E76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Merge w:val="restart"/>
            <w:vAlign w:val="center"/>
          </w:tcPr>
          <w:p w14:paraId="199DC79A">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G2</w:t>
            </w:r>
          </w:p>
        </w:tc>
        <w:tc>
          <w:tcPr>
            <w:tcW w:w="1406" w:type="dxa"/>
            <w:vAlign w:val="center"/>
          </w:tcPr>
          <w:p w14:paraId="5E8DC2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非甲烷总烃</w:t>
            </w:r>
          </w:p>
        </w:tc>
        <w:tc>
          <w:tcPr>
            <w:tcW w:w="1416" w:type="dxa"/>
            <w:vAlign w:val="center"/>
          </w:tcPr>
          <w:p w14:paraId="6D03C6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2000</w:t>
            </w:r>
          </w:p>
        </w:tc>
        <w:tc>
          <w:tcPr>
            <w:tcW w:w="1407" w:type="dxa"/>
            <w:vAlign w:val="center"/>
          </w:tcPr>
          <w:p w14:paraId="5D24ED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1250~1420</w:t>
            </w:r>
          </w:p>
        </w:tc>
        <w:tc>
          <w:tcPr>
            <w:tcW w:w="1409" w:type="dxa"/>
            <w:vAlign w:val="center"/>
          </w:tcPr>
          <w:p w14:paraId="4CE42F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71.0</w:t>
            </w:r>
          </w:p>
        </w:tc>
        <w:tc>
          <w:tcPr>
            <w:tcW w:w="1409" w:type="dxa"/>
            <w:vAlign w:val="center"/>
          </w:tcPr>
          <w:p w14:paraId="1814118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达标</w:t>
            </w:r>
          </w:p>
        </w:tc>
      </w:tr>
      <w:tr w14:paraId="70A2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Merge w:val="continue"/>
            <w:vAlign w:val="center"/>
          </w:tcPr>
          <w:p w14:paraId="2110E8AE">
            <w:pPr>
              <w:jc w:val="center"/>
              <w:rPr>
                <w:rFonts w:hint="default" w:ascii="Times New Roman" w:hAnsi="Times New Roman" w:eastAsia="宋体" w:cs="Times New Roman"/>
                <w:color w:val="auto"/>
                <w:sz w:val="21"/>
                <w:szCs w:val="21"/>
                <w:lang w:val="en-US" w:eastAsia="zh-CN"/>
              </w:rPr>
            </w:pPr>
          </w:p>
        </w:tc>
        <w:tc>
          <w:tcPr>
            <w:tcW w:w="1406" w:type="dxa"/>
            <w:vAlign w:val="center"/>
          </w:tcPr>
          <w:p w14:paraId="6342B2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硫化氢</w:t>
            </w:r>
          </w:p>
        </w:tc>
        <w:tc>
          <w:tcPr>
            <w:tcW w:w="1416" w:type="dxa"/>
            <w:vAlign w:val="center"/>
          </w:tcPr>
          <w:p w14:paraId="74F6F1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10</w:t>
            </w:r>
          </w:p>
        </w:tc>
        <w:tc>
          <w:tcPr>
            <w:tcW w:w="1407" w:type="dxa"/>
            <w:vAlign w:val="center"/>
          </w:tcPr>
          <w:p w14:paraId="7541A8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&lt;1</w:t>
            </w:r>
          </w:p>
        </w:tc>
        <w:tc>
          <w:tcPr>
            <w:tcW w:w="1409" w:type="dxa"/>
            <w:vAlign w:val="center"/>
          </w:tcPr>
          <w:p w14:paraId="70E231E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w:t>
            </w:r>
          </w:p>
        </w:tc>
        <w:tc>
          <w:tcPr>
            <w:tcW w:w="1409" w:type="dxa"/>
            <w:vAlign w:val="center"/>
          </w:tcPr>
          <w:p w14:paraId="4213A6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达标</w:t>
            </w:r>
          </w:p>
        </w:tc>
      </w:tr>
      <w:tr w14:paraId="385F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Merge w:val="restart"/>
            <w:vAlign w:val="center"/>
          </w:tcPr>
          <w:p w14:paraId="01827D5D">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G3</w:t>
            </w:r>
          </w:p>
        </w:tc>
        <w:tc>
          <w:tcPr>
            <w:tcW w:w="1406" w:type="dxa"/>
            <w:vAlign w:val="center"/>
          </w:tcPr>
          <w:p w14:paraId="526E90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非甲烷总烃</w:t>
            </w:r>
          </w:p>
        </w:tc>
        <w:tc>
          <w:tcPr>
            <w:tcW w:w="1416" w:type="dxa"/>
            <w:vAlign w:val="center"/>
          </w:tcPr>
          <w:p w14:paraId="2A3D801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2000</w:t>
            </w:r>
          </w:p>
        </w:tc>
        <w:tc>
          <w:tcPr>
            <w:tcW w:w="1407" w:type="dxa"/>
            <w:vAlign w:val="center"/>
          </w:tcPr>
          <w:p w14:paraId="7008E4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1010~1160</w:t>
            </w:r>
          </w:p>
        </w:tc>
        <w:tc>
          <w:tcPr>
            <w:tcW w:w="1409" w:type="dxa"/>
            <w:vAlign w:val="center"/>
          </w:tcPr>
          <w:p w14:paraId="436F27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58.0</w:t>
            </w:r>
          </w:p>
        </w:tc>
        <w:tc>
          <w:tcPr>
            <w:tcW w:w="1409" w:type="dxa"/>
            <w:vAlign w:val="center"/>
          </w:tcPr>
          <w:p w14:paraId="0196D7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达标</w:t>
            </w:r>
          </w:p>
        </w:tc>
      </w:tr>
      <w:tr w14:paraId="31A8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Merge w:val="continue"/>
            <w:vAlign w:val="center"/>
          </w:tcPr>
          <w:p w14:paraId="223BA58D">
            <w:pPr>
              <w:jc w:val="center"/>
              <w:rPr>
                <w:rFonts w:hint="eastAsia" w:eastAsia="宋体" w:cs="Times New Roman"/>
                <w:color w:val="auto"/>
                <w:sz w:val="21"/>
                <w:szCs w:val="21"/>
                <w:lang w:val="en-US" w:eastAsia="zh-CN"/>
              </w:rPr>
            </w:pPr>
          </w:p>
        </w:tc>
        <w:tc>
          <w:tcPr>
            <w:tcW w:w="1406" w:type="dxa"/>
            <w:vAlign w:val="center"/>
          </w:tcPr>
          <w:p w14:paraId="36488D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硫化氢</w:t>
            </w:r>
          </w:p>
        </w:tc>
        <w:tc>
          <w:tcPr>
            <w:tcW w:w="1416" w:type="dxa"/>
            <w:vAlign w:val="center"/>
          </w:tcPr>
          <w:p w14:paraId="0A1AF9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10</w:t>
            </w:r>
          </w:p>
        </w:tc>
        <w:tc>
          <w:tcPr>
            <w:tcW w:w="1407" w:type="dxa"/>
            <w:vAlign w:val="center"/>
          </w:tcPr>
          <w:p w14:paraId="224CF85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&lt;1</w:t>
            </w:r>
          </w:p>
        </w:tc>
        <w:tc>
          <w:tcPr>
            <w:tcW w:w="1409" w:type="dxa"/>
            <w:vAlign w:val="center"/>
          </w:tcPr>
          <w:p w14:paraId="44104C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w:t>
            </w:r>
          </w:p>
        </w:tc>
        <w:tc>
          <w:tcPr>
            <w:tcW w:w="1409" w:type="dxa"/>
            <w:vAlign w:val="center"/>
          </w:tcPr>
          <w:p w14:paraId="5F9F6B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达标</w:t>
            </w:r>
          </w:p>
        </w:tc>
      </w:tr>
      <w:tr w14:paraId="4924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Merge w:val="restart"/>
            <w:vAlign w:val="center"/>
          </w:tcPr>
          <w:p w14:paraId="5576EAF9">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G4</w:t>
            </w:r>
          </w:p>
        </w:tc>
        <w:tc>
          <w:tcPr>
            <w:tcW w:w="1406" w:type="dxa"/>
            <w:vAlign w:val="center"/>
          </w:tcPr>
          <w:p w14:paraId="15C9557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非甲烷总烃</w:t>
            </w:r>
          </w:p>
        </w:tc>
        <w:tc>
          <w:tcPr>
            <w:tcW w:w="1416" w:type="dxa"/>
            <w:vAlign w:val="center"/>
          </w:tcPr>
          <w:p w14:paraId="4DCAB1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2000</w:t>
            </w:r>
          </w:p>
        </w:tc>
        <w:tc>
          <w:tcPr>
            <w:tcW w:w="1407" w:type="dxa"/>
            <w:vAlign w:val="center"/>
          </w:tcPr>
          <w:p w14:paraId="683FD1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1060~1130</w:t>
            </w:r>
          </w:p>
        </w:tc>
        <w:tc>
          <w:tcPr>
            <w:tcW w:w="1409" w:type="dxa"/>
            <w:vAlign w:val="center"/>
          </w:tcPr>
          <w:p w14:paraId="0FE931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56.5</w:t>
            </w:r>
          </w:p>
        </w:tc>
        <w:tc>
          <w:tcPr>
            <w:tcW w:w="0" w:type="auto"/>
          </w:tcPr>
          <w:p w14:paraId="369AC1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达标</w:t>
            </w:r>
          </w:p>
        </w:tc>
      </w:tr>
      <w:tr w14:paraId="294F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Merge w:val="continue"/>
            <w:vAlign w:val="center"/>
          </w:tcPr>
          <w:p w14:paraId="1A3751F3">
            <w:pPr>
              <w:jc w:val="center"/>
              <w:rPr>
                <w:rFonts w:hint="eastAsia" w:eastAsia="宋体" w:cs="Times New Roman"/>
                <w:color w:val="auto"/>
                <w:sz w:val="21"/>
                <w:szCs w:val="21"/>
                <w:lang w:val="en-US" w:eastAsia="zh-CN"/>
              </w:rPr>
            </w:pPr>
          </w:p>
        </w:tc>
        <w:tc>
          <w:tcPr>
            <w:tcW w:w="1406" w:type="dxa"/>
            <w:vAlign w:val="center"/>
          </w:tcPr>
          <w:p w14:paraId="6F565E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硫化氢</w:t>
            </w:r>
          </w:p>
        </w:tc>
        <w:tc>
          <w:tcPr>
            <w:tcW w:w="1416" w:type="dxa"/>
            <w:vAlign w:val="center"/>
          </w:tcPr>
          <w:p w14:paraId="4FA65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10</w:t>
            </w:r>
          </w:p>
        </w:tc>
        <w:tc>
          <w:tcPr>
            <w:tcW w:w="1407" w:type="dxa"/>
            <w:vAlign w:val="center"/>
          </w:tcPr>
          <w:p w14:paraId="55E741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&lt;1</w:t>
            </w:r>
          </w:p>
        </w:tc>
        <w:tc>
          <w:tcPr>
            <w:tcW w:w="1409" w:type="dxa"/>
            <w:vAlign w:val="center"/>
          </w:tcPr>
          <w:p w14:paraId="67EC20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w:t>
            </w:r>
          </w:p>
        </w:tc>
        <w:tc>
          <w:tcPr>
            <w:tcW w:w="0" w:type="auto"/>
          </w:tcPr>
          <w:p w14:paraId="081EE8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达标</w:t>
            </w:r>
          </w:p>
        </w:tc>
      </w:tr>
    </w:tbl>
    <w:p w14:paraId="1166A3E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heme="minorBidi"/>
          <w:color w:val="auto"/>
          <w:kern w:val="2"/>
          <w:sz w:val="24"/>
          <w:szCs w:val="24"/>
          <w:lang w:val="en-US" w:eastAsia="zh-CN" w:bidi="ar-SA"/>
        </w:rPr>
      </w:pPr>
      <w:r>
        <w:rPr>
          <w:rFonts w:hint="default" w:ascii="Times New Roman" w:hAnsi="Times New Roman" w:eastAsia="宋体" w:cs="Times New Roman"/>
          <w:color w:val="auto"/>
          <w:sz w:val="24"/>
          <w:szCs w:val="24"/>
        </w:rPr>
        <w:t>从上表可以看出，在监测期间，本工程区域特征污染物H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S小时平均值满足《环境影响评价技术导则</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大气环境》（HJ2.2-2018）附录D中其他污染物空气质量浓度参考限值（10μg/m³）的浓度限值要求；非甲烷总烃小时平均值满足《大气污染物综合排放标准》（GB16297-1996）详解中浓度限值2000μg/m³要求。</w:t>
      </w:r>
    </w:p>
    <w:p w14:paraId="4F3E0D5B">
      <w:pPr>
        <w:pStyle w:val="5"/>
        <w:bidi w:val="0"/>
        <w:rPr>
          <w:rFonts w:hint="default"/>
          <w:color w:val="auto"/>
          <w:lang w:val="en-US" w:eastAsia="zh-CN"/>
        </w:rPr>
      </w:pPr>
      <w:r>
        <w:rPr>
          <w:rFonts w:hint="eastAsia"/>
          <w:color w:val="auto"/>
          <w:lang w:val="en-US" w:eastAsia="zh-CN"/>
        </w:rPr>
        <w:t>4.2.2地表水环境质量现状调查与评价</w:t>
      </w:r>
    </w:p>
    <w:p w14:paraId="71D73885">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lang w:eastAsia="zh"/>
        </w:rPr>
      </w:pPr>
      <w:r>
        <w:rPr>
          <w:rFonts w:ascii="Times New Roman" w:hAnsi="Times New Roman" w:eastAsia="宋体"/>
          <w:color w:val="auto"/>
          <w:sz w:val="24"/>
          <w:szCs w:val="24"/>
          <w:lang w:eastAsia="zh"/>
        </w:rPr>
        <w:t>根据</w:t>
      </w:r>
      <w:r>
        <w:rPr>
          <w:rFonts w:ascii="Times New Roman" w:hAnsi="Times New Roman" w:eastAsia="宋体"/>
          <w:color w:val="auto"/>
          <w:sz w:val="24"/>
          <w:szCs w:val="24"/>
        </w:rPr>
        <w:t>《环境影响评价技术导则</w:t>
      </w:r>
      <w:r>
        <w:rPr>
          <w:rFonts w:hint="eastAsia" w:ascii="Times New Roman" w:hAnsi="Times New Roman" w:eastAsia="宋体"/>
          <w:color w:val="auto"/>
          <w:sz w:val="24"/>
          <w:szCs w:val="24"/>
          <w:lang w:val="en-US" w:eastAsia="zh-CN"/>
        </w:rPr>
        <w:t xml:space="preserve"> </w:t>
      </w:r>
      <w:r>
        <w:rPr>
          <w:rFonts w:ascii="Times New Roman" w:hAnsi="Times New Roman" w:eastAsia="宋体"/>
          <w:color w:val="auto"/>
          <w:sz w:val="24"/>
          <w:szCs w:val="24"/>
        </w:rPr>
        <w:t>陆地石油天然气开发建设项目》（HJ 349-2023）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涉及向地表水体排放污染物的建设项目，补</w:t>
      </w:r>
      <w:r>
        <w:rPr>
          <w:rFonts w:hint="default" w:ascii="Times New Roman" w:hAnsi="Times New Roman" w:eastAsia="宋体" w:cs="Times New Roman"/>
          <w:color w:val="auto"/>
          <w:sz w:val="24"/>
          <w:szCs w:val="24"/>
          <w:lang w:val="en-US" w:eastAsia="zh-CN"/>
        </w:rPr>
        <w:t>充监测应按照HJ2.3要求开</w:t>
      </w:r>
      <w:r>
        <w:rPr>
          <w:rFonts w:hint="eastAsia" w:ascii="宋体" w:hAnsi="宋体" w:eastAsia="宋体" w:cs="宋体"/>
          <w:color w:val="auto"/>
          <w:sz w:val="24"/>
          <w:szCs w:val="24"/>
          <w:lang w:val="en-US" w:eastAsia="zh-CN"/>
        </w:rPr>
        <w:t>展。</w:t>
      </w:r>
      <w:r>
        <w:rPr>
          <w:rFonts w:hint="eastAsia" w:ascii="宋体" w:hAnsi="宋体" w:eastAsia="宋体" w:cs="宋体"/>
          <w:color w:val="auto"/>
          <w:sz w:val="24"/>
          <w:szCs w:val="24"/>
        </w:rPr>
        <w:t>集</w:t>
      </w:r>
      <w:r>
        <w:rPr>
          <w:rFonts w:ascii="Times New Roman" w:hAnsi="Times New Roman" w:eastAsia="宋体"/>
          <w:color w:val="auto"/>
          <w:sz w:val="24"/>
          <w:szCs w:val="24"/>
        </w:rPr>
        <w:t>输工程穿（跨）越地表水水域功能Ⅲ类及以上水体，且有涉水施工的，应在代表性的地表水体穿（跨）越位置上、下游适当位置布设对照断面和控制断面，开展补充监测。多次穿（跨）越同条地表水体的，其对照断面和控制断面可根据实际情况合并设置。井位布设、管道选线涉及水环境保护目标的，还应对水环境保护目标所在水域开展补充监</w:t>
      </w:r>
      <w:r>
        <w:rPr>
          <w:rFonts w:hint="eastAsia" w:ascii="宋体" w:hAnsi="宋体" w:eastAsia="宋体" w:cs="宋体"/>
          <w:color w:val="auto"/>
          <w:sz w:val="24"/>
          <w:szCs w:val="24"/>
        </w:rPr>
        <w:t>测。</w:t>
      </w:r>
      <w:r>
        <w:rPr>
          <w:rFonts w:hint="eastAsia" w:ascii="宋体" w:hAnsi="宋体" w:eastAsia="宋体" w:cs="宋体"/>
          <w:color w:val="auto"/>
          <w:sz w:val="24"/>
          <w:szCs w:val="24"/>
          <w:lang w:eastAsia="zh"/>
        </w:rPr>
        <w:t>”</w:t>
      </w:r>
    </w:p>
    <w:p w14:paraId="749CC53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本工程</w:t>
      </w:r>
      <w:r>
        <w:rPr>
          <w:rFonts w:hint="eastAsia" w:ascii="Times New Roman" w:hAnsi="Times New Roman" w:eastAsia="宋体"/>
          <w:color w:val="auto"/>
          <w:sz w:val="24"/>
          <w:szCs w:val="24"/>
          <w:lang w:val="en-US" w:eastAsia="zh-CN"/>
        </w:rPr>
        <w:t>不涉及向地表水体排放污染物以及地表水体（穿）跨越工程，</w:t>
      </w:r>
      <w:r>
        <w:rPr>
          <w:rFonts w:hint="eastAsia"/>
          <w:color w:val="auto"/>
          <w:lang w:val="en-US" w:eastAsia="zh-CN"/>
        </w:rPr>
        <w:t>无</w:t>
      </w:r>
      <w:r>
        <w:rPr>
          <w:color w:val="auto"/>
        </w:rPr>
        <w:t>涉水施工</w:t>
      </w:r>
      <w:r>
        <w:rPr>
          <w:rFonts w:hint="eastAsia"/>
          <w:color w:val="auto"/>
          <w:lang w:eastAsia="zh-CN"/>
        </w:rPr>
        <w:t>，</w:t>
      </w:r>
      <w:r>
        <w:rPr>
          <w:color w:val="auto"/>
        </w:rPr>
        <w:t>可不对地表水进行现状监测</w:t>
      </w:r>
      <w:r>
        <w:rPr>
          <w:color w:val="auto"/>
          <w:lang w:eastAsia="zh"/>
        </w:rPr>
        <w:t>。</w:t>
      </w:r>
    </w:p>
    <w:p w14:paraId="5521533E">
      <w:pPr>
        <w:pStyle w:val="5"/>
        <w:bidi w:val="0"/>
        <w:rPr>
          <w:rFonts w:hint="default"/>
          <w:color w:val="auto"/>
          <w:lang w:val="en-US" w:eastAsia="zh-CN"/>
        </w:rPr>
      </w:pPr>
      <w:bookmarkStart w:id="211" w:name="_Toc27985"/>
      <w:bookmarkStart w:id="212" w:name="_Toc29198"/>
      <w:r>
        <w:rPr>
          <w:rFonts w:hint="eastAsia"/>
          <w:color w:val="auto"/>
          <w:lang w:val="en-US" w:eastAsia="zh-CN"/>
        </w:rPr>
        <w:t>4.2.3地下水环境质量现状监测与评价</w:t>
      </w:r>
      <w:bookmarkEnd w:id="211"/>
      <w:bookmarkEnd w:id="212"/>
    </w:p>
    <w:p w14:paraId="62535983">
      <w:pPr>
        <w:pStyle w:val="6"/>
        <w:bidi w:val="0"/>
        <w:rPr>
          <w:rFonts w:hint="default"/>
          <w:color w:val="auto"/>
          <w:lang w:val="en-US" w:eastAsia="zh-CN"/>
        </w:rPr>
      </w:pPr>
      <w:r>
        <w:rPr>
          <w:rFonts w:hint="eastAsia"/>
          <w:color w:val="auto"/>
          <w:lang w:val="en-US" w:eastAsia="zh-CN"/>
        </w:rPr>
        <w:t>4.2.3.1地下水质量现状监测</w:t>
      </w:r>
    </w:p>
    <w:p w14:paraId="4D3A5E8E">
      <w:pPr>
        <w:pStyle w:val="11"/>
        <w:bidi w:val="0"/>
        <w:rPr>
          <w:rFonts w:hint="eastAsia"/>
          <w:color w:val="auto"/>
        </w:rPr>
      </w:pPr>
      <w:r>
        <w:rPr>
          <w:rFonts w:hint="eastAsia"/>
          <w:color w:val="auto"/>
        </w:rPr>
        <w:t>（</w:t>
      </w:r>
      <w:r>
        <w:rPr>
          <w:color w:val="auto"/>
        </w:rPr>
        <w:t>1</w:t>
      </w:r>
      <w:r>
        <w:rPr>
          <w:rFonts w:hint="eastAsia"/>
          <w:color w:val="auto"/>
        </w:rPr>
        <w:t>）数据来源</w:t>
      </w:r>
    </w:p>
    <w:p w14:paraId="56E1CD0B">
      <w:pPr>
        <w:pStyle w:val="11"/>
        <w:bidi w:val="0"/>
        <w:rPr>
          <w:rFonts w:cs="宋体"/>
          <w:color w:val="auto"/>
          <w:lang w:bidi="ar"/>
        </w:rPr>
      </w:pPr>
      <w:bookmarkStart w:id="213" w:name="_Hlk164943028"/>
      <w:r>
        <w:rPr>
          <w:rFonts w:hint="eastAsia"/>
          <w:color w:val="auto"/>
        </w:rPr>
        <w:t>本次引用区块已有监测数据对地下水环境质量现状进行调查，引用监测点位与项目区基本位于同一水文地质单元，气候、地质条件相似，监测时间为20</w:t>
      </w:r>
      <w:r>
        <w:rPr>
          <w:rFonts w:hint="eastAsia"/>
          <w:color w:val="auto"/>
          <w:lang w:val="en-US" w:eastAsia="zh-CN"/>
        </w:rPr>
        <w:t>23~2024</w:t>
      </w:r>
      <w:r>
        <w:rPr>
          <w:rFonts w:hint="eastAsia"/>
          <w:color w:val="auto"/>
        </w:rPr>
        <w:t>年，基本符合引用要求，数据有效。</w:t>
      </w:r>
      <w:bookmarkEnd w:id="213"/>
      <w:r>
        <w:rPr>
          <w:rFonts w:hint="eastAsia"/>
          <w:color w:val="auto"/>
        </w:rPr>
        <w:t>数据来源、</w:t>
      </w:r>
      <w:r>
        <w:rPr>
          <w:color w:val="auto"/>
        </w:rPr>
        <w:t>点位基本信息及与项目区的位置关系见下表</w:t>
      </w:r>
      <w:r>
        <w:rPr>
          <w:rFonts w:hint="eastAsia"/>
          <w:color w:val="auto"/>
        </w:rPr>
        <w:t>。</w:t>
      </w:r>
    </w:p>
    <w:p w14:paraId="4BA6ACF5">
      <w:pPr>
        <w:pStyle w:val="32"/>
        <w:bidi w:val="0"/>
        <w:rPr>
          <w:rFonts w:hint="default"/>
          <w:color w:val="auto"/>
          <w:lang w:val="en-US" w:eastAsia="zh-CN"/>
        </w:rPr>
      </w:pPr>
      <w:r>
        <w:rPr>
          <w:rFonts w:hint="eastAsia"/>
          <w:color w:val="auto"/>
          <w:lang w:val="en-US" w:eastAsia="zh-CN"/>
        </w:rPr>
        <w:t>表4.2-6  地下水环境监测布点情况一览表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478"/>
        <w:gridCol w:w="1333"/>
        <w:gridCol w:w="2620"/>
        <w:gridCol w:w="1958"/>
      </w:tblGrid>
      <w:tr w14:paraId="2741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noWrap w:val="0"/>
            <w:vAlign w:val="center"/>
          </w:tcPr>
          <w:p w14:paraId="1A0F61D3">
            <w:pPr>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监测点位名称</w:t>
            </w:r>
          </w:p>
        </w:tc>
        <w:tc>
          <w:tcPr>
            <w:tcW w:w="1649" w:type="pct"/>
            <w:gridSpan w:val="2"/>
            <w:noWrap w:val="0"/>
            <w:vAlign w:val="center"/>
          </w:tcPr>
          <w:p w14:paraId="2E843ABA">
            <w:pPr>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坐标</w:t>
            </w:r>
          </w:p>
        </w:tc>
        <w:tc>
          <w:tcPr>
            <w:tcW w:w="1537" w:type="pct"/>
            <w:noWrap w:val="0"/>
            <w:vAlign w:val="center"/>
          </w:tcPr>
          <w:p w14:paraId="488F71CC">
            <w:pPr>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与项目区的位置关系</w:t>
            </w:r>
          </w:p>
        </w:tc>
        <w:tc>
          <w:tcPr>
            <w:tcW w:w="1149" w:type="pct"/>
            <w:noWrap w:val="0"/>
            <w:vAlign w:val="center"/>
          </w:tcPr>
          <w:p w14:paraId="4C96ED0B">
            <w:pPr>
              <w:bidi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引用数据来源及监测时间</w:t>
            </w:r>
          </w:p>
        </w:tc>
      </w:tr>
      <w:tr w14:paraId="533E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noWrap w:val="0"/>
            <w:vAlign w:val="center"/>
          </w:tcPr>
          <w:p w14:paraId="2CF24925">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D</w:t>
            </w:r>
            <w:r>
              <w:rPr>
                <w:rFonts w:hint="default" w:ascii="Times New Roman" w:hAnsi="Times New Roman" w:eastAsia="宋体" w:cs="Times New Roman"/>
                <w:color w:val="auto"/>
                <w:sz w:val="21"/>
                <w:szCs w:val="21"/>
              </w:rPr>
              <w:t>1</w:t>
            </w:r>
          </w:p>
        </w:tc>
        <w:tc>
          <w:tcPr>
            <w:tcW w:w="867" w:type="pct"/>
            <w:shd w:val="clear" w:color="auto" w:fill="auto"/>
            <w:noWrap w:val="0"/>
            <w:vAlign w:val="center"/>
          </w:tcPr>
          <w:p w14:paraId="4F3D3731">
            <w:pPr>
              <w:pStyle w:val="48"/>
              <w:bidi w:val="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782" w:type="pct"/>
            <w:shd w:val="clear" w:color="auto" w:fill="auto"/>
            <w:noWrap w:val="0"/>
            <w:vAlign w:val="center"/>
          </w:tcPr>
          <w:p w14:paraId="4D2DC0DD">
            <w:pPr>
              <w:pStyle w:val="48"/>
              <w:bidi w:val="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noWrap w:val="0"/>
            <w:vAlign w:val="center"/>
          </w:tcPr>
          <w:p w14:paraId="407553ED">
            <w:pPr>
              <w:bidi w:val="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百79井下游1.76km处</w:t>
            </w:r>
          </w:p>
        </w:tc>
        <w:tc>
          <w:tcPr>
            <w:tcW w:w="1149" w:type="pct"/>
            <w:vMerge w:val="restart"/>
            <w:noWrap w:val="0"/>
            <w:vAlign w:val="center"/>
          </w:tcPr>
          <w:p w14:paraId="3110793A">
            <w:pPr>
              <w:bidi w:val="0"/>
              <w:jc w:val="center"/>
              <w:rPr>
                <w:rFonts w:hint="default" w:ascii="Times New Roman" w:hAnsi="Times New Roman" w:cs="Times New Roman"/>
                <w:color w:val="auto"/>
                <w:sz w:val="21"/>
                <w:szCs w:val="20"/>
                <w:lang w:eastAsia="zh-CN"/>
              </w:rPr>
            </w:pPr>
            <w:r>
              <w:rPr>
                <w:rFonts w:hint="default" w:ascii="Times New Roman" w:hAnsi="Times New Roman" w:cs="Times New Roman"/>
                <w:color w:val="auto"/>
                <w:sz w:val="21"/>
                <w:szCs w:val="20"/>
                <w:lang w:eastAsia="zh-CN"/>
              </w:rPr>
              <w:t>《</w:t>
            </w:r>
            <w:r>
              <w:rPr>
                <w:rFonts w:hint="default" w:ascii="Times New Roman" w:hAnsi="Times New Roman" w:cs="Times New Roman"/>
                <w:color w:val="auto"/>
                <w:sz w:val="21"/>
                <w:szCs w:val="20"/>
              </w:rPr>
              <w:t>百口泉油田百21井区三叠系油藏外围2025年产能建设项目</w:t>
            </w:r>
            <w:r>
              <w:rPr>
                <w:rFonts w:hint="default" w:ascii="Times New Roman" w:hAnsi="Times New Roman" w:cs="Times New Roman"/>
                <w:color w:val="auto"/>
                <w:sz w:val="21"/>
                <w:szCs w:val="20"/>
                <w:lang w:val="en-US" w:eastAsia="zh-CN"/>
              </w:rPr>
              <w:t>环境影响报告表</w:t>
            </w:r>
            <w:r>
              <w:rPr>
                <w:rFonts w:hint="default" w:ascii="Times New Roman" w:hAnsi="Times New Roman" w:cs="Times New Roman"/>
                <w:color w:val="auto"/>
                <w:sz w:val="21"/>
                <w:szCs w:val="20"/>
                <w:lang w:eastAsia="zh-CN"/>
              </w:rPr>
              <w:t>》</w:t>
            </w:r>
          </w:p>
          <w:p w14:paraId="5680AE54">
            <w:pPr>
              <w:bidi w:val="0"/>
              <w:jc w:val="center"/>
              <w:rPr>
                <w:rFonts w:hint="default" w:ascii="Times New Roman" w:hAnsi="Times New Roman" w:cs="Times New Roman"/>
                <w:color w:val="auto"/>
                <w:sz w:val="21"/>
                <w:szCs w:val="20"/>
                <w:lang w:val="en-US" w:eastAsia="zh-CN"/>
              </w:rPr>
            </w:pPr>
            <w:r>
              <w:rPr>
                <w:rFonts w:hint="eastAsia" w:ascii="Times New Roman" w:hAnsi="Times New Roman" w:cs="Times New Roman"/>
                <w:color w:val="auto"/>
                <w:sz w:val="21"/>
                <w:szCs w:val="20"/>
                <w:lang w:val="en-US" w:eastAsia="zh-CN"/>
              </w:rPr>
              <w:t>2024年11月21日</w:t>
            </w:r>
          </w:p>
        </w:tc>
      </w:tr>
      <w:tr w14:paraId="6C3B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vAlign w:val="center"/>
          </w:tcPr>
          <w:p w14:paraId="5751514A">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D2</w:t>
            </w:r>
          </w:p>
        </w:tc>
        <w:tc>
          <w:tcPr>
            <w:tcW w:w="1478" w:type="dxa"/>
            <w:shd w:val="clear" w:color="auto" w:fill="auto"/>
            <w:vAlign w:val="center"/>
          </w:tcPr>
          <w:p w14:paraId="3AB95A30">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7A816FC1">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vAlign w:val="center"/>
          </w:tcPr>
          <w:p w14:paraId="63D9AF60">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43#计量站西南侧7.8km处</w:t>
            </w:r>
          </w:p>
        </w:tc>
        <w:tc>
          <w:tcPr>
            <w:tcW w:w="1149" w:type="pct"/>
            <w:vMerge w:val="continue"/>
            <w:vAlign w:val="center"/>
          </w:tcPr>
          <w:p w14:paraId="20C223B2">
            <w:pPr>
              <w:bidi w:val="0"/>
              <w:jc w:val="center"/>
              <w:rPr>
                <w:rFonts w:hint="eastAsia" w:ascii="Times New Roman" w:hAnsi="Times New Roman" w:cs="Times New Roman"/>
                <w:color w:val="auto"/>
                <w:sz w:val="21"/>
                <w:szCs w:val="21"/>
                <w:lang w:val="en-US" w:eastAsia="zh-CN"/>
              </w:rPr>
            </w:pPr>
          </w:p>
        </w:tc>
      </w:tr>
      <w:tr w14:paraId="0D04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vAlign w:val="center"/>
          </w:tcPr>
          <w:p w14:paraId="376C74D7">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D3</w:t>
            </w:r>
          </w:p>
        </w:tc>
        <w:tc>
          <w:tcPr>
            <w:tcW w:w="1478" w:type="dxa"/>
            <w:shd w:val="clear" w:color="auto" w:fill="auto"/>
            <w:vAlign w:val="center"/>
          </w:tcPr>
          <w:p w14:paraId="2EAC7C6A">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3D661BCD">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vAlign w:val="center"/>
          </w:tcPr>
          <w:p w14:paraId="70646FA1">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百209H井西南侧11.75km处</w:t>
            </w:r>
          </w:p>
        </w:tc>
        <w:tc>
          <w:tcPr>
            <w:tcW w:w="1149" w:type="pct"/>
            <w:vMerge w:val="continue"/>
            <w:vAlign w:val="center"/>
          </w:tcPr>
          <w:p w14:paraId="69517A5D">
            <w:pPr>
              <w:bidi w:val="0"/>
              <w:jc w:val="center"/>
              <w:rPr>
                <w:rFonts w:hint="eastAsia" w:ascii="Times New Roman" w:hAnsi="Times New Roman" w:cs="Times New Roman"/>
                <w:color w:val="auto"/>
                <w:sz w:val="21"/>
                <w:szCs w:val="21"/>
                <w:lang w:val="en-US" w:eastAsia="zh-CN"/>
              </w:rPr>
            </w:pPr>
          </w:p>
        </w:tc>
      </w:tr>
      <w:tr w14:paraId="2487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vAlign w:val="center"/>
          </w:tcPr>
          <w:p w14:paraId="1765728D">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D4</w:t>
            </w:r>
          </w:p>
        </w:tc>
        <w:tc>
          <w:tcPr>
            <w:tcW w:w="1478" w:type="dxa"/>
            <w:shd w:val="clear" w:color="auto" w:fill="auto"/>
            <w:vAlign w:val="center"/>
          </w:tcPr>
          <w:p w14:paraId="1F59FADF">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1B03CA48">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vAlign w:val="center"/>
          </w:tcPr>
          <w:p w14:paraId="08CEDBC5">
            <w:pPr>
              <w:bidi w:val="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百209H井南侧4.77km处</w:t>
            </w:r>
          </w:p>
        </w:tc>
        <w:tc>
          <w:tcPr>
            <w:tcW w:w="1149" w:type="pct"/>
            <w:vMerge w:val="continue"/>
            <w:vAlign w:val="center"/>
          </w:tcPr>
          <w:p w14:paraId="0F0DB458">
            <w:pPr>
              <w:bidi w:val="0"/>
              <w:jc w:val="center"/>
              <w:rPr>
                <w:rFonts w:hint="eastAsia" w:ascii="Times New Roman" w:hAnsi="Times New Roman" w:cs="Times New Roman"/>
                <w:color w:val="auto"/>
                <w:sz w:val="21"/>
                <w:szCs w:val="21"/>
                <w:lang w:val="en-US" w:eastAsia="zh-CN"/>
              </w:rPr>
            </w:pPr>
          </w:p>
        </w:tc>
      </w:tr>
      <w:tr w14:paraId="0C42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vAlign w:val="center"/>
          </w:tcPr>
          <w:p w14:paraId="2CF79B00">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D5</w:t>
            </w:r>
          </w:p>
        </w:tc>
        <w:tc>
          <w:tcPr>
            <w:tcW w:w="1478" w:type="dxa"/>
            <w:shd w:val="clear" w:color="auto" w:fill="auto"/>
            <w:vAlign w:val="center"/>
          </w:tcPr>
          <w:p w14:paraId="72E589D8">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482831DE">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vAlign w:val="center"/>
          </w:tcPr>
          <w:p w14:paraId="4F1C0873">
            <w:pPr>
              <w:bidi w:val="0"/>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百209H井下游10.19km处</w:t>
            </w:r>
          </w:p>
        </w:tc>
        <w:tc>
          <w:tcPr>
            <w:tcW w:w="1149" w:type="pct"/>
            <w:vMerge w:val="continue"/>
            <w:vAlign w:val="center"/>
          </w:tcPr>
          <w:p w14:paraId="200044FF">
            <w:pPr>
              <w:bidi w:val="0"/>
              <w:jc w:val="center"/>
              <w:rPr>
                <w:rFonts w:hint="eastAsia" w:ascii="Times New Roman" w:hAnsi="Times New Roman" w:cs="Times New Roman"/>
                <w:color w:val="auto"/>
                <w:sz w:val="21"/>
                <w:szCs w:val="21"/>
                <w:lang w:val="en-US" w:eastAsia="zh-CN"/>
              </w:rPr>
            </w:pPr>
          </w:p>
        </w:tc>
      </w:tr>
      <w:tr w14:paraId="6EA3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vAlign w:val="center"/>
          </w:tcPr>
          <w:p w14:paraId="3B8D959C">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D6</w:t>
            </w:r>
          </w:p>
        </w:tc>
        <w:tc>
          <w:tcPr>
            <w:tcW w:w="1478" w:type="dxa"/>
            <w:shd w:val="clear" w:color="auto" w:fill="auto"/>
            <w:vAlign w:val="center"/>
          </w:tcPr>
          <w:p w14:paraId="651931BA">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773EA030">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vAlign w:val="center"/>
          </w:tcPr>
          <w:p w14:paraId="23D70B8E">
            <w:pPr>
              <w:bidi w:val="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百209H井西南侧15.21km处</w:t>
            </w:r>
          </w:p>
        </w:tc>
        <w:tc>
          <w:tcPr>
            <w:tcW w:w="1149" w:type="pct"/>
            <w:vMerge w:val="continue"/>
            <w:vAlign w:val="center"/>
          </w:tcPr>
          <w:p w14:paraId="0C90EA19">
            <w:pPr>
              <w:bidi w:val="0"/>
              <w:jc w:val="center"/>
              <w:rPr>
                <w:rFonts w:hint="eastAsia" w:ascii="Times New Roman" w:hAnsi="Times New Roman" w:cs="Times New Roman"/>
                <w:color w:val="auto"/>
                <w:sz w:val="21"/>
                <w:szCs w:val="21"/>
                <w:lang w:val="en-US" w:eastAsia="zh-CN"/>
              </w:rPr>
            </w:pPr>
          </w:p>
        </w:tc>
      </w:tr>
      <w:tr w14:paraId="6EBB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vAlign w:val="center"/>
          </w:tcPr>
          <w:p w14:paraId="4FF74A16">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D7</w:t>
            </w:r>
          </w:p>
        </w:tc>
        <w:tc>
          <w:tcPr>
            <w:tcW w:w="1478" w:type="dxa"/>
            <w:shd w:val="clear" w:color="auto" w:fill="auto"/>
            <w:vAlign w:val="center"/>
          </w:tcPr>
          <w:p w14:paraId="42CE666E">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075108D5">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vAlign w:val="center"/>
          </w:tcPr>
          <w:p w14:paraId="5E3373D4">
            <w:pPr>
              <w:bidi w:val="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43#计量站西南侧7.5km处</w:t>
            </w:r>
          </w:p>
        </w:tc>
        <w:tc>
          <w:tcPr>
            <w:tcW w:w="1149" w:type="pct"/>
            <w:vMerge w:val="continue"/>
            <w:vAlign w:val="center"/>
          </w:tcPr>
          <w:p w14:paraId="1E42DE01">
            <w:pPr>
              <w:bidi w:val="0"/>
              <w:jc w:val="center"/>
              <w:rPr>
                <w:rFonts w:hint="eastAsia" w:ascii="Times New Roman" w:hAnsi="Times New Roman" w:cs="Times New Roman"/>
                <w:color w:val="auto"/>
                <w:sz w:val="21"/>
                <w:szCs w:val="21"/>
                <w:lang w:val="en-US" w:eastAsia="zh-CN"/>
              </w:rPr>
            </w:pPr>
          </w:p>
        </w:tc>
      </w:tr>
      <w:tr w14:paraId="643F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vAlign w:val="center"/>
          </w:tcPr>
          <w:p w14:paraId="443315C4">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D8</w:t>
            </w:r>
          </w:p>
        </w:tc>
        <w:tc>
          <w:tcPr>
            <w:tcW w:w="1478" w:type="dxa"/>
            <w:shd w:val="clear" w:color="auto" w:fill="auto"/>
            <w:vAlign w:val="center"/>
          </w:tcPr>
          <w:p w14:paraId="408CAC8D">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615A35B6">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vAlign w:val="center"/>
          </w:tcPr>
          <w:p w14:paraId="3487937E">
            <w:pPr>
              <w:bidi w:val="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43#计量站西南侧12.64km处</w:t>
            </w:r>
          </w:p>
        </w:tc>
        <w:tc>
          <w:tcPr>
            <w:tcW w:w="1149" w:type="pct"/>
            <w:vMerge w:val="continue"/>
            <w:vAlign w:val="center"/>
          </w:tcPr>
          <w:p w14:paraId="7F6A7F70">
            <w:pPr>
              <w:bidi w:val="0"/>
              <w:jc w:val="center"/>
              <w:rPr>
                <w:rFonts w:hint="eastAsia" w:ascii="Times New Roman" w:hAnsi="Times New Roman" w:cs="Times New Roman"/>
                <w:color w:val="auto"/>
                <w:sz w:val="21"/>
                <w:szCs w:val="21"/>
                <w:lang w:val="en-US" w:eastAsia="zh-CN"/>
              </w:rPr>
            </w:pPr>
          </w:p>
        </w:tc>
      </w:tr>
      <w:tr w14:paraId="1398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vAlign w:val="center"/>
          </w:tcPr>
          <w:p w14:paraId="6ECC1397">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D9</w:t>
            </w:r>
          </w:p>
        </w:tc>
        <w:tc>
          <w:tcPr>
            <w:tcW w:w="1478" w:type="dxa"/>
            <w:shd w:val="clear" w:color="auto" w:fill="auto"/>
            <w:vAlign w:val="center"/>
          </w:tcPr>
          <w:p w14:paraId="2A02A19B">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03DF3D34">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vAlign w:val="center"/>
          </w:tcPr>
          <w:p w14:paraId="515C1DC7">
            <w:pPr>
              <w:bidi w:val="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百79井上游12.57km处</w:t>
            </w:r>
          </w:p>
        </w:tc>
        <w:tc>
          <w:tcPr>
            <w:tcW w:w="1149" w:type="pct"/>
            <w:vMerge w:val="continue"/>
            <w:vAlign w:val="center"/>
          </w:tcPr>
          <w:p w14:paraId="2FDD862F">
            <w:pPr>
              <w:bidi w:val="0"/>
              <w:jc w:val="center"/>
              <w:rPr>
                <w:rFonts w:hint="eastAsia" w:ascii="Times New Roman" w:hAnsi="Times New Roman" w:cs="Times New Roman"/>
                <w:color w:val="auto"/>
                <w:sz w:val="21"/>
                <w:szCs w:val="21"/>
                <w:lang w:val="en-US" w:eastAsia="zh-CN"/>
              </w:rPr>
            </w:pPr>
          </w:p>
        </w:tc>
      </w:tr>
      <w:tr w14:paraId="16F0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vAlign w:val="center"/>
          </w:tcPr>
          <w:p w14:paraId="273F58F2">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D10</w:t>
            </w:r>
          </w:p>
        </w:tc>
        <w:tc>
          <w:tcPr>
            <w:tcW w:w="1478" w:type="dxa"/>
            <w:shd w:val="clear" w:color="auto" w:fill="auto"/>
            <w:vAlign w:val="center"/>
          </w:tcPr>
          <w:p w14:paraId="1572AA08">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32C8C62B">
            <w:pPr>
              <w:pStyle w:val="48"/>
              <w:bidi w:val="0"/>
              <w:ind w:firstLine="0" w:firstLineChars="0"/>
              <w:jc w:val="center"/>
              <w:rPr>
                <w:rFonts w:hint="default" w:ascii="Times New Roman" w:hAnsi="Times New Roman" w:eastAsia="宋体" w:cs="Times New Roman"/>
                <w:b w:val="0"/>
                <w:bCs/>
                <w:color w:val="auto"/>
                <w:sz w:val="21"/>
                <w:szCs w:val="16"/>
                <w:lang w:val="en-US" w:eastAsia="zh-CN"/>
              </w:rPr>
            </w:pPr>
            <w:r>
              <w:rPr>
                <w:rFonts w:hint="eastAsia" w:cs="Times New Roman"/>
                <w:i w:val="0"/>
                <w:iCs w:val="0"/>
                <w:color w:val="auto"/>
                <w:kern w:val="0"/>
                <w:sz w:val="21"/>
                <w:szCs w:val="21"/>
                <w:u w:val="none"/>
                <w:lang w:val="en-US" w:eastAsia="zh-CN" w:bidi="ar"/>
              </w:rPr>
              <w:t>*****</w:t>
            </w:r>
          </w:p>
        </w:tc>
        <w:tc>
          <w:tcPr>
            <w:tcW w:w="1537" w:type="pct"/>
            <w:vAlign w:val="center"/>
          </w:tcPr>
          <w:p w14:paraId="19F70733">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百791井上游11.98km处</w:t>
            </w:r>
          </w:p>
        </w:tc>
        <w:tc>
          <w:tcPr>
            <w:tcW w:w="1149" w:type="pct"/>
            <w:vMerge w:val="continue"/>
            <w:vAlign w:val="center"/>
          </w:tcPr>
          <w:p w14:paraId="2A887EFE">
            <w:pPr>
              <w:bidi w:val="0"/>
              <w:jc w:val="center"/>
              <w:rPr>
                <w:rFonts w:hint="eastAsia" w:ascii="Times New Roman" w:hAnsi="Times New Roman" w:cs="Times New Roman"/>
                <w:color w:val="auto"/>
                <w:sz w:val="21"/>
                <w:szCs w:val="21"/>
                <w:lang w:val="en-US" w:eastAsia="zh-CN"/>
              </w:rPr>
            </w:pPr>
          </w:p>
        </w:tc>
      </w:tr>
      <w:tr w14:paraId="674C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 w:type="pct"/>
            <w:shd w:val="clear" w:color="auto" w:fill="auto"/>
            <w:vAlign w:val="center"/>
          </w:tcPr>
          <w:p w14:paraId="509DAE47">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夏水7</w:t>
            </w:r>
          </w:p>
        </w:tc>
        <w:tc>
          <w:tcPr>
            <w:tcW w:w="1478" w:type="dxa"/>
            <w:shd w:val="clear" w:color="auto" w:fill="auto"/>
            <w:vAlign w:val="center"/>
          </w:tcPr>
          <w:p w14:paraId="0FA826D8">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394D87F5">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1537" w:type="pct"/>
            <w:shd w:val="clear" w:color="auto" w:fill="auto"/>
            <w:vAlign w:val="center"/>
          </w:tcPr>
          <w:p w14:paraId="145874AC">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夏209井上游10km处，DM2721井上游15.3km处</w:t>
            </w:r>
          </w:p>
        </w:tc>
        <w:tc>
          <w:tcPr>
            <w:tcW w:w="1149" w:type="pct"/>
            <w:vMerge w:val="restart"/>
            <w:shd w:val="clear" w:color="auto" w:fill="auto"/>
            <w:vAlign w:val="center"/>
          </w:tcPr>
          <w:p w14:paraId="41FE14CF">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《玛北油田玛页1井区二叠系风城组页岩油开发先导试验方案环境影响报告书》2024年10月16日</w:t>
            </w:r>
          </w:p>
        </w:tc>
      </w:tr>
      <w:tr w14:paraId="7073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2D7D912B">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夏水9</w:t>
            </w:r>
          </w:p>
        </w:tc>
        <w:tc>
          <w:tcPr>
            <w:tcW w:w="1478" w:type="dxa"/>
            <w:shd w:val="clear" w:color="auto" w:fill="auto"/>
            <w:vAlign w:val="center"/>
          </w:tcPr>
          <w:p w14:paraId="6F04053E">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2856B619">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0" w:type="auto"/>
            <w:shd w:val="clear" w:color="auto" w:fill="auto"/>
            <w:vAlign w:val="center"/>
          </w:tcPr>
          <w:p w14:paraId="2A55D07F">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夏207H井上游6.6km处</w:t>
            </w:r>
          </w:p>
        </w:tc>
        <w:tc>
          <w:tcPr>
            <w:tcW w:w="1149" w:type="pct"/>
            <w:vMerge w:val="continue"/>
          </w:tcPr>
          <w:p w14:paraId="0872721C">
            <w:pPr>
              <w:bidi w:val="0"/>
              <w:jc w:val="center"/>
              <w:rPr>
                <w:rFonts w:hint="eastAsia" w:ascii="Times New Roman" w:hAnsi="Times New Roman" w:cs="Times New Roman"/>
                <w:color w:val="auto"/>
                <w:sz w:val="21"/>
                <w:szCs w:val="21"/>
                <w:lang w:val="en-US" w:eastAsia="zh-CN"/>
              </w:rPr>
            </w:pPr>
          </w:p>
        </w:tc>
      </w:tr>
      <w:tr w14:paraId="214C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5EC32651">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夏水18</w:t>
            </w:r>
          </w:p>
        </w:tc>
        <w:tc>
          <w:tcPr>
            <w:tcW w:w="1478" w:type="dxa"/>
            <w:shd w:val="clear" w:color="auto" w:fill="auto"/>
            <w:vAlign w:val="center"/>
          </w:tcPr>
          <w:p w14:paraId="42D580AD">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296FE259">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0" w:type="auto"/>
            <w:shd w:val="clear" w:color="auto" w:fill="auto"/>
            <w:vAlign w:val="center"/>
          </w:tcPr>
          <w:p w14:paraId="78A15BA3">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1104阀池上游2.4km处</w:t>
            </w:r>
          </w:p>
        </w:tc>
        <w:tc>
          <w:tcPr>
            <w:tcW w:w="1149" w:type="pct"/>
            <w:vMerge w:val="continue"/>
          </w:tcPr>
          <w:p w14:paraId="1D4E09D6">
            <w:pPr>
              <w:bidi w:val="0"/>
              <w:jc w:val="center"/>
              <w:rPr>
                <w:rFonts w:hint="eastAsia" w:ascii="Times New Roman" w:hAnsi="Times New Roman" w:cs="Times New Roman"/>
                <w:color w:val="auto"/>
                <w:sz w:val="21"/>
                <w:szCs w:val="21"/>
                <w:lang w:val="en-US" w:eastAsia="zh-CN"/>
              </w:rPr>
            </w:pPr>
          </w:p>
        </w:tc>
      </w:tr>
      <w:tr w14:paraId="4ECC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26FEBD9C">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夏水21</w:t>
            </w:r>
          </w:p>
        </w:tc>
        <w:tc>
          <w:tcPr>
            <w:tcW w:w="1478" w:type="dxa"/>
            <w:shd w:val="clear" w:color="auto" w:fill="auto"/>
            <w:vAlign w:val="center"/>
          </w:tcPr>
          <w:p w14:paraId="40855910">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472866E3">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0" w:type="auto"/>
            <w:shd w:val="clear" w:color="auto" w:fill="auto"/>
            <w:vAlign w:val="center"/>
          </w:tcPr>
          <w:p w14:paraId="34C171CD">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玛62井上游7.6km处</w:t>
            </w:r>
          </w:p>
        </w:tc>
        <w:tc>
          <w:tcPr>
            <w:tcW w:w="1149" w:type="pct"/>
            <w:vMerge w:val="continue"/>
          </w:tcPr>
          <w:p w14:paraId="45CB79D3">
            <w:pPr>
              <w:bidi w:val="0"/>
              <w:jc w:val="center"/>
              <w:rPr>
                <w:rFonts w:hint="eastAsia" w:ascii="Times New Roman" w:hAnsi="Times New Roman" w:cs="Times New Roman"/>
                <w:color w:val="auto"/>
                <w:sz w:val="21"/>
                <w:szCs w:val="21"/>
                <w:lang w:val="en-US" w:eastAsia="zh-CN"/>
              </w:rPr>
            </w:pPr>
          </w:p>
        </w:tc>
      </w:tr>
      <w:tr w14:paraId="7217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6DE499EE">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夏水19</w:t>
            </w:r>
          </w:p>
        </w:tc>
        <w:tc>
          <w:tcPr>
            <w:tcW w:w="1478" w:type="dxa"/>
            <w:shd w:val="clear" w:color="auto" w:fill="auto"/>
            <w:vAlign w:val="center"/>
          </w:tcPr>
          <w:p w14:paraId="373CF663">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68041074">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0" w:type="auto"/>
            <w:shd w:val="clear" w:color="auto" w:fill="auto"/>
            <w:vAlign w:val="center"/>
          </w:tcPr>
          <w:p w14:paraId="2B05B7E5">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玛62井西侧5.0km处</w:t>
            </w:r>
          </w:p>
        </w:tc>
        <w:tc>
          <w:tcPr>
            <w:tcW w:w="1149" w:type="pct"/>
            <w:vMerge w:val="continue"/>
          </w:tcPr>
          <w:p w14:paraId="3A5DB12B">
            <w:pPr>
              <w:bidi w:val="0"/>
              <w:jc w:val="center"/>
              <w:rPr>
                <w:rFonts w:hint="eastAsia" w:ascii="Times New Roman" w:hAnsi="Times New Roman" w:cs="Times New Roman"/>
                <w:color w:val="auto"/>
                <w:sz w:val="21"/>
                <w:szCs w:val="21"/>
                <w:lang w:val="en-US" w:eastAsia="zh-CN"/>
              </w:rPr>
            </w:pPr>
          </w:p>
        </w:tc>
      </w:tr>
      <w:tr w14:paraId="4254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3B182C00">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玛水15井</w:t>
            </w:r>
          </w:p>
        </w:tc>
        <w:tc>
          <w:tcPr>
            <w:tcW w:w="1478" w:type="dxa"/>
            <w:shd w:val="clear" w:color="auto" w:fill="auto"/>
            <w:vAlign w:val="center"/>
          </w:tcPr>
          <w:p w14:paraId="7880464F">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1333" w:type="dxa"/>
            <w:shd w:val="clear" w:color="auto" w:fill="auto"/>
            <w:vAlign w:val="center"/>
          </w:tcPr>
          <w:p w14:paraId="053A7F51">
            <w:pPr>
              <w:pStyle w:val="48"/>
              <w:bidi w:val="0"/>
              <w:ind w:firstLine="0" w:firstLineChars="0"/>
              <w:jc w:val="center"/>
              <w:rPr>
                <w:rFonts w:hint="default" w:ascii="Times New Roman" w:hAnsi="Times New Roman" w:eastAsia="宋体" w:cs="Times New Roman"/>
                <w:color w:val="auto"/>
                <w:sz w:val="21"/>
                <w:szCs w:val="22"/>
                <w:lang w:val="en-US" w:eastAsia="zh-CN" w:bidi="ar-SA"/>
              </w:rPr>
            </w:pPr>
            <w:r>
              <w:rPr>
                <w:rFonts w:hint="eastAsia" w:cs="Times New Roman"/>
                <w:i w:val="0"/>
                <w:iCs w:val="0"/>
                <w:color w:val="auto"/>
                <w:kern w:val="0"/>
                <w:sz w:val="21"/>
                <w:szCs w:val="21"/>
                <w:u w:val="none"/>
                <w:lang w:val="en-US" w:eastAsia="zh-CN" w:bidi="ar"/>
              </w:rPr>
              <w:t>*****</w:t>
            </w:r>
          </w:p>
        </w:tc>
        <w:tc>
          <w:tcPr>
            <w:tcW w:w="0" w:type="auto"/>
            <w:shd w:val="clear" w:color="auto" w:fill="auto"/>
            <w:vAlign w:val="center"/>
          </w:tcPr>
          <w:p w14:paraId="5B5E688A">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赛探1井上游5.3km处</w:t>
            </w:r>
          </w:p>
        </w:tc>
        <w:tc>
          <w:tcPr>
            <w:tcW w:w="0" w:type="auto"/>
            <w:shd w:val="clear" w:color="auto" w:fill="auto"/>
            <w:vAlign w:val="center"/>
          </w:tcPr>
          <w:p w14:paraId="63392E52">
            <w:pPr>
              <w:bidi w:val="0"/>
              <w:jc w:val="center"/>
              <w:rPr>
                <w:rFonts w:hint="eastAsia"/>
                <w:color w:val="auto"/>
                <w:lang w:val="en-US" w:eastAsia="zh-CN"/>
              </w:rPr>
            </w:pPr>
            <w:r>
              <w:rPr>
                <w:rFonts w:hint="eastAsia"/>
                <w:color w:val="auto"/>
                <w:lang w:val="en-US" w:eastAsia="zh-CN"/>
              </w:rPr>
              <w:t>《艾湖油田玛中4井区白碱滩组油藏开发试验地面工程环境影响报告书》</w:t>
            </w:r>
          </w:p>
          <w:p w14:paraId="34FC641A">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2023年5月13日</w:t>
            </w:r>
          </w:p>
        </w:tc>
      </w:tr>
    </w:tbl>
    <w:p w14:paraId="431BB7C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监测因子</w:t>
      </w:r>
    </w:p>
    <w:p w14:paraId="55A72CA9">
      <w:pPr>
        <w:pStyle w:val="11"/>
        <w:bidi w:val="0"/>
        <w:rPr>
          <w:rFonts w:hint="eastAsia"/>
          <w:color w:val="auto"/>
          <w:lang w:eastAsia="zh-CN"/>
        </w:rPr>
      </w:pPr>
      <w:r>
        <w:rPr>
          <w:rFonts w:hint="eastAsia"/>
          <w:color w:val="auto"/>
        </w:rPr>
        <w:t>D1-D5监测因子：</w:t>
      </w:r>
      <w:r>
        <w:rPr>
          <w:color w:val="auto"/>
        </w:rPr>
        <w:t>K</w:t>
      </w:r>
      <w:r>
        <w:rPr>
          <w:color w:val="auto"/>
          <w:vertAlign w:val="superscript"/>
        </w:rPr>
        <w:t>+</w:t>
      </w:r>
      <w:r>
        <w:rPr>
          <w:rFonts w:hint="eastAsia"/>
          <w:color w:val="auto"/>
        </w:rPr>
        <w:t>、</w:t>
      </w:r>
      <w:r>
        <w:rPr>
          <w:color w:val="auto"/>
        </w:rPr>
        <w:t>Na</w:t>
      </w:r>
      <w:r>
        <w:rPr>
          <w:color w:val="auto"/>
          <w:vertAlign w:val="superscript"/>
        </w:rPr>
        <w:t>+</w:t>
      </w:r>
      <w:r>
        <w:rPr>
          <w:rFonts w:hint="eastAsia"/>
          <w:color w:val="auto"/>
        </w:rPr>
        <w:t>、</w:t>
      </w:r>
      <w:r>
        <w:rPr>
          <w:color w:val="auto"/>
        </w:rPr>
        <w:t>Ca</w:t>
      </w:r>
      <w:r>
        <w:rPr>
          <w:color w:val="auto"/>
          <w:vertAlign w:val="superscript"/>
        </w:rPr>
        <w:t>2+</w:t>
      </w:r>
      <w:r>
        <w:rPr>
          <w:rFonts w:hint="eastAsia"/>
          <w:color w:val="auto"/>
        </w:rPr>
        <w:t>、</w:t>
      </w:r>
      <w:r>
        <w:rPr>
          <w:color w:val="auto"/>
        </w:rPr>
        <w:t>Mg</w:t>
      </w:r>
      <w:r>
        <w:rPr>
          <w:color w:val="auto"/>
          <w:vertAlign w:val="superscript"/>
        </w:rPr>
        <w:t>2+</w:t>
      </w:r>
      <w:r>
        <w:rPr>
          <w:rFonts w:hint="eastAsia"/>
          <w:color w:val="auto"/>
        </w:rPr>
        <w:t>、</w:t>
      </w:r>
      <w:r>
        <w:rPr>
          <w:color w:val="auto"/>
        </w:rPr>
        <w:t>CO</w:t>
      </w:r>
      <w:r>
        <w:rPr>
          <w:color w:val="auto"/>
          <w:vertAlign w:val="subscript"/>
        </w:rPr>
        <w:t>3</w:t>
      </w:r>
      <w:r>
        <w:rPr>
          <w:color w:val="auto"/>
          <w:vertAlign w:val="superscript"/>
        </w:rPr>
        <w:t>2-</w:t>
      </w:r>
      <w:r>
        <w:rPr>
          <w:rFonts w:hint="eastAsia"/>
          <w:color w:val="auto"/>
        </w:rPr>
        <w:t>、</w:t>
      </w:r>
      <w:r>
        <w:rPr>
          <w:color w:val="auto"/>
        </w:rPr>
        <w:t>HCO</w:t>
      </w:r>
      <w:r>
        <w:rPr>
          <w:color w:val="auto"/>
          <w:vertAlign w:val="subscript"/>
        </w:rPr>
        <w:t>3</w:t>
      </w:r>
      <w:r>
        <w:rPr>
          <w:color w:val="auto"/>
          <w:vertAlign w:val="superscript"/>
        </w:rPr>
        <w:t>-</w:t>
      </w:r>
      <w:r>
        <w:rPr>
          <w:rFonts w:hint="eastAsia"/>
          <w:color w:val="auto"/>
        </w:rPr>
        <w:t>、</w:t>
      </w:r>
      <w:r>
        <w:rPr>
          <w:color w:val="auto"/>
        </w:rPr>
        <w:t>Cl</w:t>
      </w:r>
      <w:r>
        <w:rPr>
          <w:color w:val="auto"/>
          <w:vertAlign w:val="superscript"/>
        </w:rPr>
        <w:t>-</w:t>
      </w:r>
      <w:r>
        <w:rPr>
          <w:rFonts w:hint="eastAsia"/>
          <w:color w:val="auto"/>
        </w:rPr>
        <w:t>、</w:t>
      </w:r>
      <w:r>
        <w:rPr>
          <w:rFonts w:hint="eastAsia"/>
          <w:color w:val="auto"/>
          <w:lang w:val="en-US" w:eastAsia="zh-CN"/>
        </w:rPr>
        <w:t>S</w:t>
      </w:r>
      <w:r>
        <w:rPr>
          <w:color w:val="auto"/>
        </w:rPr>
        <w:t>O</w:t>
      </w:r>
      <w:r>
        <w:rPr>
          <w:color w:val="auto"/>
          <w:vertAlign w:val="subscript"/>
        </w:rPr>
        <w:t>4</w:t>
      </w:r>
      <w:r>
        <w:rPr>
          <w:color w:val="auto"/>
          <w:vertAlign w:val="superscript"/>
        </w:rPr>
        <w:t>2-</w:t>
      </w:r>
      <w:r>
        <w:rPr>
          <w:rFonts w:hint="eastAsia"/>
          <w:color w:val="auto"/>
        </w:rPr>
        <w:t>的浓度，</w:t>
      </w:r>
      <w:r>
        <w:rPr>
          <w:color w:val="auto"/>
        </w:rPr>
        <w:t>pH</w:t>
      </w:r>
      <w:r>
        <w:rPr>
          <w:rFonts w:hint="eastAsia"/>
          <w:color w:val="auto"/>
        </w:rPr>
        <w:t>、氨氮、硝酸盐氮、亚硝酸盐氮、挥发性酚类、氰化物、砷、汞、铬</w:t>
      </w:r>
      <w:r>
        <w:rPr>
          <w:color w:val="auto"/>
        </w:rPr>
        <w:t>(</w:t>
      </w:r>
      <w:r>
        <w:rPr>
          <w:rFonts w:hint="eastAsia"/>
          <w:color w:val="auto"/>
        </w:rPr>
        <w:t>六价</w:t>
      </w:r>
      <w:r>
        <w:rPr>
          <w:color w:val="auto"/>
        </w:rPr>
        <w:t>)</w:t>
      </w:r>
      <w:r>
        <w:rPr>
          <w:rFonts w:hint="eastAsia"/>
          <w:color w:val="auto"/>
        </w:rPr>
        <w:t>、总硬度、铅、氟化物、镉、铁、锰、溶解性总固体、耗氧量、硫酸盐、氯化物、石油类、总大肠菌群、</w:t>
      </w:r>
      <w:r>
        <w:rPr>
          <w:rFonts w:hint="eastAsia"/>
          <w:color w:val="auto"/>
          <w:lang w:val="en-US" w:eastAsia="zh-CN"/>
        </w:rPr>
        <w:t>菌落</w:t>
      </w:r>
      <w:r>
        <w:rPr>
          <w:rFonts w:hint="eastAsia"/>
          <w:color w:val="auto"/>
        </w:rPr>
        <w:t>总数、钠、硫化物、钡，水位、水温</w:t>
      </w:r>
      <w:r>
        <w:rPr>
          <w:rFonts w:hint="eastAsia"/>
          <w:color w:val="auto"/>
          <w:lang w:eastAsia="zh-CN"/>
        </w:rPr>
        <w:t>。</w:t>
      </w:r>
    </w:p>
    <w:p w14:paraId="003900FA">
      <w:pPr>
        <w:pStyle w:val="11"/>
        <w:bidi w:val="0"/>
        <w:rPr>
          <w:rFonts w:hint="eastAsia"/>
          <w:color w:val="auto"/>
        </w:rPr>
      </w:pPr>
      <w:r>
        <w:rPr>
          <w:rFonts w:hint="eastAsia"/>
          <w:color w:val="auto"/>
        </w:rPr>
        <w:t>D6-D10监测因子：水位。</w:t>
      </w:r>
    </w:p>
    <w:p w14:paraId="1285D617">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其他点位</w:t>
      </w:r>
      <w:r>
        <w:rPr>
          <w:rFonts w:hint="default" w:ascii="Times New Roman" w:hAnsi="Times New Roman" w:cs="Times New Roman"/>
          <w:color w:val="auto"/>
          <w:sz w:val="24"/>
          <w:szCs w:val="24"/>
        </w:rPr>
        <w:t>监测项目：</w:t>
      </w:r>
      <w:r>
        <w:rPr>
          <w:color w:val="auto"/>
        </w:rPr>
        <w:t>K</w:t>
      </w:r>
      <w:r>
        <w:rPr>
          <w:color w:val="auto"/>
          <w:vertAlign w:val="superscript"/>
        </w:rPr>
        <w:t>+</w:t>
      </w:r>
      <w:r>
        <w:rPr>
          <w:rFonts w:hint="eastAsia"/>
          <w:color w:val="auto"/>
        </w:rPr>
        <w:t>、</w:t>
      </w:r>
      <w:r>
        <w:rPr>
          <w:color w:val="auto"/>
        </w:rPr>
        <w:t>Na</w:t>
      </w:r>
      <w:r>
        <w:rPr>
          <w:color w:val="auto"/>
          <w:vertAlign w:val="superscript"/>
        </w:rPr>
        <w:t>+</w:t>
      </w:r>
      <w:r>
        <w:rPr>
          <w:rFonts w:hint="eastAsia"/>
          <w:color w:val="auto"/>
        </w:rPr>
        <w:t>、</w:t>
      </w:r>
      <w:r>
        <w:rPr>
          <w:color w:val="auto"/>
        </w:rPr>
        <w:t>Ca</w:t>
      </w:r>
      <w:r>
        <w:rPr>
          <w:color w:val="auto"/>
          <w:vertAlign w:val="superscript"/>
        </w:rPr>
        <w:t>2+</w:t>
      </w:r>
      <w:r>
        <w:rPr>
          <w:rFonts w:hint="eastAsia"/>
          <w:color w:val="auto"/>
        </w:rPr>
        <w:t>、</w:t>
      </w:r>
      <w:r>
        <w:rPr>
          <w:color w:val="auto"/>
        </w:rPr>
        <w:t>Mg</w:t>
      </w:r>
      <w:r>
        <w:rPr>
          <w:color w:val="auto"/>
          <w:vertAlign w:val="superscript"/>
        </w:rPr>
        <w:t>2+</w:t>
      </w:r>
      <w:r>
        <w:rPr>
          <w:rFonts w:hint="eastAsia"/>
          <w:color w:val="auto"/>
        </w:rPr>
        <w:t>、</w:t>
      </w:r>
      <w:r>
        <w:rPr>
          <w:color w:val="auto"/>
        </w:rPr>
        <w:t>CO</w:t>
      </w:r>
      <w:r>
        <w:rPr>
          <w:color w:val="auto"/>
          <w:vertAlign w:val="subscript"/>
        </w:rPr>
        <w:t>3</w:t>
      </w:r>
      <w:r>
        <w:rPr>
          <w:color w:val="auto"/>
          <w:vertAlign w:val="superscript"/>
        </w:rPr>
        <w:t>2-</w:t>
      </w:r>
      <w:r>
        <w:rPr>
          <w:rFonts w:hint="eastAsia"/>
          <w:color w:val="auto"/>
        </w:rPr>
        <w:t>、</w:t>
      </w:r>
      <w:r>
        <w:rPr>
          <w:color w:val="auto"/>
        </w:rPr>
        <w:t>HCO</w:t>
      </w:r>
      <w:r>
        <w:rPr>
          <w:color w:val="auto"/>
          <w:vertAlign w:val="subscript"/>
        </w:rPr>
        <w:t>3</w:t>
      </w:r>
      <w:r>
        <w:rPr>
          <w:color w:val="auto"/>
          <w:vertAlign w:val="superscript"/>
        </w:rPr>
        <w:t>-</w:t>
      </w:r>
      <w:r>
        <w:rPr>
          <w:rFonts w:hint="eastAsia"/>
          <w:color w:val="auto"/>
        </w:rPr>
        <w:t>、</w:t>
      </w:r>
      <w:r>
        <w:rPr>
          <w:color w:val="auto"/>
        </w:rPr>
        <w:t>Cl</w:t>
      </w:r>
      <w:r>
        <w:rPr>
          <w:color w:val="auto"/>
          <w:vertAlign w:val="superscript"/>
        </w:rPr>
        <w:t>-</w:t>
      </w:r>
      <w:r>
        <w:rPr>
          <w:rFonts w:hint="eastAsia"/>
          <w:color w:val="auto"/>
        </w:rPr>
        <w:t>、</w:t>
      </w:r>
      <w:r>
        <w:rPr>
          <w:rFonts w:hint="eastAsia"/>
          <w:color w:val="auto"/>
          <w:lang w:val="en-US" w:eastAsia="zh-CN"/>
        </w:rPr>
        <w:t>S</w:t>
      </w:r>
      <w:r>
        <w:rPr>
          <w:color w:val="auto"/>
        </w:rPr>
        <w:t>O</w:t>
      </w:r>
      <w:r>
        <w:rPr>
          <w:color w:val="auto"/>
          <w:vertAlign w:val="subscript"/>
        </w:rPr>
        <w:t>4</w:t>
      </w:r>
      <w:r>
        <w:rPr>
          <w:color w:val="auto"/>
          <w:vertAlign w:val="superscript"/>
        </w:rPr>
        <w:t>2-</w:t>
      </w:r>
      <w:r>
        <w:rPr>
          <w:rFonts w:hint="eastAsia"/>
          <w:color w:val="auto"/>
        </w:rPr>
        <w:t>的浓度，</w:t>
      </w:r>
      <w:r>
        <w:rPr>
          <w:rFonts w:hint="default" w:ascii="Times New Roman" w:hAnsi="Times New Roman" w:cs="Times New Roman"/>
          <w:color w:val="auto"/>
          <w:sz w:val="24"/>
          <w:szCs w:val="24"/>
        </w:rPr>
        <w:t>pH、溶解性总固体、总硬度、耗氧量、氨氮、硝酸盐、亚硝酸盐、挥发</w:t>
      </w:r>
      <w:r>
        <w:rPr>
          <w:rFonts w:hint="eastAsia" w:ascii="Times New Roman" w:hAnsi="Times New Roman" w:cs="Times New Roman"/>
          <w:color w:val="auto"/>
          <w:sz w:val="24"/>
          <w:szCs w:val="24"/>
          <w:lang w:val="en-US" w:eastAsia="zh-CN"/>
        </w:rPr>
        <w:t>性</w:t>
      </w:r>
      <w:r>
        <w:rPr>
          <w:rFonts w:hint="default" w:ascii="Times New Roman" w:hAnsi="Times New Roman" w:cs="Times New Roman"/>
          <w:color w:val="auto"/>
          <w:sz w:val="24"/>
          <w:szCs w:val="24"/>
        </w:rPr>
        <w:t>酚</w:t>
      </w:r>
      <w:r>
        <w:rPr>
          <w:rFonts w:hint="eastAsia" w:ascii="Times New Roman" w:hAnsi="Times New Roman" w:cs="Times New Roman"/>
          <w:color w:val="auto"/>
          <w:sz w:val="24"/>
          <w:szCs w:val="24"/>
          <w:lang w:val="en-US" w:eastAsia="zh-CN"/>
        </w:rPr>
        <w:t>类</w:t>
      </w:r>
      <w:r>
        <w:rPr>
          <w:rFonts w:hint="default" w:ascii="Times New Roman" w:hAnsi="Times New Roman" w:cs="Times New Roman"/>
          <w:color w:val="auto"/>
          <w:sz w:val="24"/>
          <w:szCs w:val="24"/>
        </w:rPr>
        <w:t>、氯化物、砷、汞、六价铬、铅、镉</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石油类、水位。</w:t>
      </w:r>
    </w:p>
    <w:p w14:paraId="2A4D648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（3）评价方法及结果</w:t>
      </w:r>
    </w:p>
    <w:p w14:paraId="2B21AEE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采用单项标准指数法对地下水进行评价。</w:t>
      </w:r>
    </w:p>
    <w:p w14:paraId="1E599CAF">
      <w:pPr>
        <w:keepNext w:val="0"/>
        <w:keepLines w:val="0"/>
        <w:pageBreakBefore w:val="0"/>
        <w:widowControl/>
        <w:kinsoku/>
        <w:wordWrap/>
        <w:overflowPunct/>
        <w:topLinePunct w:val="0"/>
        <w:autoSpaceDE/>
        <w:autoSpaceDN/>
        <w:bidi w:val="0"/>
        <w:adjustRightInd/>
        <w:snapToGrid/>
        <w:spacing w:line="360" w:lineRule="auto"/>
        <w:ind w:firstLine="496" w:firstLineChars="200"/>
        <w:jc w:val="center"/>
        <w:textAlignment w:val="auto"/>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lang w:bidi="ar"/>
        </w:rPr>
        <w:t>P</w:t>
      </w:r>
      <w:r>
        <w:rPr>
          <w:rFonts w:hint="default" w:ascii="Times New Roman" w:hAnsi="Times New Roman" w:cs="Times New Roman"/>
          <w:color w:val="auto"/>
          <w:spacing w:val="4"/>
          <w:sz w:val="24"/>
          <w:szCs w:val="24"/>
          <w:vertAlign w:val="subscript"/>
          <w:lang w:bidi="ar"/>
        </w:rPr>
        <w:t>i</w:t>
      </w:r>
      <w:r>
        <w:rPr>
          <w:rFonts w:hint="default" w:ascii="Times New Roman" w:hAnsi="Times New Roman" w:cs="Times New Roman"/>
          <w:color w:val="auto"/>
          <w:spacing w:val="4"/>
          <w:sz w:val="24"/>
          <w:szCs w:val="24"/>
          <w:lang w:bidi="ar"/>
        </w:rPr>
        <w:t>=C</w:t>
      </w:r>
      <w:r>
        <w:rPr>
          <w:rFonts w:hint="default" w:ascii="Times New Roman" w:hAnsi="Times New Roman" w:cs="Times New Roman"/>
          <w:color w:val="auto"/>
          <w:spacing w:val="4"/>
          <w:sz w:val="24"/>
          <w:szCs w:val="24"/>
          <w:vertAlign w:val="subscript"/>
          <w:lang w:bidi="ar"/>
        </w:rPr>
        <w:t>i</w:t>
      </w:r>
      <w:r>
        <w:rPr>
          <w:rFonts w:hint="default" w:ascii="Times New Roman" w:hAnsi="Times New Roman" w:cs="Times New Roman"/>
          <w:color w:val="auto"/>
          <w:spacing w:val="4"/>
          <w:sz w:val="24"/>
          <w:szCs w:val="24"/>
          <w:lang w:bidi="ar"/>
        </w:rPr>
        <w:t>/C</w:t>
      </w:r>
      <w:r>
        <w:rPr>
          <w:rFonts w:hint="default" w:ascii="Times New Roman" w:hAnsi="Times New Roman" w:cs="Times New Roman"/>
          <w:color w:val="auto"/>
          <w:spacing w:val="4"/>
          <w:sz w:val="24"/>
          <w:szCs w:val="24"/>
          <w:vertAlign w:val="subscript"/>
          <w:lang w:bidi="ar"/>
        </w:rPr>
        <w:t>si</w:t>
      </w:r>
    </w:p>
    <w:p w14:paraId="44B59F1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式中：P</w:t>
      </w:r>
      <w:r>
        <w:rPr>
          <w:rFonts w:hint="default" w:ascii="Times New Roman" w:hAnsi="Times New Roman" w:cs="Times New Roman"/>
          <w:color w:val="auto"/>
          <w:sz w:val="24"/>
          <w:szCs w:val="24"/>
          <w:vertAlign w:val="subscript"/>
          <w:lang w:bidi="ar"/>
        </w:rPr>
        <w:t>i</w:t>
      </w:r>
      <w:r>
        <w:rPr>
          <w:rFonts w:hint="default" w:ascii="Times New Roman" w:hAnsi="Times New Roman" w:cs="Times New Roman"/>
          <w:color w:val="auto"/>
          <w:sz w:val="24"/>
          <w:szCs w:val="24"/>
          <w:lang w:bidi="ar"/>
        </w:rPr>
        <w:t>——水质单项标准指数；</w:t>
      </w:r>
    </w:p>
    <w:p w14:paraId="62E20C3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 xml:space="preserve">      C</w:t>
      </w:r>
      <w:r>
        <w:rPr>
          <w:rFonts w:hint="default" w:ascii="Times New Roman" w:hAnsi="Times New Roman" w:cs="Times New Roman"/>
          <w:color w:val="auto"/>
          <w:sz w:val="24"/>
          <w:szCs w:val="24"/>
          <w:vertAlign w:val="subscript"/>
          <w:lang w:bidi="ar"/>
        </w:rPr>
        <w:t>i,j</w:t>
      </w:r>
      <w:r>
        <w:rPr>
          <w:rFonts w:hint="default" w:ascii="Times New Roman" w:hAnsi="Times New Roman" w:cs="Times New Roman"/>
          <w:color w:val="auto"/>
          <w:sz w:val="24"/>
          <w:szCs w:val="24"/>
          <w:lang w:bidi="ar"/>
        </w:rPr>
        <w:t>——水质评价因子i在第j取样点的浓度，mg/L；</w:t>
      </w:r>
    </w:p>
    <w:p w14:paraId="6159757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 xml:space="preserve">      C</w:t>
      </w:r>
      <w:r>
        <w:rPr>
          <w:rFonts w:hint="default" w:ascii="Times New Roman" w:hAnsi="Times New Roman" w:cs="Times New Roman"/>
          <w:color w:val="auto"/>
          <w:sz w:val="24"/>
          <w:szCs w:val="24"/>
          <w:vertAlign w:val="subscript"/>
          <w:lang w:bidi="ar"/>
        </w:rPr>
        <w:t xml:space="preserve">si </w:t>
      </w:r>
      <w:r>
        <w:rPr>
          <w:rFonts w:hint="default" w:ascii="Times New Roman" w:hAnsi="Times New Roman" w:cs="Times New Roman"/>
          <w:color w:val="auto"/>
          <w:sz w:val="24"/>
          <w:szCs w:val="24"/>
          <w:lang w:bidi="ar"/>
        </w:rPr>
        <w:t>——i因子的评价标准，mg/L；</w:t>
      </w:r>
    </w:p>
    <w:p w14:paraId="76F42C8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pH的单项标准指数表达式为：</w:t>
      </w:r>
    </w:p>
    <w:p w14:paraId="12EF299F">
      <w:pPr>
        <w:keepNext w:val="0"/>
        <w:keepLines w:val="0"/>
        <w:pageBreakBefore w:val="0"/>
        <w:widowControl/>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lang w:bidi="ar"/>
        </w:rPr>
        <w:t>pH</w:t>
      </w:r>
      <w:r>
        <w:rPr>
          <w:rFonts w:hint="default" w:ascii="Times New Roman" w:hAnsi="Times New Roman" w:cs="Times New Roman"/>
          <w:color w:val="auto"/>
          <w:spacing w:val="4"/>
          <w:sz w:val="24"/>
          <w:szCs w:val="24"/>
          <w:vertAlign w:val="subscript"/>
          <w:lang w:bidi="ar"/>
        </w:rPr>
        <w:t>j</w:t>
      </w:r>
      <w:r>
        <w:rPr>
          <w:rFonts w:hint="default" w:ascii="Times New Roman" w:hAnsi="Times New Roman" w:cs="Times New Roman"/>
          <w:color w:val="auto"/>
          <w:spacing w:val="4"/>
          <w:sz w:val="24"/>
          <w:szCs w:val="24"/>
          <w:lang w:bidi="ar"/>
        </w:rPr>
        <w:t xml:space="preserve">≤7.0时；  </w:t>
      </w:r>
      <w:r>
        <w:rPr>
          <w:rFonts w:hint="default" w:ascii="Times New Roman" w:hAnsi="Times New Roman" w:cs="Times New Roman"/>
          <w:color w:val="auto"/>
          <w:spacing w:val="4"/>
          <w:position w:val="-30"/>
          <w:sz w:val="24"/>
          <w:szCs w:val="24"/>
          <w:lang w:bidi="ar"/>
        </w:rPr>
        <w:drawing>
          <wp:inline distT="0" distB="0" distL="114300" distR="114300">
            <wp:extent cx="1219200" cy="4572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32"/>
                    <a:stretch>
                      <a:fillRect/>
                    </a:stretch>
                  </pic:blipFill>
                  <pic:spPr>
                    <a:xfrm>
                      <a:off x="0" y="0"/>
                      <a:ext cx="1219200" cy="457200"/>
                    </a:xfrm>
                    <a:prstGeom prst="rect">
                      <a:avLst/>
                    </a:prstGeom>
                    <a:noFill/>
                    <a:ln>
                      <a:noFill/>
                    </a:ln>
                  </pic:spPr>
                </pic:pic>
              </a:graphicData>
            </a:graphic>
          </wp:inline>
        </w:drawing>
      </w:r>
    </w:p>
    <w:p w14:paraId="1062BE63">
      <w:pPr>
        <w:keepNext w:val="0"/>
        <w:keepLines w:val="0"/>
        <w:pageBreakBefore w:val="0"/>
        <w:widowControl/>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lang w:bidi="ar"/>
        </w:rPr>
        <w:t>pH</w:t>
      </w:r>
      <w:r>
        <w:rPr>
          <w:rFonts w:hint="default" w:ascii="Times New Roman" w:hAnsi="Times New Roman" w:cs="Times New Roman"/>
          <w:color w:val="auto"/>
          <w:spacing w:val="4"/>
          <w:sz w:val="24"/>
          <w:szCs w:val="24"/>
          <w:vertAlign w:val="subscript"/>
          <w:lang w:bidi="ar"/>
        </w:rPr>
        <w:t>j</w:t>
      </w:r>
      <w:r>
        <w:rPr>
          <w:rFonts w:hint="default" w:ascii="Times New Roman" w:hAnsi="Times New Roman" w:cs="Times New Roman"/>
          <w:color w:val="auto"/>
          <w:spacing w:val="4"/>
          <w:sz w:val="24"/>
          <w:szCs w:val="24"/>
          <w:lang w:bidi="ar"/>
        </w:rPr>
        <w:t xml:space="preserve">＞7.0时；  </w:t>
      </w:r>
      <w:r>
        <w:rPr>
          <w:rFonts w:hint="default" w:ascii="Times New Roman" w:hAnsi="Times New Roman" w:cs="Times New Roman"/>
          <w:color w:val="auto"/>
          <w:spacing w:val="4"/>
          <w:position w:val="-30"/>
          <w:sz w:val="24"/>
          <w:szCs w:val="24"/>
          <w:lang w:bidi="ar"/>
        </w:rPr>
        <w:drawing>
          <wp:inline distT="0" distB="0" distL="114300" distR="114300">
            <wp:extent cx="1219200" cy="457200"/>
            <wp:effectExtent l="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33"/>
                    <a:stretch>
                      <a:fillRect/>
                    </a:stretch>
                  </pic:blipFill>
                  <pic:spPr>
                    <a:xfrm>
                      <a:off x="0" y="0"/>
                      <a:ext cx="1219200" cy="457200"/>
                    </a:xfrm>
                    <a:prstGeom prst="rect">
                      <a:avLst/>
                    </a:prstGeom>
                    <a:noFill/>
                    <a:ln>
                      <a:noFill/>
                    </a:ln>
                  </pic:spPr>
                </pic:pic>
              </a:graphicData>
            </a:graphic>
          </wp:inline>
        </w:drawing>
      </w:r>
    </w:p>
    <w:p w14:paraId="04D076A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式中：S</w:t>
      </w:r>
      <w:r>
        <w:rPr>
          <w:rFonts w:hint="default" w:ascii="Times New Roman" w:hAnsi="Times New Roman" w:cs="Times New Roman"/>
          <w:color w:val="auto"/>
          <w:sz w:val="24"/>
          <w:szCs w:val="24"/>
          <w:vertAlign w:val="subscript"/>
          <w:lang w:bidi="ar"/>
        </w:rPr>
        <w:t>pH,j</w:t>
      </w:r>
      <w:r>
        <w:rPr>
          <w:rFonts w:hint="default" w:ascii="Times New Roman" w:hAnsi="Times New Roman" w:cs="Times New Roman"/>
          <w:color w:val="auto"/>
          <w:sz w:val="24"/>
          <w:szCs w:val="24"/>
          <w:lang w:bidi="ar"/>
        </w:rPr>
        <w:t>—pH标准指数；</w:t>
      </w:r>
    </w:p>
    <w:p w14:paraId="634E1D0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 xml:space="preserve">      pH</w:t>
      </w:r>
      <w:r>
        <w:rPr>
          <w:rFonts w:hint="default" w:ascii="Times New Roman" w:hAnsi="Times New Roman" w:cs="Times New Roman"/>
          <w:color w:val="auto"/>
          <w:sz w:val="24"/>
          <w:szCs w:val="24"/>
          <w:vertAlign w:val="subscript"/>
          <w:lang w:bidi="ar"/>
        </w:rPr>
        <w:t xml:space="preserve">j </w:t>
      </w:r>
      <w:r>
        <w:rPr>
          <w:rFonts w:hint="default" w:ascii="Times New Roman" w:hAnsi="Times New Roman" w:cs="Times New Roman"/>
          <w:color w:val="auto"/>
          <w:sz w:val="24"/>
          <w:szCs w:val="24"/>
          <w:lang w:bidi="ar"/>
        </w:rPr>
        <w:t>—j点实测pH值；</w:t>
      </w:r>
    </w:p>
    <w:p w14:paraId="48A27F3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 xml:space="preserve">      pH</w:t>
      </w:r>
      <w:r>
        <w:rPr>
          <w:rFonts w:hint="default" w:ascii="Times New Roman" w:hAnsi="Times New Roman" w:cs="Times New Roman"/>
          <w:color w:val="auto"/>
          <w:sz w:val="24"/>
          <w:szCs w:val="24"/>
          <w:vertAlign w:val="subscript"/>
          <w:lang w:bidi="ar"/>
        </w:rPr>
        <w:t>sd</w:t>
      </w:r>
      <w:r>
        <w:rPr>
          <w:rFonts w:hint="default" w:ascii="Times New Roman" w:hAnsi="Times New Roman" w:cs="Times New Roman"/>
          <w:color w:val="auto"/>
          <w:sz w:val="24"/>
          <w:szCs w:val="24"/>
          <w:lang w:bidi="ar"/>
        </w:rPr>
        <w:t>—标准中的pH值的下限值；</w:t>
      </w:r>
    </w:p>
    <w:p w14:paraId="7E55DDC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default" w:ascii="Times New Roman" w:hAnsi="Times New Roman" w:cs="Times New Roman"/>
          <w:color w:val="auto"/>
          <w:sz w:val="24"/>
          <w:szCs w:val="24"/>
          <w:lang w:bidi="ar"/>
        </w:rPr>
        <w:t xml:space="preserve">      pH</w:t>
      </w:r>
      <w:r>
        <w:rPr>
          <w:rFonts w:hint="default" w:ascii="Times New Roman" w:hAnsi="Times New Roman" w:cs="Times New Roman"/>
          <w:color w:val="auto"/>
          <w:sz w:val="24"/>
          <w:szCs w:val="24"/>
          <w:vertAlign w:val="subscript"/>
          <w:lang w:bidi="ar"/>
        </w:rPr>
        <w:t>SU</w:t>
      </w:r>
      <w:r>
        <w:rPr>
          <w:rFonts w:hint="default" w:ascii="Times New Roman" w:hAnsi="Times New Roman" w:cs="Times New Roman"/>
          <w:color w:val="auto"/>
          <w:sz w:val="24"/>
          <w:szCs w:val="24"/>
          <w:lang w:bidi="ar"/>
        </w:rPr>
        <w:t>—标准中的pH值的上限值。</w:t>
      </w:r>
    </w:p>
    <w:p w14:paraId="4C046582">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ascii="Times New Roman" w:hAnsi="Times New Roman" w:cs="Times New Roman"/>
          <w:color w:val="auto"/>
          <w:sz w:val="24"/>
        </w:rPr>
        <w:t>根据各采样井水位，</w:t>
      </w:r>
      <w:bookmarkStart w:id="214" w:name="_Hlk98945177"/>
      <w:r>
        <w:rPr>
          <w:rFonts w:ascii="Times New Roman" w:hAnsi="Times New Roman" w:cs="Times New Roman"/>
          <w:color w:val="auto"/>
          <w:sz w:val="24"/>
        </w:rPr>
        <w:t>各监测点位于承压水层</w:t>
      </w:r>
      <w:bookmarkEnd w:id="214"/>
      <w:r>
        <w:rPr>
          <w:rFonts w:ascii="Times New Roman" w:hAnsi="Times New Roman" w:cs="Times New Roman"/>
          <w:color w:val="auto"/>
          <w:sz w:val="24"/>
        </w:rPr>
        <w:t>，监测项目总硬度、溶解性总固体、氯化物、</w:t>
      </w:r>
      <w:r>
        <w:rPr>
          <w:rFonts w:hint="eastAsia" w:ascii="Times New Roman" w:hAnsi="Times New Roman" w:cs="Times New Roman"/>
          <w:color w:val="auto"/>
          <w:sz w:val="24"/>
          <w:lang w:val="en-US" w:eastAsia="zh-CN"/>
        </w:rPr>
        <w:t>硝酸盐氮、</w:t>
      </w:r>
      <w:r>
        <w:rPr>
          <w:rFonts w:ascii="Times New Roman" w:hAnsi="Times New Roman" w:cs="Times New Roman"/>
          <w:color w:val="auto"/>
          <w:sz w:val="24"/>
        </w:rPr>
        <w:t>硫酸盐</w:t>
      </w:r>
      <w:r>
        <w:rPr>
          <w:rFonts w:hint="eastAsia" w:ascii="Times New Roman" w:hAnsi="Times New Roman" w:cs="Times New Roman"/>
          <w:color w:val="auto"/>
          <w:sz w:val="24"/>
        </w:rPr>
        <w:t>和钠</w:t>
      </w:r>
      <w:r>
        <w:rPr>
          <w:rFonts w:ascii="Times New Roman" w:hAnsi="Times New Roman" w:cs="Times New Roman"/>
          <w:color w:val="auto"/>
          <w:sz w:val="24"/>
        </w:rPr>
        <w:t>有超标现象，其余监测项目能够满足《地下水质量标准》（GB/T14848-2017）Ⅲ类标准的要求，石油类满足《地表水环境质量标准》（GB3838-2002）Ⅲ类标准；超标原因：由于水文地球化学原因，地下水补给、径流与排泄条件不利于地下水富集且浅部蒸发作用强烈，在地层岩性及水文地质条件综合作用下，导致局部区域地下水环境本底值较高且不同区域之间呈差异性。</w:t>
      </w:r>
    </w:p>
    <w:p w14:paraId="754650A0">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720FA3C">
      <w:pPr>
        <w:pStyle w:val="43"/>
        <w:bidi w:val="0"/>
        <w:rPr>
          <w:color w:val="auto"/>
        </w:rPr>
      </w:pPr>
      <w:r>
        <w:rPr>
          <w:rFonts w:hint="eastAsia"/>
          <w:color w:val="auto"/>
        </w:rPr>
        <w:t>表</w:t>
      </w:r>
      <w:r>
        <w:rPr>
          <w:rFonts w:hint="eastAsia"/>
          <w:color w:val="auto"/>
          <w:lang w:val="en-US" w:eastAsia="zh-CN"/>
        </w:rPr>
        <w:t>4.2-7（a）</w:t>
      </w:r>
      <w:r>
        <w:rPr>
          <w:rFonts w:hint="eastAsia"/>
          <w:color w:val="auto"/>
        </w:rPr>
        <w:t xml:space="preserve"> </w:t>
      </w:r>
      <w:r>
        <w:rPr>
          <w:color w:val="auto"/>
        </w:rPr>
        <w:t xml:space="preserve"> </w:t>
      </w:r>
      <w:r>
        <w:rPr>
          <w:rFonts w:hint="eastAsia"/>
          <w:color w:val="auto"/>
        </w:rPr>
        <w:t>地下水现状监测数据一览表    （单位：mg/L，pH无量纲）</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3"/>
        <w:gridCol w:w="1266"/>
        <w:gridCol w:w="1174"/>
        <w:gridCol w:w="794"/>
        <w:gridCol w:w="1079"/>
        <w:gridCol w:w="651"/>
        <w:gridCol w:w="662"/>
        <w:gridCol w:w="945"/>
        <w:gridCol w:w="629"/>
        <w:gridCol w:w="514"/>
        <w:gridCol w:w="945"/>
        <w:gridCol w:w="629"/>
        <w:gridCol w:w="662"/>
        <w:gridCol w:w="819"/>
        <w:gridCol w:w="525"/>
        <w:gridCol w:w="483"/>
        <w:gridCol w:w="819"/>
        <w:gridCol w:w="525"/>
        <w:gridCol w:w="578"/>
      </w:tblGrid>
      <w:tr w14:paraId="06A9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94" w:type="pct"/>
            <w:vMerge w:val="restart"/>
            <w:noWrap w:val="0"/>
            <w:vAlign w:val="center"/>
          </w:tcPr>
          <w:p w14:paraId="1E1BB71A">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453" w:type="pct"/>
            <w:vMerge w:val="restart"/>
            <w:noWrap w:val="0"/>
            <w:vAlign w:val="center"/>
          </w:tcPr>
          <w:p w14:paraId="586F9960">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监测项目</w:t>
            </w:r>
          </w:p>
        </w:tc>
        <w:tc>
          <w:tcPr>
            <w:tcW w:w="420" w:type="pct"/>
            <w:vMerge w:val="restart"/>
            <w:noWrap w:val="0"/>
            <w:vAlign w:val="center"/>
          </w:tcPr>
          <w:p w14:paraId="482B87F1">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单位</w:t>
            </w:r>
          </w:p>
        </w:tc>
        <w:tc>
          <w:tcPr>
            <w:tcW w:w="284" w:type="pct"/>
            <w:vMerge w:val="restart"/>
            <w:noWrap w:val="0"/>
            <w:vAlign w:val="center"/>
          </w:tcPr>
          <w:p w14:paraId="2E0A33C2">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标准值</w:t>
            </w:r>
          </w:p>
        </w:tc>
        <w:tc>
          <w:tcPr>
            <w:tcW w:w="856" w:type="pct"/>
            <w:gridSpan w:val="3"/>
            <w:noWrap w:val="0"/>
            <w:vAlign w:val="center"/>
          </w:tcPr>
          <w:p w14:paraId="23DEF056">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D</w:t>
            </w:r>
            <w:r>
              <w:rPr>
                <w:rFonts w:hint="default" w:ascii="Times New Roman" w:hAnsi="Times New Roman" w:eastAsia="宋体" w:cs="Times New Roman"/>
                <w:b/>
                <w:bCs/>
                <w:color w:val="auto"/>
                <w:kern w:val="0"/>
                <w:sz w:val="21"/>
                <w:szCs w:val="21"/>
              </w:rPr>
              <w:t>1</w:t>
            </w:r>
          </w:p>
        </w:tc>
        <w:tc>
          <w:tcPr>
            <w:tcW w:w="747" w:type="pct"/>
            <w:gridSpan w:val="3"/>
            <w:noWrap w:val="0"/>
            <w:vAlign w:val="center"/>
          </w:tcPr>
          <w:p w14:paraId="6952CAB7">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D</w:t>
            </w:r>
            <w:r>
              <w:rPr>
                <w:rFonts w:hint="default" w:ascii="Times New Roman" w:hAnsi="Times New Roman" w:eastAsia="宋体" w:cs="Times New Roman"/>
                <w:b/>
                <w:bCs/>
                <w:color w:val="auto"/>
                <w:kern w:val="0"/>
                <w:sz w:val="21"/>
                <w:szCs w:val="21"/>
              </w:rPr>
              <w:t>2</w:t>
            </w:r>
          </w:p>
        </w:tc>
        <w:tc>
          <w:tcPr>
            <w:tcW w:w="800" w:type="pct"/>
            <w:gridSpan w:val="3"/>
            <w:noWrap w:val="0"/>
            <w:vAlign w:val="center"/>
          </w:tcPr>
          <w:p w14:paraId="57B3D681">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D</w:t>
            </w:r>
            <w:r>
              <w:rPr>
                <w:rFonts w:hint="default" w:ascii="Times New Roman" w:hAnsi="Times New Roman" w:eastAsia="宋体" w:cs="Times New Roman"/>
                <w:b/>
                <w:bCs/>
                <w:color w:val="auto"/>
                <w:kern w:val="0"/>
                <w:sz w:val="21"/>
                <w:szCs w:val="21"/>
              </w:rPr>
              <w:t>3</w:t>
            </w:r>
          </w:p>
        </w:tc>
        <w:tc>
          <w:tcPr>
            <w:tcW w:w="654" w:type="pct"/>
            <w:gridSpan w:val="3"/>
            <w:noWrap w:val="0"/>
            <w:vAlign w:val="center"/>
          </w:tcPr>
          <w:p w14:paraId="31535756">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D</w:t>
            </w:r>
            <w:r>
              <w:rPr>
                <w:rFonts w:hint="default" w:ascii="Times New Roman" w:hAnsi="Times New Roman" w:eastAsia="宋体" w:cs="Times New Roman"/>
                <w:b/>
                <w:bCs/>
                <w:color w:val="auto"/>
                <w:kern w:val="0"/>
                <w:sz w:val="21"/>
                <w:szCs w:val="21"/>
              </w:rPr>
              <w:t>4</w:t>
            </w:r>
          </w:p>
        </w:tc>
        <w:tc>
          <w:tcPr>
            <w:tcW w:w="688" w:type="pct"/>
            <w:gridSpan w:val="3"/>
            <w:noWrap w:val="0"/>
            <w:vAlign w:val="center"/>
          </w:tcPr>
          <w:p w14:paraId="7C4241AE">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D</w:t>
            </w:r>
            <w:r>
              <w:rPr>
                <w:rFonts w:hint="default" w:ascii="Times New Roman" w:hAnsi="Times New Roman" w:eastAsia="宋体" w:cs="Times New Roman"/>
                <w:b/>
                <w:bCs/>
                <w:color w:val="auto"/>
                <w:kern w:val="0"/>
                <w:sz w:val="21"/>
                <w:szCs w:val="21"/>
              </w:rPr>
              <w:t>5</w:t>
            </w:r>
          </w:p>
        </w:tc>
      </w:tr>
      <w:tr w14:paraId="564C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4" w:type="pct"/>
            <w:vMerge w:val="continue"/>
            <w:noWrap w:val="0"/>
            <w:vAlign w:val="center"/>
          </w:tcPr>
          <w:p w14:paraId="09DB05F2">
            <w:pPr>
              <w:adjustRightInd w:val="0"/>
              <w:snapToGrid w:val="0"/>
              <w:spacing w:line="300" w:lineRule="exact"/>
              <w:jc w:val="center"/>
              <w:rPr>
                <w:rFonts w:hint="default" w:ascii="Times New Roman" w:hAnsi="Times New Roman" w:eastAsia="宋体" w:cs="Times New Roman"/>
                <w:b/>
                <w:bCs/>
                <w:color w:val="auto"/>
                <w:kern w:val="0"/>
                <w:sz w:val="21"/>
                <w:szCs w:val="21"/>
              </w:rPr>
            </w:pPr>
          </w:p>
        </w:tc>
        <w:tc>
          <w:tcPr>
            <w:tcW w:w="453" w:type="pct"/>
            <w:vMerge w:val="continue"/>
            <w:noWrap w:val="0"/>
            <w:vAlign w:val="center"/>
          </w:tcPr>
          <w:p w14:paraId="63762057">
            <w:pPr>
              <w:adjustRightInd w:val="0"/>
              <w:snapToGrid w:val="0"/>
              <w:spacing w:line="300" w:lineRule="exact"/>
              <w:jc w:val="center"/>
              <w:rPr>
                <w:rFonts w:hint="default" w:ascii="Times New Roman" w:hAnsi="Times New Roman" w:eastAsia="宋体" w:cs="Times New Roman"/>
                <w:b/>
                <w:bCs/>
                <w:color w:val="auto"/>
                <w:kern w:val="0"/>
                <w:sz w:val="21"/>
                <w:szCs w:val="21"/>
              </w:rPr>
            </w:pPr>
          </w:p>
        </w:tc>
        <w:tc>
          <w:tcPr>
            <w:tcW w:w="420" w:type="pct"/>
            <w:vMerge w:val="continue"/>
            <w:noWrap w:val="0"/>
            <w:vAlign w:val="center"/>
          </w:tcPr>
          <w:p w14:paraId="4E6309FE">
            <w:pPr>
              <w:adjustRightInd w:val="0"/>
              <w:snapToGrid w:val="0"/>
              <w:spacing w:line="300" w:lineRule="exact"/>
              <w:jc w:val="center"/>
              <w:rPr>
                <w:rFonts w:hint="default" w:ascii="Times New Roman" w:hAnsi="Times New Roman" w:eastAsia="宋体" w:cs="Times New Roman"/>
                <w:b/>
                <w:bCs/>
                <w:color w:val="auto"/>
                <w:kern w:val="0"/>
                <w:sz w:val="21"/>
                <w:szCs w:val="21"/>
              </w:rPr>
            </w:pPr>
          </w:p>
        </w:tc>
        <w:tc>
          <w:tcPr>
            <w:tcW w:w="284" w:type="pct"/>
            <w:vMerge w:val="continue"/>
            <w:noWrap w:val="0"/>
            <w:vAlign w:val="center"/>
          </w:tcPr>
          <w:p w14:paraId="30B28A59">
            <w:pPr>
              <w:adjustRightInd w:val="0"/>
              <w:snapToGrid w:val="0"/>
              <w:spacing w:line="300" w:lineRule="exact"/>
              <w:jc w:val="center"/>
              <w:rPr>
                <w:rFonts w:hint="default" w:ascii="Times New Roman" w:hAnsi="Times New Roman" w:eastAsia="宋体" w:cs="Times New Roman"/>
                <w:b/>
                <w:bCs/>
                <w:color w:val="auto"/>
                <w:kern w:val="0"/>
                <w:sz w:val="21"/>
                <w:szCs w:val="21"/>
              </w:rPr>
            </w:pPr>
          </w:p>
        </w:tc>
        <w:tc>
          <w:tcPr>
            <w:tcW w:w="386" w:type="pct"/>
            <w:noWrap w:val="0"/>
            <w:vAlign w:val="center"/>
          </w:tcPr>
          <w:p w14:paraId="5ED818D5">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监测值</w:t>
            </w:r>
          </w:p>
        </w:tc>
        <w:tc>
          <w:tcPr>
            <w:tcW w:w="233" w:type="pct"/>
            <w:noWrap w:val="0"/>
            <w:vAlign w:val="center"/>
          </w:tcPr>
          <w:p w14:paraId="7606F1DC">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标准指数</w:t>
            </w:r>
          </w:p>
        </w:tc>
        <w:tc>
          <w:tcPr>
            <w:tcW w:w="235" w:type="pct"/>
            <w:noWrap w:val="0"/>
            <w:vAlign w:val="center"/>
          </w:tcPr>
          <w:p w14:paraId="7A8B246F">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达标</w:t>
            </w:r>
          </w:p>
          <w:p w14:paraId="0DB8A617">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情况</w:t>
            </w:r>
          </w:p>
        </w:tc>
        <w:tc>
          <w:tcPr>
            <w:tcW w:w="338" w:type="pct"/>
            <w:noWrap w:val="0"/>
            <w:vAlign w:val="center"/>
          </w:tcPr>
          <w:p w14:paraId="3C709E21">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监测值</w:t>
            </w:r>
          </w:p>
        </w:tc>
        <w:tc>
          <w:tcPr>
            <w:tcW w:w="225" w:type="pct"/>
            <w:noWrap w:val="0"/>
            <w:vAlign w:val="center"/>
          </w:tcPr>
          <w:p w14:paraId="7AE54E48">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标准指数</w:t>
            </w:r>
          </w:p>
        </w:tc>
        <w:tc>
          <w:tcPr>
            <w:tcW w:w="183" w:type="pct"/>
            <w:noWrap w:val="0"/>
            <w:vAlign w:val="center"/>
          </w:tcPr>
          <w:p w14:paraId="6CE53251">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达标</w:t>
            </w:r>
          </w:p>
          <w:p w14:paraId="7CF9D1A6">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情况</w:t>
            </w:r>
          </w:p>
        </w:tc>
        <w:tc>
          <w:tcPr>
            <w:tcW w:w="338" w:type="pct"/>
            <w:noWrap w:val="0"/>
            <w:vAlign w:val="center"/>
          </w:tcPr>
          <w:p w14:paraId="3FF50C5C">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监测值</w:t>
            </w:r>
          </w:p>
        </w:tc>
        <w:tc>
          <w:tcPr>
            <w:tcW w:w="225" w:type="pct"/>
            <w:noWrap w:val="0"/>
            <w:vAlign w:val="center"/>
          </w:tcPr>
          <w:p w14:paraId="19DE2548">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标准指数</w:t>
            </w:r>
          </w:p>
        </w:tc>
        <w:tc>
          <w:tcPr>
            <w:tcW w:w="235" w:type="pct"/>
            <w:noWrap w:val="0"/>
            <w:vAlign w:val="center"/>
          </w:tcPr>
          <w:p w14:paraId="3B545D5D">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达标</w:t>
            </w:r>
          </w:p>
          <w:p w14:paraId="2416C06E">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情况</w:t>
            </w:r>
          </w:p>
        </w:tc>
        <w:tc>
          <w:tcPr>
            <w:tcW w:w="293" w:type="pct"/>
            <w:noWrap w:val="0"/>
            <w:vAlign w:val="center"/>
          </w:tcPr>
          <w:p w14:paraId="6744726B">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监测值</w:t>
            </w:r>
          </w:p>
        </w:tc>
        <w:tc>
          <w:tcPr>
            <w:tcW w:w="188" w:type="pct"/>
            <w:noWrap w:val="0"/>
            <w:vAlign w:val="center"/>
          </w:tcPr>
          <w:p w14:paraId="2B76672A">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标准指数</w:t>
            </w:r>
          </w:p>
        </w:tc>
        <w:tc>
          <w:tcPr>
            <w:tcW w:w="172" w:type="pct"/>
            <w:noWrap w:val="0"/>
            <w:vAlign w:val="center"/>
          </w:tcPr>
          <w:p w14:paraId="61B0EF6B">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达标</w:t>
            </w:r>
          </w:p>
          <w:p w14:paraId="7B2967C5">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情况</w:t>
            </w:r>
          </w:p>
        </w:tc>
        <w:tc>
          <w:tcPr>
            <w:tcW w:w="293" w:type="pct"/>
            <w:noWrap w:val="0"/>
            <w:vAlign w:val="center"/>
          </w:tcPr>
          <w:p w14:paraId="58C0A2A1">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监测值</w:t>
            </w:r>
          </w:p>
        </w:tc>
        <w:tc>
          <w:tcPr>
            <w:tcW w:w="188" w:type="pct"/>
            <w:noWrap w:val="0"/>
            <w:vAlign w:val="center"/>
          </w:tcPr>
          <w:p w14:paraId="1E1AEB66">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标准指数</w:t>
            </w:r>
          </w:p>
        </w:tc>
        <w:tc>
          <w:tcPr>
            <w:tcW w:w="206" w:type="pct"/>
            <w:noWrap w:val="0"/>
            <w:vAlign w:val="center"/>
          </w:tcPr>
          <w:p w14:paraId="5CC45FF0">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达标</w:t>
            </w:r>
          </w:p>
          <w:p w14:paraId="1C320023">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情况</w:t>
            </w:r>
          </w:p>
        </w:tc>
      </w:tr>
      <w:tr w14:paraId="4027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3ADE044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453" w:type="pct"/>
            <w:noWrap w:val="0"/>
            <w:vAlign w:val="center"/>
          </w:tcPr>
          <w:p w14:paraId="40FF3FC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pH</w:t>
            </w:r>
          </w:p>
        </w:tc>
        <w:tc>
          <w:tcPr>
            <w:tcW w:w="420" w:type="pct"/>
            <w:noWrap w:val="0"/>
            <w:vAlign w:val="center"/>
          </w:tcPr>
          <w:p w14:paraId="2295ECE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无量纲</w:t>
            </w:r>
          </w:p>
        </w:tc>
        <w:tc>
          <w:tcPr>
            <w:tcW w:w="284" w:type="pct"/>
            <w:noWrap w:val="0"/>
            <w:vAlign w:val="center"/>
          </w:tcPr>
          <w:p w14:paraId="1853029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6.5-8.5</w:t>
            </w:r>
          </w:p>
        </w:tc>
        <w:tc>
          <w:tcPr>
            <w:tcW w:w="386" w:type="pct"/>
            <w:noWrap w:val="0"/>
            <w:vAlign w:val="center"/>
          </w:tcPr>
          <w:p w14:paraId="6C07E2D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7.1</w:t>
            </w:r>
          </w:p>
        </w:tc>
        <w:tc>
          <w:tcPr>
            <w:tcW w:w="233" w:type="pct"/>
            <w:noWrap w:val="0"/>
            <w:vAlign w:val="center"/>
          </w:tcPr>
          <w:p w14:paraId="1D6D736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0.067</w:t>
            </w:r>
          </w:p>
        </w:tc>
        <w:tc>
          <w:tcPr>
            <w:tcW w:w="235" w:type="pct"/>
            <w:noWrap w:val="0"/>
            <w:vAlign w:val="center"/>
          </w:tcPr>
          <w:p w14:paraId="4F72CE6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5440708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7.0</w:t>
            </w:r>
          </w:p>
        </w:tc>
        <w:tc>
          <w:tcPr>
            <w:tcW w:w="225" w:type="pct"/>
            <w:noWrap w:val="0"/>
            <w:vAlign w:val="center"/>
          </w:tcPr>
          <w:p w14:paraId="66E2649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183" w:type="pct"/>
            <w:noWrap w:val="0"/>
            <w:vAlign w:val="center"/>
          </w:tcPr>
          <w:p w14:paraId="63EE5AB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3784F46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7.2</w:t>
            </w:r>
          </w:p>
        </w:tc>
        <w:tc>
          <w:tcPr>
            <w:tcW w:w="225" w:type="pct"/>
            <w:noWrap w:val="0"/>
            <w:vAlign w:val="center"/>
          </w:tcPr>
          <w:p w14:paraId="6FA722F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0.133</w:t>
            </w:r>
          </w:p>
        </w:tc>
        <w:tc>
          <w:tcPr>
            <w:tcW w:w="235" w:type="pct"/>
            <w:noWrap w:val="0"/>
            <w:vAlign w:val="center"/>
          </w:tcPr>
          <w:p w14:paraId="71984F5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21D213C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7.0</w:t>
            </w:r>
          </w:p>
        </w:tc>
        <w:tc>
          <w:tcPr>
            <w:tcW w:w="188" w:type="pct"/>
            <w:noWrap w:val="0"/>
            <w:vAlign w:val="center"/>
          </w:tcPr>
          <w:p w14:paraId="2B3D147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172" w:type="pct"/>
            <w:noWrap w:val="0"/>
            <w:vAlign w:val="center"/>
          </w:tcPr>
          <w:p w14:paraId="47FA991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354041B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7.1</w:t>
            </w:r>
          </w:p>
        </w:tc>
        <w:tc>
          <w:tcPr>
            <w:tcW w:w="188" w:type="pct"/>
            <w:noWrap w:val="0"/>
            <w:vAlign w:val="center"/>
          </w:tcPr>
          <w:p w14:paraId="252ED95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0.067</w:t>
            </w:r>
          </w:p>
        </w:tc>
        <w:tc>
          <w:tcPr>
            <w:tcW w:w="206" w:type="pct"/>
            <w:noWrap w:val="0"/>
            <w:vAlign w:val="center"/>
          </w:tcPr>
          <w:p w14:paraId="2CE16C7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4ECE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505131C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453" w:type="pct"/>
            <w:noWrap w:val="0"/>
            <w:vAlign w:val="center"/>
          </w:tcPr>
          <w:p w14:paraId="1BC0C9C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水温</w:t>
            </w:r>
          </w:p>
        </w:tc>
        <w:tc>
          <w:tcPr>
            <w:tcW w:w="420" w:type="pct"/>
            <w:noWrap w:val="0"/>
            <w:vAlign w:val="center"/>
          </w:tcPr>
          <w:p w14:paraId="26775AC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84" w:type="pct"/>
            <w:noWrap w:val="0"/>
            <w:vAlign w:val="center"/>
          </w:tcPr>
          <w:p w14:paraId="53A5272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386" w:type="pct"/>
            <w:noWrap w:val="0"/>
            <w:vAlign w:val="center"/>
          </w:tcPr>
          <w:p w14:paraId="108BB26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w:t>
            </w:r>
          </w:p>
        </w:tc>
        <w:tc>
          <w:tcPr>
            <w:tcW w:w="233" w:type="pct"/>
            <w:noWrap w:val="0"/>
            <w:vAlign w:val="center"/>
          </w:tcPr>
          <w:p w14:paraId="37BD61B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35" w:type="pct"/>
            <w:noWrap w:val="0"/>
            <w:vAlign w:val="center"/>
          </w:tcPr>
          <w:p w14:paraId="787C4EC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23F950A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w:t>
            </w:r>
          </w:p>
        </w:tc>
        <w:tc>
          <w:tcPr>
            <w:tcW w:w="225" w:type="pct"/>
            <w:noWrap w:val="0"/>
            <w:vAlign w:val="center"/>
          </w:tcPr>
          <w:p w14:paraId="708E106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183" w:type="pct"/>
            <w:noWrap w:val="0"/>
            <w:vAlign w:val="center"/>
          </w:tcPr>
          <w:p w14:paraId="0AFE076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5B31A1F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w:t>
            </w:r>
          </w:p>
        </w:tc>
        <w:tc>
          <w:tcPr>
            <w:tcW w:w="225" w:type="pct"/>
            <w:noWrap w:val="0"/>
            <w:vAlign w:val="center"/>
          </w:tcPr>
          <w:p w14:paraId="34F4AE6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35" w:type="pct"/>
            <w:noWrap w:val="0"/>
            <w:vAlign w:val="center"/>
          </w:tcPr>
          <w:p w14:paraId="6CE2784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6BF6249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w:t>
            </w:r>
          </w:p>
        </w:tc>
        <w:tc>
          <w:tcPr>
            <w:tcW w:w="188" w:type="pct"/>
            <w:noWrap w:val="0"/>
            <w:vAlign w:val="center"/>
          </w:tcPr>
          <w:p w14:paraId="7F78772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172" w:type="pct"/>
            <w:noWrap w:val="0"/>
            <w:vAlign w:val="center"/>
          </w:tcPr>
          <w:p w14:paraId="37BBECE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16B1708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w:t>
            </w:r>
          </w:p>
        </w:tc>
        <w:tc>
          <w:tcPr>
            <w:tcW w:w="188" w:type="pct"/>
            <w:noWrap w:val="0"/>
            <w:vAlign w:val="center"/>
          </w:tcPr>
          <w:p w14:paraId="04FCE9A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06" w:type="pct"/>
            <w:noWrap w:val="0"/>
            <w:vAlign w:val="center"/>
          </w:tcPr>
          <w:p w14:paraId="1A9E1E8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r>
      <w:tr w14:paraId="328B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2B0E6E7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453" w:type="pct"/>
            <w:noWrap w:val="0"/>
            <w:vAlign w:val="center"/>
          </w:tcPr>
          <w:p w14:paraId="5885BDF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总硬度</w:t>
            </w:r>
          </w:p>
        </w:tc>
        <w:tc>
          <w:tcPr>
            <w:tcW w:w="420" w:type="pct"/>
            <w:noWrap w:val="0"/>
            <w:vAlign w:val="center"/>
          </w:tcPr>
          <w:p w14:paraId="0213A2D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4814515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≤450</w:t>
            </w:r>
          </w:p>
        </w:tc>
        <w:tc>
          <w:tcPr>
            <w:tcW w:w="386" w:type="pct"/>
            <w:noWrap w:val="0"/>
            <w:vAlign w:val="center"/>
          </w:tcPr>
          <w:p w14:paraId="63A84B0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1.42×10</w:t>
            </w:r>
            <w:r>
              <w:rPr>
                <w:rFonts w:hint="default" w:ascii="Times New Roman" w:hAnsi="Times New Roman" w:eastAsia="宋体" w:cs="Times New Roman"/>
                <w:bCs/>
                <w:color w:val="auto"/>
                <w:sz w:val="21"/>
                <w:szCs w:val="21"/>
                <w:vertAlign w:val="superscript"/>
              </w:rPr>
              <w:t>3</w:t>
            </w:r>
          </w:p>
        </w:tc>
        <w:tc>
          <w:tcPr>
            <w:tcW w:w="233" w:type="pct"/>
            <w:noWrap w:val="0"/>
            <w:vAlign w:val="center"/>
          </w:tcPr>
          <w:p w14:paraId="37ADD9D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3.16</w:t>
            </w:r>
          </w:p>
        </w:tc>
        <w:tc>
          <w:tcPr>
            <w:tcW w:w="235" w:type="pct"/>
            <w:noWrap w:val="0"/>
            <w:vAlign w:val="center"/>
          </w:tcPr>
          <w:p w14:paraId="30E614D0">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1DD96F1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1.51×10</w:t>
            </w:r>
            <w:r>
              <w:rPr>
                <w:rFonts w:hint="default" w:ascii="Times New Roman" w:hAnsi="Times New Roman" w:eastAsia="宋体" w:cs="Times New Roman"/>
                <w:bCs/>
                <w:color w:val="auto"/>
                <w:sz w:val="21"/>
                <w:szCs w:val="21"/>
                <w:vertAlign w:val="superscript"/>
              </w:rPr>
              <w:t>3</w:t>
            </w:r>
          </w:p>
        </w:tc>
        <w:tc>
          <w:tcPr>
            <w:tcW w:w="225" w:type="pct"/>
            <w:noWrap w:val="0"/>
            <w:vAlign w:val="center"/>
          </w:tcPr>
          <w:p w14:paraId="17E5D7A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3.36</w:t>
            </w:r>
          </w:p>
        </w:tc>
        <w:tc>
          <w:tcPr>
            <w:tcW w:w="183" w:type="pct"/>
            <w:noWrap w:val="0"/>
            <w:vAlign w:val="center"/>
          </w:tcPr>
          <w:p w14:paraId="786A6318">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135427E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1.40×10</w:t>
            </w:r>
            <w:r>
              <w:rPr>
                <w:rFonts w:hint="default" w:ascii="Times New Roman" w:hAnsi="Times New Roman" w:eastAsia="宋体" w:cs="Times New Roman"/>
                <w:bCs/>
                <w:color w:val="auto"/>
                <w:sz w:val="21"/>
                <w:szCs w:val="21"/>
                <w:vertAlign w:val="superscript"/>
              </w:rPr>
              <w:t>3</w:t>
            </w:r>
          </w:p>
        </w:tc>
        <w:tc>
          <w:tcPr>
            <w:tcW w:w="225" w:type="pct"/>
            <w:noWrap w:val="0"/>
            <w:vAlign w:val="center"/>
          </w:tcPr>
          <w:p w14:paraId="299550A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3.11</w:t>
            </w:r>
          </w:p>
        </w:tc>
        <w:tc>
          <w:tcPr>
            <w:tcW w:w="235" w:type="pct"/>
            <w:noWrap w:val="0"/>
            <w:vAlign w:val="center"/>
          </w:tcPr>
          <w:p w14:paraId="67ABF456">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479DCDE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1.30×10</w:t>
            </w:r>
            <w:r>
              <w:rPr>
                <w:rFonts w:hint="default" w:ascii="Times New Roman" w:hAnsi="Times New Roman" w:eastAsia="宋体" w:cs="Times New Roman"/>
                <w:bCs/>
                <w:color w:val="auto"/>
                <w:sz w:val="21"/>
                <w:szCs w:val="21"/>
                <w:vertAlign w:val="superscript"/>
              </w:rPr>
              <w:t>3</w:t>
            </w:r>
          </w:p>
        </w:tc>
        <w:tc>
          <w:tcPr>
            <w:tcW w:w="188" w:type="pct"/>
            <w:noWrap w:val="0"/>
            <w:vAlign w:val="center"/>
          </w:tcPr>
          <w:p w14:paraId="5C700A2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2.89</w:t>
            </w:r>
          </w:p>
        </w:tc>
        <w:tc>
          <w:tcPr>
            <w:tcW w:w="172" w:type="pct"/>
            <w:noWrap w:val="0"/>
            <w:vAlign w:val="center"/>
          </w:tcPr>
          <w:p w14:paraId="7D566CEC">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0CDF92F3">
            <w:pPr>
              <w:adjustRightInd w:val="0"/>
              <w:snapToGrid w:val="0"/>
              <w:spacing w:line="3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Cs/>
                <w:color w:val="auto"/>
                <w:sz w:val="21"/>
                <w:szCs w:val="21"/>
              </w:rPr>
              <w:t>1.41×10</w:t>
            </w:r>
            <w:r>
              <w:rPr>
                <w:rFonts w:hint="default" w:ascii="Times New Roman" w:hAnsi="Times New Roman" w:eastAsia="宋体" w:cs="Times New Roman"/>
                <w:bCs/>
                <w:color w:val="auto"/>
                <w:sz w:val="21"/>
                <w:szCs w:val="21"/>
                <w:vertAlign w:val="superscript"/>
              </w:rPr>
              <w:t>3</w:t>
            </w:r>
          </w:p>
        </w:tc>
        <w:tc>
          <w:tcPr>
            <w:tcW w:w="188" w:type="pct"/>
            <w:noWrap w:val="0"/>
            <w:vAlign w:val="center"/>
          </w:tcPr>
          <w:p w14:paraId="2476FD95">
            <w:pPr>
              <w:adjustRightInd w:val="0"/>
              <w:snapToGrid w:val="0"/>
              <w:spacing w:line="3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3.13</w:t>
            </w:r>
          </w:p>
        </w:tc>
        <w:tc>
          <w:tcPr>
            <w:tcW w:w="206" w:type="pct"/>
            <w:noWrap w:val="0"/>
            <w:vAlign w:val="center"/>
          </w:tcPr>
          <w:p w14:paraId="27FF81BC">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r>
      <w:tr w14:paraId="5410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7046771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453" w:type="pct"/>
            <w:noWrap w:val="0"/>
            <w:vAlign w:val="center"/>
          </w:tcPr>
          <w:p w14:paraId="783455E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溶解性总固体</w:t>
            </w:r>
          </w:p>
        </w:tc>
        <w:tc>
          <w:tcPr>
            <w:tcW w:w="420" w:type="pct"/>
            <w:noWrap w:val="0"/>
            <w:vAlign w:val="center"/>
          </w:tcPr>
          <w:p w14:paraId="522DAD6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359657A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≤1000</w:t>
            </w:r>
          </w:p>
        </w:tc>
        <w:tc>
          <w:tcPr>
            <w:tcW w:w="386" w:type="pct"/>
            <w:noWrap w:val="0"/>
            <w:vAlign w:val="center"/>
          </w:tcPr>
          <w:p w14:paraId="64974B0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2.63×10</w:t>
            </w:r>
            <w:r>
              <w:rPr>
                <w:rFonts w:hint="default" w:ascii="Times New Roman" w:hAnsi="Times New Roman" w:eastAsia="宋体" w:cs="Times New Roman"/>
                <w:bCs/>
                <w:color w:val="auto"/>
                <w:sz w:val="21"/>
                <w:szCs w:val="21"/>
                <w:vertAlign w:val="superscript"/>
              </w:rPr>
              <w:t>3</w:t>
            </w:r>
          </w:p>
        </w:tc>
        <w:tc>
          <w:tcPr>
            <w:tcW w:w="233" w:type="pct"/>
            <w:noWrap w:val="0"/>
            <w:vAlign w:val="center"/>
          </w:tcPr>
          <w:p w14:paraId="745FF01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2.6</w:t>
            </w:r>
          </w:p>
        </w:tc>
        <w:tc>
          <w:tcPr>
            <w:tcW w:w="235" w:type="pct"/>
            <w:noWrap w:val="0"/>
            <w:vAlign w:val="center"/>
          </w:tcPr>
          <w:p w14:paraId="2A906D8A">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26A6EEF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2.58×10</w:t>
            </w:r>
            <w:r>
              <w:rPr>
                <w:rFonts w:hint="default" w:ascii="Times New Roman" w:hAnsi="Times New Roman" w:eastAsia="宋体" w:cs="Times New Roman"/>
                <w:bCs/>
                <w:color w:val="auto"/>
                <w:sz w:val="21"/>
                <w:szCs w:val="21"/>
                <w:vertAlign w:val="superscript"/>
              </w:rPr>
              <w:t>3</w:t>
            </w:r>
          </w:p>
        </w:tc>
        <w:tc>
          <w:tcPr>
            <w:tcW w:w="225" w:type="pct"/>
            <w:noWrap w:val="0"/>
            <w:vAlign w:val="center"/>
          </w:tcPr>
          <w:p w14:paraId="11930A5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2.58</w:t>
            </w:r>
          </w:p>
        </w:tc>
        <w:tc>
          <w:tcPr>
            <w:tcW w:w="183" w:type="pct"/>
            <w:noWrap w:val="0"/>
            <w:vAlign w:val="center"/>
          </w:tcPr>
          <w:p w14:paraId="07336963">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4FCB348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2.48×10</w:t>
            </w:r>
            <w:r>
              <w:rPr>
                <w:rFonts w:hint="default" w:ascii="Times New Roman" w:hAnsi="Times New Roman" w:eastAsia="宋体" w:cs="Times New Roman"/>
                <w:bCs/>
                <w:color w:val="auto"/>
                <w:sz w:val="21"/>
                <w:szCs w:val="21"/>
                <w:vertAlign w:val="superscript"/>
              </w:rPr>
              <w:t>3</w:t>
            </w:r>
          </w:p>
        </w:tc>
        <w:tc>
          <w:tcPr>
            <w:tcW w:w="225" w:type="pct"/>
            <w:noWrap w:val="0"/>
            <w:vAlign w:val="center"/>
          </w:tcPr>
          <w:p w14:paraId="7AE1A02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2.48</w:t>
            </w:r>
          </w:p>
        </w:tc>
        <w:tc>
          <w:tcPr>
            <w:tcW w:w="235" w:type="pct"/>
            <w:noWrap w:val="0"/>
            <w:vAlign w:val="center"/>
          </w:tcPr>
          <w:p w14:paraId="3E892DD8">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52700E1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2.43×10</w:t>
            </w:r>
            <w:r>
              <w:rPr>
                <w:rFonts w:hint="default" w:ascii="Times New Roman" w:hAnsi="Times New Roman" w:eastAsia="宋体" w:cs="Times New Roman"/>
                <w:bCs/>
                <w:color w:val="auto"/>
                <w:sz w:val="21"/>
                <w:szCs w:val="21"/>
                <w:vertAlign w:val="superscript"/>
              </w:rPr>
              <w:t>3</w:t>
            </w:r>
          </w:p>
        </w:tc>
        <w:tc>
          <w:tcPr>
            <w:tcW w:w="188" w:type="pct"/>
            <w:noWrap w:val="0"/>
            <w:vAlign w:val="center"/>
          </w:tcPr>
          <w:p w14:paraId="6580239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2.43</w:t>
            </w:r>
          </w:p>
        </w:tc>
        <w:tc>
          <w:tcPr>
            <w:tcW w:w="172" w:type="pct"/>
            <w:noWrap w:val="0"/>
            <w:vAlign w:val="center"/>
          </w:tcPr>
          <w:p w14:paraId="710FFFD8">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47B8A74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2.73 ×10</w:t>
            </w:r>
            <w:r>
              <w:rPr>
                <w:rFonts w:hint="default" w:ascii="Times New Roman" w:hAnsi="Times New Roman" w:eastAsia="宋体" w:cs="Times New Roman"/>
                <w:bCs/>
                <w:color w:val="auto"/>
                <w:sz w:val="21"/>
                <w:szCs w:val="21"/>
                <w:vertAlign w:val="superscript"/>
              </w:rPr>
              <w:t>3</w:t>
            </w:r>
          </w:p>
        </w:tc>
        <w:tc>
          <w:tcPr>
            <w:tcW w:w="188" w:type="pct"/>
            <w:noWrap w:val="0"/>
            <w:vAlign w:val="center"/>
          </w:tcPr>
          <w:p w14:paraId="54815A7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2.73</w:t>
            </w:r>
          </w:p>
        </w:tc>
        <w:tc>
          <w:tcPr>
            <w:tcW w:w="206" w:type="pct"/>
            <w:noWrap w:val="0"/>
            <w:vAlign w:val="center"/>
          </w:tcPr>
          <w:p w14:paraId="78687824">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r>
      <w:tr w14:paraId="5EE4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6A65A70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453" w:type="pct"/>
            <w:noWrap w:val="0"/>
            <w:vAlign w:val="center"/>
          </w:tcPr>
          <w:p w14:paraId="03898B8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氟化物</w:t>
            </w:r>
          </w:p>
        </w:tc>
        <w:tc>
          <w:tcPr>
            <w:tcW w:w="420" w:type="pct"/>
            <w:noWrap w:val="0"/>
            <w:vAlign w:val="center"/>
          </w:tcPr>
          <w:p w14:paraId="62CE272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3FD47FE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≤1.0</w:t>
            </w:r>
          </w:p>
        </w:tc>
        <w:tc>
          <w:tcPr>
            <w:tcW w:w="386" w:type="pct"/>
            <w:noWrap w:val="0"/>
            <w:vAlign w:val="center"/>
          </w:tcPr>
          <w:p w14:paraId="7DA69B1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0.923</w:t>
            </w:r>
          </w:p>
        </w:tc>
        <w:tc>
          <w:tcPr>
            <w:tcW w:w="233" w:type="pct"/>
            <w:noWrap w:val="0"/>
            <w:vAlign w:val="center"/>
          </w:tcPr>
          <w:p w14:paraId="628D7A6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0.923</w:t>
            </w:r>
          </w:p>
        </w:tc>
        <w:tc>
          <w:tcPr>
            <w:tcW w:w="235" w:type="pct"/>
            <w:noWrap w:val="0"/>
            <w:vAlign w:val="top"/>
          </w:tcPr>
          <w:p w14:paraId="43BE48A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62BACED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0.859</w:t>
            </w:r>
          </w:p>
        </w:tc>
        <w:tc>
          <w:tcPr>
            <w:tcW w:w="225" w:type="pct"/>
            <w:noWrap w:val="0"/>
            <w:vAlign w:val="center"/>
          </w:tcPr>
          <w:p w14:paraId="56F9DAC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0.859</w:t>
            </w:r>
          </w:p>
        </w:tc>
        <w:tc>
          <w:tcPr>
            <w:tcW w:w="183" w:type="pct"/>
            <w:noWrap w:val="0"/>
            <w:vAlign w:val="top"/>
          </w:tcPr>
          <w:p w14:paraId="4D71E24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7ECF017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0.810</w:t>
            </w:r>
          </w:p>
        </w:tc>
        <w:tc>
          <w:tcPr>
            <w:tcW w:w="225" w:type="pct"/>
            <w:noWrap w:val="0"/>
            <w:vAlign w:val="center"/>
          </w:tcPr>
          <w:p w14:paraId="585CA82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0.810</w:t>
            </w:r>
          </w:p>
        </w:tc>
        <w:tc>
          <w:tcPr>
            <w:tcW w:w="235" w:type="pct"/>
            <w:noWrap w:val="0"/>
            <w:vAlign w:val="top"/>
          </w:tcPr>
          <w:p w14:paraId="3A2FA27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46E434B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0.766</w:t>
            </w:r>
          </w:p>
        </w:tc>
        <w:tc>
          <w:tcPr>
            <w:tcW w:w="188" w:type="pct"/>
            <w:noWrap w:val="0"/>
            <w:vAlign w:val="center"/>
          </w:tcPr>
          <w:p w14:paraId="1AD3CBF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0.766</w:t>
            </w:r>
          </w:p>
        </w:tc>
        <w:tc>
          <w:tcPr>
            <w:tcW w:w="172" w:type="pct"/>
            <w:noWrap w:val="0"/>
            <w:vAlign w:val="top"/>
          </w:tcPr>
          <w:p w14:paraId="5B76A83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7477634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0.906</w:t>
            </w:r>
          </w:p>
        </w:tc>
        <w:tc>
          <w:tcPr>
            <w:tcW w:w="188" w:type="pct"/>
            <w:noWrap w:val="0"/>
            <w:vAlign w:val="center"/>
          </w:tcPr>
          <w:p w14:paraId="38D2D68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0.906</w:t>
            </w:r>
          </w:p>
        </w:tc>
        <w:tc>
          <w:tcPr>
            <w:tcW w:w="206" w:type="pct"/>
            <w:noWrap w:val="0"/>
            <w:vAlign w:val="top"/>
          </w:tcPr>
          <w:p w14:paraId="5ABCDDE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7FAB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1783289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453" w:type="pct"/>
            <w:noWrap w:val="0"/>
            <w:vAlign w:val="center"/>
          </w:tcPr>
          <w:p w14:paraId="1852B05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亚硝酸盐</w:t>
            </w:r>
          </w:p>
        </w:tc>
        <w:tc>
          <w:tcPr>
            <w:tcW w:w="420" w:type="pct"/>
            <w:noWrap w:val="0"/>
            <w:vAlign w:val="center"/>
          </w:tcPr>
          <w:p w14:paraId="1B35A74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5C34D98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≤1.00</w:t>
            </w:r>
          </w:p>
        </w:tc>
        <w:tc>
          <w:tcPr>
            <w:tcW w:w="386" w:type="pct"/>
            <w:noWrap w:val="0"/>
            <w:vAlign w:val="center"/>
          </w:tcPr>
          <w:p w14:paraId="0D5B033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＜0.003</w:t>
            </w:r>
          </w:p>
        </w:tc>
        <w:tc>
          <w:tcPr>
            <w:tcW w:w="233" w:type="pct"/>
            <w:noWrap w:val="0"/>
            <w:vAlign w:val="center"/>
          </w:tcPr>
          <w:p w14:paraId="0A336A2D">
            <w:pPr>
              <w:adjustRightInd w:val="0"/>
              <w:snapToGrid w:val="0"/>
              <w:spacing w:line="300" w:lineRule="exact"/>
              <w:jc w:val="center"/>
              <w:rPr>
                <w:rFonts w:hint="default" w:ascii="Times New Roman" w:hAnsi="Times New Roman" w:eastAsia="宋体" w:cs="Times New Roman"/>
                <w:color w:val="auto"/>
                <w:kern w:val="0"/>
                <w:sz w:val="21"/>
                <w:szCs w:val="21"/>
              </w:rPr>
            </w:pPr>
            <w:bookmarkStart w:id="215" w:name="OLE_LINK30"/>
            <w:r>
              <w:rPr>
                <w:rFonts w:hint="default" w:ascii="Times New Roman" w:hAnsi="Times New Roman" w:eastAsia="宋体" w:cs="Times New Roman"/>
                <w:color w:val="auto"/>
                <w:kern w:val="0"/>
                <w:sz w:val="21"/>
                <w:szCs w:val="21"/>
              </w:rPr>
              <w:t>/</w:t>
            </w:r>
            <w:bookmarkEnd w:id="215"/>
          </w:p>
        </w:tc>
        <w:tc>
          <w:tcPr>
            <w:tcW w:w="235" w:type="pct"/>
            <w:noWrap w:val="0"/>
            <w:vAlign w:val="top"/>
          </w:tcPr>
          <w:p w14:paraId="14CC1B0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4D88F19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＜0.003</w:t>
            </w:r>
          </w:p>
        </w:tc>
        <w:tc>
          <w:tcPr>
            <w:tcW w:w="225" w:type="pct"/>
            <w:noWrap w:val="0"/>
            <w:vAlign w:val="center"/>
          </w:tcPr>
          <w:p w14:paraId="246D26E0">
            <w:pPr>
              <w:adjustRightInd w:val="0"/>
              <w:snapToGrid w:val="0"/>
              <w:spacing w:line="300" w:lineRule="exact"/>
              <w:jc w:val="center"/>
              <w:rPr>
                <w:rFonts w:hint="default" w:ascii="Times New Roman" w:hAnsi="Times New Roman" w:eastAsia="宋体" w:cs="Times New Roman"/>
                <w:color w:val="auto"/>
                <w:kern w:val="0"/>
                <w:sz w:val="21"/>
                <w:szCs w:val="21"/>
              </w:rPr>
            </w:pPr>
          </w:p>
        </w:tc>
        <w:tc>
          <w:tcPr>
            <w:tcW w:w="183" w:type="pct"/>
            <w:noWrap w:val="0"/>
            <w:vAlign w:val="top"/>
          </w:tcPr>
          <w:p w14:paraId="520CEE5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16CE58F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＜0.003</w:t>
            </w:r>
          </w:p>
        </w:tc>
        <w:tc>
          <w:tcPr>
            <w:tcW w:w="225" w:type="pct"/>
            <w:noWrap w:val="0"/>
            <w:vAlign w:val="center"/>
          </w:tcPr>
          <w:p w14:paraId="4183A003">
            <w:pPr>
              <w:adjustRightInd w:val="0"/>
              <w:snapToGrid w:val="0"/>
              <w:spacing w:line="300" w:lineRule="exact"/>
              <w:jc w:val="center"/>
              <w:rPr>
                <w:rFonts w:hint="default" w:ascii="Times New Roman" w:hAnsi="Times New Roman" w:eastAsia="宋体" w:cs="Times New Roman"/>
                <w:color w:val="auto"/>
                <w:kern w:val="0"/>
                <w:sz w:val="21"/>
                <w:szCs w:val="21"/>
              </w:rPr>
            </w:pPr>
          </w:p>
        </w:tc>
        <w:tc>
          <w:tcPr>
            <w:tcW w:w="235" w:type="pct"/>
            <w:noWrap w:val="0"/>
            <w:vAlign w:val="top"/>
          </w:tcPr>
          <w:p w14:paraId="4177E99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51120E9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＜0.003</w:t>
            </w:r>
          </w:p>
        </w:tc>
        <w:tc>
          <w:tcPr>
            <w:tcW w:w="188" w:type="pct"/>
            <w:noWrap w:val="0"/>
            <w:vAlign w:val="center"/>
          </w:tcPr>
          <w:p w14:paraId="04B670A4">
            <w:pPr>
              <w:adjustRightInd w:val="0"/>
              <w:snapToGrid w:val="0"/>
              <w:spacing w:line="300" w:lineRule="exact"/>
              <w:jc w:val="center"/>
              <w:rPr>
                <w:rFonts w:hint="default" w:ascii="Times New Roman" w:hAnsi="Times New Roman" w:eastAsia="宋体" w:cs="Times New Roman"/>
                <w:color w:val="auto"/>
                <w:kern w:val="0"/>
                <w:sz w:val="21"/>
                <w:szCs w:val="21"/>
              </w:rPr>
            </w:pPr>
          </w:p>
        </w:tc>
        <w:tc>
          <w:tcPr>
            <w:tcW w:w="172" w:type="pct"/>
            <w:noWrap w:val="0"/>
            <w:vAlign w:val="top"/>
          </w:tcPr>
          <w:p w14:paraId="4E59250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7FD0834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＜0.003</w:t>
            </w:r>
          </w:p>
        </w:tc>
        <w:tc>
          <w:tcPr>
            <w:tcW w:w="188" w:type="pct"/>
            <w:noWrap w:val="0"/>
            <w:vAlign w:val="center"/>
          </w:tcPr>
          <w:p w14:paraId="1CDE3729">
            <w:pPr>
              <w:adjustRightInd w:val="0"/>
              <w:snapToGrid w:val="0"/>
              <w:spacing w:line="300" w:lineRule="exact"/>
              <w:jc w:val="center"/>
              <w:rPr>
                <w:rFonts w:hint="default" w:ascii="Times New Roman" w:hAnsi="Times New Roman" w:eastAsia="宋体" w:cs="Times New Roman"/>
                <w:color w:val="auto"/>
                <w:kern w:val="0"/>
                <w:sz w:val="21"/>
                <w:szCs w:val="21"/>
              </w:rPr>
            </w:pPr>
          </w:p>
        </w:tc>
        <w:tc>
          <w:tcPr>
            <w:tcW w:w="206" w:type="pct"/>
            <w:noWrap w:val="0"/>
            <w:vAlign w:val="top"/>
          </w:tcPr>
          <w:p w14:paraId="63D04CC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2B3A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5E53266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453" w:type="pct"/>
            <w:noWrap w:val="0"/>
            <w:vAlign w:val="center"/>
          </w:tcPr>
          <w:p w14:paraId="1E606DD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硝酸盐</w:t>
            </w:r>
          </w:p>
        </w:tc>
        <w:tc>
          <w:tcPr>
            <w:tcW w:w="420" w:type="pct"/>
            <w:noWrap w:val="0"/>
            <w:vAlign w:val="center"/>
          </w:tcPr>
          <w:p w14:paraId="5D4332C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0D7486E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≤20.0</w:t>
            </w:r>
          </w:p>
        </w:tc>
        <w:tc>
          <w:tcPr>
            <w:tcW w:w="386" w:type="pct"/>
            <w:noWrap w:val="0"/>
            <w:vAlign w:val="center"/>
          </w:tcPr>
          <w:p w14:paraId="24F3536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13.5</w:t>
            </w:r>
          </w:p>
        </w:tc>
        <w:tc>
          <w:tcPr>
            <w:tcW w:w="233" w:type="pct"/>
            <w:noWrap w:val="0"/>
            <w:vAlign w:val="center"/>
          </w:tcPr>
          <w:p w14:paraId="62DE6C6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0.68</w:t>
            </w:r>
          </w:p>
        </w:tc>
        <w:tc>
          <w:tcPr>
            <w:tcW w:w="235" w:type="pct"/>
            <w:noWrap w:val="0"/>
            <w:vAlign w:val="top"/>
          </w:tcPr>
          <w:p w14:paraId="4F4F9EA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684E0C8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14.7</w:t>
            </w:r>
          </w:p>
        </w:tc>
        <w:tc>
          <w:tcPr>
            <w:tcW w:w="225" w:type="pct"/>
            <w:noWrap w:val="0"/>
            <w:vAlign w:val="center"/>
          </w:tcPr>
          <w:p w14:paraId="28331C6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0.74</w:t>
            </w:r>
          </w:p>
        </w:tc>
        <w:tc>
          <w:tcPr>
            <w:tcW w:w="183" w:type="pct"/>
            <w:noWrap w:val="0"/>
            <w:vAlign w:val="top"/>
          </w:tcPr>
          <w:p w14:paraId="0394A13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1A5AE3D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13.1</w:t>
            </w:r>
          </w:p>
        </w:tc>
        <w:tc>
          <w:tcPr>
            <w:tcW w:w="225" w:type="pct"/>
            <w:noWrap w:val="0"/>
            <w:vAlign w:val="center"/>
          </w:tcPr>
          <w:p w14:paraId="45A7189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0.66</w:t>
            </w:r>
          </w:p>
        </w:tc>
        <w:tc>
          <w:tcPr>
            <w:tcW w:w="235" w:type="pct"/>
            <w:noWrap w:val="0"/>
            <w:vAlign w:val="top"/>
          </w:tcPr>
          <w:p w14:paraId="73440B8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2D92A96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10.6</w:t>
            </w:r>
          </w:p>
        </w:tc>
        <w:tc>
          <w:tcPr>
            <w:tcW w:w="188" w:type="pct"/>
            <w:noWrap w:val="0"/>
            <w:vAlign w:val="center"/>
          </w:tcPr>
          <w:p w14:paraId="39BB26F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0.53</w:t>
            </w:r>
          </w:p>
        </w:tc>
        <w:tc>
          <w:tcPr>
            <w:tcW w:w="172" w:type="pct"/>
            <w:noWrap w:val="0"/>
            <w:vAlign w:val="top"/>
          </w:tcPr>
          <w:p w14:paraId="21B1DF9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5C66E49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11.1</w:t>
            </w:r>
          </w:p>
        </w:tc>
        <w:tc>
          <w:tcPr>
            <w:tcW w:w="188" w:type="pct"/>
            <w:noWrap w:val="0"/>
            <w:vAlign w:val="center"/>
          </w:tcPr>
          <w:p w14:paraId="2E5A29B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0.56</w:t>
            </w:r>
          </w:p>
        </w:tc>
        <w:tc>
          <w:tcPr>
            <w:tcW w:w="206" w:type="pct"/>
            <w:noWrap w:val="0"/>
            <w:vAlign w:val="top"/>
          </w:tcPr>
          <w:p w14:paraId="6DB9AB5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321A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51B3527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453" w:type="pct"/>
            <w:noWrap w:val="0"/>
            <w:vAlign w:val="center"/>
          </w:tcPr>
          <w:p w14:paraId="20734E9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硫酸盐</w:t>
            </w:r>
          </w:p>
        </w:tc>
        <w:tc>
          <w:tcPr>
            <w:tcW w:w="420" w:type="pct"/>
            <w:noWrap w:val="0"/>
            <w:vAlign w:val="center"/>
          </w:tcPr>
          <w:p w14:paraId="1BC7339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7CBFFDE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≤250</w:t>
            </w:r>
          </w:p>
        </w:tc>
        <w:tc>
          <w:tcPr>
            <w:tcW w:w="386" w:type="pct"/>
            <w:noWrap w:val="0"/>
            <w:vAlign w:val="center"/>
          </w:tcPr>
          <w:p w14:paraId="16D7EA1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736</w:t>
            </w:r>
          </w:p>
        </w:tc>
        <w:tc>
          <w:tcPr>
            <w:tcW w:w="233" w:type="pct"/>
            <w:noWrap w:val="0"/>
            <w:vAlign w:val="center"/>
          </w:tcPr>
          <w:p w14:paraId="294749A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2.94</w:t>
            </w:r>
          </w:p>
        </w:tc>
        <w:tc>
          <w:tcPr>
            <w:tcW w:w="235" w:type="pct"/>
            <w:noWrap w:val="0"/>
            <w:vAlign w:val="center"/>
          </w:tcPr>
          <w:p w14:paraId="2A61C26E">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2C91CDF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762</w:t>
            </w:r>
          </w:p>
        </w:tc>
        <w:tc>
          <w:tcPr>
            <w:tcW w:w="225" w:type="pct"/>
            <w:noWrap w:val="0"/>
            <w:vAlign w:val="center"/>
          </w:tcPr>
          <w:p w14:paraId="0264B3F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3.05</w:t>
            </w:r>
          </w:p>
        </w:tc>
        <w:tc>
          <w:tcPr>
            <w:tcW w:w="183" w:type="pct"/>
            <w:noWrap w:val="0"/>
            <w:vAlign w:val="center"/>
          </w:tcPr>
          <w:p w14:paraId="7A6D10A7">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366D676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726</w:t>
            </w:r>
          </w:p>
        </w:tc>
        <w:tc>
          <w:tcPr>
            <w:tcW w:w="225" w:type="pct"/>
            <w:noWrap w:val="0"/>
            <w:vAlign w:val="center"/>
          </w:tcPr>
          <w:p w14:paraId="1EAA93E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2.90</w:t>
            </w:r>
          </w:p>
        </w:tc>
        <w:tc>
          <w:tcPr>
            <w:tcW w:w="235" w:type="pct"/>
            <w:noWrap w:val="0"/>
            <w:vAlign w:val="center"/>
          </w:tcPr>
          <w:p w14:paraId="6220FC08">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1CEE0D0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694</w:t>
            </w:r>
          </w:p>
        </w:tc>
        <w:tc>
          <w:tcPr>
            <w:tcW w:w="188" w:type="pct"/>
            <w:noWrap w:val="0"/>
            <w:vAlign w:val="center"/>
          </w:tcPr>
          <w:p w14:paraId="366820F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2.78</w:t>
            </w:r>
          </w:p>
        </w:tc>
        <w:tc>
          <w:tcPr>
            <w:tcW w:w="172" w:type="pct"/>
            <w:noWrap w:val="0"/>
            <w:vAlign w:val="center"/>
          </w:tcPr>
          <w:p w14:paraId="4DF05B7E">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5AA6ADC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776</w:t>
            </w:r>
          </w:p>
        </w:tc>
        <w:tc>
          <w:tcPr>
            <w:tcW w:w="188" w:type="pct"/>
            <w:noWrap w:val="0"/>
            <w:vAlign w:val="center"/>
          </w:tcPr>
          <w:p w14:paraId="5EDDDBD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3.10</w:t>
            </w:r>
          </w:p>
        </w:tc>
        <w:tc>
          <w:tcPr>
            <w:tcW w:w="206" w:type="pct"/>
            <w:noWrap w:val="0"/>
            <w:vAlign w:val="center"/>
          </w:tcPr>
          <w:p w14:paraId="6AD4105B">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r>
      <w:tr w14:paraId="412D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6C5A0A5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453" w:type="pct"/>
            <w:noWrap w:val="0"/>
            <w:vAlign w:val="center"/>
          </w:tcPr>
          <w:p w14:paraId="155D89F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氯化物</w:t>
            </w:r>
          </w:p>
        </w:tc>
        <w:tc>
          <w:tcPr>
            <w:tcW w:w="420" w:type="pct"/>
            <w:noWrap w:val="0"/>
            <w:vAlign w:val="center"/>
          </w:tcPr>
          <w:p w14:paraId="1538D0E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76FA89B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≤250</w:t>
            </w:r>
          </w:p>
        </w:tc>
        <w:tc>
          <w:tcPr>
            <w:tcW w:w="386" w:type="pct"/>
            <w:noWrap w:val="0"/>
            <w:vAlign w:val="center"/>
          </w:tcPr>
          <w:p w14:paraId="2B9677F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485</w:t>
            </w:r>
          </w:p>
        </w:tc>
        <w:tc>
          <w:tcPr>
            <w:tcW w:w="233" w:type="pct"/>
            <w:noWrap w:val="0"/>
            <w:vAlign w:val="center"/>
          </w:tcPr>
          <w:p w14:paraId="3C62A9E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1.94</w:t>
            </w:r>
          </w:p>
        </w:tc>
        <w:tc>
          <w:tcPr>
            <w:tcW w:w="235" w:type="pct"/>
            <w:noWrap w:val="0"/>
            <w:vAlign w:val="center"/>
          </w:tcPr>
          <w:p w14:paraId="5452CB0B">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0294A83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600</w:t>
            </w:r>
          </w:p>
        </w:tc>
        <w:tc>
          <w:tcPr>
            <w:tcW w:w="225" w:type="pct"/>
            <w:noWrap w:val="0"/>
            <w:vAlign w:val="center"/>
          </w:tcPr>
          <w:p w14:paraId="5BCE4A7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2.40</w:t>
            </w:r>
          </w:p>
        </w:tc>
        <w:tc>
          <w:tcPr>
            <w:tcW w:w="183" w:type="pct"/>
            <w:noWrap w:val="0"/>
            <w:vAlign w:val="center"/>
          </w:tcPr>
          <w:p w14:paraId="0C756820">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08153A7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592</w:t>
            </w:r>
          </w:p>
        </w:tc>
        <w:tc>
          <w:tcPr>
            <w:tcW w:w="225" w:type="pct"/>
            <w:noWrap w:val="0"/>
            <w:vAlign w:val="center"/>
          </w:tcPr>
          <w:p w14:paraId="0BD1D42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2.37</w:t>
            </w:r>
          </w:p>
        </w:tc>
        <w:tc>
          <w:tcPr>
            <w:tcW w:w="235" w:type="pct"/>
            <w:noWrap w:val="0"/>
            <w:vAlign w:val="center"/>
          </w:tcPr>
          <w:p w14:paraId="3DE1D0F7">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29A3A86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429</w:t>
            </w:r>
          </w:p>
        </w:tc>
        <w:tc>
          <w:tcPr>
            <w:tcW w:w="188" w:type="pct"/>
            <w:noWrap w:val="0"/>
            <w:vAlign w:val="center"/>
          </w:tcPr>
          <w:p w14:paraId="07A6649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1.72</w:t>
            </w:r>
          </w:p>
        </w:tc>
        <w:tc>
          <w:tcPr>
            <w:tcW w:w="172" w:type="pct"/>
            <w:noWrap w:val="0"/>
            <w:vAlign w:val="center"/>
          </w:tcPr>
          <w:p w14:paraId="4D2DC7B5">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6E84BB79">
            <w:pPr>
              <w:adjustRightInd w:val="0"/>
              <w:snapToGrid w:val="0"/>
              <w:spacing w:line="3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Cs/>
                <w:color w:val="auto"/>
                <w:sz w:val="21"/>
                <w:szCs w:val="21"/>
              </w:rPr>
              <w:t>581</w:t>
            </w:r>
          </w:p>
        </w:tc>
        <w:tc>
          <w:tcPr>
            <w:tcW w:w="188" w:type="pct"/>
            <w:noWrap w:val="0"/>
            <w:vAlign w:val="center"/>
          </w:tcPr>
          <w:p w14:paraId="5A617336">
            <w:pPr>
              <w:adjustRightInd w:val="0"/>
              <w:snapToGrid w:val="0"/>
              <w:spacing w:line="3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color w:val="auto"/>
                <w:sz w:val="21"/>
                <w:szCs w:val="21"/>
              </w:rPr>
              <w:t>2.32</w:t>
            </w:r>
          </w:p>
        </w:tc>
        <w:tc>
          <w:tcPr>
            <w:tcW w:w="206" w:type="pct"/>
            <w:noWrap w:val="0"/>
            <w:vAlign w:val="center"/>
          </w:tcPr>
          <w:p w14:paraId="47CC838C">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r>
      <w:tr w14:paraId="524C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410586E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453" w:type="pct"/>
            <w:noWrap w:val="0"/>
            <w:vAlign w:val="center"/>
          </w:tcPr>
          <w:p w14:paraId="6AD6AF6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铁</w:t>
            </w:r>
          </w:p>
        </w:tc>
        <w:tc>
          <w:tcPr>
            <w:tcW w:w="420" w:type="pct"/>
            <w:noWrap w:val="0"/>
            <w:vAlign w:val="center"/>
          </w:tcPr>
          <w:p w14:paraId="3BA1128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1CCDE8A3">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Cs/>
                <w:color w:val="auto"/>
                <w:sz w:val="21"/>
                <w:szCs w:val="21"/>
              </w:rPr>
              <w:t>≤0.3</w:t>
            </w:r>
          </w:p>
        </w:tc>
        <w:tc>
          <w:tcPr>
            <w:tcW w:w="386" w:type="pct"/>
            <w:noWrap w:val="0"/>
            <w:vAlign w:val="center"/>
          </w:tcPr>
          <w:p w14:paraId="22008E76">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Cs/>
                <w:color w:val="auto"/>
                <w:sz w:val="21"/>
                <w:szCs w:val="21"/>
              </w:rPr>
              <w:t>0.139</w:t>
            </w:r>
          </w:p>
        </w:tc>
        <w:tc>
          <w:tcPr>
            <w:tcW w:w="233" w:type="pct"/>
            <w:noWrap w:val="0"/>
            <w:vAlign w:val="center"/>
          </w:tcPr>
          <w:p w14:paraId="6722B7DF">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sz w:val="21"/>
                <w:szCs w:val="21"/>
              </w:rPr>
              <w:t>0.46</w:t>
            </w:r>
          </w:p>
        </w:tc>
        <w:tc>
          <w:tcPr>
            <w:tcW w:w="235" w:type="pct"/>
            <w:noWrap w:val="0"/>
            <w:vAlign w:val="top"/>
          </w:tcPr>
          <w:p w14:paraId="0AE9985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3F27683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0.131</w:t>
            </w:r>
          </w:p>
        </w:tc>
        <w:tc>
          <w:tcPr>
            <w:tcW w:w="225" w:type="pct"/>
            <w:noWrap w:val="0"/>
            <w:vAlign w:val="center"/>
          </w:tcPr>
          <w:p w14:paraId="4B78425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0.44</w:t>
            </w:r>
          </w:p>
        </w:tc>
        <w:tc>
          <w:tcPr>
            <w:tcW w:w="183" w:type="pct"/>
            <w:noWrap w:val="0"/>
            <w:vAlign w:val="top"/>
          </w:tcPr>
          <w:p w14:paraId="1E108EE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6672C6A5">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Cs/>
                <w:color w:val="auto"/>
                <w:sz w:val="21"/>
                <w:szCs w:val="21"/>
              </w:rPr>
              <w:t>0.122</w:t>
            </w:r>
          </w:p>
        </w:tc>
        <w:tc>
          <w:tcPr>
            <w:tcW w:w="225" w:type="pct"/>
            <w:noWrap w:val="0"/>
            <w:vAlign w:val="center"/>
          </w:tcPr>
          <w:p w14:paraId="5A4386DF">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sz w:val="21"/>
                <w:szCs w:val="21"/>
              </w:rPr>
              <w:t>0.41</w:t>
            </w:r>
          </w:p>
        </w:tc>
        <w:tc>
          <w:tcPr>
            <w:tcW w:w="235" w:type="pct"/>
            <w:noWrap w:val="0"/>
            <w:vAlign w:val="top"/>
          </w:tcPr>
          <w:p w14:paraId="4D660BA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53A1F9F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0.123</w:t>
            </w:r>
          </w:p>
        </w:tc>
        <w:tc>
          <w:tcPr>
            <w:tcW w:w="188" w:type="pct"/>
            <w:noWrap w:val="0"/>
            <w:vAlign w:val="center"/>
          </w:tcPr>
          <w:p w14:paraId="6A6AB80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0.41</w:t>
            </w:r>
          </w:p>
        </w:tc>
        <w:tc>
          <w:tcPr>
            <w:tcW w:w="172" w:type="pct"/>
            <w:noWrap w:val="0"/>
            <w:vAlign w:val="top"/>
          </w:tcPr>
          <w:p w14:paraId="5437A86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1BF00A85">
            <w:pPr>
              <w:adjustRightInd w:val="0"/>
              <w:snapToGrid w:val="0"/>
              <w:spacing w:line="3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Cs/>
                <w:color w:val="auto"/>
                <w:sz w:val="21"/>
                <w:szCs w:val="21"/>
              </w:rPr>
              <w:t>0.124</w:t>
            </w:r>
          </w:p>
        </w:tc>
        <w:tc>
          <w:tcPr>
            <w:tcW w:w="188" w:type="pct"/>
            <w:noWrap w:val="0"/>
            <w:vAlign w:val="center"/>
          </w:tcPr>
          <w:p w14:paraId="2F8D16EA">
            <w:pPr>
              <w:adjustRightInd w:val="0"/>
              <w:snapToGrid w:val="0"/>
              <w:spacing w:line="3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color w:val="auto"/>
                <w:sz w:val="21"/>
                <w:szCs w:val="21"/>
              </w:rPr>
              <w:t>0.41</w:t>
            </w:r>
          </w:p>
        </w:tc>
        <w:tc>
          <w:tcPr>
            <w:tcW w:w="206" w:type="pct"/>
            <w:noWrap w:val="0"/>
            <w:vAlign w:val="top"/>
          </w:tcPr>
          <w:p w14:paraId="327BA84C">
            <w:pPr>
              <w:adjustRightInd w:val="0"/>
              <w:snapToGrid w:val="0"/>
              <w:spacing w:line="3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color w:val="auto"/>
                <w:kern w:val="0"/>
                <w:sz w:val="21"/>
                <w:szCs w:val="21"/>
              </w:rPr>
              <w:t>达标</w:t>
            </w:r>
          </w:p>
        </w:tc>
      </w:tr>
      <w:tr w14:paraId="1D28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222EFAC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453" w:type="pct"/>
            <w:noWrap w:val="0"/>
            <w:vAlign w:val="center"/>
          </w:tcPr>
          <w:p w14:paraId="44C1A89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锰</w:t>
            </w:r>
          </w:p>
        </w:tc>
        <w:tc>
          <w:tcPr>
            <w:tcW w:w="420" w:type="pct"/>
            <w:noWrap w:val="0"/>
            <w:vAlign w:val="center"/>
          </w:tcPr>
          <w:p w14:paraId="0588EF3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0D1BECA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≤0.10</w:t>
            </w:r>
          </w:p>
        </w:tc>
        <w:tc>
          <w:tcPr>
            <w:tcW w:w="386" w:type="pct"/>
            <w:noWrap w:val="0"/>
            <w:vAlign w:val="center"/>
          </w:tcPr>
          <w:p w14:paraId="2690522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0.00976</w:t>
            </w:r>
          </w:p>
        </w:tc>
        <w:tc>
          <w:tcPr>
            <w:tcW w:w="233" w:type="pct"/>
            <w:noWrap w:val="0"/>
            <w:vAlign w:val="center"/>
          </w:tcPr>
          <w:p w14:paraId="0509253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0.10</w:t>
            </w:r>
          </w:p>
        </w:tc>
        <w:tc>
          <w:tcPr>
            <w:tcW w:w="235" w:type="pct"/>
            <w:noWrap w:val="0"/>
            <w:vAlign w:val="top"/>
          </w:tcPr>
          <w:p w14:paraId="2141271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7594820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0.00493</w:t>
            </w:r>
          </w:p>
        </w:tc>
        <w:tc>
          <w:tcPr>
            <w:tcW w:w="225" w:type="pct"/>
            <w:noWrap w:val="0"/>
            <w:vAlign w:val="center"/>
          </w:tcPr>
          <w:p w14:paraId="352BBF3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0.05</w:t>
            </w:r>
          </w:p>
        </w:tc>
        <w:tc>
          <w:tcPr>
            <w:tcW w:w="183" w:type="pct"/>
            <w:noWrap w:val="0"/>
            <w:vAlign w:val="top"/>
          </w:tcPr>
          <w:p w14:paraId="23BDFEE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1E5FE1C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0.00795</w:t>
            </w:r>
          </w:p>
        </w:tc>
        <w:tc>
          <w:tcPr>
            <w:tcW w:w="225" w:type="pct"/>
            <w:noWrap w:val="0"/>
            <w:vAlign w:val="center"/>
          </w:tcPr>
          <w:p w14:paraId="493C03B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0.08</w:t>
            </w:r>
          </w:p>
        </w:tc>
        <w:tc>
          <w:tcPr>
            <w:tcW w:w="235" w:type="pct"/>
            <w:noWrap w:val="0"/>
            <w:vAlign w:val="top"/>
          </w:tcPr>
          <w:p w14:paraId="1B3B25C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099B130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0.00840</w:t>
            </w:r>
          </w:p>
        </w:tc>
        <w:tc>
          <w:tcPr>
            <w:tcW w:w="188" w:type="pct"/>
            <w:noWrap w:val="0"/>
            <w:vAlign w:val="center"/>
          </w:tcPr>
          <w:p w14:paraId="7862277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0.08</w:t>
            </w:r>
          </w:p>
        </w:tc>
        <w:tc>
          <w:tcPr>
            <w:tcW w:w="172" w:type="pct"/>
            <w:noWrap w:val="0"/>
            <w:vAlign w:val="top"/>
          </w:tcPr>
          <w:p w14:paraId="4D9F7D3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0025443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0.00303</w:t>
            </w:r>
          </w:p>
        </w:tc>
        <w:tc>
          <w:tcPr>
            <w:tcW w:w="188" w:type="pct"/>
            <w:noWrap w:val="0"/>
            <w:vAlign w:val="center"/>
          </w:tcPr>
          <w:p w14:paraId="6AF38D6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0.03</w:t>
            </w:r>
          </w:p>
        </w:tc>
        <w:tc>
          <w:tcPr>
            <w:tcW w:w="206" w:type="pct"/>
            <w:noWrap w:val="0"/>
            <w:vAlign w:val="top"/>
          </w:tcPr>
          <w:p w14:paraId="0DDA5D4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627C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38D7D66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453" w:type="pct"/>
            <w:noWrap w:val="0"/>
            <w:vAlign w:val="center"/>
          </w:tcPr>
          <w:p w14:paraId="665444C7">
            <w:pPr>
              <w:adjustRightInd w:val="0"/>
              <w:snapToGrid w:val="0"/>
              <w:spacing w:line="300" w:lineRule="exact"/>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rPr>
              <w:t>挥发</w:t>
            </w:r>
            <w:r>
              <w:rPr>
                <w:rFonts w:hint="eastAsia" w:ascii="Times New Roman" w:hAnsi="Times New Roman" w:eastAsia="宋体" w:cs="Times New Roman"/>
                <w:bCs/>
                <w:color w:val="auto"/>
                <w:sz w:val="21"/>
                <w:szCs w:val="21"/>
                <w:lang w:val="en-US" w:eastAsia="zh-CN"/>
              </w:rPr>
              <w:t>性</w:t>
            </w:r>
            <w:r>
              <w:rPr>
                <w:rFonts w:hint="default" w:ascii="Times New Roman" w:hAnsi="Times New Roman" w:eastAsia="宋体" w:cs="Times New Roman"/>
                <w:bCs/>
                <w:color w:val="auto"/>
                <w:sz w:val="21"/>
                <w:szCs w:val="21"/>
              </w:rPr>
              <w:t>酚</w:t>
            </w:r>
            <w:r>
              <w:rPr>
                <w:rFonts w:hint="eastAsia" w:ascii="Times New Roman" w:hAnsi="Times New Roman" w:eastAsia="宋体" w:cs="Times New Roman"/>
                <w:bCs/>
                <w:color w:val="auto"/>
                <w:sz w:val="21"/>
                <w:szCs w:val="21"/>
                <w:lang w:val="en-US" w:eastAsia="zh-CN"/>
              </w:rPr>
              <w:t>类</w:t>
            </w:r>
          </w:p>
        </w:tc>
        <w:tc>
          <w:tcPr>
            <w:tcW w:w="420" w:type="pct"/>
            <w:noWrap w:val="0"/>
            <w:vAlign w:val="center"/>
          </w:tcPr>
          <w:p w14:paraId="07D5B7A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20821EA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≤0.002</w:t>
            </w:r>
          </w:p>
        </w:tc>
        <w:tc>
          <w:tcPr>
            <w:tcW w:w="386" w:type="pct"/>
            <w:noWrap w:val="0"/>
            <w:vAlign w:val="center"/>
          </w:tcPr>
          <w:p w14:paraId="7178DB8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＜0.0003</w:t>
            </w:r>
          </w:p>
        </w:tc>
        <w:tc>
          <w:tcPr>
            <w:tcW w:w="233" w:type="pct"/>
            <w:noWrap w:val="0"/>
            <w:vAlign w:val="center"/>
          </w:tcPr>
          <w:p w14:paraId="08488D6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2F10010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01D988C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＜0.0003</w:t>
            </w:r>
          </w:p>
        </w:tc>
        <w:tc>
          <w:tcPr>
            <w:tcW w:w="225" w:type="pct"/>
            <w:noWrap w:val="0"/>
            <w:vAlign w:val="center"/>
          </w:tcPr>
          <w:p w14:paraId="1B8C281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83" w:type="pct"/>
            <w:noWrap w:val="0"/>
            <w:vAlign w:val="top"/>
          </w:tcPr>
          <w:p w14:paraId="1E59FF3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54231BF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＜0.0003</w:t>
            </w:r>
          </w:p>
        </w:tc>
        <w:tc>
          <w:tcPr>
            <w:tcW w:w="225" w:type="pct"/>
            <w:noWrap w:val="0"/>
            <w:vAlign w:val="center"/>
          </w:tcPr>
          <w:p w14:paraId="159BF45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33BA815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6240C24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＜0.0003</w:t>
            </w:r>
          </w:p>
        </w:tc>
        <w:tc>
          <w:tcPr>
            <w:tcW w:w="188" w:type="pct"/>
            <w:noWrap w:val="0"/>
            <w:vAlign w:val="center"/>
          </w:tcPr>
          <w:p w14:paraId="52E29B2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2" w:type="pct"/>
            <w:noWrap w:val="0"/>
            <w:vAlign w:val="top"/>
          </w:tcPr>
          <w:p w14:paraId="5E2A137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637BCB1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＜0.0003</w:t>
            </w:r>
          </w:p>
        </w:tc>
        <w:tc>
          <w:tcPr>
            <w:tcW w:w="188" w:type="pct"/>
            <w:noWrap w:val="0"/>
            <w:vAlign w:val="center"/>
          </w:tcPr>
          <w:p w14:paraId="23784AA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06" w:type="pct"/>
            <w:noWrap w:val="0"/>
            <w:vAlign w:val="top"/>
          </w:tcPr>
          <w:p w14:paraId="6BE48B7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6873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450307C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c>
          <w:tcPr>
            <w:tcW w:w="453" w:type="pct"/>
            <w:noWrap w:val="0"/>
            <w:vAlign w:val="center"/>
          </w:tcPr>
          <w:p w14:paraId="3A25FDE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氨氮</w:t>
            </w:r>
          </w:p>
        </w:tc>
        <w:tc>
          <w:tcPr>
            <w:tcW w:w="420" w:type="pct"/>
            <w:noWrap w:val="0"/>
            <w:vAlign w:val="center"/>
          </w:tcPr>
          <w:p w14:paraId="21E0E12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2159983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≤0.50</w:t>
            </w:r>
          </w:p>
        </w:tc>
        <w:tc>
          <w:tcPr>
            <w:tcW w:w="386" w:type="pct"/>
            <w:noWrap w:val="0"/>
            <w:vAlign w:val="center"/>
          </w:tcPr>
          <w:p w14:paraId="2DC1C7B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0.156</w:t>
            </w:r>
          </w:p>
        </w:tc>
        <w:tc>
          <w:tcPr>
            <w:tcW w:w="233" w:type="pct"/>
            <w:noWrap w:val="0"/>
            <w:vAlign w:val="center"/>
          </w:tcPr>
          <w:p w14:paraId="1B81483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0.312</w:t>
            </w:r>
          </w:p>
        </w:tc>
        <w:tc>
          <w:tcPr>
            <w:tcW w:w="235" w:type="pct"/>
            <w:noWrap w:val="0"/>
            <w:vAlign w:val="top"/>
          </w:tcPr>
          <w:p w14:paraId="6DA55B1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548CEB8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＜0.025</w:t>
            </w:r>
          </w:p>
        </w:tc>
        <w:tc>
          <w:tcPr>
            <w:tcW w:w="225" w:type="pct"/>
            <w:noWrap w:val="0"/>
            <w:vAlign w:val="center"/>
          </w:tcPr>
          <w:p w14:paraId="6DD9174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83" w:type="pct"/>
            <w:noWrap w:val="0"/>
            <w:vAlign w:val="top"/>
          </w:tcPr>
          <w:p w14:paraId="349FE63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00D1285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0.207</w:t>
            </w:r>
          </w:p>
        </w:tc>
        <w:tc>
          <w:tcPr>
            <w:tcW w:w="225" w:type="pct"/>
            <w:noWrap w:val="0"/>
            <w:vAlign w:val="center"/>
          </w:tcPr>
          <w:p w14:paraId="66C87E0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0.414</w:t>
            </w:r>
          </w:p>
        </w:tc>
        <w:tc>
          <w:tcPr>
            <w:tcW w:w="235" w:type="pct"/>
            <w:noWrap w:val="0"/>
            <w:vAlign w:val="top"/>
          </w:tcPr>
          <w:p w14:paraId="3699D2C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131966C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0.296</w:t>
            </w:r>
          </w:p>
        </w:tc>
        <w:tc>
          <w:tcPr>
            <w:tcW w:w="188" w:type="pct"/>
            <w:noWrap w:val="0"/>
            <w:vAlign w:val="center"/>
          </w:tcPr>
          <w:p w14:paraId="424A7FF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0.592</w:t>
            </w:r>
          </w:p>
        </w:tc>
        <w:tc>
          <w:tcPr>
            <w:tcW w:w="172" w:type="pct"/>
            <w:noWrap w:val="0"/>
            <w:vAlign w:val="top"/>
          </w:tcPr>
          <w:p w14:paraId="4E55704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6DD41BE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0.178</w:t>
            </w:r>
          </w:p>
        </w:tc>
        <w:tc>
          <w:tcPr>
            <w:tcW w:w="188" w:type="pct"/>
            <w:noWrap w:val="0"/>
            <w:vAlign w:val="center"/>
          </w:tcPr>
          <w:p w14:paraId="0615678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0.356</w:t>
            </w:r>
          </w:p>
        </w:tc>
        <w:tc>
          <w:tcPr>
            <w:tcW w:w="206" w:type="pct"/>
            <w:noWrap w:val="0"/>
            <w:vAlign w:val="top"/>
          </w:tcPr>
          <w:p w14:paraId="4165D2D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5D2D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4" w:type="pct"/>
            <w:noWrap w:val="0"/>
            <w:vAlign w:val="center"/>
          </w:tcPr>
          <w:p w14:paraId="76E4022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c>
          <w:tcPr>
            <w:tcW w:w="453" w:type="pct"/>
            <w:noWrap w:val="0"/>
            <w:vAlign w:val="center"/>
          </w:tcPr>
          <w:p w14:paraId="290B864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氰化物</w:t>
            </w:r>
          </w:p>
        </w:tc>
        <w:tc>
          <w:tcPr>
            <w:tcW w:w="420" w:type="pct"/>
            <w:noWrap w:val="0"/>
            <w:vAlign w:val="center"/>
          </w:tcPr>
          <w:p w14:paraId="0573C17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0958455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≤0.05</w:t>
            </w:r>
          </w:p>
        </w:tc>
        <w:tc>
          <w:tcPr>
            <w:tcW w:w="386" w:type="pct"/>
            <w:noWrap w:val="0"/>
            <w:vAlign w:val="center"/>
          </w:tcPr>
          <w:p w14:paraId="18DE67C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233" w:type="pct"/>
            <w:noWrap w:val="0"/>
            <w:vAlign w:val="center"/>
          </w:tcPr>
          <w:p w14:paraId="7093242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54C0905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1EEE4EF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225" w:type="pct"/>
            <w:noWrap w:val="0"/>
            <w:vAlign w:val="center"/>
          </w:tcPr>
          <w:p w14:paraId="2C8EBA7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83" w:type="pct"/>
            <w:noWrap w:val="0"/>
            <w:vAlign w:val="top"/>
          </w:tcPr>
          <w:p w14:paraId="2A04698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56AB329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225" w:type="pct"/>
            <w:noWrap w:val="0"/>
            <w:vAlign w:val="center"/>
          </w:tcPr>
          <w:p w14:paraId="081EDF2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66A63D3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6DE6F4E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188" w:type="pct"/>
            <w:noWrap w:val="0"/>
            <w:vAlign w:val="center"/>
          </w:tcPr>
          <w:p w14:paraId="2BA3B63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2" w:type="pct"/>
            <w:noWrap w:val="0"/>
            <w:vAlign w:val="top"/>
          </w:tcPr>
          <w:p w14:paraId="5D49895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6D16552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188" w:type="pct"/>
            <w:noWrap w:val="0"/>
            <w:vAlign w:val="center"/>
          </w:tcPr>
          <w:p w14:paraId="48BB989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06" w:type="pct"/>
            <w:noWrap w:val="0"/>
            <w:vAlign w:val="top"/>
          </w:tcPr>
          <w:p w14:paraId="098A3EA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0B60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0593A68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453" w:type="pct"/>
            <w:noWrap w:val="0"/>
            <w:vAlign w:val="center"/>
          </w:tcPr>
          <w:p w14:paraId="74B49CC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汞</w:t>
            </w:r>
          </w:p>
        </w:tc>
        <w:tc>
          <w:tcPr>
            <w:tcW w:w="420" w:type="pct"/>
            <w:noWrap w:val="0"/>
            <w:vAlign w:val="center"/>
          </w:tcPr>
          <w:p w14:paraId="221154C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2FC5805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≤0.001</w:t>
            </w:r>
          </w:p>
        </w:tc>
        <w:tc>
          <w:tcPr>
            <w:tcW w:w="386" w:type="pct"/>
            <w:noWrap w:val="0"/>
            <w:vAlign w:val="center"/>
          </w:tcPr>
          <w:p w14:paraId="0663705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0.0000594</w:t>
            </w:r>
          </w:p>
        </w:tc>
        <w:tc>
          <w:tcPr>
            <w:tcW w:w="233" w:type="pct"/>
            <w:noWrap w:val="0"/>
            <w:vAlign w:val="center"/>
          </w:tcPr>
          <w:p w14:paraId="56F2A5E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0.0594</w:t>
            </w:r>
          </w:p>
        </w:tc>
        <w:tc>
          <w:tcPr>
            <w:tcW w:w="235" w:type="pct"/>
            <w:noWrap w:val="0"/>
            <w:vAlign w:val="top"/>
          </w:tcPr>
          <w:p w14:paraId="34B2B99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64F0A42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0.0000584</w:t>
            </w:r>
          </w:p>
        </w:tc>
        <w:tc>
          <w:tcPr>
            <w:tcW w:w="225" w:type="pct"/>
            <w:noWrap w:val="0"/>
            <w:vAlign w:val="center"/>
          </w:tcPr>
          <w:p w14:paraId="67E1720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0.0584</w:t>
            </w:r>
          </w:p>
        </w:tc>
        <w:tc>
          <w:tcPr>
            <w:tcW w:w="183" w:type="pct"/>
            <w:noWrap w:val="0"/>
            <w:vAlign w:val="top"/>
          </w:tcPr>
          <w:p w14:paraId="2D21995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1F9B663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0.0000492</w:t>
            </w:r>
          </w:p>
        </w:tc>
        <w:tc>
          <w:tcPr>
            <w:tcW w:w="225" w:type="pct"/>
            <w:noWrap w:val="0"/>
            <w:vAlign w:val="center"/>
          </w:tcPr>
          <w:p w14:paraId="2B6745A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0.0492</w:t>
            </w:r>
          </w:p>
        </w:tc>
        <w:tc>
          <w:tcPr>
            <w:tcW w:w="235" w:type="pct"/>
            <w:noWrap w:val="0"/>
            <w:vAlign w:val="top"/>
          </w:tcPr>
          <w:p w14:paraId="62B2C59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519F3C7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＜0.00004</w:t>
            </w:r>
          </w:p>
        </w:tc>
        <w:tc>
          <w:tcPr>
            <w:tcW w:w="188" w:type="pct"/>
            <w:noWrap w:val="0"/>
            <w:vAlign w:val="center"/>
          </w:tcPr>
          <w:p w14:paraId="0FA9FF7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2" w:type="pct"/>
            <w:noWrap w:val="0"/>
            <w:vAlign w:val="top"/>
          </w:tcPr>
          <w:p w14:paraId="1B9F23D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2298924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＜0.00004</w:t>
            </w:r>
          </w:p>
        </w:tc>
        <w:tc>
          <w:tcPr>
            <w:tcW w:w="188" w:type="pct"/>
            <w:noWrap w:val="0"/>
            <w:vAlign w:val="center"/>
          </w:tcPr>
          <w:p w14:paraId="103823A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06" w:type="pct"/>
            <w:noWrap w:val="0"/>
            <w:vAlign w:val="top"/>
          </w:tcPr>
          <w:p w14:paraId="6F36C12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5007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40F5BE2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w:t>
            </w:r>
          </w:p>
        </w:tc>
        <w:tc>
          <w:tcPr>
            <w:tcW w:w="453" w:type="pct"/>
            <w:noWrap w:val="0"/>
            <w:vAlign w:val="center"/>
          </w:tcPr>
          <w:p w14:paraId="4AB9485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砷</w:t>
            </w:r>
          </w:p>
        </w:tc>
        <w:tc>
          <w:tcPr>
            <w:tcW w:w="420" w:type="pct"/>
            <w:noWrap w:val="0"/>
            <w:vAlign w:val="center"/>
          </w:tcPr>
          <w:p w14:paraId="67CFB8D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55B65D0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≤0.01</w:t>
            </w:r>
          </w:p>
        </w:tc>
        <w:tc>
          <w:tcPr>
            <w:tcW w:w="386" w:type="pct"/>
            <w:noWrap w:val="0"/>
            <w:vAlign w:val="center"/>
          </w:tcPr>
          <w:p w14:paraId="43F72CA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0.00542</w:t>
            </w:r>
          </w:p>
        </w:tc>
        <w:tc>
          <w:tcPr>
            <w:tcW w:w="233" w:type="pct"/>
            <w:noWrap w:val="0"/>
            <w:vAlign w:val="center"/>
          </w:tcPr>
          <w:p w14:paraId="59022A6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0.542</w:t>
            </w:r>
          </w:p>
        </w:tc>
        <w:tc>
          <w:tcPr>
            <w:tcW w:w="235" w:type="pct"/>
            <w:noWrap w:val="0"/>
            <w:vAlign w:val="top"/>
          </w:tcPr>
          <w:p w14:paraId="0E4166C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7AB4E87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0.00608</w:t>
            </w:r>
          </w:p>
        </w:tc>
        <w:tc>
          <w:tcPr>
            <w:tcW w:w="225" w:type="pct"/>
            <w:noWrap w:val="0"/>
            <w:vAlign w:val="center"/>
          </w:tcPr>
          <w:p w14:paraId="2E6914E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0.608</w:t>
            </w:r>
          </w:p>
        </w:tc>
        <w:tc>
          <w:tcPr>
            <w:tcW w:w="183" w:type="pct"/>
            <w:noWrap w:val="0"/>
            <w:vAlign w:val="top"/>
          </w:tcPr>
          <w:p w14:paraId="42CA4B3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32D02C6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0.00555</w:t>
            </w:r>
          </w:p>
        </w:tc>
        <w:tc>
          <w:tcPr>
            <w:tcW w:w="225" w:type="pct"/>
            <w:noWrap w:val="0"/>
            <w:vAlign w:val="center"/>
          </w:tcPr>
          <w:p w14:paraId="07689B1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0.555</w:t>
            </w:r>
          </w:p>
        </w:tc>
        <w:tc>
          <w:tcPr>
            <w:tcW w:w="235" w:type="pct"/>
            <w:noWrap w:val="0"/>
            <w:vAlign w:val="top"/>
          </w:tcPr>
          <w:p w14:paraId="484EE1B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1066669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0.00748</w:t>
            </w:r>
          </w:p>
        </w:tc>
        <w:tc>
          <w:tcPr>
            <w:tcW w:w="188" w:type="pct"/>
            <w:noWrap w:val="0"/>
            <w:vAlign w:val="center"/>
          </w:tcPr>
          <w:p w14:paraId="16EE7CB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0.748</w:t>
            </w:r>
          </w:p>
        </w:tc>
        <w:tc>
          <w:tcPr>
            <w:tcW w:w="172" w:type="pct"/>
            <w:noWrap w:val="0"/>
            <w:vAlign w:val="top"/>
          </w:tcPr>
          <w:p w14:paraId="4F49880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3AB112B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0.00635</w:t>
            </w:r>
          </w:p>
        </w:tc>
        <w:tc>
          <w:tcPr>
            <w:tcW w:w="188" w:type="pct"/>
            <w:noWrap w:val="0"/>
            <w:vAlign w:val="center"/>
          </w:tcPr>
          <w:p w14:paraId="65A60CF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0.635</w:t>
            </w:r>
          </w:p>
        </w:tc>
        <w:tc>
          <w:tcPr>
            <w:tcW w:w="206" w:type="pct"/>
            <w:noWrap w:val="0"/>
            <w:vAlign w:val="top"/>
          </w:tcPr>
          <w:p w14:paraId="6ECDC0F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6B3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4512AC5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w:t>
            </w:r>
          </w:p>
        </w:tc>
        <w:tc>
          <w:tcPr>
            <w:tcW w:w="453" w:type="pct"/>
            <w:noWrap w:val="0"/>
            <w:vAlign w:val="center"/>
          </w:tcPr>
          <w:p w14:paraId="03ACE2F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镉</w:t>
            </w:r>
          </w:p>
        </w:tc>
        <w:tc>
          <w:tcPr>
            <w:tcW w:w="420" w:type="pct"/>
            <w:noWrap w:val="0"/>
            <w:vAlign w:val="center"/>
          </w:tcPr>
          <w:p w14:paraId="20EEA0F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791DD3C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≤0.005</w:t>
            </w:r>
          </w:p>
        </w:tc>
        <w:tc>
          <w:tcPr>
            <w:tcW w:w="386" w:type="pct"/>
            <w:noWrap w:val="0"/>
            <w:vAlign w:val="center"/>
          </w:tcPr>
          <w:p w14:paraId="0E716CA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＜0.00005</w:t>
            </w:r>
          </w:p>
        </w:tc>
        <w:tc>
          <w:tcPr>
            <w:tcW w:w="233" w:type="pct"/>
            <w:noWrap w:val="0"/>
            <w:vAlign w:val="center"/>
          </w:tcPr>
          <w:p w14:paraId="02B517C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7E5E66F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7F5817E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＜0.00005</w:t>
            </w:r>
          </w:p>
        </w:tc>
        <w:tc>
          <w:tcPr>
            <w:tcW w:w="225" w:type="pct"/>
            <w:noWrap w:val="0"/>
            <w:vAlign w:val="center"/>
          </w:tcPr>
          <w:p w14:paraId="742C4D7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83" w:type="pct"/>
            <w:noWrap w:val="0"/>
            <w:vAlign w:val="top"/>
          </w:tcPr>
          <w:p w14:paraId="234B67F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0982F1D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0.00010</w:t>
            </w:r>
          </w:p>
        </w:tc>
        <w:tc>
          <w:tcPr>
            <w:tcW w:w="225" w:type="pct"/>
            <w:noWrap w:val="0"/>
            <w:vAlign w:val="center"/>
          </w:tcPr>
          <w:p w14:paraId="6FFA82E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21D2F7C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5B98829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0.00015</w:t>
            </w:r>
          </w:p>
        </w:tc>
        <w:tc>
          <w:tcPr>
            <w:tcW w:w="188" w:type="pct"/>
            <w:noWrap w:val="0"/>
            <w:vAlign w:val="center"/>
          </w:tcPr>
          <w:p w14:paraId="1ED1880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2" w:type="pct"/>
            <w:noWrap w:val="0"/>
            <w:vAlign w:val="top"/>
          </w:tcPr>
          <w:p w14:paraId="7F75F08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4452003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0.00023</w:t>
            </w:r>
          </w:p>
        </w:tc>
        <w:tc>
          <w:tcPr>
            <w:tcW w:w="188" w:type="pct"/>
            <w:noWrap w:val="0"/>
            <w:vAlign w:val="center"/>
          </w:tcPr>
          <w:p w14:paraId="15A0B55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06" w:type="pct"/>
            <w:noWrap w:val="0"/>
            <w:vAlign w:val="top"/>
          </w:tcPr>
          <w:p w14:paraId="352164F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7A2E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21926BF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w:t>
            </w:r>
          </w:p>
        </w:tc>
        <w:tc>
          <w:tcPr>
            <w:tcW w:w="453" w:type="pct"/>
            <w:noWrap w:val="0"/>
            <w:vAlign w:val="center"/>
          </w:tcPr>
          <w:p w14:paraId="5DA5AE3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六价铬</w:t>
            </w:r>
          </w:p>
        </w:tc>
        <w:tc>
          <w:tcPr>
            <w:tcW w:w="420" w:type="pct"/>
            <w:noWrap w:val="0"/>
            <w:vAlign w:val="center"/>
          </w:tcPr>
          <w:p w14:paraId="36219FF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0729D65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≤0.05</w:t>
            </w:r>
          </w:p>
        </w:tc>
        <w:tc>
          <w:tcPr>
            <w:tcW w:w="386" w:type="pct"/>
            <w:noWrap w:val="0"/>
            <w:vAlign w:val="center"/>
          </w:tcPr>
          <w:p w14:paraId="3CABC8A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233" w:type="pct"/>
            <w:noWrap w:val="0"/>
            <w:vAlign w:val="center"/>
          </w:tcPr>
          <w:p w14:paraId="19ECF2B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0FF911C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4639419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225" w:type="pct"/>
            <w:noWrap w:val="0"/>
            <w:vAlign w:val="center"/>
          </w:tcPr>
          <w:p w14:paraId="557EC4A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83" w:type="pct"/>
            <w:noWrap w:val="0"/>
            <w:vAlign w:val="top"/>
          </w:tcPr>
          <w:p w14:paraId="3E4836B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5088CBF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225" w:type="pct"/>
            <w:noWrap w:val="0"/>
            <w:vAlign w:val="center"/>
          </w:tcPr>
          <w:p w14:paraId="090399E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5A55878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3D6DBA3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188" w:type="pct"/>
            <w:noWrap w:val="0"/>
            <w:vAlign w:val="center"/>
          </w:tcPr>
          <w:p w14:paraId="440EE50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2" w:type="pct"/>
            <w:noWrap w:val="0"/>
            <w:vAlign w:val="top"/>
          </w:tcPr>
          <w:p w14:paraId="4EB1696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2279561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＜0.004</w:t>
            </w:r>
          </w:p>
        </w:tc>
        <w:tc>
          <w:tcPr>
            <w:tcW w:w="188" w:type="pct"/>
            <w:noWrap w:val="0"/>
            <w:vAlign w:val="center"/>
          </w:tcPr>
          <w:p w14:paraId="33AE339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06" w:type="pct"/>
            <w:noWrap w:val="0"/>
            <w:vAlign w:val="top"/>
          </w:tcPr>
          <w:p w14:paraId="5FDE794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1318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7FDA3B2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w:t>
            </w:r>
          </w:p>
        </w:tc>
        <w:tc>
          <w:tcPr>
            <w:tcW w:w="453" w:type="pct"/>
            <w:noWrap w:val="0"/>
            <w:vAlign w:val="center"/>
          </w:tcPr>
          <w:p w14:paraId="4CB687D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铅</w:t>
            </w:r>
          </w:p>
        </w:tc>
        <w:tc>
          <w:tcPr>
            <w:tcW w:w="420" w:type="pct"/>
            <w:noWrap w:val="0"/>
            <w:vAlign w:val="center"/>
          </w:tcPr>
          <w:p w14:paraId="5E91C4A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5325587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≤0.01</w:t>
            </w:r>
          </w:p>
        </w:tc>
        <w:tc>
          <w:tcPr>
            <w:tcW w:w="386" w:type="pct"/>
            <w:noWrap w:val="0"/>
            <w:vAlign w:val="center"/>
          </w:tcPr>
          <w:p w14:paraId="0988C3E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＜0.00009</w:t>
            </w:r>
          </w:p>
        </w:tc>
        <w:tc>
          <w:tcPr>
            <w:tcW w:w="233" w:type="pct"/>
            <w:noWrap w:val="0"/>
            <w:vAlign w:val="center"/>
          </w:tcPr>
          <w:p w14:paraId="5530CEF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3BAF542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2D10603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＜0.00009</w:t>
            </w:r>
          </w:p>
        </w:tc>
        <w:tc>
          <w:tcPr>
            <w:tcW w:w="225" w:type="pct"/>
            <w:noWrap w:val="0"/>
            <w:vAlign w:val="center"/>
          </w:tcPr>
          <w:p w14:paraId="37E72E5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83" w:type="pct"/>
            <w:noWrap w:val="0"/>
            <w:vAlign w:val="top"/>
          </w:tcPr>
          <w:p w14:paraId="0C767EC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1167150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＜0.00009</w:t>
            </w:r>
          </w:p>
        </w:tc>
        <w:tc>
          <w:tcPr>
            <w:tcW w:w="225" w:type="pct"/>
            <w:noWrap w:val="0"/>
            <w:vAlign w:val="center"/>
          </w:tcPr>
          <w:p w14:paraId="3C2A6D3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134258A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12D27C7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＜0.00009</w:t>
            </w:r>
          </w:p>
        </w:tc>
        <w:tc>
          <w:tcPr>
            <w:tcW w:w="188" w:type="pct"/>
            <w:noWrap w:val="0"/>
            <w:vAlign w:val="center"/>
          </w:tcPr>
          <w:p w14:paraId="7E9996E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2" w:type="pct"/>
            <w:noWrap w:val="0"/>
            <w:vAlign w:val="top"/>
          </w:tcPr>
          <w:p w14:paraId="6A30A41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2979C12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＜0.00009</w:t>
            </w:r>
          </w:p>
        </w:tc>
        <w:tc>
          <w:tcPr>
            <w:tcW w:w="188" w:type="pct"/>
            <w:noWrap w:val="0"/>
            <w:vAlign w:val="center"/>
          </w:tcPr>
          <w:p w14:paraId="58336D1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06" w:type="pct"/>
            <w:noWrap w:val="0"/>
            <w:vAlign w:val="top"/>
          </w:tcPr>
          <w:p w14:paraId="6637134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3190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2FA4939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453" w:type="pct"/>
            <w:noWrap w:val="0"/>
            <w:vAlign w:val="center"/>
          </w:tcPr>
          <w:p w14:paraId="0E33FF2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总大肠菌群</w:t>
            </w:r>
          </w:p>
        </w:tc>
        <w:tc>
          <w:tcPr>
            <w:tcW w:w="420" w:type="pct"/>
            <w:noWrap w:val="0"/>
            <w:vAlign w:val="center"/>
          </w:tcPr>
          <w:p w14:paraId="45E6E96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MPN/100mL</w:t>
            </w:r>
          </w:p>
        </w:tc>
        <w:tc>
          <w:tcPr>
            <w:tcW w:w="284" w:type="pct"/>
            <w:noWrap w:val="0"/>
            <w:vAlign w:val="center"/>
          </w:tcPr>
          <w:p w14:paraId="5A5466E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≤3.0</w:t>
            </w:r>
          </w:p>
        </w:tc>
        <w:tc>
          <w:tcPr>
            <w:tcW w:w="386" w:type="pct"/>
            <w:noWrap w:val="0"/>
            <w:vAlign w:val="center"/>
          </w:tcPr>
          <w:p w14:paraId="138DDF2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未检出</w:t>
            </w:r>
          </w:p>
        </w:tc>
        <w:tc>
          <w:tcPr>
            <w:tcW w:w="233" w:type="pct"/>
            <w:noWrap w:val="0"/>
            <w:vAlign w:val="center"/>
          </w:tcPr>
          <w:p w14:paraId="320B2EB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35" w:type="pct"/>
            <w:noWrap w:val="0"/>
            <w:vAlign w:val="top"/>
          </w:tcPr>
          <w:p w14:paraId="7D5BA58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6146C72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未检出</w:t>
            </w:r>
          </w:p>
        </w:tc>
        <w:tc>
          <w:tcPr>
            <w:tcW w:w="225" w:type="pct"/>
            <w:noWrap w:val="0"/>
            <w:vAlign w:val="center"/>
          </w:tcPr>
          <w:p w14:paraId="7F75F3E5">
            <w:pPr>
              <w:adjustRightInd w:val="0"/>
              <w:snapToGrid w:val="0"/>
              <w:spacing w:line="300" w:lineRule="exact"/>
              <w:jc w:val="center"/>
              <w:rPr>
                <w:rFonts w:hint="default" w:ascii="Times New Roman" w:hAnsi="Times New Roman" w:eastAsia="宋体" w:cs="Times New Roman"/>
                <w:color w:val="auto"/>
                <w:kern w:val="0"/>
                <w:sz w:val="21"/>
                <w:szCs w:val="21"/>
              </w:rPr>
            </w:pPr>
          </w:p>
        </w:tc>
        <w:tc>
          <w:tcPr>
            <w:tcW w:w="183" w:type="pct"/>
            <w:noWrap w:val="0"/>
            <w:vAlign w:val="top"/>
          </w:tcPr>
          <w:p w14:paraId="2A44ED1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6BD1EE0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未检出</w:t>
            </w:r>
          </w:p>
        </w:tc>
        <w:tc>
          <w:tcPr>
            <w:tcW w:w="225" w:type="pct"/>
            <w:noWrap w:val="0"/>
            <w:vAlign w:val="center"/>
          </w:tcPr>
          <w:p w14:paraId="605E071D">
            <w:pPr>
              <w:widowControl/>
              <w:adjustRightInd w:val="0"/>
              <w:snapToGrid w:val="0"/>
              <w:spacing w:line="300" w:lineRule="exact"/>
              <w:jc w:val="center"/>
              <w:textAlignment w:val="center"/>
              <w:rPr>
                <w:rFonts w:hint="default" w:ascii="Times New Roman" w:hAnsi="Times New Roman" w:eastAsia="宋体" w:cs="Times New Roman"/>
                <w:color w:val="auto"/>
                <w:kern w:val="0"/>
                <w:sz w:val="21"/>
                <w:szCs w:val="21"/>
              </w:rPr>
            </w:pPr>
          </w:p>
        </w:tc>
        <w:tc>
          <w:tcPr>
            <w:tcW w:w="235" w:type="pct"/>
            <w:noWrap w:val="0"/>
            <w:vAlign w:val="top"/>
          </w:tcPr>
          <w:p w14:paraId="3E42B0C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2ECDBDD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未检出</w:t>
            </w:r>
          </w:p>
        </w:tc>
        <w:tc>
          <w:tcPr>
            <w:tcW w:w="188" w:type="pct"/>
            <w:noWrap w:val="0"/>
            <w:vAlign w:val="center"/>
          </w:tcPr>
          <w:p w14:paraId="333C7D73">
            <w:pPr>
              <w:adjustRightInd w:val="0"/>
              <w:snapToGrid w:val="0"/>
              <w:spacing w:line="300" w:lineRule="exact"/>
              <w:jc w:val="center"/>
              <w:rPr>
                <w:rFonts w:hint="default" w:ascii="Times New Roman" w:hAnsi="Times New Roman" w:eastAsia="宋体" w:cs="Times New Roman"/>
                <w:color w:val="auto"/>
                <w:kern w:val="0"/>
                <w:sz w:val="21"/>
                <w:szCs w:val="21"/>
              </w:rPr>
            </w:pPr>
          </w:p>
        </w:tc>
        <w:tc>
          <w:tcPr>
            <w:tcW w:w="172" w:type="pct"/>
            <w:noWrap w:val="0"/>
            <w:vAlign w:val="top"/>
          </w:tcPr>
          <w:p w14:paraId="3A4973A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11CE2E8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未检出</w:t>
            </w:r>
          </w:p>
        </w:tc>
        <w:tc>
          <w:tcPr>
            <w:tcW w:w="188" w:type="pct"/>
            <w:noWrap w:val="0"/>
            <w:vAlign w:val="center"/>
          </w:tcPr>
          <w:p w14:paraId="24D25F94">
            <w:pPr>
              <w:adjustRightInd w:val="0"/>
              <w:snapToGrid w:val="0"/>
              <w:spacing w:line="300" w:lineRule="exact"/>
              <w:jc w:val="center"/>
              <w:rPr>
                <w:rFonts w:hint="default" w:ascii="Times New Roman" w:hAnsi="Times New Roman" w:eastAsia="宋体" w:cs="Times New Roman"/>
                <w:color w:val="auto"/>
                <w:kern w:val="0"/>
                <w:sz w:val="21"/>
                <w:szCs w:val="21"/>
              </w:rPr>
            </w:pPr>
          </w:p>
        </w:tc>
        <w:tc>
          <w:tcPr>
            <w:tcW w:w="206" w:type="pct"/>
            <w:noWrap w:val="0"/>
            <w:vAlign w:val="top"/>
          </w:tcPr>
          <w:p w14:paraId="542AD6E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3E11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5A86011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w:t>
            </w:r>
          </w:p>
        </w:tc>
        <w:tc>
          <w:tcPr>
            <w:tcW w:w="453" w:type="pct"/>
            <w:noWrap w:val="0"/>
            <w:vAlign w:val="center"/>
          </w:tcPr>
          <w:p w14:paraId="7CE7891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菌落总数</w:t>
            </w:r>
          </w:p>
        </w:tc>
        <w:tc>
          <w:tcPr>
            <w:tcW w:w="420" w:type="pct"/>
            <w:noWrap w:val="0"/>
            <w:vAlign w:val="center"/>
          </w:tcPr>
          <w:p w14:paraId="6DB08A3F">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CFU/mL</w:t>
            </w:r>
          </w:p>
        </w:tc>
        <w:tc>
          <w:tcPr>
            <w:tcW w:w="284" w:type="pct"/>
            <w:noWrap w:val="0"/>
            <w:vAlign w:val="center"/>
          </w:tcPr>
          <w:p w14:paraId="07385B4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≤100</w:t>
            </w:r>
          </w:p>
        </w:tc>
        <w:tc>
          <w:tcPr>
            <w:tcW w:w="386" w:type="pct"/>
            <w:noWrap w:val="0"/>
            <w:vAlign w:val="center"/>
          </w:tcPr>
          <w:p w14:paraId="12759A6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11</w:t>
            </w:r>
          </w:p>
        </w:tc>
        <w:tc>
          <w:tcPr>
            <w:tcW w:w="233" w:type="pct"/>
            <w:noWrap w:val="0"/>
            <w:vAlign w:val="center"/>
          </w:tcPr>
          <w:p w14:paraId="278CA0C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0.11</w:t>
            </w:r>
          </w:p>
        </w:tc>
        <w:tc>
          <w:tcPr>
            <w:tcW w:w="235" w:type="pct"/>
            <w:noWrap w:val="0"/>
            <w:vAlign w:val="top"/>
          </w:tcPr>
          <w:p w14:paraId="52D41D3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0DE26AE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10</w:t>
            </w:r>
          </w:p>
        </w:tc>
        <w:tc>
          <w:tcPr>
            <w:tcW w:w="225" w:type="pct"/>
            <w:noWrap w:val="0"/>
            <w:vAlign w:val="center"/>
          </w:tcPr>
          <w:p w14:paraId="5CFDFE6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w:t>
            </w:r>
          </w:p>
        </w:tc>
        <w:tc>
          <w:tcPr>
            <w:tcW w:w="183" w:type="pct"/>
            <w:noWrap w:val="0"/>
            <w:vAlign w:val="top"/>
          </w:tcPr>
          <w:p w14:paraId="5DE7C89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5E80B8E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13</w:t>
            </w:r>
          </w:p>
        </w:tc>
        <w:tc>
          <w:tcPr>
            <w:tcW w:w="225" w:type="pct"/>
            <w:noWrap w:val="0"/>
            <w:vAlign w:val="center"/>
          </w:tcPr>
          <w:p w14:paraId="6502EA6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0.13</w:t>
            </w:r>
          </w:p>
        </w:tc>
        <w:tc>
          <w:tcPr>
            <w:tcW w:w="235" w:type="pct"/>
            <w:noWrap w:val="0"/>
            <w:vAlign w:val="top"/>
          </w:tcPr>
          <w:p w14:paraId="65AE64F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7855162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12</w:t>
            </w:r>
          </w:p>
        </w:tc>
        <w:tc>
          <w:tcPr>
            <w:tcW w:w="188" w:type="pct"/>
            <w:noWrap w:val="0"/>
            <w:vAlign w:val="center"/>
          </w:tcPr>
          <w:p w14:paraId="48D1653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0.12</w:t>
            </w:r>
          </w:p>
        </w:tc>
        <w:tc>
          <w:tcPr>
            <w:tcW w:w="172" w:type="pct"/>
            <w:noWrap w:val="0"/>
            <w:vAlign w:val="top"/>
          </w:tcPr>
          <w:p w14:paraId="0A336E6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4572A28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11</w:t>
            </w:r>
          </w:p>
        </w:tc>
        <w:tc>
          <w:tcPr>
            <w:tcW w:w="188" w:type="pct"/>
            <w:noWrap w:val="0"/>
            <w:vAlign w:val="center"/>
          </w:tcPr>
          <w:p w14:paraId="3E7B247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0.11</w:t>
            </w:r>
          </w:p>
        </w:tc>
        <w:tc>
          <w:tcPr>
            <w:tcW w:w="206" w:type="pct"/>
            <w:noWrap w:val="0"/>
            <w:vAlign w:val="top"/>
          </w:tcPr>
          <w:p w14:paraId="72FDBFD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747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2F5D8D6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22</w:t>
            </w:r>
          </w:p>
        </w:tc>
        <w:tc>
          <w:tcPr>
            <w:tcW w:w="453" w:type="pct"/>
            <w:noWrap w:val="0"/>
            <w:vAlign w:val="center"/>
          </w:tcPr>
          <w:p w14:paraId="76CBABB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耗氧量</w:t>
            </w:r>
          </w:p>
        </w:tc>
        <w:tc>
          <w:tcPr>
            <w:tcW w:w="420" w:type="pct"/>
            <w:noWrap w:val="0"/>
            <w:vAlign w:val="center"/>
          </w:tcPr>
          <w:p w14:paraId="1A354FC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5F2CF21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≤3.0</w:t>
            </w:r>
          </w:p>
        </w:tc>
        <w:tc>
          <w:tcPr>
            <w:tcW w:w="386" w:type="pct"/>
            <w:noWrap w:val="0"/>
            <w:vAlign w:val="center"/>
          </w:tcPr>
          <w:p w14:paraId="4707A34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0.8</w:t>
            </w:r>
          </w:p>
        </w:tc>
        <w:tc>
          <w:tcPr>
            <w:tcW w:w="233" w:type="pct"/>
            <w:noWrap w:val="0"/>
            <w:vAlign w:val="center"/>
          </w:tcPr>
          <w:p w14:paraId="1DF9222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235" w:type="pct"/>
            <w:noWrap w:val="0"/>
            <w:vAlign w:val="center"/>
          </w:tcPr>
          <w:p w14:paraId="124F962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1EAE211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0.7</w:t>
            </w:r>
          </w:p>
        </w:tc>
        <w:tc>
          <w:tcPr>
            <w:tcW w:w="225" w:type="pct"/>
            <w:noWrap w:val="0"/>
            <w:vAlign w:val="center"/>
          </w:tcPr>
          <w:p w14:paraId="2E9B7E3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0.23</w:t>
            </w:r>
          </w:p>
        </w:tc>
        <w:tc>
          <w:tcPr>
            <w:tcW w:w="183" w:type="pct"/>
            <w:noWrap w:val="0"/>
            <w:vAlign w:val="center"/>
          </w:tcPr>
          <w:p w14:paraId="1AF27E7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338" w:type="pct"/>
            <w:noWrap w:val="0"/>
            <w:vAlign w:val="center"/>
          </w:tcPr>
          <w:p w14:paraId="01F3C4F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0.6</w:t>
            </w:r>
          </w:p>
        </w:tc>
        <w:tc>
          <w:tcPr>
            <w:tcW w:w="225" w:type="pct"/>
            <w:noWrap w:val="0"/>
            <w:vAlign w:val="center"/>
          </w:tcPr>
          <w:p w14:paraId="5D89354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w:t>
            </w:r>
          </w:p>
        </w:tc>
        <w:tc>
          <w:tcPr>
            <w:tcW w:w="235" w:type="pct"/>
            <w:noWrap w:val="0"/>
            <w:vAlign w:val="center"/>
          </w:tcPr>
          <w:p w14:paraId="3B6B864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4F36D45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0.7</w:t>
            </w:r>
          </w:p>
        </w:tc>
        <w:tc>
          <w:tcPr>
            <w:tcW w:w="188" w:type="pct"/>
            <w:noWrap w:val="0"/>
            <w:vAlign w:val="center"/>
          </w:tcPr>
          <w:p w14:paraId="2691C75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0.23</w:t>
            </w:r>
          </w:p>
        </w:tc>
        <w:tc>
          <w:tcPr>
            <w:tcW w:w="172" w:type="pct"/>
            <w:noWrap w:val="0"/>
            <w:vAlign w:val="center"/>
          </w:tcPr>
          <w:p w14:paraId="30FAE4F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c>
          <w:tcPr>
            <w:tcW w:w="293" w:type="pct"/>
            <w:noWrap w:val="0"/>
            <w:vAlign w:val="center"/>
          </w:tcPr>
          <w:p w14:paraId="21D2681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0.8</w:t>
            </w:r>
          </w:p>
        </w:tc>
        <w:tc>
          <w:tcPr>
            <w:tcW w:w="188" w:type="pct"/>
            <w:noWrap w:val="0"/>
            <w:vAlign w:val="center"/>
          </w:tcPr>
          <w:p w14:paraId="5524261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206" w:type="pct"/>
            <w:noWrap w:val="0"/>
            <w:vAlign w:val="center"/>
          </w:tcPr>
          <w:p w14:paraId="2EB0CCC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07A5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19D8896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23</w:t>
            </w:r>
          </w:p>
        </w:tc>
        <w:tc>
          <w:tcPr>
            <w:tcW w:w="453" w:type="pct"/>
            <w:noWrap w:val="0"/>
            <w:vAlign w:val="center"/>
          </w:tcPr>
          <w:p w14:paraId="1ABB324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钠离子</w:t>
            </w:r>
          </w:p>
        </w:tc>
        <w:tc>
          <w:tcPr>
            <w:tcW w:w="420" w:type="pct"/>
            <w:noWrap w:val="0"/>
            <w:vAlign w:val="center"/>
          </w:tcPr>
          <w:p w14:paraId="7BAC642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7B5BE87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≤200</w:t>
            </w:r>
          </w:p>
        </w:tc>
        <w:tc>
          <w:tcPr>
            <w:tcW w:w="386" w:type="pct"/>
            <w:noWrap w:val="0"/>
            <w:vAlign w:val="center"/>
          </w:tcPr>
          <w:p w14:paraId="2F1EF40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300</w:t>
            </w:r>
          </w:p>
        </w:tc>
        <w:tc>
          <w:tcPr>
            <w:tcW w:w="233" w:type="pct"/>
            <w:noWrap w:val="0"/>
            <w:vAlign w:val="center"/>
          </w:tcPr>
          <w:p w14:paraId="1B0C030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235" w:type="pct"/>
            <w:noWrap w:val="0"/>
            <w:vAlign w:val="center"/>
          </w:tcPr>
          <w:p w14:paraId="606903C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51E4A1C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298</w:t>
            </w:r>
          </w:p>
        </w:tc>
        <w:tc>
          <w:tcPr>
            <w:tcW w:w="225" w:type="pct"/>
            <w:noWrap w:val="0"/>
            <w:vAlign w:val="center"/>
          </w:tcPr>
          <w:p w14:paraId="68C71E6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1.49</w:t>
            </w:r>
          </w:p>
        </w:tc>
        <w:tc>
          <w:tcPr>
            <w:tcW w:w="183" w:type="pct"/>
            <w:noWrap w:val="0"/>
            <w:vAlign w:val="center"/>
          </w:tcPr>
          <w:p w14:paraId="639D08C8">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338" w:type="pct"/>
            <w:noWrap w:val="0"/>
            <w:vAlign w:val="center"/>
          </w:tcPr>
          <w:p w14:paraId="412E9233">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300</w:t>
            </w:r>
          </w:p>
        </w:tc>
        <w:tc>
          <w:tcPr>
            <w:tcW w:w="225" w:type="pct"/>
            <w:noWrap w:val="0"/>
            <w:vAlign w:val="center"/>
          </w:tcPr>
          <w:p w14:paraId="0A4466E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235" w:type="pct"/>
            <w:noWrap w:val="0"/>
            <w:vAlign w:val="center"/>
          </w:tcPr>
          <w:p w14:paraId="448C1F39">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50C45B4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298</w:t>
            </w:r>
          </w:p>
        </w:tc>
        <w:tc>
          <w:tcPr>
            <w:tcW w:w="188" w:type="pct"/>
            <w:noWrap w:val="0"/>
            <w:vAlign w:val="center"/>
          </w:tcPr>
          <w:p w14:paraId="7DD9B23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1.49</w:t>
            </w:r>
          </w:p>
        </w:tc>
        <w:tc>
          <w:tcPr>
            <w:tcW w:w="172" w:type="pct"/>
            <w:noWrap w:val="0"/>
            <w:vAlign w:val="center"/>
          </w:tcPr>
          <w:p w14:paraId="1CD390E0">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c>
          <w:tcPr>
            <w:tcW w:w="293" w:type="pct"/>
            <w:noWrap w:val="0"/>
            <w:vAlign w:val="center"/>
          </w:tcPr>
          <w:p w14:paraId="4BB87EF0">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300</w:t>
            </w:r>
          </w:p>
        </w:tc>
        <w:tc>
          <w:tcPr>
            <w:tcW w:w="188" w:type="pct"/>
            <w:noWrap w:val="0"/>
            <w:vAlign w:val="center"/>
          </w:tcPr>
          <w:p w14:paraId="21A143F4">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206" w:type="pct"/>
            <w:noWrap w:val="0"/>
            <w:vAlign w:val="center"/>
          </w:tcPr>
          <w:p w14:paraId="0876BBED">
            <w:pPr>
              <w:adjustRightInd w:val="0"/>
              <w:snapToGrid w:val="0"/>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超标</w:t>
            </w:r>
          </w:p>
        </w:tc>
      </w:tr>
      <w:tr w14:paraId="2DB9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329CBEA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24</w:t>
            </w:r>
          </w:p>
        </w:tc>
        <w:tc>
          <w:tcPr>
            <w:tcW w:w="453" w:type="pct"/>
            <w:noWrap w:val="0"/>
            <w:vAlign w:val="center"/>
          </w:tcPr>
          <w:p w14:paraId="103DFB9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钾离子</w:t>
            </w:r>
          </w:p>
        </w:tc>
        <w:tc>
          <w:tcPr>
            <w:tcW w:w="420" w:type="pct"/>
            <w:noWrap w:val="0"/>
            <w:vAlign w:val="center"/>
          </w:tcPr>
          <w:p w14:paraId="44DB851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6C51F7E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386" w:type="pct"/>
            <w:noWrap w:val="0"/>
            <w:vAlign w:val="center"/>
          </w:tcPr>
          <w:p w14:paraId="3AE4BB9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31.1</w:t>
            </w:r>
          </w:p>
        </w:tc>
        <w:tc>
          <w:tcPr>
            <w:tcW w:w="233" w:type="pct"/>
            <w:noWrap w:val="0"/>
            <w:vAlign w:val="center"/>
          </w:tcPr>
          <w:p w14:paraId="46CA137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76B716C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0462A3A8">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30.4</w:t>
            </w:r>
          </w:p>
        </w:tc>
        <w:tc>
          <w:tcPr>
            <w:tcW w:w="225" w:type="pct"/>
            <w:noWrap w:val="0"/>
            <w:vAlign w:val="center"/>
          </w:tcPr>
          <w:p w14:paraId="2FAD46F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183" w:type="pct"/>
            <w:noWrap w:val="0"/>
            <w:vAlign w:val="top"/>
          </w:tcPr>
          <w:p w14:paraId="29EBD762">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3EA4451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31.0</w:t>
            </w:r>
          </w:p>
        </w:tc>
        <w:tc>
          <w:tcPr>
            <w:tcW w:w="225" w:type="pct"/>
            <w:noWrap w:val="0"/>
            <w:vAlign w:val="center"/>
          </w:tcPr>
          <w:p w14:paraId="052AC6FE">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5BF2B525">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14D66301">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31.4</w:t>
            </w:r>
          </w:p>
        </w:tc>
        <w:tc>
          <w:tcPr>
            <w:tcW w:w="188" w:type="pct"/>
            <w:noWrap w:val="0"/>
            <w:vAlign w:val="center"/>
          </w:tcPr>
          <w:p w14:paraId="266921DA">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172" w:type="pct"/>
            <w:noWrap w:val="0"/>
            <w:vAlign w:val="top"/>
          </w:tcPr>
          <w:p w14:paraId="046A84D7">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1D0410AC">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31.8</w:t>
            </w:r>
          </w:p>
        </w:tc>
        <w:tc>
          <w:tcPr>
            <w:tcW w:w="188" w:type="pct"/>
            <w:noWrap w:val="0"/>
            <w:vAlign w:val="center"/>
          </w:tcPr>
          <w:p w14:paraId="2AB68C96">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06" w:type="pct"/>
            <w:noWrap w:val="0"/>
            <w:vAlign w:val="top"/>
          </w:tcPr>
          <w:p w14:paraId="4B91D1F9">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r>
      <w:tr w14:paraId="1F12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5F84F8B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453" w:type="pct"/>
            <w:noWrap w:val="0"/>
            <w:vAlign w:val="center"/>
          </w:tcPr>
          <w:p w14:paraId="56A1C9C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钙离子</w:t>
            </w:r>
          </w:p>
        </w:tc>
        <w:tc>
          <w:tcPr>
            <w:tcW w:w="420" w:type="pct"/>
            <w:noWrap w:val="0"/>
            <w:vAlign w:val="center"/>
          </w:tcPr>
          <w:p w14:paraId="00DECF6B">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5F3F975D">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86" w:type="pct"/>
            <w:noWrap w:val="0"/>
            <w:vAlign w:val="center"/>
          </w:tcPr>
          <w:p w14:paraId="416938D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510</w:t>
            </w:r>
          </w:p>
        </w:tc>
        <w:tc>
          <w:tcPr>
            <w:tcW w:w="233" w:type="pct"/>
            <w:noWrap w:val="0"/>
            <w:vAlign w:val="center"/>
          </w:tcPr>
          <w:p w14:paraId="10035D00">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21E9A5F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3F7FFEE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512</w:t>
            </w:r>
          </w:p>
        </w:tc>
        <w:tc>
          <w:tcPr>
            <w:tcW w:w="225" w:type="pct"/>
            <w:noWrap w:val="0"/>
            <w:vAlign w:val="center"/>
          </w:tcPr>
          <w:p w14:paraId="3C60F99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83" w:type="pct"/>
            <w:noWrap w:val="0"/>
            <w:vAlign w:val="top"/>
          </w:tcPr>
          <w:p w14:paraId="70926621">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5A187FDD">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512</w:t>
            </w:r>
          </w:p>
        </w:tc>
        <w:tc>
          <w:tcPr>
            <w:tcW w:w="225" w:type="pct"/>
            <w:noWrap w:val="0"/>
            <w:vAlign w:val="center"/>
          </w:tcPr>
          <w:p w14:paraId="191952A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46332F16">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4FC61895">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514</w:t>
            </w:r>
          </w:p>
        </w:tc>
        <w:tc>
          <w:tcPr>
            <w:tcW w:w="188" w:type="pct"/>
            <w:noWrap w:val="0"/>
            <w:vAlign w:val="center"/>
          </w:tcPr>
          <w:p w14:paraId="5E80756F">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172" w:type="pct"/>
            <w:noWrap w:val="0"/>
            <w:vAlign w:val="top"/>
          </w:tcPr>
          <w:p w14:paraId="43AAEC7A">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7A62422D">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516</w:t>
            </w:r>
          </w:p>
        </w:tc>
        <w:tc>
          <w:tcPr>
            <w:tcW w:w="188" w:type="pct"/>
            <w:noWrap w:val="0"/>
            <w:vAlign w:val="center"/>
          </w:tcPr>
          <w:p w14:paraId="3060354B">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06" w:type="pct"/>
            <w:noWrap w:val="0"/>
            <w:vAlign w:val="top"/>
          </w:tcPr>
          <w:p w14:paraId="4FA0EC17">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r>
      <w:tr w14:paraId="71EB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7E808DC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453" w:type="pct"/>
            <w:noWrap w:val="0"/>
            <w:vAlign w:val="center"/>
          </w:tcPr>
          <w:p w14:paraId="1B6388D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镁离子</w:t>
            </w:r>
          </w:p>
        </w:tc>
        <w:tc>
          <w:tcPr>
            <w:tcW w:w="420" w:type="pct"/>
            <w:noWrap w:val="0"/>
            <w:vAlign w:val="center"/>
          </w:tcPr>
          <w:p w14:paraId="510D16FD">
            <w:pPr>
              <w:adjustRightInd w:val="0"/>
              <w:snapToGrid w:val="0"/>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mg/L</w:t>
            </w:r>
          </w:p>
        </w:tc>
        <w:tc>
          <w:tcPr>
            <w:tcW w:w="284" w:type="pct"/>
            <w:noWrap w:val="0"/>
            <w:vAlign w:val="center"/>
          </w:tcPr>
          <w:p w14:paraId="30E2027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86" w:type="pct"/>
            <w:noWrap w:val="0"/>
            <w:vAlign w:val="center"/>
          </w:tcPr>
          <w:p w14:paraId="04CB5591">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57.7</w:t>
            </w:r>
          </w:p>
        </w:tc>
        <w:tc>
          <w:tcPr>
            <w:tcW w:w="233" w:type="pct"/>
            <w:noWrap w:val="0"/>
            <w:vAlign w:val="center"/>
          </w:tcPr>
          <w:p w14:paraId="78A906D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674DC97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2F966BF8">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51.4</w:t>
            </w:r>
          </w:p>
        </w:tc>
        <w:tc>
          <w:tcPr>
            <w:tcW w:w="225" w:type="pct"/>
            <w:noWrap w:val="0"/>
            <w:vAlign w:val="center"/>
          </w:tcPr>
          <w:p w14:paraId="0B7DDB4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83" w:type="pct"/>
            <w:noWrap w:val="0"/>
            <w:vAlign w:val="top"/>
          </w:tcPr>
          <w:p w14:paraId="1B120BC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7951C04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51.0</w:t>
            </w:r>
          </w:p>
        </w:tc>
        <w:tc>
          <w:tcPr>
            <w:tcW w:w="225" w:type="pct"/>
            <w:noWrap w:val="0"/>
            <w:vAlign w:val="center"/>
          </w:tcPr>
          <w:p w14:paraId="0B1D965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7639269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615131D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50.2</w:t>
            </w:r>
          </w:p>
        </w:tc>
        <w:tc>
          <w:tcPr>
            <w:tcW w:w="188" w:type="pct"/>
            <w:noWrap w:val="0"/>
            <w:vAlign w:val="center"/>
          </w:tcPr>
          <w:p w14:paraId="58B3319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72" w:type="pct"/>
            <w:noWrap w:val="0"/>
            <w:vAlign w:val="top"/>
          </w:tcPr>
          <w:p w14:paraId="32CDC83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24A47576">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59.0</w:t>
            </w:r>
          </w:p>
        </w:tc>
        <w:tc>
          <w:tcPr>
            <w:tcW w:w="188" w:type="pct"/>
            <w:noWrap w:val="0"/>
            <w:vAlign w:val="center"/>
          </w:tcPr>
          <w:p w14:paraId="7CBCC98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06" w:type="pct"/>
            <w:noWrap w:val="0"/>
            <w:vAlign w:val="top"/>
          </w:tcPr>
          <w:p w14:paraId="071E33F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r>
      <w:tr w14:paraId="684C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260E463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453" w:type="pct"/>
            <w:noWrap w:val="0"/>
            <w:vAlign w:val="center"/>
          </w:tcPr>
          <w:p w14:paraId="34E00559">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碳酸氢根</w:t>
            </w:r>
          </w:p>
        </w:tc>
        <w:tc>
          <w:tcPr>
            <w:tcW w:w="420" w:type="pct"/>
            <w:noWrap w:val="0"/>
            <w:vAlign w:val="center"/>
          </w:tcPr>
          <w:p w14:paraId="0ADE858D">
            <w:pPr>
              <w:adjustRightInd w:val="0"/>
              <w:snapToGrid w:val="0"/>
              <w:spacing w:line="300" w:lineRule="exact"/>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bCs/>
                <w:color w:val="auto"/>
                <w:sz w:val="21"/>
                <w:szCs w:val="21"/>
              </w:rPr>
              <w:t>mg/L</w:t>
            </w:r>
          </w:p>
        </w:tc>
        <w:tc>
          <w:tcPr>
            <w:tcW w:w="284" w:type="pct"/>
            <w:noWrap w:val="0"/>
            <w:vAlign w:val="center"/>
          </w:tcPr>
          <w:p w14:paraId="270EDA1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86" w:type="pct"/>
            <w:noWrap w:val="0"/>
            <w:vAlign w:val="center"/>
          </w:tcPr>
          <w:p w14:paraId="37B5FA4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421</w:t>
            </w:r>
          </w:p>
        </w:tc>
        <w:tc>
          <w:tcPr>
            <w:tcW w:w="233" w:type="pct"/>
            <w:noWrap w:val="0"/>
            <w:vAlign w:val="center"/>
          </w:tcPr>
          <w:p w14:paraId="0B3043F1">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162A3D60">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42FD860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378</w:t>
            </w:r>
          </w:p>
        </w:tc>
        <w:tc>
          <w:tcPr>
            <w:tcW w:w="225" w:type="pct"/>
            <w:noWrap w:val="0"/>
            <w:vAlign w:val="center"/>
          </w:tcPr>
          <w:p w14:paraId="01293DED">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83" w:type="pct"/>
            <w:noWrap w:val="0"/>
            <w:vAlign w:val="top"/>
          </w:tcPr>
          <w:p w14:paraId="41C5DB5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7D81458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459</w:t>
            </w:r>
          </w:p>
        </w:tc>
        <w:tc>
          <w:tcPr>
            <w:tcW w:w="225" w:type="pct"/>
            <w:noWrap w:val="0"/>
            <w:vAlign w:val="center"/>
          </w:tcPr>
          <w:p w14:paraId="31E9BA9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1C7C4BD9">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069D9ED8">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467</w:t>
            </w:r>
          </w:p>
        </w:tc>
        <w:tc>
          <w:tcPr>
            <w:tcW w:w="188" w:type="pct"/>
            <w:noWrap w:val="0"/>
            <w:vAlign w:val="center"/>
          </w:tcPr>
          <w:p w14:paraId="4B76D2BA">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172" w:type="pct"/>
            <w:noWrap w:val="0"/>
            <w:vAlign w:val="top"/>
          </w:tcPr>
          <w:p w14:paraId="5B87B83A">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1C74795C">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501</w:t>
            </w:r>
          </w:p>
        </w:tc>
        <w:tc>
          <w:tcPr>
            <w:tcW w:w="188" w:type="pct"/>
            <w:noWrap w:val="0"/>
            <w:vAlign w:val="center"/>
          </w:tcPr>
          <w:p w14:paraId="37DBD7C4">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06" w:type="pct"/>
            <w:noWrap w:val="0"/>
            <w:vAlign w:val="top"/>
          </w:tcPr>
          <w:p w14:paraId="62ADCC7C">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r>
      <w:tr w14:paraId="48C8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7AE8012E">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453" w:type="pct"/>
            <w:noWrap w:val="0"/>
            <w:vAlign w:val="center"/>
          </w:tcPr>
          <w:p w14:paraId="56B8731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碳酸根</w:t>
            </w:r>
          </w:p>
        </w:tc>
        <w:tc>
          <w:tcPr>
            <w:tcW w:w="420" w:type="pct"/>
            <w:noWrap w:val="0"/>
            <w:vAlign w:val="center"/>
          </w:tcPr>
          <w:p w14:paraId="7A1BCDA5">
            <w:pPr>
              <w:adjustRightInd w:val="0"/>
              <w:snapToGrid w:val="0"/>
              <w:spacing w:line="300" w:lineRule="exact"/>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bCs/>
                <w:color w:val="auto"/>
                <w:sz w:val="21"/>
                <w:szCs w:val="21"/>
              </w:rPr>
              <w:t>mg/L</w:t>
            </w:r>
          </w:p>
        </w:tc>
        <w:tc>
          <w:tcPr>
            <w:tcW w:w="284" w:type="pct"/>
            <w:noWrap w:val="0"/>
            <w:vAlign w:val="center"/>
          </w:tcPr>
          <w:p w14:paraId="6DEAE028">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86" w:type="pct"/>
            <w:noWrap w:val="0"/>
            <w:vAlign w:val="center"/>
          </w:tcPr>
          <w:p w14:paraId="35A0D3EE">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w:t>
            </w:r>
          </w:p>
        </w:tc>
        <w:tc>
          <w:tcPr>
            <w:tcW w:w="233" w:type="pct"/>
            <w:noWrap w:val="0"/>
            <w:vAlign w:val="center"/>
          </w:tcPr>
          <w:p w14:paraId="57C6A53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0813DAD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6E4D2BC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w:t>
            </w:r>
          </w:p>
        </w:tc>
        <w:tc>
          <w:tcPr>
            <w:tcW w:w="225" w:type="pct"/>
            <w:noWrap w:val="0"/>
            <w:vAlign w:val="center"/>
          </w:tcPr>
          <w:p w14:paraId="59E9BFC8">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83" w:type="pct"/>
            <w:noWrap w:val="0"/>
            <w:vAlign w:val="top"/>
          </w:tcPr>
          <w:p w14:paraId="21A599ED">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02BB5B6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w:t>
            </w:r>
          </w:p>
        </w:tc>
        <w:tc>
          <w:tcPr>
            <w:tcW w:w="225" w:type="pct"/>
            <w:noWrap w:val="0"/>
            <w:vAlign w:val="center"/>
          </w:tcPr>
          <w:p w14:paraId="24868366">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0034EAA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5D673172">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＜5</w:t>
            </w:r>
          </w:p>
        </w:tc>
        <w:tc>
          <w:tcPr>
            <w:tcW w:w="188" w:type="pct"/>
            <w:noWrap w:val="0"/>
            <w:vAlign w:val="center"/>
          </w:tcPr>
          <w:p w14:paraId="0E7F8B38">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172" w:type="pct"/>
            <w:noWrap w:val="0"/>
            <w:vAlign w:val="top"/>
          </w:tcPr>
          <w:p w14:paraId="62592037">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4C8EF6FD">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＜5</w:t>
            </w:r>
          </w:p>
        </w:tc>
        <w:tc>
          <w:tcPr>
            <w:tcW w:w="188" w:type="pct"/>
            <w:noWrap w:val="0"/>
            <w:vAlign w:val="center"/>
          </w:tcPr>
          <w:p w14:paraId="7A4D5A26">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06" w:type="pct"/>
            <w:noWrap w:val="0"/>
            <w:vAlign w:val="top"/>
          </w:tcPr>
          <w:p w14:paraId="45F5FDED">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r>
      <w:tr w14:paraId="005F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0F7A020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453" w:type="pct"/>
            <w:noWrap w:val="0"/>
            <w:vAlign w:val="center"/>
          </w:tcPr>
          <w:p w14:paraId="16542478">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氯离子</w:t>
            </w:r>
          </w:p>
        </w:tc>
        <w:tc>
          <w:tcPr>
            <w:tcW w:w="420" w:type="pct"/>
            <w:noWrap w:val="0"/>
            <w:vAlign w:val="center"/>
          </w:tcPr>
          <w:p w14:paraId="35A6E15F">
            <w:pPr>
              <w:adjustRightInd w:val="0"/>
              <w:snapToGrid w:val="0"/>
              <w:spacing w:line="300" w:lineRule="exact"/>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bCs/>
                <w:color w:val="auto"/>
                <w:sz w:val="21"/>
                <w:szCs w:val="21"/>
              </w:rPr>
              <w:t>mg/L</w:t>
            </w:r>
          </w:p>
        </w:tc>
        <w:tc>
          <w:tcPr>
            <w:tcW w:w="284" w:type="pct"/>
            <w:noWrap w:val="0"/>
            <w:vAlign w:val="center"/>
          </w:tcPr>
          <w:p w14:paraId="593FCCC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86" w:type="pct"/>
            <w:noWrap w:val="0"/>
            <w:vAlign w:val="center"/>
          </w:tcPr>
          <w:p w14:paraId="2DB695A9">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485</w:t>
            </w:r>
          </w:p>
        </w:tc>
        <w:tc>
          <w:tcPr>
            <w:tcW w:w="233" w:type="pct"/>
            <w:noWrap w:val="0"/>
            <w:vAlign w:val="center"/>
          </w:tcPr>
          <w:p w14:paraId="294B317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5EDE0F81">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363F8849">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600</w:t>
            </w:r>
          </w:p>
        </w:tc>
        <w:tc>
          <w:tcPr>
            <w:tcW w:w="225" w:type="pct"/>
            <w:noWrap w:val="0"/>
            <w:vAlign w:val="center"/>
          </w:tcPr>
          <w:p w14:paraId="2186D2E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83" w:type="pct"/>
            <w:noWrap w:val="0"/>
            <w:vAlign w:val="top"/>
          </w:tcPr>
          <w:p w14:paraId="42BB3AC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38" w:type="pct"/>
            <w:noWrap w:val="0"/>
            <w:vAlign w:val="center"/>
          </w:tcPr>
          <w:p w14:paraId="1B7FAEA7">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592</w:t>
            </w:r>
          </w:p>
        </w:tc>
        <w:tc>
          <w:tcPr>
            <w:tcW w:w="225" w:type="pct"/>
            <w:noWrap w:val="0"/>
            <w:vAlign w:val="center"/>
          </w:tcPr>
          <w:p w14:paraId="27664CF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top"/>
          </w:tcPr>
          <w:p w14:paraId="2B976B2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510D3C0F">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429</w:t>
            </w:r>
          </w:p>
        </w:tc>
        <w:tc>
          <w:tcPr>
            <w:tcW w:w="188" w:type="pct"/>
            <w:noWrap w:val="0"/>
            <w:vAlign w:val="center"/>
          </w:tcPr>
          <w:p w14:paraId="64A19CA7">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172" w:type="pct"/>
            <w:noWrap w:val="0"/>
            <w:vAlign w:val="top"/>
          </w:tcPr>
          <w:p w14:paraId="11D8652F">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93" w:type="pct"/>
            <w:noWrap w:val="0"/>
            <w:vAlign w:val="center"/>
          </w:tcPr>
          <w:p w14:paraId="523DE675">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581</w:t>
            </w:r>
          </w:p>
        </w:tc>
        <w:tc>
          <w:tcPr>
            <w:tcW w:w="188" w:type="pct"/>
            <w:noWrap w:val="0"/>
            <w:vAlign w:val="center"/>
          </w:tcPr>
          <w:p w14:paraId="4F1D8C11">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06" w:type="pct"/>
            <w:noWrap w:val="0"/>
            <w:vAlign w:val="top"/>
          </w:tcPr>
          <w:p w14:paraId="60706487">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r>
      <w:tr w14:paraId="40BA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073BACAE">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453" w:type="pct"/>
            <w:noWrap w:val="0"/>
            <w:vAlign w:val="center"/>
          </w:tcPr>
          <w:p w14:paraId="17B1470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c>
          <w:tcPr>
            <w:tcW w:w="420" w:type="pct"/>
            <w:noWrap w:val="0"/>
            <w:vAlign w:val="center"/>
          </w:tcPr>
          <w:p w14:paraId="00050AD8">
            <w:pPr>
              <w:adjustRightInd w:val="0"/>
              <w:snapToGrid w:val="0"/>
              <w:spacing w:line="300" w:lineRule="exact"/>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bCs/>
                <w:color w:val="auto"/>
                <w:sz w:val="21"/>
                <w:szCs w:val="21"/>
              </w:rPr>
              <w:t>mg/L</w:t>
            </w:r>
          </w:p>
        </w:tc>
        <w:tc>
          <w:tcPr>
            <w:tcW w:w="284" w:type="pct"/>
            <w:noWrap w:val="0"/>
            <w:vAlign w:val="center"/>
          </w:tcPr>
          <w:p w14:paraId="4FC6486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≤0.02</w:t>
            </w:r>
          </w:p>
        </w:tc>
        <w:tc>
          <w:tcPr>
            <w:tcW w:w="386" w:type="pct"/>
            <w:noWrap w:val="0"/>
            <w:vAlign w:val="center"/>
          </w:tcPr>
          <w:p w14:paraId="65DD2DD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＜0.003</w:t>
            </w:r>
          </w:p>
        </w:tc>
        <w:tc>
          <w:tcPr>
            <w:tcW w:w="233" w:type="pct"/>
            <w:noWrap w:val="0"/>
            <w:vAlign w:val="center"/>
          </w:tcPr>
          <w:p w14:paraId="432B901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center"/>
          </w:tcPr>
          <w:p w14:paraId="6C718A5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338" w:type="pct"/>
            <w:noWrap w:val="0"/>
            <w:vAlign w:val="center"/>
          </w:tcPr>
          <w:p w14:paraId="48352567">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＜0.003</w:t>
            </w:r>
          </w:p>
        </w:tc>
        <w:tc>
          <w:tcPr>
            <w:tcW w:w="225" w:type="pct"/>
            <w:noWrap w:val="0"/>
            <w:vAlign w:val="center"/>
          </w:tcPr>
          <w:p w14:paraId="399654F6">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83" w:type="pct"/>
            <w:noWrap w:val="0"/>
            <w:vAlign w:val="center"/>
          </w:tcPr>
          <w:p w14:paraId="6BB9B30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338" w:type="pct"/>
            <w:noWrap w:val="0"/>
            <w:vAlign w:val="center"/>
          </w:tcPr>
          <w:p w14:paraId="399360D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＜0.003</w:t>
            </w:r>
          </w:p>
        </w:tc>
        <w:tc>
          <w:tcPr>
            <w:tcW w:w="225" w:type="pct"/>
            <w:noWrap w:val="0"/>
            <w:vAlign w:val="center"/>
          </w:tcPr>
          <w:p w14:paraId="072D7138">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center"/>
          </w:tcPr>
          <w:p w14:paraId="322A840D">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293" w:type="pct"/>
            <w:noWrap w:val="0"/>
            <w:vAlign w:val="center"/>
          </w:tcPr>
          <w:p w14:paraId="07D69600">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＜0.003</w:t>
            </w:r>
          </w:p>
        </w:tc>
        <w:tc>
          <w:tcPr>
            <w:tcW w:w="188" w:type="pct"/>
            <w:noWrap w:val="0"/>
            <w:vAlign w:val="center"/>
          </w:tcPr>
          <w:p w14:paraId="1F58C957">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172" w:type="pct"/>
            <w:noWrap w:val="0"/>
            <w:vAlign w:val="center"/>
          </w:tcPr>
          <w:p w14:paraId="450E8D93">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c>
          <w:tcPr>
            <w:tcW w:w="293" w:type="pct"/>
            <w:noWrap w:val="0"/>
            <w:vAlign w:val="center"/>
          </w:tcPr>
          <w:p w14:paraId="3FC8E0B9">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＜0.003</w:t>
            </w:r>
          </w:p>
        </w:tc>
        <w:tc>
          <w:tcPr>
            <w:tcW w:w="188" w:type="pct"/>
            <w:noWrap w:val="0"/>
            <w:vAlign w:val="center"/>
          </w:tcPr>
          <w:p w14:paraId="720A953A">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06" w:type="pct"/>
            <w:noWrap w:val="0"/>
            <w:vAlign w:val="center"/>
          </w:tcPr>
          <w:p w14:paraId="40103661">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r>
      <w:tr w14:paraId="2A16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2BD0BE0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453" w:type="pct"/>
            <w:noWrap w:val="0"/>
            <w:vAlign w:val="center"/>
          </w:tcPr>
          <w:p w14:paraId="034BFE96">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石油类</w:t>
            </w:r>
          </w:p>
        </w:tc>
        <w:tc>
          <w:tcPr>
            <w:tcW w:w="420" w:type="pct"/>
            <w:noWrap w:val="0"/>
            <w:vAlign w:val="center"/>
          </w:tcPr>
          <w:p w14:paraId="49C2EDA4">
            <w:pPr>
              <w:adjustRightInd w:val="0"/>
              <w:snapToGrid w:val="0"/>
              <w:spacing w:line="300" w:lineRule="exact"/>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bCs/>
                <w:color w:val="auto"/>
                <w:sz w:val="21"/>
                <w:szCs w:val="21"/>
              </w:rPr>
              <w:t>mg/L</w:t>
            </w:r>
          </w:p>
        </w:tc>
        <w:tc>
          <w:tcPr>
            <w:tcW w:w="284" w:type="pct"/>
            <w:noWrap w:val="0"/>
            <w:vAlign w:val="center"/>
          </w:tcPr>
          <w:p w14:paraId="7419B6F9">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386" w:type="pct"/>
            <w:noWrap w:val="0"/>
            <w:vAlign w:val="center"/>
          </w:tcPr>
          <w:p w14:paraId="7E82688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＜0.01</w:t>
            </w:r>
          </w:p>
        </w:tc>
        <w:tc>
          <w:tcPr>
            <w:tcW w:w="233" w:type="pct"/>
            <w:noWrap w:val="0"/>
            <w:vAlign w:val="center"/>
          </w:tcPr>
          <w:p w14:paraId="734BA46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center"/>
          </w:tcPr>
          <w:p w14:paraId="4846532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338" w:type="pct"/>
            <w:noWrap w:val="0"/>
            <w:vAlign w:val="center"/>
          </w:tcPr>
          <w:p w14:paraId="43FF3D7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＜0.01</w:t>
            </w:r>
          </w:p>
        </w:tc>
        <w:tc>
          <w:tcPr>
            <w:tcW w:w="225" w:type="pct"/>
            <w:noWrap w:val="0"/>
            <w:vAlign w:val="center"/>
          </w:tcPr>
          <w:p w14:paraId="749871B7">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83" w:type="pct"/>
            <w:noWrap w:val="0"/>
            <w:vAlign w:val="center"/>
          </w:tcPr>
          <w:p w14:paraId="74D0321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338" w:type="pct"/>
            <w:noWrap w:val="0"/>
            <w:vAlign w:val="center"/>
          </w:tcPr>
          <w:p w14:paraId="100A164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＜0.01</w:t>
            </w:r>
          </w:p>
        </w:tc>
        <w:tc>
          <w:tcPr>
            <w:tcW w:w="225" w:type="pct"/>
            <w:noWrap w:val="0"/>
            <w:vAlign w:val="center"/>
          </w:tcPr>
          <w:p w14:paraId="1ACC5DC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5" w:type="pct"/>
            <w:noWrap w:val="0"/>
            <w:vAlign w:val="center"/>
          </w:tcPr>
          <w:p w14:paraId="31F6802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293" w:type="pct"/>
            <w:noWrap w:val="0"/>
            <w:vAlign w:val="center"/>
          </w:tcPr>
          <w:p w14:paraId="71B34E2D">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＜0.01</w:t>
            </w:r>
          </w:p>
        </w:tc>
        <w:tc>
          <w:tcPr>
            <w:tcW w:w="188" w:type="pct"/>
            <w:noWrap w:val="0"/>
            <w:vAlign w:val="center"/>
          </w:tcPr>
          <w:p w14:paraId="3EFECFFE">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172" w:type="pct"/>
            <w:noWrap w:val="0"/>
            <w:vAlign w:val="center"/>
          </w:tcPr>
          <w:p w14:paraId="2AC243FC">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c>
          <w:tcPr>
            <w:tcW w:w="293" w:type="pct"/>
            <w:noWrap w:val="0"/>
            <w:vAlign w:val="center"/>
          </w:tcPr>
          <w:p w14:paraId="3888EB56">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＜0.01</w:t>
            </w:r>
          </w:p>
        </w:tc>
        <w:tc>
          <w:tcPr>
            <w:tcW w:w="188" w:type="pct"/>
            <w:noWrap w:val="0"/>
            <w:vAlign w:val="center"/>
          </w:tcPr>
          <w:p w14:paraId="1A350F46">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w:t>
            </w:r>
          </w:p>
        </w:tc>
        <w:tc>
          <w:tcPr>
            <w:tcW w:w="206" w:type="pct"/>
            <w:noWrap w:val="0"/>
            <w:vAlign w:val="center"/>
          </w:tcPr>
          <w:p w14:paraId="56E3D4B1">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r>
      <w:tr w14:paraId="3112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 w:type="pct"/>
            <w:noWrap w:val="0"/>
            <w:vAlign w:val="center"/>
          </w:tcPr>
          <w:p w14:paraId="54CE921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453" w:type="pct"/>
            <w:noWrap w:val="0"/>
            <w:vAlign w:val="center"/>
          </w:tcPr>
          <w:p w14:paraId="3BA4338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钡</w:t>
            </w:r>
          </w:p>
        </w:tc>
        <w:tc>
          <w:tcPr>
            <w:tcW w:w="420" w:type="pct"/>
            <w:noWrap w:val="0"/>
            <w:vAlign w:val="center"/>
          </w:tcPr>
          <w:p w14:paraId="41F26CCF">
            <w:pPr>
              <w:adjustRightInd w:val="0"/>
              <w:snapToGrid w:val="0"/>
              <w:spacing w:line="300" w:lineRule="exact"/>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bCs/>
                <w:color w:val="auto"/>
                <w:sz w:val="21"/>
                <w:szCs w:val="21"/>
              </w:rPr>
              <w:t>mg/L</w:t>
            </w:r>
          </w:p>
        </w:tc>
        <w:tc>
          <w:tcPr>
            <w:tcW w:w="284" w:type="pct"/>
            <w:noWrap w:val="0"/>
            <w:vAlign w:val="center"/>
          </w:tcPr>
          <w:p w14:paraId="5DF47B1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≤0.70</w:t>
            </w:r>
          </w:p>
        </w:tc>
        <w:tc>
          <w:tcPr>
            <w:tcW w:w="386" w:type="pct"/>
            <w:noWrap w:val="0"/>
            <w:vAlign w:val="center"/>
          </w:tcPr>
          <w:p w14:paraId="7F3C4750">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0.0339</w:t>
            </w:r>
          </w:p>
        </w:tc>
        <w:tc>
          <w:tcPr>
            <w:tcW w:w="233" w:type="pct"/>
            <w:noWrap w:val="0"/>
            <w:vAlign w:val="center"/>
          </w:tcPr>
          <w:p w14:paraId="5B3A6FBE">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0.048</w:t>
            </w:r>
          </w:p>
        </w:tc>
        <w:tc>
          <w:tcPr>
            <w:tcW w:w="235" w:type="pct"/>
            <w:noWrap w:val="0"/>
            <w:vAlign w:val="center"/>
          </w:tcPr>
          <w:p w14:paraId="1A17BD6E">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338" w:type="pct"/>
            <w:noWrap w:val="0"/>
            <w:vAlign w:val="center"/>
          </w:tcPr>
          <w:p w14:paraId="0F6AB67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0.0324</w:t>
            </w:r>
          </w:p>
        </w:tc>
        <w:tc>
          <w:tcPr>
            <w:tcW w:w="225" w:type="pct"/>
            <w:noWrap w:val="0"/>
            <w:vAlign w:val="center"/>
          </w:tcPr>
          <w:p w14:paraId="4A28A390">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0.046</w:t>
            </w:r>
          </w:p>
        </w:tc>
        <w:tc>
          <w:tcPr>
            <w:tcW w:w="183" w:type="pct"/>
            <w:noWrap w:val="0"/>
            <w:vAlign w:val="center"/>
          </w:tcPr>
          <w:p w14:paraId="72098E5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338" w:type="pct"/>
            <w:noWrap w:val="0"/>
            <w:vAlign w:val="center"/>
          </w:tcPr>
          <w:p w14:paraId="18A62CB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0.0374</w:t>
            </w:r>
          </w:p>
        </w:tc>
        <w:tc>
          <w:tcPr>
            <w:tcW w:w="225" w:type="pct"/>
            <w:noWrap w:val="0"/>
            <w:vAlign w:val="center"/>
          </w:tcPr>
          <w:p w14:paraId="22730EA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0.053</w:t>
            </w:r>
          </w:p>
        </w:tc>
        <w:tc>
          <w:tcPr>
            <w:tcW w:w="235" w:type="pct"/>
            <w:noWrap w:val="0"/>
            <w:vAlign w:val="center"/>
          </w:tcPr>
          <w:p w14:paraId="3D6DCFB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293" w:type="pct"/>
            <w:noWrap w:val="0"/>
            <w:vAlign w:val="center"/>
          </w:tcPr>
          <w:p w14:paraId="64E72F47">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0.0380</w:t>
            </w:r>
          </w:p>
        </w:tc>
        <w:tc>
          <w:tcPr>
            <w:tcW w:w="188" w:type="pct"/>
            <w:noWrap w:val="0"/>
            <w:vAlign w:val="center"/>
          </w:tcPr>
          <w:p w14:paraId="0E75892E">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0.054</w:t>
            </w:r>
          </w:p>
        </w:tc>
        <w:tc>
          <w:tcPr>
            <w:tcW w:w="172" w:type="pct"/>
            <w:noWrap w:val="0"/>
            <w:vAlign w:val="center"/>
          </w:tcPr>
          <w:p w14:paraId="0F98C69D">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c>
          <w:tcPr>
            <w:tcW w:w="293" w:type="pct"/>
            <w:noWrap w:val="0"/>
            <w:vAlign w:val="center"/>
          </w:tcPr>
          <w:p w14:paraId="601FE7FC">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0.0314</w:t>
            </w:r>
          </w:p>
        </w:tc>
        <w:tc>
          <w:tcPr>
            <w:tcW w:w="188" w:type="pct"/>
            <w:noWrap w:val="0"/>
            <w:vAlign w:val="center"/>
          </w:tcPr>
          <w:p w14:paraId="72BD49CB">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0.045</w:t>
            </w:r>
          </w:p>
        </w:tc>
        <w:tc>
          <w:tcPr>
            <w:tcW w:w="206" w:type="pct"/>
            <w:noWrap w:val="0"/>
            <w:vAlign w:val="center"/>
          </w:tcPr>
          <w:p w14:paraId="60304F2C">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r>
    </w:tbl>
    <w:p w14:paraId="753834AA">
      <w:pPr>
        <w:pStyle w:val="43"/>
        <w:bidi w:val="0"/>
        <w:rPr>
          <w:rFonts w:hint="eastAsia"/>
          <w:color w:val="auto"/>
        </w:rPr>
      </w:pPr>
      <w:r>
        <w:rPr>
          <w:rFonts w:hint="eastAsia"/>
          <w:color w:val="auto"/>
        </w:rPr>
        <w:t>表</w:t>
      </w:r>
      <w:r>
        <w:rPr>
          <w:rFonts w:hint="eastAsia"/>
          <w:color w:val="auto"/>
          <w:lang w:val="en-US" w:eastAsia="zh-CN"/>
        </w:rPr>
        <w:t>4.2-7（b）</w:t>
      </w:r>
      <w:r>
        <w:rPr>
          <w:rFonts w:hint="eastAsia"/>
          <w:color w:val="auto"/>
        </w:rPr>
        <w:t xml:space="preserve">  地下水水位监测数据一览表</w:t>
      </w:r>
    </w:p>
    <w:tbl>
      <w:tblPr>
        <w:tblStyle w:val="27"/>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4356"/>
        <w:gridCol w:w="4083"/>
        <w:gridCol w:w="4089"/>
      </w:tblGrid>
      <w:tr w14:paraId="26FA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7" w:type="pct"/>
            <w:shd w:val="clear" w:color="auto" w:fill="auto"/>
            <w:noWrap w:val="0"/>
            <w:vAlign w:val="center"/>
          </w:tcPr>
          <w:p w14:paraId="2359FB76">
            <w:pPr>
              <w:pStyle w:val="57"/>
              <w:adjustRightInd w:val="0"/>
              <w:snapToGrid w:val="0"/>
              <w:spacing w:line="300" w:lineRule="exact"/>
              <w:ind w:firstLine="0" w:firstLine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监测点</w:t>
            </w:r>
          </w:p>
        </w:tc>
        <w:tc>
          <w:tcPr>
            <w:tcW w:w="1551" w:type="pct"/>
            <w:shd w:val="clear" w:color="auto" w:fill="auto"/>
            <w:noWrap w:val="0"/>
            <w:vAlign w:val="center"/>
          </w:tcPr>
          <w:p w14:paraId="4DB1F750">
            <w:pPr>
              <w:pStyle w:val="57"/>
              <w:adjustRightInd w:val="0"/>
              <w:snapToGrid w:val="0"/>
              <w:spacing w:line="300" w:lineRule="exact"/>
              <w:ind w:firstLine="0" w:firstLine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水位（m）</w:t>
            </w:r>
          </w:p>
        </w:tc>
        <w:tc>
          <w:tcPr>
            <w:tcW w:w="1454" w:type="pct"/>
            <w:shd w:val="clear" w:color="auto" w:fill="auto"/>
            <w:noWrap w:val="0"/>
            <w:vAlign w:val="center"/>
          </w:tcPr>
          <w:p w14:paraId="03F0F0FE">
            <w:pPr>
              <w:pStyle w:val="57"/>
              <w:adjustRightInd w:val="0"/>
              <w:snapToGrid w:val="0"/>
              <w:spacing w:line="300" w:lineRule="exact"/>
              <w:ind w:firstLine="0" w:firstLine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监测点</w:t>
            </w:r>
          </w:p>
        </w:tc>
        <w:tc>
          <w:tcPr>
            <w:tcW w:w="1456" w:type="pct"/>
            <w:shd w:val="clear" w:color="auto" w:fill="auto"/>
            <w:noWrap w:val="0"/>
            <w:vAlign w:val="center"/>
          </w:tcPr>
          <w:p w14:paraId="568860F4">
            <w:pPr>
              <w:pStyle w:val="57"/>
              <w:adjustRightInd w:val="0"/>
              <w:snapToGrid w:val="0"/>
              <w:spacing w:line="300" w:lineRule="exact"/>
              <w:ind w:firstLine="0" w:firstLine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水位（m）</w:t>
            </w:r>
          </w:p>
        </w:tc>
      </w:tr>
      <w:tr w14:paraId="2DB0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7" w:type="pct"/>
            <w:shd w:val="clear" w:color="auto" w:fill="auto"/>
            <w:noWrap w:val="0"/>
            <w:vAlign w:val="center"/>
          </w:tcPr>
          <w:p w14:paraId="12694875">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1</w:t>
            </w:r>
          </w:p>
        </w:tc>
        <w:tc>
          <w:tcPr>
            <w:tcW w:w="1551" w:type="pct"/>
            <w:shd w:val="clear" w:color="auto" w:fill="auto"/>
            <w:noWrap w:val="0"/>
            <w:vAlign w:val="center"/>
          </w:tcPr>
          <w:p w14:paraId="465FD0B4">
            <w:pPr>
              <w:pStyle w:val="57"/>
              <w:adjustRightInd w:val="0"/>
              <w:snapToGrid w:val="0"/>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16.9</w:t>
            </w:r>
          </w:p>
        </w:tc>
        <w:tc>
          <w:tcPr>
            <w:tcW w:w="1454" w:type="pct"/>
            <w:shd w:val="clear" w:color="auto" w:fill="auto"/>
            <w:noWrap w:val="0"/>
            <w:vAlign w:val="center"/>
          </w:tcPr>
          <w:p w14:paraId="6EF5C87A">
            <w:pPr>
              <w:pStyle w:val="57"/>
              <w:adjustRightInd w:val="0"/>
              <w:snapToGrid w:val="0"/>
              <w:spacing w:line="300" w:lineRule="exact"/>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6</w:t>
            </w:r>
          </w:p>
        </w:tc>
        <w:tc>
          <w:tcPr>
            <w:tcW w:w="1456" w:type="pct"/>
            <w:shd w:val="clear" w:color="auto" w:fill="auto"/>
            <w:noWrap w:val="0"/>
            <w:vAlign w:val="center"/>
          </w:tcPr>
          <w:p w14:paraId="32350A53">
            <w:pPr>
              <w:pStyle w:val="57"/>
              <w:adjustRightInd w:val="0"/>
              <w:snapToGrid w:val="0"/>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15.4</w:t>
            </w:r>
          </w:p>
        </w:tc>
      </w:tr>
      <w:tr w14:paraId="28DA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7" w:type="pct"/>
            <w:shd w:val="clear" w:color="auto" w:fill="auto"/>
            <w:noWrap w:val="0"/>
            <w:vAlign w:val="center"/>
          </w:tcPr>
          <w:p w14:paraId="7B4B52B8">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2</w:t>
            </w:r>
          </w:p>
        </w:tc>
        <w:tc>
          <w:tcPr>
            <w:tcW w:w="1551" w:type="pct"/>
            <w:shd w:val="clear" w:color="auto" w:fill="auto"/>
            <w:noWrap w:val="0"/>
            <w:vAlign w:val="center"/>
          </w:tcPr>
          <w:p w14:paraId="618DC170">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14.4</w:t>
            </w:r>
          </w:p>
        </w:tc>
        <w:tc>
          <w:tcPr>
            <w:tcW w:w="1454" w:type="pct"/>
            <w:shd w:val="clear" w:color="auto" w:fill="auto"/>
            <w:noWrap w:val="0"/>
            <w:vAlign w:val="center"/>
          </w:tcPr>
          <w:p w14:paraId="48AE42FE">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7</w:t>
            </w:r>
          </w:p>
        </w:tc>
        <w:tc>
          <w:tcPr>
            <w:tcW w:w="1456" w:type="pct"/>
            <w:shd w:val="clear" w:color="auto" w:fill="auto"/>
            <w:noWrap w:val="0"/>
            <w:vAlign w:val="center"/>
          </w:tcPr>
          <w:p w14:paraId="7A6F7688">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12.6</w:t>
            </w:r>
          </w:p>
        </w:tc>
      </w:tr>
      <w:tr w14:paraId="7C08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7" w:type="pct"/>
            <w:shd w:val="clear" w:color="auto" w:fill="auto"/>
            <w:noWrap w:val="0"/>
            <w:vAlign w:val="center"/>
          </w:tcPr>
          <w:p w14:paraId="071B2BF9">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3</w:t>
            </w:r>
          </w:p>
        </w:tc>
        <w:tc>
          <w:tcPr>
            <w:tcW w:w="1551" w:type="pct"/>
            <w:shd w:val="clear" w:color="auto" w:fill="auto"/>
            <w:noWrap w:val="0"/>
            <w:vAlign w:val="center"/>
          </w:tcPr>
          <w:p w14:paraId="46E58527">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15.6</w:t>
            </w:r>
          </w:p>
        </w:tc>
        <w:tc>
          <w:tcPr>
            <w:tcW w:w="1454" w:type="pct"/>
            <w:shd w:val="clear" w:color="auto" w:fill="auto"/>
            <w:noWrap w:val="0"/>
            <w:vAlign w:val="center"/>
          </w:tcPr>
          <w:p w14:paraId="51E38205">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8</w:t>
            </w:r>
          </w:p>
        </w:tc>
        <w:tc>
          <w:tcPr>
            <w:tcW w:w="1456" w:type="pct"/>
            <w:shd w:val="clear" w:color="auto" w:fill="auto"/>
            <w:noWrap w:val="0"/>
            <w:vAlign w:val="center"/>
          </w:tcPr>
          <w:p w14:paraId="48060886">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13.4</w:t>
            </w:r>
          </w:p>
        </w:tc>
      </w:tr>
      <w:tr w14:paraId="585B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7" w:type="pct"/>
            <w:shd w:val="clear" w:color="auto" w:fill="auto"/>
            <w:noWrap w:val="0"/>
            <w:vAlign w:val="center"/>
          </w:tcPr>
          <w:p w14:paraId="277302C7">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4</w:t>
            </w:r>
          </w:p>
        </w:tc>
        <w:tc>
          <w:tcPr>
            <w:tcW w:w="1551" w:type="pct"/>
            <w:shd w:val="clear" w:color="auto" w:fill="auto"/>
            <w:noWrap w:val="0"/>
            <w:vAlign w:val="center"/>
          </w:tcPr>
          <w:p w14:paraId="4234F825">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16.5</w:t>
            </w:r>
          </w:p>
        </w:tc>
        <w:tc>
          <w:tcPr>
            <w:tcW w:w="1454" w:type="pct"/>
            <w:shd w:val="clear" w:color="auto" w:fill="auto"/>
            <w:noWrap w:val="0"/>
            <w:vAlign w:val="center"/>
          </w:tcPr>
          <w:p w14:paraId="7421A58C">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9</w:t>
            </w:r>
          </w:p>
        </w:tc>
        <w:tc>
          <w:tcPr>
            <w:tcW w:w="1456" w:type="pct"/>
            <w:shd w:val="clear" w:color="auto" w:fill="auto"/>
            <w:noWrap w:val="0"/>
            <w:vAlign w:val="center"/>
          </w:tcPr>
          <w:p w14:paraId="67D30E71">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16.3</w:t>
            </w:r>
          </w:p>
        </w:tc>
      </w:tr>
      <w:tr w14:paraId="721B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7" w:type="pct"/>
            <w:shd w:val="clear" w:color="auto" w:fill="auto"/>
            <w:noWrap w:val="0"/>
            <w:vAlign w:val="center"/>
          </w:tcPr>
          <w:p w14:paraId="61F95B94">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5</w:t>
            </w:r>
          </w:p>
        </w:tc>
        <w:tc>
          <w:tcPr>
            <w:tcW w:w="1551" w:type="pct"/>
            <w:shd w:val="clear" w:color="auto" w:fill="auto"/>
            <w:noWrap w:val="0"/>
            <w:vAlign w:val="center"/>
          </w:tcPr>
          <w:p w14:paraId="054BB554">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14.6</w:t>
            </w:r>
          </w:p>
        </w:tc>
        <w:tc>
          <w:tcPr>
            <w:tcW w:w="1454" w:type="pct"/>
            <w:shd w:val="clear" w:color="auto" w:fill="auto"/>
            <w:noWrap w:val="0"/>
            <w:vAlign w:val="center"/>
          </w:tcPr>
          <w:p w14:paraId="2F6F9051">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D</w:t>
            </w:r>
            <w:r>
              <w:rPr>
                <w:rFonts w:hint="default" w:ascii="Times New Roman" w:hAnsi="Times New Roman" w:cs="Times New Roman"/>
                <w:bCs/>
                <w:color w:val="auto"/>
                <w:sz w:val="21"/>
                <w:szCs w:val="21"/>
              </w:rPr>
              <w:t>10</w:t>
            </w:r>
          </w:p>
        </w:tc>
        <w:tc>
          <w:tcPr>
            <w:tcW w:w="1456" w:type="pct"/>
            <w:shd w:val="clear" w:color="auto" w:fill="auto"/>
            <w:noWrap w:val="0"/>
            <w:vAlign w:val="center"/>
          </w:tcPr>
          <w:p w14:paraId="249F27EB">
            <w:pPr>
              <w:pStyle w:val="57"/>
              <w:adjustRightInd w:val="0"/>
              <w:snapToGrid w:val="0"/>
              <w:spacing w:line="30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11.6</w:t>
            </w:r>
          </w:p>
        </w:tc>
      </w:tr>
    </w:tbl>
    <w:p w14:paraId="004FCABE">
      <w:pPr>
        <w:bidi w:val="0"/>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F45B19B">
      <w:pPr>
        <w:pStyle w:val="43"/>
        <w:bidi w:val="0"/>
        <w:rPr>
          <w:rFonts w:hint="default"/>
          <w:color w:val="auto"/>
        </w:rPr>
      </w:pPr>
      <w:r>
        <w:rPr>
          <w:rFonts w:hint="default"/>
          <w:color w:val="auto"/>
        </w:rPr>
        <w:t>表</w:t>
      </w:r>
      <w:r>
        <w:rPr>
          <w:rFonts w:hint="eastAsia"/>
          <w:color w:val="auto"/>
          <w:lang w:val="en-US" w:eastAsia="zh-CN"/>
        </w:rPr>
        <w:t>4.2-7（c）</w:t>
      </w:r>
      <w:r>
        <w:rPr>
          <w:rFonts w:hint="default"/>
          <w:color w:val="auto"/>
        </w:rPr>
        <w:t xml:space="preserve">  地下水监测点监测及评价结果（单位：mg/</w:t>
      </w:r>
      <w:r>
        <w:rPr>
          <w:rFonts w:hint="eastAsia"/>
          <w:color w:val="auto"/>
          <w:lang w:val="en-US" w:eastAsia="zh-CN"/>
        </w:rPr>
        <w:t>L</w:t>
      </w:r>
      <w:r>
        <w:rPr>
          <w:rFonts w:hint="default"/>
          <w:color w:val="auto"/>
        </w:rPr>
        <w:t>，pH值无量纲）</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1116"/>
        <w:gridCol w:w="825"/>
        <w:gridCol w:w="1004"/>
        <w:gridCol w:w="1007"/>
        <w:gridCol w:w="1004"/>
        <w:gridCol w:w="1004"/>
        <w:gridCol w:w="3"/>
        <w:gridCol w:w="1001"/>
        <w:gridCol w:w="1004"/>
        <w:gridCol w:w="6"/>
        <w:gridCol w:w="998"/>
        <w:gridCol w:w="1004"/>
        <w:gridCol w:w="8"/>
        <w:gridCol w:w="996"/>
        <w:gridCol w:w="1004"/>
        <w:gridCol w:w="11"/>
        <w:gridCol w:w="993"/>
        <w:gridCol w:w="1018"/>
      </w:tblGrid>
      <w:tr w14:paraId="4B03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312" w:hRule="atLeast"/>
          <w:tblHeader/>
          <w:jc w:val="center"/>
        </w:trPr>
        <w:tc>
          <w:tcPr>
            <w:tcW w:w="3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2D4945">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29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537470">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Ⅲ类标准值</w:t>
            </w:r>
          </w:p>
        </w:tc>
        <w:tc>
          <w:tcPr>
            <w:tcW w:w="71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AF39CD">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夏水7</w:t>
            </w:r>
          </w:p>
        </w:tc>
        <w:tc>
          <w:tcPr>
            <w:tcW w:w="71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CC7325C">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夏水9</w:t>
            </w:r>
          </w:p>
        </w:tc>
        <w:tc>
          <w:tcPr>
            <w:tcW w:w="71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663660C">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夏水18</w:t>
            </w:r>
          </w:p>
        </w:tc>
        <w:tc>
          <w:tcPr>
            <w:tcW w:w="71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E10378C">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夏水21</w:t>
            </w:r>
          </w:p>
        </w:tc>
        <w:tc>
          <w:tcPr>
            <w:tcW w:w="71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CA4BDA">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夏水19</w:t>
            </w:r>
          </w:p>
        </w:tc>
        <w:tc>
          <w:tcPr>
            <w:tcW w:w="71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06FECC">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玛水15井</w:t>
            </w:r>
          </w:p>
        </w:tc>
      </w:tr>
      <w:tr w14:paraId="3B3E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3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BD5464">
            <w:pPr>
              <w:rPr>
                <w:rFonts w:hint="default" w:ascii="Times New Roman" w:hAnsi="Times New Roman" w:cs="Times New Roman"/>
                <w:b/>
                <w:bCs/>
                <w:color w:val="auto"/>
                <w:sz w:val="21"/>
                <w:szCs w:val="21"/>
              </w:rPr>
            </w:pPr>
          </w:p>
        </w:tc>
        <w:tc>
          <w:tcPr>
            <w:tcW w:w="2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75CE7A">
            <w:pPr>
              <w:rPr>
                <w:rFonts w:hint="default" w:ascii="Times New Roman" w:hAnsi="Times New Roman" w:cs="Times New Roman"/>
                <w:b/>
                <w:bCs/>
                <w:color w:val="auto"/>
                <w:sz w:val="21"/>
                <w:szCs w:val="21"/>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22C8DDA">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监测值</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7A9BF496">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污染指数</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71C6B08">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监测值</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4D06BDF">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污染指数</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4CE474">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监测值</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2289AAE">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污染指数</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291577">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监测值</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1D3B1A0">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污染指数</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78E606">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监测值</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C9E9465">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污染指数</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382438">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监测值</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0B00466A">
            <w:pP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污染指数</w:t>
            </w:r>
          </w:p>
        </w:tc>
      </w:tr>
      <w:tr w14:paraId="7958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0527B525">
            <w:pPr>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pH</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34BC1678">
            <w:pPr>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6.5-8.5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7F05E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6.9</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6B4EEBA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0.4</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C8E7D0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8.3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F23C7D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0.87</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C1A4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7.2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86CE43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B329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7.4</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35759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0.27</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019C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7.2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06748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0.13</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08D25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7.36</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190B086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0.24</w:t>
            </w:r>
          </w:p>
        </w:tc>
      </w:tr>
      <w:tr w14:paraId="38E2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080F4B8D">
            <w:pPr>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总硬度</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09C3E5AD">
            <w:pPr>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≤450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C1A06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2106</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7AA85F82">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4.68</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F758A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2019</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9BA6B09">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4.49</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90ED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1897</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2D48E70">
            <w:pPr>
              <w:keepNext w:val="0"/>
              <w:keepLines w:val="0"/>
              <w:widowControl/>
              <w:suppressLineNumbers w:val="0"/>
              <w:jc w:val="center"/>
              <w:textAlignment w:val="center"/>
              <w:rPr>
                <w:rFonts w:hint="default"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bCs/>
                <w:color w:val="auto"/>
                <w:sz w:val="21"/>
                <w:szCs w:val="21"/>
                <w:shd w:val="clear" w:color="auto" w:fill="auto"/>
                <w:lang w:val="en-US" w:eastAsia="zh-CN"/>
              </w:rPr>
              <w:t>4.22</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2642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2034</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9A489E3">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4.52</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5AE5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2052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28AA9CF">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4.56</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9F86FE">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2880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77C14030">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6.4</w:t>
            </w:r>
          </w:p>
        </w:tc>
      </w:tr>
      <w:tr w14:paraId="68B3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6D362D04">
            <w:pPr>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溶解性总固体</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7CCC04DF">
            <w:pPr>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≤1000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3A05DB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shd w:val="clear" w:color="auto" w:fill="auto"/>
                <w:lang w:val="en-US" w:eastAsia="zh-CN"/>
              </w:rPr>
            </w:pPr>
            <w:r>
              <w:rPr>
                <w:rFonts w:hint="eastAsia" w:ascii="Times New Roman" w:hAnsi="Times New Roman" w:cs="Times New Roman"/>
                <w:b w:val="0"/>
                <w:bCs w:val="0"/>
                <w:color w:val="auto"/>
                <w:kern w:val="0"/>
                <w:sz w:val="21"/>
                <w:szCs w:val="21"/>
                <w:shd w:val="clear" w:color="auto" w:fill="auto"/>
                <w:lang w:val="en-US" w:eastAsia="zh-CN"/>
              </w:rPr>
              <w:t>523</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7E5E1BD7">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shd w:val="clear" w:color="auto" w:fill="auto"/>
                <w:lang w:val="en-US" w:eastAsia="zh-CN"/>
              </w:rPr>
            </w:pPr>
            <w:r>
              <w:rPr>
                <w:rFonts w:hint="eastAsia" w:ascii="Times New Roman" w:hAnsi="Times New Roman" w:cs="Times New Roman"/>
                <w:b w:val="0"/>
                <w:bCs w:val="0"/>
                <w:color w:val="auto"/>
                <w:kern w:val="0"/>
                <w:sz w:val="21"/>
                <w:szCs w:val="21"/>
                <w:shd w:val="clear" w:color="auto" w:fill="auto"/>
                <w:lang w:val="en-US" w:eastAsia="zh-CN"/>
              </w:rPr>
              <w:t>0.52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218F2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shd w:val="clear" w:color="auto" w:fill="auto"/>
                <w:lang w:val="en-US" w:eastAsia="zh-CN"/>
              </w:rPr>
            </w:pPr>
            <w:r>
              <w:rPr>
                <w:rFonts w:hint="eastAsia" w:ascii="Times New Roman" w:hAnsi="Times New Roman" w:cs="Times New Roman"/>
                <w:b w:val="0"/>
                <w:bCs w:val="0"/>
                <w:color w:val="auto"/>
                <w:kern w:val="0"/>
                <w:sz w:val="21"/>
                <w:szCs w:val="21"/>
                <w:shd w:val="clear" w:color="auto" w:fill="auto"/>
                <w:lang w:val="en-US" w:eastAsia="zh-CN"/>
              </w:rPr>
              <w:t>498</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D97A7FC">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shd w:val="clear" w:color="auto" w:fill="auto"/>
                <w:lang w:val="en-US" w:eastAsia="zh-CN"/>
              </w:rPr>
            </w:pPr>
            <w:r>
              <w:rPr>
                <w:rFonts w:hint="eastAsia" w:ascii="Times New Roman" w:hAnsi="Times New Roman" w:cs="Times New Roman"/>
                <w:b w:val="0"/>
                <w:bCs w:val="0"/>
                <w:color w:val="auto"/>
                <w:kern w:val="0"/>
                <w:sz w:val="21"/>
                <w:szCs w:val="21"/>
                <w:shd w:val="clear" w:color="auto" w:fill="auto"/>
                <w:lang w:val="en-US" w:eastAsia="zh-CN"/>
              </w:rPr>
              <w:t>0.50</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BC27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shd w:val="clear" w:color="auto" w:fill="auto"/>
                <w:lang w:val="en-US" w:eastAsia="zh-CN"/>
              </w:rPr>
            </w:pPr>
            <w:r>
              <w:rPr>
                <w:rFonts w:hint="eastAsia" w:ascii="Times New Roman" w:hAnsi="Times New Roman" w:cs="Times New Roman"/>
                <w:b w:val="0"/>
                <w:bCs w:val="0"/>
                <w:color w:val="auto"/>
                <w:kern w:val="0"/>
                <w:sz w:val="21"/>
                <w:szCs w:val="21"/>
                <w:shd w:val="clear" w:color="auto" w:fill="auto"/>
                <w:lang w:val="en-US" w:eastAsia="zh-CN"/>
              </w:rPr>
              <w:t>463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5C7064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shd w:val="clear" w:color="auto" w:fill="auto"/>
                <w:lang w:val="en-US" w:eastAsia="zh-CN"/>
              </w:rPr>
            </w:pPr>
            <w:r>
              <w:rPr>
                <w:rFonts w:hint="eastAsia" w:ascii="Times New Roman" w:hAnsi="Times New Roman" w:eastAsia="宋体" w:cs="Times New Roman"/>
                <w:b w:val="0"/>
                <w:bCs w:val="0"/>
                <w:color w:val="auto"/>
                <w:sz w:val="21"/>
                <w:szCs w:val="21"/>
                <w:shd w:val="clear" w:color="auto" w:fill="auto"/>
                <w:lang w:val="en-US" w:eastAsia="zh-CN"/>
              </w:rPr>
              <w:t>0.46</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CDA4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shd w:val="clear" w:color="auto" w:fill="auto"/>
                <w:lang w:val="en-US" w:eastAsia="zh-CN"/>
              </w:rPr>
            </w:pPr>
            <w:r>
              <w:rPr>
                <w:rFonts w:hint="eastAsia" w:ascii="Times New Roman" w:hAnsi="Times New Roman" w:cs="Times New Roman"/>
                <w:b w:val="0"/>
                <w:bCs w:val="0"/>
                <w:color w:val="auto"/>
                <w:kern w:val="0"/>
                <w:sz w:val="21"/>
                <w:szCs w:val="21"/>
                <w:shd w:val="clear" w:color="auto" w:fill="auto"/>
                <w:lang w:val="en-US" w:eastAsia="zh-CN"/>
              </w:rPr>
              <w:t>501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3633BB8">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shd w:val="clear" w:color="auto" w:fill="auto"/>
                <w:lang w:val="en-US" w:eastAsia="zh-CN"/>
              </w:rPr>
            </w:pPr>
            <w:r>
              <w:rPr>
                <w:rFonts w:hint="eastAsia" w:ascii="Times New Roman" w:hAnsi="Times New Roman" w:cs="Times New Roman"/>
                <w:b w:val="0"/>
                <w:bCs w:val="0"/>
                <w:color w:val="auto"/>
                <w:kern w:val="0"/>
                <w:sz w:val="21"/>
                <w:szCs w:val="21"/>
                <w:shd w:val="clear" w:color="auto" w:fill="auto"/>
                <w:lang w:val="en-US" w:eastAsia="zh-CN"/>
              </w:rPr>
              <w:t>0.50</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CD75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shd w:val="clear" w:color="auto" w:fill="auto"/>
                <w:lang w:val="en-US" w:eastAsia="zh-CN"/>
              </w:rPr>
            </w:pPr>
            <w:r>
              <w:rPr>
                <w:rFonts w:hint="eastAsia" w:ascii="Times New Roman" w:hAnsi="Times New Roman" w:cs="Times New Roman"/>
                <w:b w:val="0"/>
                <w:bCs w:val="0"/>
                <w:color w:val="auto"/>
                <w:kern w:val="0"/>
                <w:sz w:val="21"/>
                <w:szCs w:val="21"/>
                <w:shd w:val="clear" w:color="auto" w:fill="auto"/>
                <w:lang w:val="en-US" w:eastAsia="zh-CN"/>
              </w:rPr>
              <w:t>469</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1F86E7B">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shd w:val="clear" w:color="auto" w:fill="auto"/>
                <w:lang w:val="en-US" w:eastAsia="zh-CN"/>
              </w:rPr>
            </w:pPr>
            <w:r>
              <w:rPr>
                <w:rFonts w:hint="eastAsia" w:ascii="Times New Roman" w:hAnsi="Times New Roman" w:cs="Times New Roman"/>
                <w:b w:val="0"/>
                <w:bCs w:val="0"/>
                <w:color w:val="auto"/>
                <w:kern w:val="0"/>
                <w:sz w:val="21"/>
                <w:szCs w:val="21"/>
                <w:shd w:val="clear" w:color="auto" w:fill="auto"/>
                <w:lang w:val="en-US" w:eastAsia="zh-CN"/>
              </w:rPr>
              <w:t>0.47</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BE0DB1">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12690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50D27AD1">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shd w:val="clear" w:color="auto" w:fill="auto"/>
                <w:lang w:val="en-US" w:eastAsia="zh-CN"/>
              </w:rPr>
            </w:pPr>
            <w:r>
              <w:rPr>
                <w:rFonts w:hint="eastAsia" w:ascii="Times New Roman" w:hAnsi="Times New Roman" w:cs="Times New Roman"/>
                <w:b/>
                <w:bCs/>
                <w:color w:val="auto"/>
                <w:kern w:val="0"/>
                <w:sz w:val="21"/>
                <w:szCs w:val="21"/>
                <w:shd w:val="clear" w:color="auto" w:fill="auto"/>
                <w:lang w:val="en-US" w:eastAsia="zh-CN"/>
              </w:rPr>
              <w:t>12.69</w:t>
            </w:r>
          </w:p>
        </w:tc>
      </w:tr>
      <w:tr w14:paraId="155D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61307D6B">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耗氧量</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446096D0">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7243D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1.4</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2CB57C4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0.47</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9928D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1.6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DB6876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0.53</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9D4F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1.9</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42EF506">
            <w:pPr>
              <w:keepNext w:val="0"/>
              <w:keepLines w:val="0"/>
              <w:widowControl/>
              <w:suppressLineNumbers w:val="0"/>
              <w:jc w:val="center"/>
              <w:textAlignment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0.63</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9AAC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1.8</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54FA18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1.60</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4E79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1.6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163142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0.53</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21AE7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1.83</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5C8871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rPr>
            </w:pPr>
            <w:r>
              <w:rPr>
                <w:rFonts w:hint="eastAsia" w:ascii="Times New Roman" w:hAnsi="Times New Roman" w:cs="Times New Roman"/>
                <w:color w:val="auto"/>
                <w:kern w:val="0"/>
                <w:sz w:val="21"/>
                <w:szCs w:val="21"/>
                <w:shd w:val="clear" w:color="auto" w:fill="auto"/>
                <w:lang w:val="en-US" w:eastAsia="zh-CN"/>
              </w:rPr>
              <w:t>0.61</w:t>
            </w:r>
          </w:p>
        </w:tc>
      </w:tr>
      <w:tr w14:paraId="6893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143AA666">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碳酸根</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0D1BA371">
            <w:pP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D39786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476FEC6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A79655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3209E75">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E1FE4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DE6096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2BEE2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CE67D56">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C8ADB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AE4E15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CBF69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4.07</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748F4A4D">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r>
      <w:tr w14:paraId="7731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4393A710">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重碳酸根</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4C99E303">
            <w:pP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3C528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143</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08CE4ED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55391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91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9C5BA5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1DEE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111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D00249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6BDE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143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AE1F02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C572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147</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A82D9A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FFFFC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27.9</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2CE1564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r>
      <w:tr w14:paraId="1CDC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644BDCB9">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氨氮</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7B195E61">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≤0.5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5B2990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0.352</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621F9D33">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0.70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77DB2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0.416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6A1DC73">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0.83</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5621C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0.403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DC8C98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0.81</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CE3A3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0.389</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6EA2D6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0.78</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4366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0.411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90E6AB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0.82</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42B8879">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0.051</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0AC6FA76">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0.10</w:t>
            </w:r>
          </w:p>
        </w:tc>
      </w:tr>
      <w:tr w14:paraId="2AA3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457268BD">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石油类</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15DC8C13">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≤0.05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15A5F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0.01L</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560D783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4F281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0.01L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059B8B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FFBB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0.01L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436B77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09DD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0.01L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687314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E768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0.01L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4800A7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8A8A5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0.02</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246D0FA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0.4</w:t>
            </w:r>
          </w:p>
        </w:tc>
      </w:tr>
      <w:tr w14:paraId="2465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03FCC3C6">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亚硝酸盐氮</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02AE0EC2">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≤1.0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080EC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0.13</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4CE8513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0.13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A6F4D2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066F89D">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0.2</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54A3F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0.22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AD3AAB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0.22</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0362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0.16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01E7622">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0.16</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EE619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0.16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CFE417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0.16</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EA201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0.005</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1EC5C7B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0.005</w:t>
            </w:r>
          </w:p>
        </w:tc>
      </w:tr>
      <w:tr w14:paraId="3F0C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7F5412A8">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六价铬</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35CCE1A9">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≤0.05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AD19A6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0.004L</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5FA982A5">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0582B0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0.004L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2EC440E">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C7703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0.004L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310BBD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75920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0.004L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2FFC0E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34801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0.004L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76E5D72">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7765FF">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ND</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53997E8E">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r>
      <w:tr w14:paraId="3E8A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7363786E">
            <w:pP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挥发</w:t>
            </w:r>
            <w:r>
              <w:rPr>
                <w:rFonts w:hint="eastAsia" w:ascii="Times New Roman" w:hAnsi="Times New Roman" w:cs="Times New Roman"/>
                <w:snapToGrid w:val="0"/>
                <w:color w:val="auto"/>
                <w:sz w:val="21"/>
                <w:szCs w:val="21"/>
                <w:lang w:val="en-US" w:eastAsia="zh-CN"/>
              </w:rPr>
              <w:t>性</w:t>
            </w:r>
            <w:r>
              <w:rPr>
                <w:rFonts w:hint="default" w:ascii="Times New Roman" w:hAnsi="Times New Roman" w:cs="Times New Roman"/>
                <w:snapToGrid w:val="0"/>
                <w:color w:val="auto"/>
                <w:sz w:val="21"/>
                <w:szCs w:val="21"/>
              </w:rPr>
              <w:t>酚</w:t>
            </w:r>
            <w:r>
              <w:rPr>
                <w:rFonts w:hint="eastAsia" w:ascii="Times New Roman" w:hAnsi="Times New Roman" w:cs="Times New Roman"/>
                <w:snapToGrid w:val="0"/>
                <w:color w:val="auto"/>
                <w:sz w:val="21"/>
                <w:szCs w:val="21"/>
                <w:lang w:val="en-US" w:eastAsia="zh-CN"/>
              </w:rPr>
              <w:t>类</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0E7DFB11">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≤0.002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9B022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0.0003L</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40EA97A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3E522C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0.0003L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64D14F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4E21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0.0003L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6ECB87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6954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0.0003L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EA3576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B186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0.0003L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0E1FD7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413AB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0.0015</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68186A0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0.75</w:t>
            </w:r>
          </w:p>
        </w:tc>
      </w:tr>
      <w:tr w14:paraId="2EF9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4CD58EE7">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氯化物</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2AAEFD23">
            <w:pPr>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cs="Times New Roman"/>
                <w:color w:val="auto"/>
                <w:sz w:val="21"/>
                <w:szCs w:val="21"/>
              </w:rPr>
              <w:t>≤250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E57EE5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116</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2BC9256C">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0.46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07853B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183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0CF01DB">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0.73</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EED53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146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D799841">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0.58</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101C8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135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2A8AEDE">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0.54</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81727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150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1BD761A">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0.60</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0A35DB">
            <w:pPr>
              <w:keepNext w:val="0"/>
              <w:keepLines w:val="0"/>
              <w:widowControl/>
              <w:suppressLineNumbers w:val="0"/>
              <w:jc w:val="center"/>
              <w:textAlignment w:val="center"/>
              <w:rPr>
                <w:rFonts w:hint="default" w:ascii="Times New Roman" w:hAnsi="Times New Roman" w:cs="Times New Roman" w:eastAsiaTheme="minorEastAsia"/>
                <w:b/>
                <w:bCs/>
                <w:color w:val="auto"/>
                <w:kern w:val="0"/>
                <w:sz w:val="21"/>
                <w:szCs w:val="21"/>
                <w:shd w:val="clear" w:color="auto" w:fill="auto"/>
                <w:lang w:val="en-US" w:eastAsia="zh-CN" w:bidi="ar-SA"/>
              </w:rPr>
            </w:pPr>
            <w:r>
              <w:rPr>
                <w:rFonts w:hint="eastAsia" w:ascii="Times New Roman" w:hAnsi="Times New Roman" w:cs="Times New Roman" w:eastAsiaTheme="minorEastAsia"/>
                <w:b/>
                <w:bCs/>
                <w:color w:val="auto"/>
                <w:kern w:val="0"/>
                <w:sz w:val="21"/>
                <w:szCs w:val="21"/>
                <w:shd w:val="clear" w:color="auto" w:fill="auto"/>
                <w:lang w:val="en-US" w:eastAsia="zh-CN" w:bidi="ar-SA"/>
              </w:rPr>
              <w:t>6788</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5975DDB8">
            <w:pPr>
              <w:keepNext w:val="0"/>
              <w:keepLines w:val="0"/>
              <w:widowControl/>
              <w:suppressLineNumbers w:val="0"/>
              <w:jc w:val="center"/>
              <w:textAlignment w:val="center"/>
              <w:rPr>
                <w:rFonts w:hint="default" w:ascii="Times New Roman" w:hAnsi="Times New Roman" w:cs="Times New Roman" w:eastAsiaTheme="minorEastAsia"/>
                <w:b/>
                <w:bCs/>
                <w:color w:val="auto"/>
                <w:kern w:val="0"/>
                <w:sz w:val="21"/>
                <w:szCs w:val="21"/>
                <w:shd w:val="clear" w:color="auto" w:fill="auto"/>
                <w:lang w:val="en-US" w:eastAsia="zh-CN" w:bidi="ar-SA"/>
              </w:rPr>
            </w:pPr>
            <w:r>
              <w:rPr>
                <w:rFonts w:hint="eastAsia" w:ascii="Times New Roman" w:hAnsi="Times New Roman" w:cs="Times New Roman" w:eastAsiaTheme="minorEastAsia"/>
                <w:b/>
                <w:bCs/>
                <w:color w:val="auto"/>
                <w:kern w:val="0"/>
                <w:sz w:val="21"/>
                <w:szCs w:val="21"/>
                <w:shd w:val="clear" w:color="auto" w:fill="auto"/>
                <w:lang w:val="en-US" w:eastAsia="zh-CN" w:bidi="ar-SA"/>
              </w:rPr>
              <w:t>27.15</w:t>
            </w:r>
          </w:p>
        </w:tc>
      </w:tr>
      <w:tr w14:paraId="0117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128AB05D">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硝酸盐氮</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707CB92B">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≤20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6A6438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0.09</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2637DC61">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0.005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08D9CC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0.13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70AFA4E">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0.007</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57A1C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0.11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AD1979C">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0.006</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C3F5F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0.11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E84E5C3">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0.006</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534A1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0.14</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DBB8E58">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0.007</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A5912C">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0.10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181150B7">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0.005</w:t>
            </w:r>
          </w:p>
        </w:tc>
      </w:tr>
      <w:tr w14:paraId="406F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687EC72C">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硫酸盐</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3BE5A0C6">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≤250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0E0E2F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98</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0BD6F999">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0.39</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F7FBE3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123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E74396B">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0.49</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D2B8B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93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0285046">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0.37</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061FA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102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6D5AC91">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0.41</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DBC62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96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9C9FACA">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0"/>
                <w:sz w:val="21"/>
                <w:szCs w:val="21"/>
                <w:shd w:val="clear" w:color="auto" w:fill="auto"/>
                <w:lang w:val="en-US" w:eastAsia="zh-CN" w:bidi="ar-SA"/>
              </w:rPr>
            </w:pPr>
            <w:r>
              <w:rPr>
                <w:rFonts w:hint="eastAsia" w:ascii="Times New Roman" w:hAnsi="Times New Roman" w:cs="Times New Roman" w:eastAsiaTheme="minorEastAsia"/>
                <w:b w:val="0"/>
                <w:bCs w:val="0"/>
                <w:color w:val="auto"/>
                <w:kern w:val="0"/>
                <w:sz w:val="21"/>
                <w:szCs w:val="21"/>
                <w:shd w:val="clear" w:color="auto" w:fill="auto"/>
                <w:lang w:val="en-US" w:eastAsia="zh-CN" w:bidi="ar-SA"/>
              </w:rPr>
              <w:t>0.38</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EC83C1">
            <w:pPr>
              <w:keepNext w:val="0"/>
              <w:keepLines w:val="0"/>
              <w:widowControl/>
              <w:suppressLineNumbers w:val="0"/>
              <w:jc w:val="center"/>
              <w:textAlignment w:val="center"/>
              <w:rPr>
                <w:rFonts w:hint="default" w:ascii="Times New Roman" w:hAnsi="Times New Roman" w:cs="Times New Roman" w:eastAsiaTheme="minorEastAsia"/>
                <w:b/>
                <w:bCs/>
                <w:color w:val="auto"/>
                <w:kern w:val="0"/>
                <w:sz w:val="21"/>
                <w:szCs w:val="21"/>
                <w:shd w:val="clear" w:color="auto" w:fill="auto"/>
                <w:lang w:val="en-US" w:eastAsia="zh-CN" w:bidi="ar-SA"/>
              </w:rPr>
            </w:pPr>
            <w:r>
              <w:rPr>
                <w:rFonts w:hint="eastAsia" w:ascii="Times New Roman" w:hAnsi="Times New Roman" w:cs="Times New Roman" w:eastAsiaTheme="minorEastAsia"/>
                <w:b/>
                <w:bCs/>
                <w:color w:val="auto"/>
                <w:kern w:val="0"/>
                <w:sz w:val="21"/>
                <w:szCs w:val="21"/>
                <w:shd w:val="clear" w:color="auto" w:fill="auto"/>
                <w:lang w:val="en-US" w:eastAsia="zh-CN" w:bidi="ar-SA"/>
              </w:rPr>
              <w:t>1673</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7ADFB342">
            <w:pPr>
              <w:keepNext w:val="0"/>
              <w:keepLines w:val="0"/>
              <w:widowControl/>
              <w:suppressLineNumbers w:val="0"/>
              <w:jc w:val="center"/>
              <w:textAlignment w:val="center"/>
              <w:rPr>
                <w:rFonts w:hint="default" w:ascii="Times New Roman" w:hAnsi="Times New Roman" w:cs="Times New Roman" w:eastAsiaTheme="minorEastAsia"/>
                <w:b/>
                <w:bCs/>
                <w:color w:val="auto"/>
                <w:kern w:val="0"/>
                <w:sz w:val="21"/>
                <w:szCs w:val="21"/>
                <w:shd w:val="clear" w:color="auto" w:fill="auto"/>
                <w:lang w:val="en-US" w:eastAsia="zh-CN" w:bidi="ar-SA"/>
              </w:rPr>
            </w:pPr>
            <w:r>
              <w:rPr>
                <w:rFonts w:hint="eastAsia" w:ascii="Times New Roman" w:hAnsi="Times New Roman" w:cs="Times New Roman" w:eastAsiaTheme="minorEastAsia"/>
                <w:b/>
                <w:bCs/>
                <w:color w:val="auto"/>
                <w:kern w:val="0"/>
                <w:sz w:val="21"/>
                <w:szCs w:val="21"/>
                <w:shd w:val="clear" w:color="auto" w:fill="auto"/>
                <w:lang w:val="en-US" w:eastAsia="zh-CN" w:bidi="ar-SA"/>
              </w:rPr>
              <w:t>6.69</w:t>
            </w:r>
          </w:p>
        </w:tc>
      </w:tr>
      <w:tr w14:paraId="37E0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064AFE46">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汞</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0CDB36AE">
            <w:pPr>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cs="Times New Roman"/>
                <w:snapToGrid w:val="0"/>
                <w:color w:val="auto"/>
                <w:sz w:val="21"/>
                <w:szCs w:val="21"/>
              </w:rPr>
              <w:t>≤0.001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B88D09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0.04</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3C1A6C5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E94272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0.04</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155828D">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3A253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0.04</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53F72C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0995C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0.04</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6CB59D9">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BDCF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0.04</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943EACE">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6D333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ND</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6F0E2576">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r>
      <w:tr w14:paraId="4082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0AF16BEF">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砷</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572733F9">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≤0.01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308A4C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4276B505">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200FAC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B20281F">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B7363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C4BC3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11C7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7EE6917">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5CC72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w:t>
            </w:r>
            <w:r>
              <w:rPr>
                <w:rFonts w:hint="default" w:ascii="Times New Roman" w:hAnsi="Times New Roman" w:cs="Times New Roman"/>
                <w:b/>
                <w:bCs/>
                <w:color w:val="auto"/>
                <w:kern w:val="2"/>
                <w:sz w:val="21"/>
                <w:szCs w:val="21"/>
                <w:shd w:val="clear" w:color="auto" w:fill="auto"/>
                <w:vertAlign w:val="superscript"/>
                <w:lang w:val="en-US" w:eastAsia="zh-CN" w:bidi="ar-SA"/>
              </w:rPr>
              <w:t>3</w:t>
            </w:r>
            <w:r>
              <w:rPr>
                <w:rFonts w:hint="eastAsia" w:ascii="Times New Roman" w:hAnsi="Times New Roman" w:cs="Times New Roman" w:eastAsiaTheme="minorEastAsia"/>
                <w:color w:val="auto"/>
                <w:kern w:val="0"/>
                <w:sz w:val="21"/>
                <w:szCs w:val="21"/>
                <w:shd w:val="clear" w:color="auto" w:fill="auto"/>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972122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CB1E5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ND</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14F591B1">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r>
      <w:tr w14:paraId="4D50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5C284F6A">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钾</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5675F3A4">
            <w:pP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1D054F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52.4</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34486B4F">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71946A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34.68</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3A2B7B7">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F5ECA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42.65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5FC1F7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BAC38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40.81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C513BD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FEE35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47.08</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056574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BEE1C0">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13.1</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3F8AC1C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r>
      <w:tr w14:paraId="7E4E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664BB4E8">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钠</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5709C1F9">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w:t>
            </w:r>
            <w:r>
              <w:rPr>
                <w:rFonts w:hint="default" w:ascii="Times New Roman" w:hAnsi="Times New Roman" w:cs="Times New Roman"/>
                <w:color w:val="auto"/>
                <w:sz w:val="21"/>
                <w:szCs w:val="21"/>
              </w:rPr>
              <w:t>200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1B83B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63.43</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65F0F870">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FA9ED5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61.39</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01C75B7">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0.31</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AD8A8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56.85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D110AF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0.28</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1CA2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63.37</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3C64C1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0.32</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E94E2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63.02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9C8F4FA">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0.32</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CB7D6E">
            <w:pPr>
              <w:keepNext w:val="0"/>
              <w:keepLines w:val="0"/>
              <w:widowControl/>
              <w:suppressLineNumbers w:val="0"/>
              <w:jc w:val="center"/>
              <w:textAlignment w:val="center"/>
              <w:rPr>
                <w:rFonts w:hint="default" w:ascii="Times New Roman" w:hAnsi="Times New Roman" w:cs="Times New Roman" w:eastAsiaTheme="minorEastAsia"/>
                <w:b/>
                <w:bCs/>
                <w:color w:val="auto"/>
                <w:kern w:val="0"/>
                <w:sz w:val="21"/>
                <w:szCs w:val="21"/>
                <w:shd w:val="clear" w:color="auto" w:fill="auto"/>
                <w:lang w:val="en-US" w:eastAsia="zh-CN" w:bidi="ar-SA"/>
              </w:rPr>
            </w:pPr>
            <w:r>
              <w:rPr>
                <w:rFonts w:hint="default" w:ascii="Times New Roman" w:hAnsi="Times New Roman" w:cs="Times New Roman"/>
                <w:b/>
                <w:bCs/>
                <w:color w:val="auto"/>
                <w:szCs w:val="21"/>
              </w:rPr>
              <w:t>4.05×10</w:t>
            </w:r>
            <w:r>
              <w:rPr>
                <w:rFonts w:hint="default" w:ascii="Times New Roman" w:hAnsi="Times New Roman" w:cs="Times New Roman"/>
                <w:b/>
                <w:bCs/>
                <w:color w:val="auto"/>
                <w:szCs w:val="21"/>
                <w:vertAlign w:val="superscript"/>
              </w:rPr>
              <w:t>3</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50893C72">
            <w:pPr>
              <w:keepNext w:val="0"/>
              <w:keepLines w:val="0"/>
              <w:widowControl/>
              <w:suppressLineNumbers w:val="0"/>
              <w:jc w:val="center"/>
              <w:textAlignment w:val="center"/>
              <w:rPr>
                <w:rFonts w:hint="default" w:ascii="Times New Roman" w:hAnsi="Times New Roman" w:cs="Times New Roman" w:eastAsiaTheme="minorEastAsia"/>
                <w:b/>
                <w:bCs/>
                <w:color w:val="auto"/>
                <w:kern w:val="0"/>
                <w:sz w:val="21"/>
                <w:szCs w:val="21"/>
                <w:shd w:val="clear" w:color="auto" w:fill="auto"/>
                <w:lang w:val="en-US" w:eastAsia="zh-CN" w:bidi="ar-SA"/>
              </w:rPr>
            </w:pPr>
            <w:r>
              <w:rPr>
                <w:rFonts w:hint="eastAsia" w:ascii="Times New Roman" w:hAnsi="Times New Roman" w:cs="Times New Roman" w:eastAsiaTheme="minorEastAsia"/>
                <w:b/>
                <w:bCs/>
                <w:color w:val="auto"/>
                <w:kern w:val="0"/>
                <w:sz w:val="21"/>
                <w:szCs w:val="21"/>
                <w:shd w:val="clear" w:color="auto" w:fill="auto"/>
                <w:lang w:val="en-US" w:eastAsia="zh-CN" w:bidi="ar-SA"/>
              </w:rPr>
              <w:t>20.25</w:t>
            </w:r>
          </w:p>
        </w:tc>
      </w:tr>
      <w:tr w14:paraId="4EBE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7918FBA3">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钙</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7B217125">
            <w:pP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F245F0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44</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1EBA707E">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720247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43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FD6D6A1">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44F68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46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41DB0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FDF49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45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65F437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5B9A5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41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5B2E17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084D7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default" w:ascii="Times New Roman" w:hAnsi="Times New Roman" w:cs="Times New Roman"/>
                <w:color w:val="auto"/>
                <w:szCs w:val="21"/>
              </w:rPr>
              <w:t>1.06×10</w:t>
            </w:r>
            <w:r>
              <w:rPr>
                <w:rFonts w:hint="default" w:ascii="Times New Roman" w:hAnsi="Times New Roman" w:cs="Times New Roman"/>
                <w:color w:val="auto"/>
                <w:szCs w:val="21"/>
                <w:vertAlign w:val="superscript"/>
              </w:rPr>
              <w:t>3</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6C0EF7B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r>
      <w:tr w14:paraId="088D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6E24080E">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镁</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42AD4626">
            <w:pP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835A0D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24</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7C4E010E">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758020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52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70796C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DDB7A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33</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EFF1C5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63765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36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FB2B10E">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00087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39</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26453B17">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448F4D">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0.70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4D987682">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r>
      <w:tr w14:paraId="04CA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07669E86">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铅</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3262CF9F">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≤0.01</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A7B106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2.5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677C8CA2">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D9FF54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2.5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0BF88FD">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1969D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2.5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1B6AA49">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5E294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2.5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EB0DD72">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C66D7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2.5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0814F8C">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68619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ND</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615037C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r>
      <w:tr w14:paraId="62E6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4EBD7395">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镉</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01D4A49D">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snapToGrid w:val="0"/>
                <w:color w:val="auto"/>
                <w:sz w:val="21"/>
                <w:szCs w:val="21"/>
              </w:rPr>
              <w:t>≤0.005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76AC45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0.5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22BEE4A8">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16E761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0.5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0335F541">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3568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0.5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B3D516F">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A2F7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0.5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6FB6C04">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85E73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 w:val="0"/>
                <w:bCs w:val="0"/>
                <w:color w:val="auto"/>
                <w:kern w:val="2"/>
                <w:sz w:val="21"/>
                <w:szCs w:val="21"/>
                <w:shd w:val="clear" w:color="auto" w:fill="auto"/>
                <w:lang w:val="en-US" w:eastAsia="zh-CN" w:bidi="ar-SA"/>
              </w:rPr>
              <w:t>0.5</w:t>
            </w:r>
            <w:r>
              <w:rPr>
                <w:rFonts w:hint="default" w:ascii="Times New Roman" w:hAnsi="Times New Roman" w:cs="Times New Roman"/>
                <w:b/>
                <w:bCs/>
                <w:color w:val="auto"/>
                <w:kern w:val="2"/>
                <w:sz w:val="21"/>
                <w:szCs w:val="21"/>
                <w:shd w:val="clear" w:color="auto" w:fill="auto"/>
                <w:lang w:val="en-US" w:eastAsia="zh-CN" w:bidi="ar-SA"/>
              </w:rPr>
              <w:t>×</w:t>
            </w:r>
            <w:r>
              <w:rPr>
                <w:rFonts w:hint="default" w:ascii="Times New Roman" w:hAnsi="Times New Roman" w:cs="Times New Roman"/>
                <w:b w:val="0"/>
                <w:bCs w:val="0"/>
                <w:color w:val="auto"/>
                <w:kern w:val="2"/>
                <w:sz w:val="21"/>
                <w:szCs w:val="21"/>
                <w:shd w:val="clear" w:color="auto" w:fill="auto"/>
                <w:lang w:val="en-US" w:eastAsia="zh-CN" w:bidi="ar-SA"/>
              </w:rPr>
              <w:t>10</w:t>
            </w:r>
            <w:r>
              <w:rPr>
                <w:rFonts w:hint="eastAsia" w:ascii="Times New Roman" w:hAnsi="Times New Roman" w:cs="Times New Roman"/>
                <w:b w:val="0"/>
                <w:bCs w:val="0"/>
                <w:color w:val="auto"/>
                <w:kern w:val="2"/>
                <w:sz w:val="21"/>
                <w:szCs w:val="21"/>
                <w:shd w:val="clear" w:color="auto" w:fill="auto"/>
                <w:vertAlign w:val="superscript"/>
                <w:lang w:val="en-US" w:eastAsia="zh-CN" w:bidi="ar-SA"/>
              </w:rPr>
              <w:t>-3</w:t>
            </w:r>
            <w:r>
              <w:rPr>
                <w:rFonts w:hint="eastAsia" w:ascii="Times New Roman" w:hAnsi="Times New Roman" w:cs="Times New Roman"/>
                <w:b w:val="0"/>
                <w:bCs w:val="0"/>
                <w:color w:val="auto"/>
                <w:kern w:val="2"/>
                <w:sz w:val="21"/>
                <w:szCs w:val="21"/>
                <w:shd w:val="clear" w:color="auto" w:fill="auto"/>
                <w:vertAlign w:val="baseline"/>
                <w:lang w:val="en-US" w:eastAsia="zh-CN" w:bidi="ar-SA"/>
              </w:rPr>
              <w:t>L</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30344465">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9F574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ND</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4FA662FA">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shd w:val="clear" w:color="auto" w:fill="auto"/>
                <w:lang w:val="en-US" w:eastAsia="zh-CN" w:bidi="ar-SA"/>
              </w:rPr>
            </w:pPr>
            <w:r>
              <w:rPr>
                <w:rFonts w:hint="eastAsia" w:ascii="Times New Roman" w:hAnsi="Times New Roman" w:cs="Times New Roman" w:eastAsiaTheme="minorEastAsia"/>
                <w:color w:val="auto"/>
                <w:kern w:val="0"/>
                <w:sz w:val="21"/>
                <w:szCs w:val="21"/>
                <w:shd w:val="clear" w:color="auto" w:fill="auto"/>
                <w:lang w:val="en-US" w:eastAsia="zh-CN" w:bidi="ar-SA"/>
              </w:rPr>
              <w:t>/</w:t>
            </w:r>
          </w:p>
        </w:tc>
      </w:tr>
      <w:tr w14:paraId="0AC3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20173662">
            <w:pP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cs="Times New Roman"/>
                <w:b w:val="0"/>
                <w:bCs w:val="0"/>
                <w:color w:val="auto"/>
                <w:sz w:val="21"/>
                <w:szCs w:val="21"/>
                <w:lang w:val="en-US" w:eastAsia="zh-CN" w:bidi="ar-SA"/>
              </w:rPr>
              <w:t>水位（m）</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0D431875">
            <w:pP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cs="Times New Roman"/>
                <w:color w:val="auto"/>
                <w:sz w:val="21"/>
                <w:szCs w:val="21"/>
                <w:lang w:val="en-US" w:eastAsia="zh-CN"/>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89390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60</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4AFFF51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A1EDE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5A051D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9CF2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89B66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09020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65</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7B98E0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9B08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B775C1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4F085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490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21A9423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r>
      <w:tr w14:paraId="5C30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11BF29C1">
            <w:pPr>
              <w:rPr>
                <w:rFonts w:hint="default" w:ascii="Times New Roman" w:hAnsi="Times New Roman" w:cs="Times New Roman"/>
                <w:b w:val="0"/>
                <w:bCs w:val="0"/>
                <w:color w:val="auto"/>
                <w:sz w:val="21"/>
                <w:szCs w:val="21"/>
                <w:lang w:val="en-US" w:eastAsia="zh-CN" w:bidi="ar-SA"/>
              </w:rPr>
            </w:pPr>
            <w:r>
              <w:rPr>
                <w:rFonts w:hint="eastAsia" w:ascii="Times New Roman" w:hAnsi="Times New Roman" w:cs="Times New Roman"/>
                <w:b w:val="0"/>
                <w:bCs w:val="0"/>
                <w:color w:val="auto"/>
                <w:sz w:val="21"/>
                <w:szCs w:val="21"/>
                <w:lang w:val="en-US" w:eastAsia="zh-CN" w:bidi="ar-SA"/>
              </w:rPr>
              <w:t>水温（℃）</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0F55E264">
            <w:pP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769BB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12.2</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16CF4D0C">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86DE0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12.8</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85E77C8">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8C5E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14.2</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4F3B64B">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D9DF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13.6</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4FBF48BA">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27C1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14.4</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F0D24CB">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A9B65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7.7</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14:paraId="5F26DFA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r>
    </w:tbl>
    <w:p w14:paraId="0DAA03F8">
      <w:pPr>
        <w:bidi w:val="0"/>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7362C59">
      <w:pPr>
        <w:pStyle w:val="6"/>
        <w:bidi w:val="0"/>
        <w:rPr>
          <w:rFonts w:hint="default"/>
          <w:color w:val="auto"/>
          <w:lang w:val="en-US" w:eastAsia="zh-CN"/>
        </w:rPr>
      </w:pPr>
      <w:r>
        <w:rPr>
          <w:rFonts w:hint="eastAsia"/>
          <w:color w:val="auto"/>
          <w:lang w:val="en-US" w:eastAsia="zh-CN"/>
        </w:rPr>
        <w:t>4.2.3.2包气带环境现状分析</w:t>
      </w:r>
    </w:p>
    <w:p w14:paraId="3E9516A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（1）监测点位及层位</w:t>
      </w:r>
    </w:p>
    <w:p w14:paraId="25F69475">
      <w:pPr>
        <w:kinsoku/>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w:t>
      </w:r>
      <w:r>
        <w:rPr>
          <w:rFonts w:hint="eastAsia"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地下水环境》（HJ 610-2016）的要求，</w:t>
      </w:r>
      <w:r>
        <w:rPr>
          <w:rFonts w:hint="eastAsia" w:ascii="宋体" w:hAnsi="宋体" w:eastAsia="宋体" w:cs="宋体"/>
          <w:color w:val="auto"/>
          <w:sz w:val="24"/>
          <w:szCs w:val="24"/>
        </w:rPr>
        <w:t>“对于一、二级的改、扩建项目，应在可能造成地下水污染的主要装置或设施附近开展包气带污染现状调查”</w:t>
      </w:r>
      <w:r>
        <w:rPr>
          <w:rFonts w:hint="default" w:ascii="Times New Roman" w:hAnsi="Times New Roman" w:eastAsia="宋体" w:cs="Times New Roman"/>
          <w:color w:val="auto"/>
          <w:sz w:val="24"/>
          <w:szCs w:val="24"/>
        </w:rPr>
        <w:t>。</w:t>
      </w:r>
    </w:p>
    <w:p w14:paraId="7AC0F8E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color w:val="auto"/>
        </w:rPr>
        <w:t>本次评价布设包气带监测点位</w:t>
      </w:r>
      <w:r>
        <w:rPr>
          <w:rFonts w:hint="eastAsia"/>
          <w:color w:val="auto"/>
          <w:lang w:val="en-US" w:eastAsia="zh-CN"/>
        </w:rPr>
        <w:t>2</w:t>
      </w:r>
      <w:r>
        <w:rPr>
          <w:color w:val="auto"/>
        </w:rPr>
        <w:t>组</w:t>
      </w:r>
      <w:r>
        <w:rPr>
          <w:color w:val="auto"/>
          <w:lang w:eastAsia="zh"/>
        </w:rPr>
        <w:t>，</w:t>
      </w:r>
      <w:r>
        <w:rPr>
          <w:rFonts w:hint="eastAsia"/>
          <w:color w:val="auto"/>
          <w:lang w:val="en-US" w:eastAsia="zh-CN"/>
        </w:rPr>
        <w:t>储罐及计量点原油泄漏主要在表层迁移、扩散，故</w:t>
      </w:r>
      <w:r>
        <w:rPr>
          <w:color w:val="auto"/>
          <w:sz w:val="24"/>
        </w:rPr>
        <w:t>监测层位选取表层样0~20cm</w:t>
      </w:r>
      <w:r>
        <w:rPr>
          <w:rFonts w:hint="eastAsia"/>
          <w:color w:val="auto"/>
          <w:sz w:val="24"/>
          <w:lang w:eastAsia="zh-CN"/>
        </w:rPr>
        <w:t>。</w:t>
      </w:r>
      <w:r>
        <w:rPr>
          <w:rFonts w:hint="eastAsia"/>
          <w:color w:val="auto"/>
          <w:lang w:val="en-US" w:eastAsia="zh-CN"/>
        </w:rPr>
        <w:t>监测点位布置见</w:t>
      </w:r>
      <w:r>
        <w:rPr>
          <w:rFonts w:hint="eastAsia"/>
          <w:color w:val="auto"/>
          <w:lang w:val="en-US" w:eastAsia="zh-CN"/>
        </w:rPr>
        <w:fldChar w:fldCharType="begin"/>
      </w:r>
      <w:r>
        <w:rPr>
          <w:rFonts w:hint="eastAsia"/>
          <w:color w:val="auto"/>
          <w:lang w:val="en-US" w:eastAsia="zh-CN"/>
        </w:rPr>
        <w:instrText xml:space="preserve"> REF _Ref25355 \h </w:instrText>
      </w:r>
      <w:r>
        <w:rPr>
          <w:rFonts w:hint="eastAsia"/>
          <w:color w:val="auto"/>
          <w:lang w:val="en-US" w:eastAsia="zh-CN"/>
        </w:rPr>
        <w:fldChar w:fldCharType="separate"/>
      </w:r>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hint="eastAsia" w:cs="Times New Roman"/>
          <w:color w:val="auto"/>
          <w:lang w:val="en-US" w:eastAsia="zh-CN"/>
        </w:rPr>
        <w:t>4.</w:t>
      </w:r>
      <w:r>
        <w:rPr>
          <w:rFonts w:cs="Times New Roman"/>
          <w:color w:val="auto"/>
        </w:rPr>
        <w:t>2</w:t>
      </w:r>
      <w:r>
        <w:rPr>
          <w:rFonts w:cs="Times New Roman"/>
          <w:color w:val="auto"/>
        </w:rPr>
        <w:fldChar w:fldCharType="end"/>
      </w:r>
      <w:r>
        <w:rPr>
          <w:rFonts w:cs="Times New Roman"/>
          <w:color w:val="auto"/>
        </w:rPr>
        <w:noBreakHyphen/>
      </w:r>
      <w:r>
        <w:rPr>
          <w:rFonts w:hint="eastAsia" w:cs="Times New Roman"/>
          <w:color w:val="auto"/>
          <w:lang w:val="en-US" w:eastAsia="zh-CN"/>
        </w:rPr>
        <w:t>8</w:t>
      </w:r>
      <w:r>
        <w:rPr>
          <w:rFonts w:hint="eastAsia"/>
          <w:color w:val="auto"/>
          <w:lang w:val="en-US" w:eastAsia="zh-CN"/>
        </w:rPr>
        <w:fldChar w:fldCharType="end"/>
      </w:r>
      <w:r>
        <w:rPr>
          <w:rFonts w:hint="eastAsia"/>
          <w:color w:val="auto"/>
          <w:lang w:val="en-US" w:eastAsia="zh-CN"/>
        </w:rPr>
        <w:t>。</w:t>
      </w:r>
    </w:p>
    <w:p w14:paraId="394E0653">
      <w:pPr>
        <w:pStyle w:val="43"/>
        <w:bidi w:val="0"/>
        <w:rPr>
          <w:rFonts w:hint="default"/>
          <w:color w:val="auto"/>
          <w:lang w:val="en-US" w:eastAsia="zh-CN"/>
        </w:rPr>
      </w:pPr>
      <w:r>
        <w:rPr>
          <w:rFonts w:hint="eastAsia"/>
          <w:color w:val="auto"/>
          <w:lang w:val="en-US" w:eastAsia="zh-CN"/>
        </w:rPr>
        <w:t>表4.2-8  包气带监测点位一览表</w:t>
      </w:r>
    </w:p>
    <w:tbl>
      <w:tblPr>
        <w:tblStyle w:val="2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3"/>
        <w:gridCol w:w="2096"/>
        <w:gridCol w:w="1398"/>
        <w:gridCol w:w="1369"/>
        <w:gridCol w:w="1334"/>
        <w:gridCol w:w="1699"/>
      </w:tblGrid>
      <w:tr w14:paraId="7779E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1D5309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5EE15F1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监测点位</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75CA1A0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经度</w:t>
            </w:r>
          </w:p>
        </w:tc>
        <w:tc>
          <w:tcPr>
            <w:tcW w:w="8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41C65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纬度</w:t>
            </w:r>
          </w:p>
        </w:tc>
        <w:tc>
          <w:tcPr>
            <w:tcW w:w="7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84E6A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监测点位</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6359F37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调查内容</w:t>
            </w:r>
          </w:p>
        </w:tc>
      </w:tr>
      <w:tr w14:paraId="7EB7D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3FBA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2D7C2C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DM2721井场储罐区</w:t>
            </w:r>
          </w:p>
        </w:tc>
        <w:tc>
          <w:tcPr>
            <w:tcW w:w="13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5109CE">
            <w:pPr>
              <w:pStyle w:val="48"/>
              <w:bidi w:val="0"/>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13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B8A90C">
            <w:pPr>
              <w:pStyle w:val="48"/>
              <w:bidi w:val="0"/>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7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985C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表层0~0.2m</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22C92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包气带</w:t>
            </w:r>
          </w:p>
        </w:tc>
      </w:tr>
      <w:tr w14:paraId="1973A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9618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3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F989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DM2721井场外</w:t>
            </w:r>
          </w:p>
        </w:tc>
        <w:tc>
          <w:tcPr>
            <w:tcW w:w="13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841BEC">
            <w:pPr>
              <w:pStyle w:val="48"/>
              <w:bidi w:val="0"/>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13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9C130F">
            <w:pPr>
              <w:pStyle w:val="48"/>
              <w:bidi w:val="0"/>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7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9C24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表层0~0.2m</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F84D3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包气带（背景点）</w:t>
            </w:r>
          </w:p>
        </w:tc>
      </w:tr>
      <w:tr w14:paraId="0EB18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CC02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3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9E4A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#计量点</w:t>
            </w:r>
          </w:p>
        </w:tc>
        <w:tc>
          <w:tcPr>
            <w:tcW w:w="13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6C1F19">
            <w:pPr>
              <w:pStyle w:val="48"/>
              <w:bidi w:val="0"/>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13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3E0032">
            <w:pPr>
              <w:pStyle w:val="48"/>
              <w:bidi w:val="0"/>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7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B172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表层0~0.2m</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24D82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包气带</w:t>
            </w:r>
          </w:p>
        </w:tc>
      </w:tr>
      <w:tr w14:paraId="06CDD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E172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3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5292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#计量点外</w:t>
            </w:r>
          </w:p>
        </w:tc>
        <w:tc>
          <w:tcPr>
            <w:tcW w:w="13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A3D84">
            <w:pPr>
              <w:pStyle w:val="48"/>
              <w:bidi w:val="0"/>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13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0AEB19">
            <w:pPr>
              <w:pStyle w:val="48"/>
              <w:bidi w:val="0"/>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7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BE76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表层0~0.2m</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D8883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包气带（背景点）</w:t>
            </w:r>
          </w:p>
        </w:tc>
      </w:tr>
    </w:tbl>
    <w:p w14:paraId="2EFE493A">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监测</w:t>
      </w:r>
      <w:r>
        <w:rPr>
          <w:rFonts w:hint="eastAsia" w:ascii="Times New Roman" w:hAnsi="Times New Roman" w:eastAsia="宋体"/>
          <w:color w:val="auto"/>
          <w:sz w:val="24"/>
          <w:szCs w:val="24"/>
          <w:lang w:val="en-US" w:eastAsia="zh-CN"/>
        </w:rPr>
        <w:t>因子</w:t>
      </w:r>
    </w:p>
    <w:p w14:paraId="515BFCC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包气带浸溶液</w:t>
      </w:r>
      <w:r>
        <w:rPr>
          <w:rFonts w:hint="eastAsia" w:ascii="Times New Roman" w:hAnsi="Times New Roman" w:eastAsia="宋体"/>
          <w:color w:val="auto"/>
          <w:sz w:val="24"/>
          <w:szCs w:val="24"/>
        </w:rPr>
        <w:t>水质：pH值、硫化物、氯化物、总硬度、溶解总固体、砷、汞、铬（六价）、</w:t>
      </w:r>
      <w:r>
        <w:rPr>
          <w:rFonts w:hint="eastAsia" w:ascii="Times New Roman" w:hAnsi="Times New Roman" w:eastAsia="宋体"/>
          <w:color w:val="auto"/>
          <w:sz w:val="24"/>
          <w:szCs w:val="24"/>
          <w:lang w:val="en-US" w:eastAsia="zh-CN"/>
        </w:rPr>
        <w:t>铜、镍、铅、镉、石油类、硝酸盐氮、硫酸盐</w:t>
      </w:r>
      <w:r>
        <w:rPr>
          <w:rFonts w:hint="eastAsia" w:ascii="Times New Roman" w:hAnsi="Times New Roman" w:eastAsia="宋体"/>
          <w:color w:val="auto"/>
          <w:sz w:val="24"/>
          <w:szCs w:val="24"/>
        </w:rPr>
        <w:t>，共1</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项。</w:t>
      </w:r>
    </w:p>
    <w:p w14:paraId="38DF9D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（3）</w:t>
      </w:r>
      <w:r>
        <w:rPr>
          <w:rFonts w:hint="default"/>
          <w:color w:val="auto"/>
          <w:sz w:val="24"/>
          <w:szCs w:val="28"/>
          <w:lang w:val="en-US" w:eastAsia="zh-CN"/>
        </w:rPr>
        <w:t>监测时间、频次及方法</w:t>
      </w:r>
    </w:p>
    <w:p w14:paraId="17ECD9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监测</w:t>
      </w:r>
      <w:r>
        <w:rPr>
          <w:rFonts w:hint="eastAsia" w:cs="Times New Roman"/>
          <w:color w:val="auto"/>
          <w:sz w:val="24"/>
          <w:szCs w:val="24"/>
          <w:lang w:val="en-US" w:eastAsia="zh-CN"/>
        </w:rPr>
        <w:t>采样</w:t>
      </w:r>
      <w:r>
        <w:rPr>
          <w:rFonts w:hint="default" w:ascii="Times New Roman" w:hAnsi="Times New Roman" w:eastAsia="宋体" w:cs="Times New Roman"/>
          <w:color w:val="auto"/>
          <w:sz w:val="24"/>
          <w:szCs w:val="24"/>
          <w:lang w:eastAsia="zh-CN"/>
        </w:rPr>
        <w:t>时间为</w:t>
      </w:r>
      <w:r>
        <w:rPr>
          <w:rFonts w:hint="default"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日，监测1天，各监测点位各监测1次。</w:t>
      </w:r>
    </w:p>
    <w:p w14:paraId="4B9C9F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浸溶液中各监测因子及监测方法见表</w:t>
      </w:r>
      <w:r>
        <w:rPr>
          <w:rFonts w:hint="eastAsia" w:ascii="Times New Roman" w:hAnsi="Times New Roman" w:eastAsia="宋体" w:cs="Times New Roman"/>
          <w:color w:val="auto"/>
          <w:sz w:val="24"/>
          <w:szCs w:val="24"/>
          <w:lang w:val="en-US" w:eastAsia="zh-CN"/>
        </w:rPr>
        <w:t>4.2-</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w:t>
      </w:r>
    </w:p>
    <w:p w14:paraId="09D4463F">
      <w:pPr>
        <w:pStyle w:val="32"/>
        <w:bidi w:val="0"/>
        <w:rPr>
          <w:color w:val="auto"/>
        </w:rPr>
      </w:pPr>
      <w:r>
        <w:rPr>
          <w:rFonts w:hint="eastAsia"/>
          <w:color w:val="auto"/>
        </w:rPr>
        <w:t>表</w:t>
      </w:r>
      <w:r>
        <w:rPr>
          <w:rFonts w:hint="eastAsia"/>
          <w:color w:val="auto"/>
          <w:lang w:val="en-US" w:eastAsia="zh-CN"/>
        </w:rPr>
        <w:t>4.2-9</w:t>
      </w:r>
      <w:r>
        <w:rPr>
          <w:rFonts w:hint="eastAsia"/>
          <w:color w:val="auto"/>
        </w:rPr>
        <w:t xml:space="preserve">  包气带浸溶试验监测因子及监测分析方法</w:t>
      </w:r>
    </w:p>
    <w:tbl>
      <w:tblPr>
        <w:tblStyle w:val="27"/>
        <w:tblW w:w="51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696"/>
        <w:gridCol w:w="1241"/>
        <w:gridCol w:w="2890"/>
        <w:gridCol w:w="1518"/>
        <w:gridCol w:w="951"/>
        <w:gridCol w:w="1250"/>
      </w:tblGrid>
      <w:tr w14:paraId="6052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0" w:hRule="atLeast"/>
          <w:tblHeader/>
          <w:jc w:val="center"/>
        </w:trPr>
        <w:tc>
          <w:tcPr>
            <w:tcW w:w="407" w:type="pct"/>
            <w:tcBorders>
              <w:tl2br w:val="nil"/>
              <w:tr2bl w:val="nil"/>
            </w:tcBorders>
            <w:noWrap w:val="0"/>
            <w:vAlign w:val="center"/>
          </w:tcPr>
          <w:p w14:paraId="749D78CD">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726" w:type="pct"/>
            <w:tcBorders>
              <w:tl2br w:val="nil"/>
              <w:tr2bl w:val="nil"/>
            </w:tcBorders>
            <w:noWrap w:val="0"/>
            <w:vAlign w:val="center"/>
          </w:tcPr>
          <w:p w14:paraId="2486100F">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监测项目</w:t>
            </w:r>
          </w:p>
        </w:tc>
        <w:tc>
          <w:tcPr>
            <w:tcW w:w="1690" w:type="pct"/>
            <w:tcBorders>
              <w:tl2br w:val="nil"/>
              <w:tr2bl w:val="nil"/>
            </w:tcBorders>
            <w:noWrap w:val="0"/>
            <w:vAlign w:val="center"/>
          </w:tcPr>
          <w:p w14:paraId="730003D8">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监测方法及依据</w:t>
            </w:r>
          </w:p>
        </w:tc>
        <w:tc>
          <w:tcPr>
            <w:tcW w:w="888" w:type="pct"/>
            <w:tcBorders>
              <w:tl2br w:val="nil"/>
              <w:tr2bl w:val="nil"/>
            </w:tcBorders>
            <w:noWrap w:val="0"/>
            <w:vAlign w:val="center"/>
          </w:tcPr>
          <w:p w14:paraId="4C49A19D">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所用仪器</w:t>
            </w:r>
          </w:p>
        </w:tc>
        <w:tc>
          <w:tcPr>
            <w:tcW w:w="556" w:type="pct"/>
            <w:tcBorders>
              <w:tl2br w:val="nil"/>
              <w:tr2bl w:val="nil"/>
            </w:tcBorders>
            <w:noWrap w:val="0"/>
            <w:vAlign w:val="center"/>
          </w:tcPr>
          <w:p w14:paraId="3DA366EC">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仪器编号</w:t>
            </w:r>
          </w:p>
        </w:tc>
        <w:tc>
          <w:tcPr>
            <w:tcW w:w="731" w:type="pct"/>
            <w:tcBorders>
              <w:tl2br w:val="nil"/>
              <w:tr2bl w:val="nil"/>
            </w:tcBorders>
            <w:noWrap w:val="0"/>
            <w:vAlign w:val="center"/>
          </w:tcPr>
          <w:p w14:paraId="47684E59">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检出限</w:t>
            </w:r>
          </w:p>
        </w:tc>
      </w:tr>
      <w:tr w14:paraId="02BA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restart"/>
            <w:tcBorders>
              <w:tl2br w:val="nil"/>
              <w:tr2bl w:val="nil"/>
            </w:tcBorders>
            <w:noWrap w:val="0"/>
            <w:vAlign w:val="center"/>
          </w:tcPr>
          <w:p w14:paraId="10386AB7">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包气带</w:t>
            </w:r>
          </w:p>
        </w:tc>
        <w:tc>
          <w:tcPr>
            <w:tcW w:w="726" w:type="pct"/>
            <w:tcBorders>
              <w:tl2br w:val="nil"/>
              <w:tr2bl w:val="nil"/>
            </w:tcBorders>
            <w:noWrap w:val="0"/>
            <w:vAlign w:val="center"/>
          </w:tcPr>
          <w:p w14:paraId="3E9D78FA">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w:t>
            </w:r>
            <w:r>
              <w:rPr>
                <w:rFonts w:hint="default" w:ascii="Times New Roman" w:hAnsi="Times New Roman" w:eastAsia="宋体" w:cs="Times New Roman"/>
                <w:color w:val="auto"/>
                <w:sz w:val="21"/>
                <w:szCs w:val="21"/>
                <w:vertAlign w:val="baseline"/>
                <w:lang w:val="en-US" w:eastAsia="zh-CN"/>
              </w:rPr>
              <w:t>H</w:t>
            </w:r>
          </w:p>
        </w:tc>
        <w:tc>
          <w:tcPr>
            <w:tcW w:w="1690" w:type="pct"/>
            <w:tcBorders>
              <w:tl2br w:val="nil"/>
              <w:tr2bl w:val="nil"/>
            </w:tcBorders>
            <w:shd w:val="clear" w:color="auto" w:fill="auto"/>
            <w:noWrap w:val="0"/>
            <w:vAlign w:val="center"/>
          </w:tcPr>
          <w:p w14:paraId="3069FB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 pH值的测定 电极法》</w:t>
            </w:r>
          </w:p>
          <w:p w14:paraId="22E812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color w:val="auto"/>
                <w:sz w:val="21"/>
                <w:szCs w:val="21"/>
                <w:lang w:val="en-US" w:eastAsia="zh-CN"/>
              </w:rPr>
              <w:tab/>
            </w:r>
            <w:r>
              <w:rPr>
                <w:rFonts w:hint="default" w:ascii="Times New Roman" w:hAnsi="Times New Roman" w:eastAsia="宋体" w:cs="Times New Roman"/>
                <w:color w:val="auto"/>
                <w:sz w:val="21"/>
                <w:szCs w:val="21"/>
                <w:lang w:val="en-US" w:eastAsia="zh-CN"/>
              </w:rPr>
              <w:t>HJ 1147-2020</w:t>
            </w:r>
          </w:p>
        </w:tc>
        <w:tc>
          <w:tcPr>
            <w:tcW w:w="888" w:type="pct"/>
            <w:tcBorders>
              <w:tl2br w:val="nil"/>
              <w:tr2bl w:val="nil"/>
            </w:tcBorders>
            <w:shd w:val="clear" w:color="auto" w:fill="auto"/>
            <w:noWrap w:val="0"/>
            <w:vAlign w:val="center"/>
          </w:tcPr>
          <w:p w14:paraId="2B973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PHBJ-260型便携式pH仪</w:t>
            </w:r>
          </w:p>
        </w:tc>
        <w:tc>
          <w:tcPr>
            <w:tcW w:w="556" w:type="pct"/>
            <w:tcBorders>
              <w:tl2br w:val="nil"/>
              <w:tr2bl w:val="nil"/>
            </w:tcBorders>
            <w:shd w:val="clear" w:color="auto" w:fill="auto"/>
            <w:noWrap w:val="0"/>
            <w:vAlign w:val="center"/>
          </w:tcPr>
          <w:p w14:paraId="3B88047E">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JL-070</w:t>
            </w:r>
          </w:p>
        </w:tc>
        <w:tc>
          <w:tcPr>
            <w:tcW w:w="731" w:type="pct"/>
            <w:tcBorders>
              <w:tl2br w:val="nil"/>
              <w:tr2bl w:val="nil"/>
            </w:tcBorders>
            <w:shd w:val="clear" w:color="auto" w:fill="auto"/>
            <w:noWrap w:val="0"/>
            <w:vAlign w:val="center"/>
          </w:tcPr>
          <w:p w14:paraId="17BBF410">
            <w:pPr>
              <w:keepNext w:val="0"/>
              <w:keepLines w:val="0"/>
              <w:suppressLineNumbers w:val="0"/>
              <w:snapToGrid w:val="0"/>
              <w:spacing w:before="0" w:beforeAutospacing="0" w:after="0" w:afterAutospacing="0" w:line="240" w:lineRule="exact"/>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4B49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1D7A8EB1">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3E88E798">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砷</w:t>
            </w:r>
          </w:p>
        </w:tc>
        <w:tc>
          <w:tcPr>
            <w:tcW w:w="1690" w:type="pct"/>
            <w:vMerge w:val="restart"/>
            <w:tcBorders>
              <w:tl2br w:val="nil"/>
              <w:tr2bl w:val="nil"/>
            </w:tcBorders>
            <w:shd w:val="clear" w:color="auto" w:fill="auto"/>
            <w:noWrap w:val="0"/>
            <w:vAlign w:val="top"/>
          </w:tcPr>
          <w:p w14:paraId="2AB9EA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lang w:val="en-US" w:eastAsia="zh-CN" w:bidi="ar"/>
              </w:rPr>
            </w:pPr>
            <w:r>
              <w:rPr>
                <w:rFonts w:hint="default" w:ascii="Times New Roman" w:hAnsi="Times New Roman" w:eastAsia="宋体" w:cs="Times New Roman"/>
                <w:color w:val="auto"/>
                <w:sz w:val="21"/>
                <w:szCs w:val="21"/>
                <w:lang w:val="en-US" w:eastAsia="zh-CN"/>
              </w:rPr>
              <w:t>《水质 汞、砷、硒、铋和锑的测定 原子荧光法》HJ 694-2014</w:t>
            </w:r>
          </w:p>
        </w:tc>
        <w:tc>
          <w:tcPr>
            <w:tcW w:w="888" w:type="pct"/>
            <w:vMerge w:val="restart"/>
            <w:tcBorders>
              <w:tl2br w:val="nil"/>
              <w:tr2bl w:val="nil"/>
            </w:tcBorders>
            <w:shd w:val="clear" w:color="auto" w:fill="auto"/>
            <w:noWrap w:val="0"/>
            <w:vAlign w:val="center"/>
          </w:tcPr>
          <w:p w14:paraId="47378E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kern w:val="2"/>
                <w:sz w:val="21"/>
                <w:szCs w:val="21"/>
                <w:highlight w:val="yellow"/>
                <w:lang w:val="en-US" w:eastAsia="zh-CN" w:bidi="ar"/>
              </w:rPr>
            </w:pPr>
            <w:r>
              <w:rPr>
                <w:rFonts w:hint="eastAsia" w:eastAsia="宋体" w:cs="Times New Roman"/>
                <w:color w:val="auto"/>
                <w:kern w:val="2"/>
                <w:sz w:val="21"/>
                <w:szCs w:val="24"/>
                <w:highlight w:val="none"/>
                <w:lang w:val="en-US" w:eastAsia="zh-CN" w:bidi="ar-SA"/>
              </w:rPr>
              <w:t>AF-7550型原子荧光光谱仪</w:t>
            </w:r>
          </w:p>
        </w:tc>
        <w:tc>
          <w:tcPr>
            <w:tcW w:w="556" w:type="pct"/>
            <w:vMerge w:val="restart"/>
            <w:tcBorders>
              <w:tl2br w:val="nil"/>
              <w:tr2bl w:val="nil"/>
            </w:tcBorders>
            <w:shd w:val="clear" w:color="auto" w:fill="auto"/>
            <w:noWrap w:val="0"/>
            <w:vAlign w:val="center"/>
          </w:tcPr>
          <w:p w14:paraId="14029B6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bCs w:val="0"/>
                <w:color w:val="auto"/>
                <w:kern w:val="2"/>
                <w:sz w:val="21"/>
                <w:szCs w:val="21"/>
                <w:highlight w:val="yellow"/>
                <w:lang w:val="en-US" w:eastAsia="zh-CN" w:bidi="ar"/>
              </w:rPr>
            </w:pPr>
            <w:r>
              <w:rPr>
                <w:rFonts w:hint="eastAsia" w:eastAsia="宋体" w:cs="Times New Roman"/>
                <w:color w:val="auto"/>
                <w:kern w:val="2"/>
                <w:sz w:val="21"/>
                <w:szCs w:val="24"/>
                <w:highlight w:val="none"/>
                <w:lang w:val="en-US" w:eastAsia="zh-CN" w:bidi="ar-SA"/>
              </w:rPr>
              <w:t>JL-009</w:t>
            </w:r>
          </w:p>
        </w:tc>
        <w:tc>
          <w:tcPr>
            <w:tcW w:w="731" w:type="pct"/>
            <w:tcBorders>
              <w:tl2br w:val="nil"/>
              <w:tr2bl w:val="nil"/>
            </w:tcBorders>
            <w:shd w:val="clear" w:color="auto" w:fill="auto"/>
            <w:noWrap w:val="0"/>
            <w:vAlign w:val="center"/>
          </w:tcPr>
          <w:p w14:paraId="555DF1E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0.04μg/L</w:t>
            </w:r>
          </w:p>
        </w:tc>
      </w:tr>
      <w:tr w14:paraId="7B01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51B78975">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0B81511C">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1690" w:type="pct"/>
            <w:vMerge w:val="continue"/>
            <w:tcBorders>
              <w:tl2br w:val="nil"/>
              <w:tr2bl w:val="nil"/>
            </w:tcBorders>
            <w:noWrap w:val="0"/>
            <w:vAlign w:val="center"/>
          </w:tcPr>
          <w:p w14:paraId="597F23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p>
        </w:tc>
        <w:tc>
          <w:tcPr>
            <w:tcW w:w="888" w:type="pct"/>
            <w:vMerge w:val="continue"/>
            <w:tcBorders>
              <w:tl2br w:val="nil"/>
              <w:tr2bl w:val="nil"/>
            </w:tcBorders>
            <w:noWrap w:val="0"/>
            <w:vAlign w:val="center"/>
          </w:tcPr>
          <w:p w14:paraId="0E84CA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p>
        </w:tc>
        <w:tc>
          <w:tcPr>
            <w:tcW w:w="556" w:type="pct"/>
            <w:vMerge w:val="continue"/>
            <w:tcBorders>
              <w:tl2br w:val="nil"/>
              <w:tr2bl w:val="nil"/>
            </w:tcBorders>
            <w:noWrap w:val="0"/>
            <w:vAlign w:val="center"/>
          </w:tcPr>
          <w:p w14:paraId="3105C8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p>
        </w:tc>
        <w:tc>
          <w:tcPr>
            <w:tcW w:w="731" w:type="pct"/>
            <w:tcBorders>
              <w:tl2br w:val="nil"/>
              <w:tr2bl w:val="nil"/>
            </w:tcBorders>
            <w:shd w:val="clear" w:color="auto" w:fill="auto"/>
            <w:noWrap w:val="0"/>
            <w:vAlign w:val="center"/>
          </w:tcPr>
          <w:p w14:paraId="418F4BF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0.3μg/L</w:t>
            </w:r>
          </w:p>
        </w:tc>
      </w:tr>
      <w:tr w14:paraId="1324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78F092E6">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228A4B37">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1690" w:type="pct"/>
            <w:vMerge w:val="restart"/>
            <w:tcBorders>
              <w:tl2br w:val="nil"/>
              <w:tr2bl w:val="nil"/>
            </w:tcBorders>
            <w:shd w:val="clear" w:color="auto" w:fill="auto"/>
            <w:noWrap w:val="0"/>
            <w:vAlign w:val="center"/>
          </w:tcPr>
          <w:p w14:paraId="0D064B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《生活饮用水标准检验方法 金属指标》GB/T 5750.6-20</w:t>
            </w:r>
            <w:r>
              <w:rPr>
                <w:rFonts w:hint="eastAsia" w:ascii="Times New Roman" w:hAnsi="Times New Roman" w:eastAsia="宋体" w:cs="Times New Roman"/>
                <w:color w:val="auto"/>
                <w:sz w:val="21"/>
                <w:szCs w:val="21"/>
                <w:lang w:val="en-US" w:eastAsia="zh-CN"/>
              </w:rPr>
              <w:t>23</w:t>
            </w:r>
          </w:p>
          <w:p w14:paraId="380540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lang w:val="en-US" w:eastAsia="zh-CN" w:bidi="ar"/>
              </w:rPr>
            </w:pPr>
            <w:r>
              <w:rPr>
                <w:rFonts w:hint="default" w:ascii="Times New Roman" w:hAnsi="Times New Roman" w:eastAsia="宋体" w:cs="Times New Roman"/>
                <w:color w:val="auto"/>
                <w:sz w:val="21"/>
                <w:szCs w:val="21"/>
                <w:lang w:val="en-US" w:eastAsia="zh-CN"/>
              </w:rPr>
              <w:t>无火焰原子吸收分光光度法</w:t>
            </w:r>
          </w:p>
        </w:tc>
        <w:tc>
          <w:tcPr>
            <w:tcW w:w="888" w:type="pct"/>
            <w:vMerge w:val="restart"/>
            <w:tcBorders>
              <w:tl2br w:val="nil"/>
              <w:tr2bl w:val="nil"/>
            </w:tcBorders>
            <w:shd w:val="clear" w:color="auto" w:fill="auto"/>
            <w:noWrap w:val="0"/>
            <w:vAlign w:val="center"/>
          </w:tcPr>
          <w:p w14:paraId="566BA4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bCs w:val="0"/>
                <w:color w:val="auto"/>
                <w:sz w:val="21"/>
                <w:szCs w:val="21"/>
                <w:lang w:val="en-US" w:eastAsia="zh-CN" w:bidi="ar"/>
              </w:rPr>
            </w:pPr>
            <w:r>
              <w:rPr>
                <w:rFonts w:hint="eastAsia" w:eastAsia="宋体" w:cs="Times New Roman"/>
                <w:b w:val="0"/>
                <w:bCs/>
                <w:color w:val="auto"/>
                <w:kern w:val="2"/>
                <w:sz w:val="21"/>
                <w:szCs w:val="21"/>
                <w:lang w:val="en-US" w:eastAsia="zh-CN" w:bidi="ar"/>
              </w:rPr>
              <w:t>AA7090型原子吸收分光光度计</w:t>
            </w:r>
          </w:p>
        </w:tc>
        <w:tc>
          <w:tcPr>
            <w:tcW w:w="556" w:type="pct"/>
            <w:vMerge w:val="restart"/>
            <w:tcBorders>
              <w:tl2br w:val="nil"/>
              <w:tr2bl w:val="nil"/>
            </w:tcBorders>
            <w:shd w:val="clear" w:color="auto" w:fill="auto"/>
            <w:noWrap w:val="0"/>
            <w:vAlign w:val="center"/>
          </w:tcPr>
          <w:p w14:paraId="44AA10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JL-00</w:t>
            </w:r>
            <w:r>
              <w:rPr>
                <w:rFonts w:hint="eastAsia" w:eastAsia="宋体" w:cs="Times New Roman"/>
                <w:b w:val="0"/>
                <w:bCs/>
                <w:color w:val="auto"/>
                <w:kern w:val="2"/>
                <w:sz w:val="21"/>
                <w:szCs w:val="21"/>
                <w:lang w:val="en-US" w:eastAsia="zh-CN" w:bidi="ar"/>
              </w:rPr>
              <w:t>7</w:t>
            </w:r>
          </w:p>
        </w:tc>
        <w:tc>
          <w:tcPr>
            <w:tcW w:w="731" w:type="pct"/>
            <w:tcBorders>
              <w:tl2br w:val="nil"/>
              <w:tr2bl w:val="nil"/>
            </w:tcBorders>
            <w:shd w:val="clear" w:color="auto" w:fill="auto"/>
            <w:noWrap w:val="0"/>
            <w:vAlign w:val="center"/>
          </w:tcPr>
          <w:p w14:paraId="45D73C97">
            <w:pPr>
              <w:keepNext w:val="0"/>
              <w:keepLines w:val="0"/>
              <w:suppressLineNumbers w:val="0"/>
              <w:snapToGrid w:val="0"/>
              <w:spacing w:before="0" w:beforeAutospacing="0" w:after="0" w:afterAutospacing="0" w:line="240" w:lineRule="exact"/>
              <w:ind w:left="72"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0.5µg/L</w:t>
            </w:r>
          </w:p>
        </w:tc>
      </w:tr>
      <w:tr w14:paraId="1752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760529F3">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3D21C8F2">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1690" w:type="pct"/>
            <w:vMerge w:val="continue"/>
            <w:tcBorders>
              <w:tl2br w:val="nil"/>
              <w:tr2bl w:val="nil"/>
            </w:tcBorders>
            <w:noWrap w:val="0"/>
            <w:vAlign w:val="center"/>
          </w:tcPr>
          <w:p w14:paraId="1C2EE45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p>
        </w:tc>
        <w:tc>
          <w:tcPr>
            <w:tcW w:w="888" w:type="pct"/>
            <w:vMerge w:val="continue"/>
            <w:tcBorders>
              <w:tl2br w:val="nil"/>
              <w:tr2bl w:val="nil"/>
            </w:tcBorders>
            <w:noWrap w:val="0"/>
            <w:vAlign w:val="center"/>
          </w:tcPr>
          <w:p w14:paraId="4AF1CC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p>
        </w:tc>
        <w:tc>
          <w:tcPr>
            <w:tcW w:w="556" w:type="pct"/>
            <w:vMerge w:val="continue"/>
            <w:tcBorders>
              <w:tl2br w:val="nil"/>
              <w:tr2bl w:val="nil"/>
            </w:tcBorders>
            <w:noWrap w:val="0"/>
            <w:vAlign w:val="center"/>
          </w:tcPr>
          <w:p w14:paraId="60C47B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p>
        </w:tc>
        <w:tc>
          <w:tcPr>
            <w:tcW w:w="731" w:type="pct"/>
            <w:tcBorders>
              <w:tl2br w:val="nil"/>
              <w:tr2bl w:val="nil"/>
            </w:tcBorders>
            <w:shd w:val="clear" w:color="auto" w:fill="auto"/>
            <w:noWrap w:val="0"/>
            <w:vAlign w:val="center"/>
          </w:tcPr>
          <w:p w14:paraId="6B4519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SA"/>
              </w:rPr>
              <w:t>2.5µg/L</w:t>
            </w:r>
          </w:p>
        </w:tc>
      </w:tr>
      <w:tr w14:paraId="0C91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25407719">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189A19B8">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1690" w:type="pct"/>
            <w:tcBorders>
              <w:tl2br w:val="nil"/>
              <w:tr2bl w:val="nil"/>
            </w:tcBorders>
            <w:shd w:val="clear" w:color="auto" w:fill="auto"/>
            <w:noWrap w:val="0"/>
            <w:vAlign w:val="center"/>
          </w:tcPr>
          <w:p w14:paraId="3B4EFA17">
            <w:pPr>
              <w:keepNext w:val="0"/>
              <w:keepLines w:val="0"/>
              <w:suppressLineNumbers w:val="0"/>
              <w:snapToGrid w:val="0"/>
              <w:spacing w:before="0" w:beforeAutospacing="0" w:after="0" w:afterAutospacing="0"/>
              <w:ind w:left="72"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《生活饮用水标准检验方法 金属指标》GB/T 5750.6</w:t>
            </w:r>
            <w:r>
              <w:rPr>
                <w:rFonts w:hint="eastAsia" w:eastAsia="宋体" w:cs="Times New Roman"/>
                <w:color w:val="auto"/>
                <w:sz w:val="21"/>
                <w:szCs w:val="21"/>
                <w:lang w:val="en-US" w:eastAsia="zh-CN"/>
              </w:rPr>
              <w:t>-2023</w:t>
            </w:r>
          </w:p>
          <w:p w14:paraId="30BC212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bCs w:val="0"/>
                <w:color w:val="auto"/>
                <w:kern w:val="2"/>
                <w:sz w:val="21"/>
                <w:szCs w:val="21"/>
                <w:highlight w:val="none"/>
                <w:lang w:val="en-US" w:eastAsia="zh-CN" w:bidi="ar"/>
              </w:rPr>
            </w:pPr>
            <w:r>
              <w:rPr>
                <w:rFonts w:hint="default" w:ascii="Times New Roman" w:hAnsi="Times New Roman" w:eastAsia="宋体" w:cs="Times New Roman"/>
                <w:color w:val="auto"/>
                <w:sz w:val="21"/>
                <w:szCs w:val="21"/>
                <w:lang w:val="en-US" w:eastAsia="zh-CN"/>
              </w:rPr>
              <w:t>火焰原子吸收分光光度法</w:t>
            </w:r>
          </w:p>
        </w:tc>
        <w:tc>
          <w:tcPr>
            <w:tcW w:w="888" w:type="pct"/>
            <w:tcBorders>
              <w:tl2br w:val="nil"/>
              <w:tr2bl w:val="nil"/>
            </w:tcBorders>
            <w:shd w:val="clear" w:color="auto" w:fill="auto"/>
            <w:noWrap w:val="0"/>
            <w:vAlign w:val="center"/>
          </w:tcPr>
          <w:p w14:paraId="6C705DFC">
            <w:pPr>
              <w:keepNext w:val="0"/>
              <w:keepLines w:val="0"/>
              <w:suppressLineNumbers w:val="0"/>
              <w:snapToGrid w:val="0"/>
              <w:spacing w:before="0" w:beforeAutospacing="0" w:after="0" w:afterAutospacing="0" w:line="240" w:lineRule="exact"/>
              <w:ind w:left="72" w:leftChars="0" w:right="0" w:rightChars="0"/>
              <w:jc w:val="center"/>
              <w:rPr>
                <w:rFonts w:hint="default" w:ascii="Times New Roman" w:hAnsi="Times New Roman" w:eastAsia="宋体" w:cs="Times New Roman"/>
                <w:b/>
                <w:bCs w:val="0"/>
                <w:color w:val="auto"/>
                <w:kern w:val="2"/>
                <w:sz w:val="21"/>
                <w:szCs w:val="21"/>
                <w:highlight w:val="yellow"/>
                <w:lang w:val="en-US" w:eastAsia="zh-CN" w:bidi="ar"/>
              </w:rPr>
            </w:pPr>
            <w:r>
              <w:rPr>
                <w:rFonts w:hint="eastAsia" w:eastAsia="宋体" w:cs="Times New Roman"/>
                <w:color w:val="auto"/>
                <w:kern w:val="2"/>
                <w:sz w:val="21"/>
                <w:szCs w:val="24"/>
                <w:highlight w:val="none"/>
                <w:lang w:val="en-US" w:eastAsia="zh-CN" w:bidi="ar-SA"/>
              </w:rPr>
              <w:t>AA-7050型</w:t>
            </w:r>
            <w:r>
              <w:rPr>
                <w:rFonts w:hint="eastAsia" w:eastAsia="宋体" w:cs="Times New Roman"/>
                <w:b w:val="0"/>
                <w:bCs/>
                <w:color w:val="auto"/>
                <w:kern w:val="2"/>
                <w:sz w:val="21"/>
                <w:szCs w:val="21"/>
                <w:lang w:val="en-US" w:eastAsia="zh-CN" w:bidi="ar"/>
              </w:rPr>
              <w:t>原子吸收分光光度计</w:t>
            </w:r>
          </w:p>
        </w:tc>
        <w:tc>
          <w:tcPr>
            <w:tcW w:w="556" w:type="pct"/>
            <w:tcBorders>
              <w:tl2br w:val="nil"/>
              <w:tr2bl w:val="nil"/>
            </w:tcBorders>
            <w:shd w:val="clear" w:color="auto" w:fill="auto"/>
            <w:noWrap w:val="0"/>
            <w:vAlign w:val="center"/>
          </w:tcPr>
          <w:p w14:paraId="01778BFC">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bCs w:val="0"/>
                <w:color w:val="auto"/>
                <w:kern w:val="2"/>
                <w:sz w:val="21"/>
                <w:szCs w:val="21"/>
                <w:highlight w:val="yellow"/>
                <w:lang w:val="en-US" w:eastAsia="zh-CN" w:bidi="ar"/>
              </w:rPr>
            </w:pPr>
            <w:r>
              <w:rPr>
                <w:rFonts w:hint="eastAsia" w:eastAsia="宋体" w:cs="Times New Roman"/>
                <w:color w:val="auto"/>
                <w:kern w:val="2"/>
                <w:sz w:val="21"/>
                <w:szCs w:val="24"/>
                <w:highlight w:val="none"/>
                <w:lang w:val="en-US" w:eastAsia="zh-CN" w:bidi="ar-SA"/>
              </w:rPr>
              <w:t>JL-008</w:t>
            </w:r>
          </w:p>
        </w:tc>
        <w:tc>
          <w:tcPr>
            <w:tcW w:w="731" w:type="pct"/>
            <w:tcBorders>
              <w:tl2br w:val="nil"/>
              <w:tr2bl w:val="nil"/>
            </w:tcBorders>
            <w:noWrap w:val="0"/>
            <w:vAlign w:val="center"/>
          </w:tcPr>
          <w:p w14:paraId="02BC90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2"/>
                <w:sz w:val="21"/>
                <w:szCs w:val="21"/>
                <w:lang w:val="en-US" w:eastAsia="zh-CN" w:bidi="ar-SA"/>
              </w:rPr>
              <w:t>0.2mg/L</w:t>
            </w:r>
          </w:p>
        </w:tc>
      </w:tr>
      <w:tr w14:paraId="41E6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5884F877">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69115BBC">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镍</w:t>
            </w:r>
          </w:p>
        </w:tc>
        <w:tc>
          <w:tcPr>
            <w:tcW w:w="1690" w:type="pct"/>
            <w:tcBorders>
              <w:tl2br w:val="nil"/>
              <w:tr2bl w:val="nil"/>
            </w:tcBorders>
            <w:shd w:val="clear" w:color="auto" w:fill="auto"/>
            <w:noWrap w:val="0"/>
            <w:vAlign w:val="center"/>
          </w:tcPr>
          <w:p w14:paraId="71A03E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《生活饮用水标准检验方法 金属指标》GB/T 5750.6-20</w:t>
            </w:r>
            <w:r>
              <w:rPr>
                <w:rFonts w:hint="eastAsia" w:ascii="Times New Roman" w:hAnsi="Times New Roman" w:eastAsia="宋体" w:cs="Times New Roman"/>
                <w:color w:val="auto"/>
                <w:sz w:val="21"/>
                <w:szCs w:val="21"/>
                <w:lang w:val="en-US" w:eastAsia="zh-CN"/>
              </w:rPr>
              <w:t>23</w:t>
            </w:r>
          </w:p>
          <w:p w14:paraId="2D01D3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lang w:val="en-US" w:eastAsia="zh-CN" w:bidi="ar"/>
              </w:rPr>
            </w:pPr>
            <w:r>
              <w:rPr>
                <w:rFonts w:hint="default" w:ascii="Times New Roman" w:hAnsi="Times New Roman" w:eastAsia="宋体" w:cs="Times New Roman"/>
                <w:color w:val="auto"/>
                <w:sz w:val="21"/>
                <w:szCs w:val="21"/>
                <w:lang w:val="en-US" w:eastAsia="zh-CN"/>
              </w:rPr>
              <w:t>无火焰原子吸收分光光度法</w:t>
            </w:r>
          </w:p>
        </w:tc>
        <w:tc>
          <w:tcPr>
            <w:tcW w:w="888" w:type="pct"/>
            <w:tcBorders>
              <w:tl2br w:val="nil"/>
              <w:tr2bl w:val="nil"/>
            </w:tcBorders>
            <w:shd w:val="clear" w:color="auto" w:fill="auto"/>
            <w:noWrap w:val="0"/>
            <w:vAlign w:val="center"/>
          </w:tcPr>
          <w:p w14:paraId="2C194E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lang w:val="en-US" w:eastAsia="zh-CN" w:bidi="ar"/>
              </w:rPr>
            </w:pPr>
            <w:r>
              <w:rPr>
                <w:rFonts w:hint="eastAsia" w:eastAsia="宋体" w:cs="Times New Roman"/>
                <w:b w:val="0"/>
                <w:bCs/>
                <w:color w:val="auto"/>
                <w:kern w:val="2"/>
                <w:sz w:val="21"/>
                <w:szCs w:val="21"/>
                <w:lang w:val="en-US" w:eastAsia="zh-CN" w:bidi="ar"/>
              </w:rPr>
              <w:t>AA7090型原子吸收分光光度计</w:t>
            </w:r>
          </w:p>
        </w:tc>
        <w:tc>
          <w:tcPr>
            <w:tcW w:w="556" w:type="pct"/>
            <w:tcBorders>
              <w:tl2br w:val="nil"/>
              <w:tr2bl w:val="nil"/>
            </w:tcBorders>
            <w:noWrap w:val="0"/>
            <w:vAlign w:val="center"/>
          </w:tcPr>
          <w:p w14:paraId="503CFC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kern w:val="2"/>
                <w:sz w:val="21"/>
                <w:szCs w:val="21"/>
                <w:lang w:val="en-US" w:eastAsia="zh-CN" w:bidi="ar"/>
              </w:rPr>
              <w:t>JL-00</w:t>
            </w:r>
            <w:r>
              <w:rPr>
                <w:rFonts w:hint="eastAsia" w:eastAsia="宋体" w:cs="Times New Roman"/>
                <w:b w:val="0"/>
                <w:bCs/>
                <w:color w:val="auto"/>
                <w:kern w:val="2"/>
                <w:sz w:val="21"/>
                <w:szCs w:val="21"/>
                <w:lang w:val="en-US" w:eastAsia="zh-CN" w:bidi="ar"/>
              </w:rPr>
              <w:t>7</w:t>
            </w:r>
          </w:p>
        </w:tc>
        <w:tc>
          <w:tcPr>
            <w:tcW w:w="731" w:type="pct"/>
            <w:tcBorders>
              <w:tl2br w:val="nil"/>
              <w:tr2bl w:val="nil"/>
            </w:tcBorders>
            <w:noWrap w:val="0"/>
            <w:vAlign w:val="center"/>
          </w:tcPr>
          <w:p w14:paraId="134196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5µg/L</w:t>
            </w:r>
          </w:p>
        </w:tc>
      </w:tr>
      <w:tr w14:paraId="7CBC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1AB5490E">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0CFD52D2">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石油类</w:t>
            </w:r>
          </w:p>
        </w:tc>
        <w:tc>
          <w:tcPr>
            <w:tcW w:w="1690" w:type="pct"/>
            <w:tcBorders>
              <w:tl2br w:val="nil"/>
              <w:tr2bl w:val="nil"/>
            </w:tcBorders>
            <w:shd w:val="clear" w:color="auto" w:fill="auto"/>
            <w:noWrap w:val="0"/>
            <w:vAlign w:val="center"/>
          </w:tcPr>
          <w:p w14:paraId="01D12DF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kern w:val="2"/>
                <w:sz w:val="21"/>
                <w:szCs w:val="21"/>
                <w:highlight w:val="none"/>
                <w:lang w:val="en-US" w:eastAsia="zh-CN" w:bidi="ar"/>
              </w:rPr>
            </w:pPr>
            <w:r>
              <w:rPr>
                <w:rFonts w:hint="eastAsia" w:ascii="Times New Roman" w:hAnsi="Times New Roman" w:eastAsia="宋体" w:cs="Times New Roman"/>
                <w:b w:val="0"/>
                <w:bCs/>
                <w:color w:val="auto"/>
                <w:kern w:val="2"/>
                <w:sz w:val="21"/>
                <w:szCs w:val="21"/>
                <w:highlight w:val="none"/>
                <w:lang w:val="en-US" w:eastAsia="zh-CN" w:bidi="ar"/>
              </w:rPr>
              <w:t>《</w:t>
            </w:r>
            <w:r>
              <w:rPr>
                <w:rFonts w:hint="default" w:ascii="Times New Roman" w:hAnsi="Times New Roman" w:eastAsia="宋体" w:cs="Times New Roman"/>
                <w:b w:val="0"/>
                <w:bCs/>
                <w:color w:val="auto"/>
                <w:kern w:val="2"/>
                <w:sz w:val="21"/>
                <w:szCs w:val="21"/>
                <w:highlight w:val="none"/>
                <w:lang w:val="en-US" w:eastAsia="zh-CN" w:bidi="ar"/>
              </w:rPr>
              <w:t>水质</w:t>
            </w:r>
            <w:r>
              <w:rPr>
                <w:rFonts w:hint="eastAsia" w:eastAsia="宋体" w:cs="Times New Roman"/>
                <w:b w:val="0"/>
                <w:bCs/>
                <w:color w:val="auto"/>
                <w:kern w:val="2"/>
                <w:sz w:val="21"/>
                <w:szCs w:val="21"/>
                <w:highlight w:val="none"/>
                <w:lang w:val="en-US" w:eastAsia="zh-CN" w:bidi="ar"/>
              </w:rPr>
              <w:t xml:space="preserve"> </w:t>
            </w:r>
            <w:r>
              <w:rPr>
                <w:rFonts w:hint="default" w:ascii="Times New Roman" w:hAnsi="Times New Roman" w:eastAsia="宋体" w:cs="Times New Roman"/>
                <w:b w:val="0"/>
                <w:bCs/>
                <w:color w:val="auto"/>
                <w:kern w:val="2"/>
                <w:sz w:val="21"/>
                <w:szCs w:val="21"/>
                <w:highlight w:val="none"/>
                <w:lang w:val="en-US" w:eastAsia="zh-CN" w:bidi="ar"/>
              </w:rPr>
              <w:t>石油类的测定 紫外分光光度法(试行)</w:t>
            </w:r>
            <w:r>
              <w:rPr>
                <w:rFonts w:hint="eastAsia" w:ascii="Times New Roman" w:hAnsi="Times New Roman" w:eastAsia="宋体" w:cs="Times New Roman"/>
                <w:b w:val="0"/>
                <w:bCs/>
                <w:color w:val="auto"/>
                <w:kern w:val="2"/>
                <w:sz w:val="21"/>
                <w:szCs w:val="21"/>
                <w:highlight w:val="none"/>
                <w:lang w:val="en-US" w:eastAsia="zh-CN" w:bidi="ar"/>
              </w:rPr>
              <w:t>》</w:t>
            </w:r>
            <w:r>
              <w:rPr>
                <w:rFonts w:hint="default" w:ascii="Times New Roman" w:hAnsi="Times New Roman" w:eastAsia="宋体" w:cs="Times New Roman"/>
                <w:b w:val="0"/>
                <w:bCs/>
                <w:color w:val="auto"/>
                <w:kern w:val="2"/>
                <w:sz w:val="21"/>
                <w:szCs w:val="21"/>
                <w:highlight w:val="none"/>
                <w:lang w:val="en-US" w:eastAsia="zh-CN" w:bidi="ar"/>
              </w:rPr>
              <w:t>HJ 970-2018</w:t>
            </w:r>
          </w:p>
        </w:tc>
        <w:tc>
          <w:tcPr>
            <w:tcW w:w="888" w:type="pct"/>
            <w:tcBorders>
              <w:tl2br w:val="nil"/>
              <w:tr2bl w:val="nil"/>
            </w:tcBorders>
            <w:shd w:val="clear" w:color="auto" w:fill="auto"/>
            <w:noWrap w:val="0"/>
            <w:vAlign w:val="center"/>
          </w:tcPr>
          <w:p w14:paraId="3123753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T6</w:t>
            </w:r>
            <w:r>
              <w:rPr>
                <w:rFonts w:hint="eastAsia" w:eastAsia="宋体" w:cs="Times New Roman"/>
                <w:bCs/>
                <w:color w:val="auto"/>
                <w:kern w:val="2"/>
                <w:sz w:val="21"/>
                <w:szCs w:val="21"/>
                <w:highlight w:val="none"/>
                <w:lang w:val="en-US" w:eastAsia="zh-CN" w:bidi="ar"/>
              </w:rPr>
              <w:t>型</w:t>
            </w:r>
            <w:r>
              <w:rPr>
                <w:rFonts w:hint="default" w:ascii="Times New Roman" w:hAnsi="Times New Roman" w:eastAsia="宋体" w:cs="Times New Roman"/>
                <w:bCs/>
                <w:color w:val="auto"/>
                <w:kern w:val="2"/>
                <w:sz w:val="21"/>
                <w:szCs w:val="21"/>
                <w:highlight w:val="none"/>
                <w:lang w:val="en-US" w:eastAsia="zh-CN" w:bidi="ar"/>
              </w:rPr>
              <w:t>紫外可见分光光度计</w:t>
            </w:r>
          </w:p>
        </w:tc>
        <w:tc>
          <w:tcPr>
            <w:tcW w:w="556" w:type="pct"/>
            <w:tcBorders>
              <w:tl2br w:val="nil"/>
              <w:tr2bl w:val="nil"/>
            </w:tcBorders>
            <w:shd w:val="clear" w:color="auto" w:fill="auto"/>
            <w:noWrap w:val="0"/>
            <w:vAlign w:val="center"/>
          </w:tcPr>
          <w:p w14:paraId="3A6086A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JL-014-2</w:t>
            </w:r>
          </w:p>
        </w:tc>
        <w:tc>
          <w:tcPr>
            <w:tcW w:w="731" w:type="pct"/>
            <w:tcBorders>
              <w:tl2br w:val="nil"/>
              <w:tr2bl w:val="nil"/>
            </w:tcBorders>
            <w:shd w:val="clear" w:color="auto" w:fill="auto"/>
            <w:noWrap w:val="0"/>
            <w:vAlign w:val="center"/>
          </w:tcPr>
          <w:p w14:paraId="66DBFE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0.01mg/L</w:t>
            </w:r>
          </w:p>
        </w:tc>
      </w:tr>
      <w:tr w14:paraId="27D0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240B2322">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3FD871F1">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1690" w:type="pct"/>
            <w:tcBorders>
              <w:tl2br w:val="nil"/>
              <w:tr2bl w:val="nil"/>
            </w:tcBorders>
            <w:shd w:val="clear" w:color="auto" w:fill="auto"/>
            <w:noWrap w:val="0"/>
            <w:vAlign w:val="center"/>
          </w:tcPr>
          <w:p w14:paraId="6671A4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《水质 六价铬的测定 二苯碳酰二肼分光光度法》GB</w:t>
            </w:r>
            <w:r>
              <w:rPr>
                <w:rFonts w:hint="eastAsia" w:ascii="Times New Roman" w:hAnsi="Times New Roman" w:eastAsia="宋体" w:cs="Times New Roman"/>
                <w:color w:val="auto"/>
                <w:sz w:val="21"/>
                <w:szCs w:val="21"/>
                <w:lang w:val="en-US" w:eastAsia="zh-CN"/>
              </w:rPr>
              <w:t>/T</w:t>
            </w:r>
            <w:r>
              <w:rPr>
                <w:rFonts w:hint="default" w:ascii="Times New Roman" w:hAnsi="Times New Roman" w:eastAsia="宋体" w:cs="Times New Roman"/>
                <w:color w:val="auto"/>
                <w:sz w:val="21"/>
                <w:szCs w:val="21"/>
                <w:lang w:val="en-US" w:eastAsia="zh-CN"/>
              </w:rPr>
              <w:t xml:space="preserve"> 7467-1987</w:t>
            </w:r>
          </w:p>
        </w:tc>
        <w:tc>
          <w:tcPr>
            <w:tcW w:w="888" w:type="pct"/>
            <w:tcBorders>
              <w:tl2br w:val="nil"/>
              <w:tr2bl w:val="nil"/>
            </w:tcBorders>
            <w:shd w:val="clear" w:color="auto" w:fill="auto"/>
            <w:noWrap w:val="0"/>
            <w:vAlign w:val="center"/>
          </w:tcPr>
          <w:p w14:paraId="5C33D5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752N型紫外分光光度计</w:t>
            </w:r>
          </w:p>
        </w:tc>
        <w:tc>
          <w:tcPr>
            <w:tcW w:w="556" w:type="pct"/>
            <w:tcBorders>
              <w:tl2br w:val="nil"/>
              <w:tr2bl w:val="nil"/>
            </w:tcBorders>
            <w:shd w:val="clear" w:color="auto" w:fill="auto"/>
            <w:noWrap w:val="0"/>
            <w:vAlign w:val="center"/>
          </w:tcPr>
          <w:p w14:paraId="307C16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JL-014-1</w:t>
            </w:r>
          </w:p>
        </w:tc>
        <w:tc>
          <w:tcPr>
            <w:tcW w:w="731" w:type="pct"/>
            <w:tcBorders>
              <w:tl2br w:val="nil"/>
              <w:tr2bl w:val="nil"/>
            </w:tcBorders>
            <w:shd w:val="clear" w:color="auto" w:fill="auto"/>
            <w:noWrap w:val="0"/>
            <w:vAlign w:val="center"/>
          </w:tcPr>
          <w:p w14:paraId="4AD1176B">
            <w:pPr>
              <w:keepNext w:val="0"/>
              <w:keepLines w:val="0"/>
              <w:suppressLineNumbers w:val="0"/>
              <w:snapToGrid w:val="0"/>
              <w:spacing w:before="0" w:beforeAutospacing="0" w:after="0" w:afterAutospacing="0" w:line="240" w:lineRule="exact"/>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0.004mg/L</w:t>
            </w:r>
          </w:p>
        </w:tc>
      </w:tr>
      <w:tr w14:paraId="2AC9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1610E89D">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0368B4C2">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氯化物</w:t>
            </w:r>
          </w:p>
        </w:tc>
        <w:tc>
          <w:tcPr>
            <w:tcW w:w="1690" w:type="pct"/>
            <w:tcBorders>
              <w:tl2br w:val="nil"/>
              <w:tr2bl w:val="nil"/>
            </w:tcBorders>
            <w:shd w:val="clear" w:color="auto" w:fill="auto"/>
            <w:noWrap w:val="0"/>
            <w:vAlign w:val="center"/>
          </w:tcPr>
          <w:p w14:paraId="21C2C2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《水质 氯化物的测定 硝酸银滴定法》GB/T 11896-1989</w:t>
            </w:r>
          </w:p>
        </w:tc>
        <w:tc>
          <w:tcPr>
            <w:tcW w:w="888" w:type="pct"/>
            <w:tcBorders>
              <w:tl2br w:val="nil"/>
              <w:tr2bl w:val="nil"/>
            </w:tcBorders>
            <w:shd w:val="clear" w:color="auto" w:fill="auto"/>
            <w:noWrap w:val="0"/>
            <w:vAlign w:val="center"/>
          </w:tcPr>
          <w:p w14:paraId="11F2E9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556" w:type="pct"/>
            <w:tcBorders>
              <w:tl2br w:val="nil"/>
              <w:tr2bl w:val="nil"/>
            </w:tcBorders>
            <w:shd w:val="clear" w:color="auto" w:fill="auto"/>
            <w:noWrap w:val="0"/>
            <w:vAlign w:val="center"/>
          </w:tcPr>
          <w:p w14:paraId="7D5BE4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highlight w:val="none"/>
                <w:lang w:val="en-US" w:eastAsia="zh-CN" w:bidi="ar-SA"/>
              </w:rPr>
              <w:t>/</w:t>
            </w:r>
          </w:p>
        </w:tc>
        <w:tc>
          <w:tcPr>
            <w:tcW w:w="731" w:type="pct"/>
            <w:tcBorders>
              <w:tl2br w:val="nil"/>
              <w:tr2bl w:val="nil"/>
            </w:tcBorders>
            <w:shd w:val="clear" w:color="auto" w:fill="auto"/>
            <w:noWrap w:val="0"/>
            <w:vAlign w:val="center"/>
          </w:tcPr>
          <w:p w14:paraId="790273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10mg/L</w:t>
            </w:r>
          </w:p>
        </w:tc>
      </w:tr>
      <w:tr w14:paraId="70A3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304EA6B9">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54A9EBC0">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硫化物</w:t>
            </w:r>
          </w:p>
        </w:tc>
        <w:tc>
          <w:tcPr>
            <w:tcW w:w="1690" w:type="pct"/>
            <w:tcBorders>
              <w:tl2br w:val="nil"/>
              <w:tr2bl w:val="nil"/>
            </w:tcBorders>
            <w:shd w:val="clear" w:color="auto" w:fill="auto"/>
            <w:noWrap w:val="0"/>
            <w:vAlign w:val="top"/>
          </w:tcPr>
          <w:p w14:paraId="3D5C6B3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lang w:val="en-US" w:eastAsia="zh-CN" w:bidi="ar"/>
              </w:rPr>
            </w:pPr>
            <w:r>
              <w:rPr>
                <w:rFonts w:hint="default" w:ascii="Times New Roman" w:hAnsi="Times New Roman" w:eastAsia="宋体" w:cs="Times New Roman"/>
                <w:color w:val="auto"/>
                <w:sz w:val="21"/>
                <w:szCs w:val="21"/>
                <w:lang w:eastAsia="zh-CN"/>
              </w:rPr>
              <w:t>《水质 硫化物的测定 亚甲基蓝分光光度法》HJ 1226-2021</w:t>
            </w:r>
          </w:p>
        </w:tc>
        <w:tc>
          <w:tcPr>
            <w:tcW w:w="888" w:type="pct"/>
            <w:tcBorders>
              <w:tl2br w:val="nil"/>
              <w:tr2bl w:val="nil"/>
            </w:tcBorders>
            <w:shd w:val="clear" w:color="auto" w:fill="auto"/>
            <w:noWrap w:val="0"/>
            <w:vAlign w:val="center"/>
          </w:tcPr>
          <w:p w14:paraId="0FC388F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
              </w:rPr>
              <w:t>752N</w:t>
            </w:r>
            <w:r>
              <w:rPr>
                <w:rFonts w:hint="eastAsia" w:eastAsia="宋体" w:cs="Times New Roman"/>
                <w:b w:val="0"/>
                <w:bCs/>
                <w:color w:val="auto"/>
                <w:kern w:val="2"/>
                <w:sz w:val="21"/>
                <w:szCs w:val="21"/>
                <w:highlight w:val="none"/>
                <w:lang w:val="en-US" w:eastAsia="zh-CN" w:bidi="ar"/>
              </w:rPr>
              <w:t>型</w:t>
            </w:r>
            <w:r>
              <w:rPr>
                <w:rFonts w:hint="default" w:ascii="Times New Roman" w:hAnsi="Times New Roman" w:eastAsia="宋体" w:cs="Times New Roman"/>
                <w:b w:val="0"/>
                <w:bCs/>
                <w:color w:val="auto"/>
                <w:kern w:val="2"/>
                <w:sz w:val="21"/>
                <w:szCs w:val="21"/>
                <w:highlight w:val="none"/>
                <w:lang w:val="en-US" w:eastAsia="zh-CN" w:bidi="ar"/>
              </w:rPr>
              <w:t>紫外分光光度计</w:t>
            </w:r>
          </w:p>
        </w:tc>
        <w:tc>
          <w:tcPr>
            <w:tcW w:w="556" w:type="pct"/>
            <w:tcBorders>
              <w:tl2br w:val="nil"/>
              <w:tr2bl w:val="nil"/>
            </w:tcBorders>
            <w:shd w:val="clear" w:color="auto" w:fill="auto"/>
            <w:noWrap w:val="0"/>
            <w:vAlign w:val="center"/>
          </w:tcPr>
          <w:p w14:paraId="3FB93AF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
              </w:rPr>
              <w:t>JL-014-1</w:t>
            </w:r>
          </w:p>
        </w:tc>
        <w:tc>
          <w:tcPr>
            <w:tcW w:w="731" w:type="pct"/>
            <w:tcBorders>
              <w:tl2br w:val="nil"/>
              <w:tr2bl w:val="nil"/>
            </w:tcBorders>
            <w:shd w:val="clear" w:color="auto" w:fill="auto"/>
            <w:noWrap w:val="0"/>
            <w:vAlign w:val="center"/>
          </w:tcPr>
          <w:p w14:paraId="70BD70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lang w:val="en-US" w:eastAsia="zh-CN" w:bidi="ar"/>
              </w:rPr>
            </w:pPr>
            <w:r>
              <w:rPr>
                <w:rFonts w:hint="default"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rPr>
              <w:t>mg/L</w:t>
            </w:r>
          </w:p>
        </w:tc>
      </w:tr>
      <w:tr w14:paraId="4911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40D3EA62">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52032024">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总硬度</w:t>
            </w:r>
          </w:p>
        </w:tc>
        <w:tc>
          <w:tcPr>
            <w:tcW w:w="1690" w:type="pct"/>
            <w:tcBorders>
              <w:tl2br w:val="nil"/>
              <w:tr2bl w:val="nil"/>
            </w:tcBorders>
            <w:shd w:val="clear" w:color="auto" w:fill="auto"/>
            <w:noWrap w:val="0"/>
            <w:vAlign w:val="center"/>
          </w:tcPr>
          <w:p w14:paraId="19B77F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地下水质分析方法 第15部分：总硬度的测定 乙二胺四乙酸二钠滴定法》 DZ/T 0064.15-2021</w:t>
            </w:r>
          </w:p>
        </w:tc>
        <w:tc>
          <w:tcPr>
            <w:tcW w:w="888" w:type="pct"/>
            <w:tcBorders>
              <w:tl2br w:val="nil"/>
              <w:tr2bl w:val="nil"/>
            </w:tcBorders>
            <w:shd w:val="clear" w:color="auto" w:fill="auto"/>
            <w:noWrap w:val="0"/>
            <w:vAlign w:val="center"/>
          </w:tcPr>
          <w:p w14:paraId="4685F1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56" w:type="pct"/>
            <w:tcBorders>
              <w:tl2br w:val="nil"/>
              <w:tr2bl w:val="nil"/>
            </w:tcBorders>
            <w:shd w:val="clear" w:color="auto" w:fill="auto"/>
            <w:noWrap w:val="0"/>
            <w:vAlign w:val="center"/>
          </w:tcPr>
          <w:p w14:paraId="0D9666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31" w:type="pct"/>
            <w:tcBorders>
              <w:tl2br w:val="nil"/>
              <w:tr2bl w:val="nil"/>
            </w:tcBorders>
            <w:shd w:val="clear" w:color="auto" w:fill="auto"/>
            <w:noWrap w:val="0"/>
            <w:vAlign w:val="center"/>
          </w:tcPr>
          <w:p w14:paraId="6B2152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bCs/>
                <w:color w:val="auto"/>
                <w:szCs w:val="21"/>
                <w:lang w:val="en-US" w:eastAsia="zh-CN"/>
              </w:rPr>
              <w:t>3.0</w:t>
            </w:r>
            <w:r>
              <w:rPr>
                <w:rFonts w:hint="eastAsia" w:ascii="Times New Roman" w:hAnsi="Times New Roman" w:eastAsia="宋体" w:cs="Times New Roman"/>
                <w:bCs/>
                <w:color w:val="auto"/>
                <w:szCs w:val="21"/>
                <w:lang w:val="en-US" w:eastAsia="zh-CN"/>
              </w:rPr>
              <w:t>mg/L</w:t>
            </w:r>
          </w:p>
        </w:tc>
      </w:tr>
      <w:tr w14:paraId="3719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467533B3">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1FB9B48C">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溶解性总固体</w:t>
            </w:r>
          </w:p>
        </w:tc>
        <w:tc>
          <w:tcPr>
            <w:tcW w:w="1690" w:type="pct"/>
            <w:tcBorders>
              <w:tl2br w:val="nil"/>
              <w:tr2bl w:val="nil"/>
            </w:tcBorders>
            <w:shd w:val="clear" w:color="auto" w:fill="auto"/>
            <w:noWrap w:val="0"/>
            <w:vAlign w:val="center"/>
          </w:tcPr>
          <w:p w14:paraId="68AC0B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2"/>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《地下水</w:t>
            </w:r>
            <w:r>
              <w:rPr>
                <w:rFonts w:hint="eastAsia" w:eastAsia="宋体" w:cs="Times New Roman"/>
                <w:color w:val="auto"/>
                <w:kern w:val="2"/>
                <w:sz w:val="21"/>
                <w:szCs w:val="21"/>
                <w:highlight w:val="none"/>
                <w:lang w:val="en-US" w:eastAsia="zh-CN" w:bidi="ar-SA"/>
              </w:rPr>
              <w:t>质</w:t>
            </w:r>
            <w:r>
              <w:rPr>
                <w:rFonts w:hint="eastAsia" w:ascii="Times New Roman" w:hAnsi="Times New Roman" w:eastAsia="宋体" w:cs="Times New Roman"/>
                <w:color w:val="auto"/>
                <w:kern w:val="2"/>
                <w:sz w:val="21"/>
                <w:szCs w:val="21"/>
                <w:highlight w:val="none"/>
                <w:lang w:val="en-US" w:eastAsia="zh-CN" w:bidi="ar-SA"/>
              </w:rPr>
              <w:t>分析方法 第</w:t>
            </w:r>
            <w:r>
              <w:rPr>
                <w:rFonts w:hint="eastAsia" w:eastAsia="宋体" w:cs="Times New Roman"/>
                <w:color w:val="auto"/>
                <w:kern w:val="2"/>
                <w:sz w:val="21"/>
                <w:szCs w:val="21"/>
                <w:highlight w:val="none"/>
                <w:lang w:val="en-US" w:eastAsia="zh-CN" w:bidi="ar-SA"/>
              </w:rPr>
              <w:t>9</w:t>
            </w:r>
            <w:r>
              <w:rPr>
                <w:rFonts w:hint="eastAsia" w:ascii="Times New Roman" w:hAnsi="Times New Roman" w:eastAsia="宋体" w:cs="Times New Roman"/>
                <w:color w:val="auto"/>
                <w:kern w:val="2"/>
                <w:sz w:val="21"/>
                <w:szCs w:val="21"/>
                <w:highlight w:val="none"/>
                <w:lang w:val="en-US" w:eastAsia="zh-CN" w:bidi="ar-SA"/>
              </w:rPr>
              <w:t>部分：</w:t>
            </w:r>
            <w:r>
              <w:rPr>
                <w:rFonts w:hint="eastAsia" w:eastAsia="宋体" w:cs="Times New Roman"/>
                <w:color w:val="auto"/>
                <w:kern w:val="2"/>
                <w:sz w:val="21"/>
                <w:szCs w:val="21"/>
                <w:highlight w:val="none"/>
                <w:lang w:val="en-US" w:eastAsia="zh-CN" w:bidi="ar-SA"/>
              </w:rPr>
              <w:t>溶解性总固体总量的测定 重量法</w:t>
            </w:r>
            <w:r>
              <w:rPr>
                <w:rFonts w:hint="eastAsia" w:ascii="Times New Roman" w:hAnsi="Times New Roman" w:eastAsia="宋体" w:cs="Times New Roman"/>
                <w:color w:val="auto"/>
                <w:kern w:val="2"/>
                <w:sz w:val="21"/>
                <w:szCs w:val="21"/>
                <w:highlight w:val="none"/>
                <w:lang w:val="en-US" w:eastAsia="zh-CN" w:bidi="ar-SA"/>
              </w:rPr>
              <w:t>》 DZ/T 0064.15-2021</w:t>
            </w:r>
          </w:p>
        </w:tc>
        <w:tc>
          <w:tcPr>
            <w:tcW w:w="888" w:type="pct"/>
            <w:tcBorders>
              <w:tl2br w:val="nil"/>
              <w:tr2bl w:val="nil"/>
            </w:tcBorders>
            <w:shd w:val="clear" w:color="auto" w:fill="auto"/>
            <w:noWrap w:val="0"/>
            <w:vAlign w:val="center"/>
          </w:tcPr>
          <w:p w14:paraId="1B3E53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101-2EBS型烘箱</w:t>
            </w:r>
            <w:r>
              <w:rPr>
                <w:rFonts w:hint="eastAsia" w:eastAsia="宋体" w:cs="Times New Roman"/>
                <w:color w:val="auto"/>
                <w:kern w:val="2"/>
                <w:sz w:val="21"/>
                <w:szCs w:val="21"/>
                <w:highlight w:val="none"/>
                <w:lang w:val="en-US" w:eastAsia="zh-CN" w:bidi="ar-SA"/>
              </w:rPr>
              <w:t>ATX124</w:t>
            </w:r>
            <w:r>
              <w:rPr>
                <w:rFonts w:hint="eastAsia" w:ascii="Times New Roman" w:hAnsi="Times New Roman" w:eastAsia="宋体" w:cs="Times New Roman"/>
                <w:color w:val="auto"/>
                <w:kern w:val="2"/>
                <w:sz w:val="21"/>
                <w:szCs w:val="21"/>
                <w:highlight w:val="none"/>
                <w:lang w:val="en-US" w:eastAsia="zh-CN" w:bidi="ar-SA"/>
              </w:rPr>
              <w:t>型电子天平</w:t>
            </w:r>
          </w:p>
        </w:tc>
        <w:tc>
          <w:tcPr>
            <w:tcW w:w="556" w:type="pct"/>
            <w:tcBorders>
              <w:tl2br w:val="nil"/>
              <w:tr2bl w:val="nil"/>
            </w:tcBorders>
            <w:shd w:val="clear" w:color="auto" w:fill="auto"/>
            <w:noWrap w:val="0"/>
            <w:vAlign w:val="center"/>
          </w:tcPr>
          <w:p w14:paraId="669BEE2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JL-027-1</w:t>
            </w:r>
          </w:p>
          <w:p w14:paraId="5670C0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JL-012-1</w:t>
            </w:r>
          </w:p>
        </w:tc>
        <w:tc>
          <w:tcPr>
            <w:tcW w:w="731" w:type="pct"/>
            <w:tcBorders>
              <w:tl2br w:val="nil"/>
              <w:tr2bl w:val="nil"/>
            </w:tcBorders>
            <w:shd w:val="clear" w:color="auto" w:fill="auto"/>
            <w:noWrap w:val="0"/>
            <w:vAlign w:val="center"/>
          </w:tcPr>
          <w:p w14:paraId="17124C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4BA2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087A276B">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206BF56E">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硝酸盐氮</w:t>
            </w:r>
          </w:p>
        </w:tc>
        <w:tc>
          <w:tcPr>
            <w:tcW w:w="1690" w:type="pct"/>
            <w:tcBorders>
              <w:tl2br w:val="nil"/>
              <w:tr2bl w:val="nil"/>
            </w:tcBorders>
            <w:shd w:val="clear" w:color="auto" w:fill="auto"/>
            <w:noWrap w:val="0"/>
            <w:vAlign w:val="center"/>
          </w:tcPr>
          <w:p w14:paraId="3A72E6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lang w:val="en-US" w:eastAsia="zh-CN"/>
              </w:rPr>
              <w:t>《水质 硝酸盐氮的测定 酚二磺酸分光光度法》GB</w:t>
            </w:r>
            <w:r>
              <w:rPr>
                <w:rFonts w:hint="eastAsia" w:eastAsia="宋体" w:cs="Times New Roman"/>
                <w:color w:val="auto"/>
                <w:lang w:val="en-US" w:eastAsia="zh-CN"/>
              </w:rPr>
              <w:t>/T</w:t>
            </w:r>
            <w:r>
              <w:rPr>
                <w:rFonts w:hint="eastAsia" w:ascii="Times New Roman" w:hAnsi="Times New Roman" w:eastAsia="宋体" w:cs="Times New Roman"/>
                <w:color w:val="auto"/>
                <w:lang w:val="en-US" w:eastAsia="zh-CN"/>
              </w:rPr>
              <w:t xml:space="preserve"> 7480-1987</w:t>
            </w:r>
          </w:p>
        </w:tc>
        <w:tc>
          <w:tcPr>
            <w:tcW w:w="888" w:type="pct"/>
            <w:tcBorders>
              <w:tl2br w:val="nil"/>
              <w:tr2bl w:val="nil"/>
            </w:tcBorders>
            <w:shd w:val="clear" w:color="auto" w:fill="auto"/>
            <w:noWrap w:val="0"/>
            <w:vAlign w:val="center"/>
          </w:tcPr>
          <w:p w14:paraId="5114E7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752N型紫外分光光度计</w:t>
            </w:r>
          </w:p>
        </w:tc>
        <w:tc>
          <w:tcPr>
            <w:tcW w:w="556" w:type="pct"/>
            <w:tcBorders>
              <w:tl2br w:val="nil"/>
              <w:tr2bl w:val="nil"/>
            </w:tcBorders>
            <w:shd w:val="clear" w:color="auto" w:fill="auto"/>
            <w:noWrap w:val="0"/>
            <w:vAlign w:val="center"/>
          </w:tcPr>
          <w:p w14:paraId="43E95C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JL-014-1</w:t>
            </w:r>
          </w:p>
        </w:tc>
        <w:tc>
          <w:tcPr>
            <w:tcW w:w="731" w:type="pct"/>
            <w:tcBorders>
              <w:tl2br w:val="nil"/>
              <w:tr2bl w:val="nil"/>
            </w:tcBorders>
            <w:shd w:val="clear" w:color="auto" w:fill="auto"/>
            <w:noWrap w:val="0"/>
            <w:vAlign w:val="center"/>
          </w:tcPr>
          <w:p w14:paraId="676C43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Cs w:val="21"/>
                <w:lang w:val="en-US" w:eastAsia="zh-CN"/>
              </w:rPr>
              <w:t>0.02mg/L</w:t>
            </w:r>
          </w:p>
        </w:tc>
      </w:tr>
      <w:tr w14:paraId="4D93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407" w:type="pct"/>
            <w:vMerge w:val="continue"/>
            <w:tcBorders>
              <w:tl2br w:val="nil"/>
              <w:tr2bl w:val="nil"/>
            </w:tcBorders>
            <w:noWrap w:val="0"/>
            <w:vAlign w:val="top"/>
          </w:tcPr>
          <w:p w14:paraId="38C0F20D">
            <w:pPr>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726" w:type="pct"/>
            <w:tcBorders>
              <w:tl2br w:val="nil"/>
              <w:tr2bl w:val="nil"/>
            </w:tcBorders>
            <w:noWrap w:val="0"/>
            <w:vAlign w:val="center"/>
          </w:tcPr>
          <w:p w14:paraId="4EE627CE">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硫酸盐</w:t>
            </w:r>
          </w:p>
        </w:tc>
        <w:tc>
          <w:tcPr>
            <w:tcW w:w="1690" w:type="pct"/>
            <w:tcBorders>
              <w:tl2br w:val="nil"/>
              <w:tr2bl w:val="nil"/>
            </w:tcBorders>
            <w:shd w:val="clear" w:color="auto" w:fill="auto"/>
            <w:noWrap w:val="0"/>
            <w:vAlign w:val="center"/>
          </w:tcPr>
          <w:p w14:paraId="0D1B5C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lang w:val="en-US" w:eastAsia="zh-CN"/>
              </w:rPr>
              <w:t>《水质 硫酸盐的测定 铬酸钡分光光度法(试行)》HJ/T 342-2007</w:t>
            </w:r>
          </w:p>
        </w:tc>
        <w:tc>
          <w:tcPr>
            <w:tcW w:w="888" w:type="pct"/>
            <w:tcBorders>
              <w:tl2br w:val="nil"/>
              <w:tr2bl w:val="nil"/>
            </w:tcBorders>
            <w:shd w:val="clear" w:color="auto" w:fill="auto"/>
            <w:noWrap w:val="0"/>
            <w:vAlign w:val="center"/>
          </w:tcPr>
          <w:p w14:paraId="2D3ADC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752N型紫外分光光度计</w:t>
            </w:r>
          </w:p>
        </w:tc>
        <w:tc>
          <w:tcPr>
            <w:tcW w:w="556" w:type="pct"/>
            <w:tcBorders>
              <w:tl2br w:val="nil"/>
              <w:tr2bl w:val="nil"/>
            </w:tcBorders>
            <w:shd w:val="clear" w:color="auto" w:fill="auto"/>
            <w:noWrap w:val="0"/>
            <w:vAlign w:val="center"/>
          </w:tcPr>
          <w:p w14:paraId="279DCC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JL-014-1</w:t>
            </w:r>
          </w:p>
        </w:tc>
        <w:tc>
          <w:tcPr>
            <w:tcW w:w="731" w:type="pct"/>
            <w:tcBorders>
              <w:tl2br w:val="nil"/>
              <w:tr2bl w:val="nil"/>
            </w:tcBorders>
            <w:shd w:val="clear" w:color="auto" w:fill="auto"/>
            <w:noWrap w:val="0"/>
            <w:vAlign w:val="center"/>
          </w:tcPr>
          <w:p w14:paraId="1A6657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Cs w:val="21"/>
                <w:lang w:val="en-US" w:eastAsia="zh-CN"/>
              </w:rPr>
              <w:t>8mg/L</w:t>
            </w:r>
          </w:p>
        </w:tc>
      </w:tr>
    </w:tbl>
    <w:p w14:paraId="7B6257B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（3）监测结果及评价</w:t>
      </w:r>
    </w:p>
    <w:p w14:paraId="4489024E">
      <w:pPr>
        <w:spacing w:line="360" w:lineRule="auto"/>
        <w:ind w:firstLine="480" w:firstLineChars="200"/>
        <w:rPr>
          <w:color w:val="auto"/>
          <w:sz w:val="24"/>
        </w:rPr>
      </w:pPr>
      <w:r>
        <w:rPr>
          <w:rFonts w:hint="eastAsia"/>
          <w:color w:val="auto"/>
          <w:sz w:val="24"/>
        </w:rPr>
        <w:t>包气带监测结果见表</w:t>
      </w:r>
      <w:r>
        <w:rPr>
          <w:rFonts w:hint="eastAsia"/>
          <w:color w:val="auto"/>
          <w:sz w:val="24"/>
          <w:lang w:val="en-US" w:eastAsia="zh-CN"/>
        </w:rPr>
        <w:t>4.2-10</w:t>
      </w:r>
      <w:r>
        <w:rPr>
          <w:rFonts w:hint="eastAsia"/>
          <w:color w:val="auto"/>
          <w:sz w:val="24"/>
        </w:rPr>
        <w:t>。</w:t>
      </w:r>
    </w:p>
    <w:p w14:paraId="5A6BF948">
      <w:pPr>
        <w:jc w:val="center"/>
        <w:rPr>
          <w:b/>
          <w:bCs/>
          <w:color w:val="auto"/>
          <w:szCs w:val="21"/>
        </w:rPr>
      </w:pPr>
      <w:r>
        <w:rPr>
          <w:rFonts w:hint="eastAsia"/>
          <w:b/>
          <w:bCs/>
          <w:color w:val="auto"/>
          <w:szCs w:val="21"/>
        </w:rPr>
        <w:t>表</w:t>
      </w:r>
      <w:r>
        <w:rPr>
          <w:rFonts w:hint="eastAsia"/>
          <w:b/>
          <w:bCs/>
          <w:color w:val="auto"/>
          <w:szCs w:val="21"/>
          <w:lang w:val="en-US" w:eastAsia="zh-CN"/>
        </w:rPr>
        <w:t xml:space="preserve">4.2-10 </w:t>
      </w:r>
      <w:r>
        <w:rPr>
          <w:rFonts w:hint="eastAsia"/>
          <w:b/>
          <w:bCs/>
          <w:color w:val="auto"/>
          <w:szCs w:val="21"/>
        </w:rPr>
        <w:t xml:space="preserve"> 包气带监测结果一览表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611"/>
        <w:gridCol w:w="1541"/>
        <w:gridCol w:w="1541"/>
        <w:gridCol w:w="1541"/>
        <w:gridCol w:w="1553"/>
      </w:tblGrid>
      <w:tr w14:paraId="715D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restart"/>
            <w:tcBorders>
              <w:tl2br w:val="nil"/>
              <w:tr2bl w:val="nil"/>
            </w:tcBorders>
            <w:noWrap w:val="0"/>
            <w:vAlign w:val="center"/>
          </w:tcPr>
          <w:p w14:paraId="5C5A297D">
            <w:pPr>
              <w:jc w:val="center"/>
              <w:rPr>
                <w:b/>
                <w:bCs/>
                <w:color w:val="auto"/>
                <w:szCs w:val="21"/>
              </w:rPr>
            </w:pPr>
            <w:r>
              <w:rPr>
                <w:rFonts w:hint="eastAsia"/>
                <w:b/>
                <w:bCs/>
                <w:color w:val="auto"/>
                <w:szCs w:val="21"/>
              </w:rPr>
              <w:t>序号</w:t>
            </w:r>
          </w:p>
        </w:tc>
        <w:tc>
          <w:tcPr>
            <w:tcW w:w="945" w:type="pct"/>
            <w:vMerge w:val="restart"/>
            <w:tcBorders>
              <w:tl2br w:val="nil"/>
              <w:tr2bl w:val="nil"/>
            </w:tcBorders>
            <w:noWrap w:val="0"/>
            <w:vAlign w:val="center"/>
          </w:tcPr>
          <w:p w14:paraId="58A6B5A9">
            <w:pPr>
              <w:jc w:val="center"/>
              <w:rPr>
                <w:b/>
                <w:bCs/>
                <w:color w:val="auto"/>
                <w:szCs w:val="21"/>
              </w:rPr>
            </w:pPr>
            <w:r>
              <w:rPr>
                <w:rFonts w:hint="eastAsia"/>
                <w:b/>
                <w:bCs/>
                <w:color w:val="auto"/>
                <w:szCs w:val="21"/>
              </w:rPr>
              <w:t>监测项目</w:t>
            </w:r>
          </w:p>
        </w:tc>
        <w:tc>
          <w:tcPr>
            <w:tcW w:w="3623" w:type="pct"/>
            <w:gridSpan w:val="4"/>
            <w:tcBorders>
              <w:tl2br w:val="nil"/>
              <w:tr2bl w:val="nil"/>
            </w:tcBorders>
            <w:noWrap w:val="0"/>
            <w:vAlign w:val="center"/>
          </w:tcPr>
          <w:p w14:paraId="774ACC8D">
            <w:pPr>
              <w:jc w:val="center"/>
              <w:rPr>
                <w:rFonts w:hint="eastAsia"/>
                <w:b/>
                <w:bCs/>
                <w:color w:val="auto"/>
                <w:szCs w:val="21"/>
              </w:rPr>
            </w:pPr>
            <w:r>
              <w:rPr>
                <w:rFonts w:hint="eastAsia"/>
                <w:b/>
                <w:bCs/>
                <w:color w:val="auto"/>
                <w:szCs w:val="21"/>
              </w:rPr>
              <w:t>监测结果</w:t>
            </w:r>
          </w:p>
        </w:tc>
      </w:tr>
      <w:tr w14:paraId="121B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tcBorders>
              <w:tl2br w:val="nil"/>
              <w:tr2bl w:val="nil"/>
            </w:tcBorders>
            <w:noWrap w:val="0"/>
            <w:vAlign w:val="center"/>
          </w:tcPr>
          <w:p w14:paraId="2598058B">
            <w:pPr>
              <w:jc w:val="center"/>
              <w:rPr>
                <w:b/>
                <w:bCs/>
                <w:color w:val="auto"/>
                <w:szCs w:val="21"/>
              </w:rPr>
            </w:pPr>
          </w:p>
        </w:tc>
        <w:tc>
          <w:tcPr>
            <w:tcW w:w="945" w:type="pct"/>
            <w:vMerge w:val="continue"/>
            <w:tcBorders>
              <w:tl2br w:val="nil"/>
              <w:tr2bl w:val="nil"/>
            </w:tcBorders>
            <w:noWrap w:val="0"/>
            <w:vAlign w:val="center"/>
          </w:tcPr>
          <w:p w14:paraId="0C368047">
            <w:pPr>
              <w:jc w:val="center"/>
              <w:rPr>
                <w:b/>
                <w:bCs/>
                <w:color w:val="auto"/>
                <w:szCs w:val="21"/>
              </w:rPr>
            </w:pPr>
          </w:p>
        </w:tc>
        <w:tc>
          <w:tcPr>
            <w:tcW w:w="904" w:type="pct"/>
            <w:tcBorders>
              <w:tl2br w:val="nil"/>
              <w:tr2bl w:val="nil"/>
            </w:tcBorders>
            <w:noWrap w:val="0"/>
            <w:vAlign w:val="center"/>
          </w:tcPr>
          <w:p w14:paraId="2EFD3667">
            <w:pPr>
              <w:spacing w:line="240" w:lineRule="auto"/>
              <w:jc w:val="center"/>
              <w:rPr>
                <w:rFonts w:hint="default"/>
                <w:b/>
                <w:bCs/>
                <w:color w:val="auto"/>
                <w:szCs w:val="21"/>
                <w:lang w:val="en-US"/>
              </w:rPr>
            </w:pPr>
            <w:r>
              <w:rPr>
                <w:rFonts w:hint="eastAsia" w:cs="Times New Roman"/>
                <w:b/>
                <w:bCs/>
                <w:color w:val="auto"/>
                <w:sz w:val="21"/>
                <w:szCs w:val="21"/>
                <w:vertAlign w:val="baseline"/>
                <w:lang w:val="en-US" w:eastAsia="zh-CN"/>
              </w:rPr>
              <w:t>B1</w:t>
            </w:r>
          </w:p>
        </w:tc>
        <w:tc>
          <w:tcPr>
            <w:tcW w:w="904" w:type="pct"/>
            <w:tcBorders>
              <w:tl2br w:val="nil"/>
              <w:tr2bl w:val="nil"/>
            </w:tcBorders>
            <w:noWrap w:val="0"/>
            <w:vAlign w:val="center"/>
          </w:tcPr>
          <w:p w14:paraId="4F131334">
            <w:pPr>
              <w:spacing w:line="240" w:lineRule="auto"/>
              <w:jc w:val="center"/>
              <w:rPr>
                <w:rFonts w:hint="default" w:eastAsia="宋体"/>
                <w:b/>
                <w:bCs/>
                <w:color w:val="auto"/>
                <w:szCs w:val="21"/>
                <w:lang w:val="en-US" w:eastAsia="zh-CN"/>
              </w:rPr>
            </w:pPr>
            <w:r>
              <w:rPr>
                <w:rFonts w:hint="eastAsia"/>
                <w:b/>
                <w:bCs/>
                <w:color w:val="auto"/>
                <w:szCs w:val="21"/>
                <w:lang w:val="en-US" w:eastAsia="zh-CN"/>
              </w:rPr>
              <w:t>B2</w:t>
            </w:r>
          </w:p>
        </w:tc>
        <w:tc>
          <w:tcPr>
            <w:tcW w:w="904" w:type="pct"/>
            <w:tcBorders>
              <w:tl2br w:val="nil"/>
              <w:tr2bl w:val="nil"/>
            </w:tcBorders>
            <w:noWrap w:val="0"/>
            <w:vAlign w:val="center"/>
          </w:tcPr>
          <w:p w14:paraId="685D75B3">
            <w:pPr>
              <w:spacing w:line="240" w:lineRule="auto"/>
              <w:jc w:val="center"/>
              <w:rPr>
                <w:rFonts w:hint="default" w:eastAsia="宋体"/>
                <w:b/>
                <w:bCs/>
                <w:color w:val="auto"/>
                <w:szCs w:val="21"/>
                <w:lang w:val="en-US" w:eastAsia="zh-CN"/>
              </w:rPr>
            </w:pPr>
            <w:r>
              <w:rPr>
                <w:rFonts w:hint="eastAsia"/>
                <w:b/>
                <w:bCs/>
                <w:color w:val="auto"/>
                <w:szCs w:val="21"/>
                <w:lang w:val="en-US" w:eastAsia="zh-CN"/>
              </w:rPr>
              <w:t>B3</w:t>
            </w:r>
          </w:p>
        </w:tc>
        <w:tc>
          <w:tcPr>
            <w:tcW w:w="910" w:type="pct"/>
            <w:tcBorders>
              <w:tl2br w:val="nil"/>
              <w:tr2bl w:val="nil"/>
            </w:tcBorders>
            <w:noWrap w:val="0"/>
            <w:vAlign w:val="center"/>
          </w:tcPr>
          <w:p w14:paraId="164D4513">
            <w:pPr>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B4</w:t>
            </w:r>
          </w:p>
        </w:tc>
      </w:tr>
      <w:tr w14:paraId="1713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726305F3">
            <w:pPr>
              <w:jc w:val="center"/>
              <w:rPr>
                <w:color w:val="auto"/>
                <w:szCs w:val="21"/>
              </w:rPr>
            </w:pPr>
            <w:r>
              <w:rPr>
                <w:rFonts w:hint="eastAsia"/>
                <w:color w:val="auto"/>
                <w:szCs w:val="21"/>
              </w:rPr>
              <w:t>1</w:t>
            </w:r>
          </w:p>
        </w:tc>
        <w:tc>
          <w:tcPr>
            <w:tcW w:w="945" w:type="pct"/>
            <w:tcBorders>
              <w:tl2br w:val="nil"/>
              <w:tr2bl w:val="nil"/>
            </w:tcBorders>
            <w:noWrap w:val="0"/>
            <w:vAlign w:val="center"/>
          </w:tcPr>
          <w:p w14:paraId="20B81F48">
            <w:pPr>
              <w:jc w:val="center"/>
              <w:rPr>
                <w:color w:val="auto"/>
                <w:szCs w:val="21"/>
              </w:rPr>
            </w:pPr>
            <w:r>
              <w:rPr>
                <w:color w:val="auto"/>
                <w:szCs w:val="21"/>
              </w:rPr>
              <w:t>pH</w:t>
            </w:r>
            <w:r>
              <w:rPr>
                <w:rFonts w:hint="eastAsia"/>
                <w:color w:val="auto"/>
                <w:szCs w:val="21"/>
              </w:rPr>
              <w:t>[无量纲]</w:t>
            </w:r>
          </w:p>
        </w:tc>
        <w:tc>
          <w:tcPr>
            <w:tcW w:w="904" w:type="pct"/>
            <w:tcBorders>
              <w:tl2br w:val="nil"/>
              <w:tr2bl w:val="nil"/>
            </w:tcBorders>
            <w:shd w:val="clear" w:color="auto" w:fill="auto"/>
            <w:noWrap w:val="0"/>
            <w:vAlign w:val="center"/>
          </w:tcPr>
          <w:p w14:paraId="370C1C8D">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7.44</w:t>
            </w:r>
          </w:p>
        </w:tc>
        <w:tc>
          <w:tcPr>
            <w:tcW w:w="904" w:type="pct"/>
            <w:tcBorders>
              <w:tl2br w:val="nil"/>
              <w:tr2bl w:val="nil"/>
            </w:tcBorders>
            <w:shd w:val="clear" w:color="auto" w:fill="auto"/>
            <w:noWrap w:val="0"/>
            <w:vAlign w:val="center"/>
          </w:tcPr>
          <w:p w14:paraId="055985CF">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7.38</w:t>
            </w:r>
          </w:p>
        </w:tc>
        <w:tc>
          <w:tcPr>
            <w:tcW w:w="904" w:type="pct"/>
            <w:tcBorders>
              <w:tl2br w:val="nil"/>
              <w:tr2bl w:val="nil"/>
            </w:tcBorders>
            <w:shd w:val="clear" w:color="auto" w:fill="auto"/>
            <w:noWrap w:val="0"/>
            <w:vAlign w:val="center"/>
          </w:tcPr>
          <w:p w14:paraId="7191A9D6">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7.25</w:t>
            </w:r>
          </w:p>
        </w:tc>
        <w:tc>
          <w:tcPr>
            <w:tcW w:w="910" w:type="pct"/>
            <w:tcBorders>
              <w:tl2br w:val="nil"/>
              <w:tr2bl w:val="nil"/>
            </w:tcBorders>
            <w:shd w:val="clear" w:color="auto" w:fill="auto"/>
            <w:noWrap w:val="0"/>
            <w:vAlign w:val="center"/>
          </w:tcPr>
          <w:p w14:paraId="0BAE913C">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7.30</w:t>
            </w:r>
          </w:p>
        </w:tc>
      </w:tr>
      <w:tr w14:paraId="7EC0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035E257F">
            <w:pPr>
              <w:jc w:val="center"/>
              <w:rPr>
                <w:color w:val="auto"/>
                <w:szCs w:val="21"/>
              </w:rPr>
            </w:pPr>
            <w:r>
              <w:rPr>
                <w:rFonts w:hint="eastAsia"/>
                <w:color w:val="auto"/>
                <w:szCs w:val="21"/>
              </w:rPr>
              <w:t>2</w:t>
            </w:r>
          </w:p>
        </w:tc>
        <w:tc>
          <w:tcPr>
            <w:tcW w:w="945" w:type="pct"/>
            <w:tcBorders>
              <w:tl2br w:val="nil"/>
              <w:tr2bl w:val="nil"/>
            </w:tcBorders>
            <w:noWrap w:val="0"/>
            <w:vAlign w:val="center"/>
          </w:tcPr>
          <w:p w14:paraId="2FB63116">
            <w:pPr>
              <w:spacing w:line="240" w:lineRule="auto"/>
              <w:jc w:val="center"/>
              <w:rPr>
                <w:rFonts w:hint="default" w:eastAsia="宋体"/>
                <w:color w:val="auto"/>
                <w:szCs w:val="21"/>
                <w:lang w:val="en-US" w:eastAsia="zh-CN"/>
              </w:rPr>
            </w:pPr>
            <w:r>
              <w:rPr>
                <w:rFonts w:hint="eastAsia" w:ascii="Times New Roman" w:hAnsi="Times New Roman" w:cs="Times New Roman"/>
                <w:color w:val="auto"/>
                <w:sz w:val="21"/>
                <w:szCs w:val="21"/>
                <w:vertAlign w:val="baseline"/>
                <w:lang w:val="en-US" w:eastAsia="zh-CN"/>
              </w:rPr>
              <w:t>砷</w:t>
            </w:r>
          </w:p>
        </w:tc>
        <w:tc>
          <w:tcPr>
            <w:tcW w:w="904" w:type="pct"/>
            <w:tcBorders>
              <w:tl2br w:val="nil"/>
              <w:tr2bl w:val="nil"/>
            </w:tcBorders>
            <w:shd w:val="clear" w:color="auto" w:fill="auto"/>
            <w:noWrap w:val="0"/>
            <w:vAlign w:val="center"/>
          </w:tcPr>
          <w:p w14:paraId="57113444">
            <w:pPr>
              <w:keepNext w:val="0"/>
              <w:keepLines w:val="0"/>
              <w:suppressLineNumbers w:val="0"/>
              <w:snapToGrid w:val="0"/>
              <w:spacing w:before="0" w:beforeAutospacing="0" w:after="0" w:afterAutospacing="0" w:line="240" w:lineRule="auto"/>
              <w:ind w:left="72" w:leftChars="0" w:right="0" w:right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0.3L</w:t>
            </w:r>
          </w:p>
        </w:tc>
        <w:tc>
          <w:tcPr>
            <w:tcW w:w="904" w:type="pct"/>
            <w:tcBorders>
              <w:tl2br w:val="nil"/>
              <w:tr2bl w:val="nil"/>
            </w:tcBorders>
            <w:shd w:val="clear" w:color="auto" w:fill="auto"/>
            <w:noWrap w:val="0"/>
            <w:vAlign w:val="center"/>
          </w:tcPr>
          <w:p w14:paraId="208940C5">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0.3L</w:t>
            </w:r>
          </w:p>
        </w:tc>
        <w:tc>
          <w:tcPr>
            <w:tcW w:w="904" w:type="pct"/>
            <w:tcBorders>
              <w:tl2br w:val="nil"/>
              <w:tr2bl w:val="nil"/>
            </w:tcBorders>
            <w:shd w:val="clear" w:color="auto" w:fill="auto"/>
            <w:noWrap w:val="0"/>
            <w:vAlign w:val="center"/>
          </w:tcPr>
          <w:p w14:paraId="0480AC8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0.3L</w:t>
            </w:r>
          </w:p>
        </w:tc>
        <w:tc>
          <w:tcPr>
            <w:tcW w:w="910" w:type="pct"/>
            <w:tcBorders>
              <w:tl2br w:val="nil"/>
              <w:tr2bl w:val="nil"/>
            </w:tcBorders>
            <w:shd w:val="clear" w:color="auto" w:fill="auto"/>
            <w:noWrap w:val="0"/>
            <w:vAlign w:val="center"/>
          </w:tcPr>
          <w:p w14:paraId="195D2DE2">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0.3L</w:t>
            </w:r>
          </w:p>
        </w:tc>
      </w:tr>
      <w:tr w14:paraId="3857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53C01C0F">
            <w:pPr>
              <w:jc w:val="center"/>
              <w:rPr>
                <w:color w:val="auto"/>
                <w:szCs w:val="21"/>
              </w:rPr>
            </w:pPr>
            <w:r>
              <w:rPr>
                <w:rFonts w:hint="eastAsia"/>
                <w:color w:val="auto"/>
                <w:szCs w:val="21"/>
              </w:rPr>
              <w:t>3</w:t>
            </w:r>
          </w:p>
        </w:tc>
        <w:tc>
          <w:tcPr>
            <w:tcW w:w="945" w:type="pct"/>
            <w:tcBorders>
              <w:tl2br w:val="nil"/>
              <w:tr2bl w:val="nil"/>
            </w:tcBorders>
            <w:noWrap w:val="0"/>
            <w:vAlign w:val="center"/>
          </w:tcPr>
          <w:p w14:paraId="54920931">
            <w:pPr>
              <w:spacing w:line="240" w:lineRule="auto"/>
              <w:jc w:val="center"/>
              <w:rPr>
                <w:color w:val="auto"/>
                <w:szCs w:val="21"/>
              </w:rPr>
            </w:pPr>
            <w:r>
              <w:rPr>
                <w:rFonts w:hint="default" w:ascii="Times New Roman" w:hAnsi="Times New Roman" w:eastAsia="宋体" w:cs="Times New Roman"/>
                <w:color w:val="auto"/>
                <w:sz w:val="21"/>
                <w:szCs w:val="21"/>
                <w:vertAlign w:val="baseline"/>
                <w:lang w:val="en-US" w:eastAsia="zh-CN"/>
              </w:rPr>
              <w:t>汞</w:t>
            </w:r>
          </w:p>
        </w:tc>
        <w:tc>
          <w:tcPr>
            <w:tcW w:w="904" w:type="pct"/>
            <w:tcBorders>
              <w:tl2br w:val="nil"/>
              <w:tr2bl w:val="nil"/>
            </w:tcBorders>
            <w:shd w:val="clear" w:color="auto" w:fill="auto"/>
            <w:noWrap w:val="0"/>
            <w:vAlign w:val="center"/>
          </w:tcPr>
          <w:p w14:paraId="16288E84">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0.04L</w:t>
            </w:r>
          </w:p>
        </w:tc>
        <w:tc>
          <w:tcPr>
            <w:tcW w:w="904" w:type="pct"/>
            <w:tcBorders>
              <w:tl2br w:val="nil"/>
              <w:tr2bl w:val="nil"/>
            </w:tcBorders>
            <w:shd w:val="clear" w:color="auto" w:fill="auto"/>
            <w:noWrap w:val="0"/>
            <w:vAlign w:val="center"/>
          </w:tcPr>
          <w:p w14:paraId="4C878038">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0.04L</w:t>
            </w:r>
          </w:p>
        </w:tc>
        <w:tc>
          <w:tcPr>
            <w:tcW w:w="904" w:type="pct"/>
            <w:tcBorders>
              <w:tl2br w:val="nil"/>
              <w:tr2bl w:val="nil"/>
            </w:tcBorders>
            <w:shd w:val="clear" w:color="auto" w:fill="auto"/>
            <w:noWrap w:val="0"/>
            <w:vAlign w:val="center"/>
          </w:tcPr>
          <w:p w14:paraId="17D16CA0">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0.04L</w:t>
            </w:r>
          </w:p>
        </w:tc>
        <w:tc>
          <w:tcPr>
            <w:tcW w:w="910" w:type="pct"/>
            <w:tcBorders>
              <w:tl2br w:val="nil"/>
              <w:tr2bl w:val="nil"/>
            </w:tcBorders>
            <w:shd w:val="clear" w:color="auto" w:fill="auto"/>
            <w:noWrap w:val="0"/>
            <w:vAlign w:val="center"/>
          </w:tcPr>
          <w:p w14:paraId="29BF9717">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0.04L</w:t>
            </w:r>
          </w:p>
        </w:tc>
      </w:tr>
      <w:tr w14:paraId="5C04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51CE9BCB">
            <w:pPr>
              <w:jc w:val="center"/>
              <w:rPr>
                <w:color w:val="auto"/>
                <w:szCs w:val="21"/>
              </w:rPr>
            </w:pPr>
            <w:r>
              <w:rPr>
                <w:rFonts w:hint="eastAsia"/>
                <w:color w:val="auto"/>
                <w:szCs w:val="21"/>
              </w:rPr>
              <w:t>4</w:t>
            </w:r>
          </w:p>
        </w:tc>
        <w:tc>
          <w:tcPr>
            <w:tcW w:w="945" w:type="pct"/>
            <w:tcBorders>
              <w:tl2br w:val="nil"/>
              <w:tr2bl w:val="nil"/>
            </w:tcBorders>
            <w:noWrap w:val="0"/>
            <w:vAlign w:val="center"/>
          </w:tcPr>
          <w:p w14:paraId="502C4F0F">
            <w:pPr>
              <w:spacing w:line="240" w:lineRule="auto"/>
              <w:jc w:val="center"/>
              <w:rPr>
                <w:color w:val="auto"/>
                <w:szCs w:val="21"/>
              </w:rPr>
            </w:pPr>
            <w:r>
              <w:rPr>
                <w:rFonts w:hint="default" w:ascii="Times New Roman" w:hAnsi="Times New Roman" w:eastAsia="宋体" w:cs="Times New Roman"/>
                <w:color w:val="auto"/>
                <w:sz w:val="21"/>
                <w:szCs w:val="21"/>
                <w:vertAlign w:val="baseline"/>
                <w:lang w:val="en-US" w:eastAsia="zh-CN"/>
              </w:rPr>
              <w:t>镉</w:t>
            </w:r>
          </w:p>
        </w:tc>
        <w:tc>
          <w:tcPr>
            <w:tcW w:w="904" w:type="pct"/>
            <w:tcBorders>
              <w:tl2br w:val="nil"/>
              <w:tr2bl w:val="nil"/>
            </w:tcBorders>
            <w:shd w:val="clear" w:color="auto" w:fill="auto"/>
            <w:noWrap w:val="0"/>
            <w:vAlign w:val="center"/>
          </w:tcPr>
          <w:p w14:paraId="48F1E51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0.5L</w:t>
            </w:r>
          </w:p>
        </w:tc>
        <w:tc>
          <w:tcPr>
            <w:tcW w:w="904" w:type="pct"/>
            <w:tcBorders>
              <w:tl2br w:val="nil"/>
              <w:tr2bl w:val="nil"/>
            </w:tcBorders>
            <w:shd w:val="clear" w:color="auto" w:fill="auto"/>
            <w:noWrap w:val="0"/>
            <w:vAlign w:val="center"/>
          </w:tcPr>
          <w:p w14:paraId="6133137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0.5L</w:t>
            </w:r>
          </w:p>
        </w:tc>
        <w:tc>
          <w:tcPr>
            <w:tcW w:w="904" w:type="pct"/>
            <w:tcBorders>
              <w:tl2br w:val="nil"/>
              <w:tr2bl w:val="nil"/>
            </w:tcBorders>
            <w:shd w:val="clear" w:color="auto" w:fill="auto"/>
            <w:noWrap w:val="0"/>
            <w:vAlign w:val="center"/>
          </w:tcPr>
          <w:p w14:paraId="66A1760A">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0.5L</w:t>
            </w:r>
          </w:p>
        </w:tc>
        <w:tc>
          <w:tcPr>
            <w:tcW w:w="910" w:type="pct"/>
            <w:tcBorders>
              <w:tl2br w:val="nil"/>
              <w:tr2bl w:val="nil"/>
            </w:tcBorders>
            <w:shd w:val="clear" w:color="auto" w:fill="auto"/>
            <w:noWrap w:val="0"/>
            <w:vAlign w:val="center"/>
          </w:tcPr>
          <w:p w14:paraId="1DE2DA3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0.5L</w:t>
            </w:r>
          </w:p>
        </w:tc>
      </w:tr>
      <w:tr w14:paraId="76DF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67917A1C">
            <w:pPr>
              <w:jc w:val="center"/>
              <w:rPr>
                <w:color w:val="auto"/>
                <w:szCs w:val="21"/>
              </w:rPr>
            </w:pPr>
            <w:r>
              <w:rPr>
                <w:rFonts w:hint="eastAsia"/>
                <w:color w:val="auto"/>
                <w:szCs w:val="21"/>
              </w:rPr>
              <w:t>5</w:t>
            </w:r>
          </w:p>
        </w:tc>
        <w:tc>
          <w:tcPr>
            <w:tcW w:w="945" w:type="pct"/>
            <w:tcBorders>
              <w:tl2br w:val="nil"/>
              <w:tr2bl w:val="nil"/>
            </w:tcBorders>
            <w:noWrap w:val="0"/>
            <w:vAlign w:val="center"/>
          </w:tcPr>
          <w:p w14:paraId="6D6194AB">
            <w:pPr>
              <w:spacing w:line="240" w:lineRule="auto"/>
              <w:jc w:val="center"/>
              <w:rPr>
                <w:color w:val="auto"/>
                <w:szCs w:val="21"/>
              </w:rPr>
            </w:pPr>
            <w:r>
              <w:rPr>
                <w:rFonts w:hint="default" w:ascii="Times New Roman" w:hAnsi="Times New Roman" w:eastAsia="宋体" w:cs="Times New Roman"/>
                <w:color w:val="auto"/>
                <w:sz w:val="21"/>
                <w:szCs w:val="21"/>
                <w:vertAlign w:val="baseline"/>
                <w:lang w:val="en-US" w:eastAsia="zh-CN"/>
              </w:rPr>
              <w:t>铅</w:t>
            </w:r>
          </w:p>
        </w:tc>
        <w:tc>
          <w:tcPr>
            <w:tcW w:w="904" w:type="pct"/>
            <w:tcBorders>
              <w:tl2br w:val="nil"/>
              <w:tr2bl w:val="nil"/>
            </w:tcBorders>
            <w:shd w:val="clear" w:color="auto" w:fill="auto"/>
            <w:noWrap w:val="0"/>
            <w:vAlign w:val="center"/>
          </w:tcPr>
          <w:p w14:paraId="5B42F53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2.5L</w:t>
            </w:r>
          </w:p>
        </w:tc>
        <w:tc>
          <w:tcPr>
            <w:tcW w:w="904" w:type="pct"/>
            <w:tcBorders>
              <w:tl2br w:val="nil"/>
              <w:tr2bl w:val="nil"/>
            </w:tcBorders>
            <w:shd w:val="clear" w:color="auto" w:fill="auto"/>
            <w:noWrap w:val="0"/>
            <w:vAlign w:val="center"/>
          </w:tcPr>
          <w:p w14:paraId="0E16F2F5">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2.5L</w:t>
            </w:r>
          </w:p>
        </w:tc>
        <w:tc>
          <w:tcPr>
            <w:tcW w:w="904" w:type="pct"/>
            <w:tcBorders>
              <w:tl2br w:val="nil"/>
              <w:tr2bl w:val="nil"/>
            </w:tcBorders>
            <w:shd w:val="clear" w:color="auto" w:fill="auto"/>
            <w:noWrap w:val="0"/>
            <w:vAlign w:val="center"/>
          </w:tcPr>
          <w:p w14:paraId="58C46E9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2.5L</w:t>
            </w:r>
          </w:p>
        </w:tc>
        <w:tc>
          <w:tcPr>
            <w:tcW w:w="910" w:type="pct"/>
            <w:tcBorders>
              <w:tl2br w:val="nil"/>
              <w:tr2bl w:val="nil"/>
            </w:tcBorders>
            <w:shd w:val="clear" w:color="auto" w:fill="auto"/>
            <w:noWrap w:val="0"/>
            <w:vAlign w:val="center"/>
          </w:tcPr>
          <w:p w14:paraId="7EB23B80">
            <w:pPr>
              <w:keepNext w:val="0"/>
              <w:keepLines w:val="0"/>
              <w:suppressLineNumbers w:val="0"/>
              <w:snapToGrid w:val="0"/>
              <w:spacing w:before="0" w:beforeAutospacing="0" w:after="0" w:afterAutospacing="0" w:line="240" w:lineRule="auto"/>
              <w:ind w:left="72" w:leftChars="0" w:right="0" w:rightChars="0"/>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2.5L</w:t>
            </w:r>
          </w:p>
        </w:tc>
      </w:tr>
      <w:tr w14:paraId="7A7E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5616961D">
            <w:pPr>
              <w:jc w:val="center"/>
              <w:rPr>
                <w:color w:val="auto"/>
                <w:szCs w:val="21"/>
              </w:rPr>
            </w:pPr>
            <w:r>
              <w:rPr>
                <w:rFonts w:hint="eastAsia"/>
                <w:color w:val="auto"/>
                <w:szCs w:val="21"/>
              </w:rPr>
              <w:t>6</w:t>
            </w:r>
          </w:p>
        </w:tc>
        <w:tc>
          <w:tcPr>
            <w:tcW w:w="945" w:type="pct"/>
            <w:tcBorders>
              <w:tl2br w:val="nil"/>
              <w:tr2bl w:val="nil"/>
            </w:tcBorders>
            <w:noWrap w:val="0"/>
            <w:vAlign w:val="center"/>
          </w:tcPr>
          <w:p w14:paraId="371F4CDD">
            <w:pPr>
              <w:spacing w:line="240" w:lineRule="auto"/>
              <w:jc w:val="center"/>
              <w:rPr>
                <w:color w:val="auto"/>
                <w:szCs w:val="21"/>
              </w:rPr>
            </w:pPr>
            <w:r>
              <w:rPr>
                <w:rFonts w:hint="default" w:ascii="Times New Roman" w:hAnsi="Times New Roman" w:eastAsia="宋体" w:cs="Times New Roman"/>
                <w:color w:val="auto"/>
                <w:sz w:val="21"/>
                <w:szCs w:val="21"/>
                <w:vertAlign w:val="baseline"/>
                <w:lang w:val="en-US" w:eastAsia="zh-CN"/>
              </w:rPr>
              <w:t>铜</w:t>
            </w:r>
          </w:p>
        </w:tc>
        <w:tc>
          <w:tcPr>
            <w:tcW w:w="904" w:type="pct"/>
            <w:tcBorders>
              <w:tl2br w:val="nil"/>
              <w:tr2bl w:val="nil"/>
            </w:tcBorders>
            <w:shd w:val="clear" w:color="auto" w:fill="auto"/>
            <w:noWrap w:val="0"/>
            <w:vAlign w:val="center"/>
          </w:tcPr>
          <w:p w14:paraId="5BA4DE3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0.2L</w:t>
            </w:r>
          </w:p>
        </w:tc>
        <w:tc>
          <w:tcPr>
            <w:tcW w:w="904" w:type="pct"/>
            <w:tcBorders>
              <w:tl2br w:val="nil"/>
              <w:tr2bl w:val="nil"/>
            </w:tcBorders>
            <w:shd w:val="clear" w:color="auto" w:fill="auto"/>
            <w:noWrap w:val="0"/>
            <w:vAlign w:val="center"/>
          </w:tcPr>
          <w:p w14:paraId="1220C39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0.2L</w:t>
            </w:r>
          </w:p>
        </w:tc>
        <w:tc>
          <w:tcPr>
            <w:tcW w:w="904" w:type="pct"/>
            <w:tcBorders>
              <w:tl2br w:val="nil"/>
              <w:tr2bl w:val="nil"/>
            </w:tcBorders>
            <w:shd w:val="clear" w:color="auto" w:fill="auto"/>
            <w:noWrap w:val="0"/>
            <w:vAlign w:val="center"/>
          </w:tcPr>
          <w:p w14:paraId="683C7A2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0.2L</w:t>
            </w:r>
          </w:p>
        </w:tc>
        <w:tc>
          <w:tcPr>
            <w:tcW w:w="910" w:type="pct"/>
            <w:tcBorders>
              <w:tl2br w:val="nil"/>
              <w:tr2bl w:val="nil"/>
            </w:tcBorders>
            <w:shd w:val="clear" w:color="auto" w:fill="auto"/>
            <w:noWrap w:val="0"/>
            <w:vAlign w:val="center"/>
          </w:tcPr>
          <w:p w14:paraId="7506CFC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0.2L</w:t>
            </w:r>
          </w:p>
        </w:tc>
      </w:tr>
      <w:tr w14:paraId="1F50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23E31CA2">
            <w:pPr>
              <w:jc w:val="center"/>
              <w:rPr>
                <w:color w:val="auto"/>
                <w:szCs w:val="21"/>
              </w:rPr>
            </w:pPr>
            <w:r>
              <w:rPr>
                <w:rFonts w:hint="eastAsia"/>
                <w:color w:val="auto"/>
                <w:szCs w:val="21"/>
              </w:rPr>
              <w:t>7</w:t>
            </w:r>
          </w:p>
        </w:tc>
        <w:tc>
          <w:tcPr>
            <w:tcW w:w="945" w:type="pct"/>
            <w:tcBorders>
              <w:tl2br w:val="nil"/>
              <w:tr2bl w:val="nil"/>
            </w:tcBorders>
            <w:noWrap w:val="0"/>
            <w:vAlign w:val="center"/>
          </w:tcPr>
          <w:p w14:paraId="403F9947">
            <w:pPr>
              <w:spacing w:line="240" w:lineRule="auto"/>
              <w:jc w:val="center"/>
              <w:rPr>
                <w:color w:val="auto"/>
                <w:szCs w:val="21"/>
              </w:rPr>
            </w:pPr>
            <w:r>
              <w:rPr>
                <w:rFonts w:hint="eastAsia" w:ascii="Times New Roman" w:hAnsi="Times New Roman" w:cs="Times New Roman"/>
                <w:color w:val="auto"/>
                <w:sz w:val="21"/>
                <w:szCs w:val="21"/>
                <w:vertAlign w:val="baseline"/>
                <w:lang w:val="en-US" w:eastAsia="zh-CN"/>
              </w:rPr>
              <w:t>镍</w:t>
            </w:r>
          </w:p>
        </w:tc>
        <w:tc>
          <w:tcPr>
            <w:tcW w:w="904" w:type="pct"/>
            <w:tcBorders>
              <w:tl2br w:val="nil"/>
              <w:tr2bl w:val="nil"/>
            </w:tcBorders>
            <w:shd w:val="clear" w:color="auto" w:fill="auto"/>
            <w:noWrap w:val="0"/>
            <w:vAlign w:val="center"/>
          </w:tcPr>
          <w:p w14:paraId="0DB5CAF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0.19</w:t>
            </w:r>
          </w:p>
        </w:tc>
        <w:tc>
          <w:tcPr>
            <w:tcW w:w="904" w:type="pct"/>
            <w:tcBorders>
              <w:tl2br w:val="nil"/>
              <w:tr2bl w:val="nil"/>
            </w:tcBorders>
            <w:shd w:val="clear" w:color="auto" w:fill="auto"/>
            <w:noWrap w:val="0"/>
            <w:vAlign w:val="center"/>
          </w:tcPr>
          <w:p w14:paraId="6DF54F0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0.26</w:t>
            </w:r>
          </w:p>
        </w:tc>
        <w:tc>
          <w:tcPr>
            <w:tcW w:w="904" w:type="pct"/>
            <w:tcBorders>
              <w:tl2br w:val="nil"/>
              <w:tr2bl w:val="nil"/>
            </w:tcBorders>
            <w:shd w:val="clear" w:color="auto" w:fill="auto"/>
            <w:noWrap w:val="0"/>
            <w:vAlign w:val="center"/>
          </w:tcPr>
          <w:p w14:paraId="5FE2938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0.33</w:t>
            </w:r>
          </w:p>
        </w:tc>
        <w:tc>
          <w:tcPr>
            <w:tcW w:w="910" w:type="pct"/>
            <w:tcBorders>
              <w:tl2br w:val="nil"/>
              <w:tr2bl w:val="nil"/>
            </w:tcBorders>
            <w:shd w:val="clear" w:color="auto" w:fill="auto"/>
            <w:noWrap w:val="0"/>
            <w:vAlign w:val="center"/>
          </w:tcPr>
          <w:p w14:paraId="7047EED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0.05L</w:t>
            </w:r>
          </w:p>
        </w:tc>
      </w:tr>
      <w:tr w14:paraId="66BB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2C4D2D85">
            <w:pPr>
              <w:jc w:val="center"/>
              <w:rPr>
                <w:color w:val="auto"/>
                <w:szCs w:val="21"/>
              </w:rPr>
            </w:pPr>
            <w:r>
              <w:rPr>
                <w:rFonts w:hint="eastAsia"/>
                <w:color w:val="auto"/>
                <w:szCs w:val="21"/>
              </w:rPr>
              <w:t>8</w:t>
            </w:r>
          </w:p>
        </w:tc>
        <w:tc>
          <w:tcPr>
            <w:tcW w:w="945" w:type="pct"/>
            <w:tcBorders>
              <w:tl2br w:val="nil"/>
              <w:tr2bl w:val="nil"/>
            </w:tcBorders>
            <w:noWrap w:val="0"/>
            <w:vAlign w:val="center"/>
          </w:tcPr>
          <w:p w14:paraId="67586584">
            <w:pPr>
              <w:spacing w:line="240" w:lineRule="auto"/>
              <w:jc w:val="center"/>
              <w:rPr>
                <w:color w:val="auto"/>
                <w:szCs w:val="21"/>
              </w:rPr>
            </w:pPr>
            <w:r>
              <w:rPr>
                <w:rFonts w:hint="default" w:ascii="Times New Roman" w:hAnsi="Times New Roman" w:eastAsia="宋体" w:cs="Times New Roman"/>
                <w:color w:val="auto"/>
                <w:sz w:val="21"/>
                <w:szCs w:val="21"/>
                <w:vertAlign w:val="baseline"/>
                <w:lang w:val="en-US" w:eastAsia="zh-CN"/>
              </w:rPr>
              <w:t>石油类</w:t>
            </w:r>
          </w:p>
        </w:tc>
        <w:tc>
          <w:tcPr>
            <w:tcW w:w="904" w:type="pct"/>
            <w:tcBorders>
              <w:tl2br w:val="nil"/>
              <w:tr2bl w:val="nil"/>
            </w:tcBorders>
            <w:shd w:val="clear" w:color="auto" w:fill="auto"/>
            <w:noWrap w:val="0"/>
            <w:vAlign w:val="center"/>
          </w:tcPr>
          <w:p w14:paraId="0FA5113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0.01L</w:t>
            </w:r>
          </w:p>
        </w:tc>
        <w:tc>
          <w:tcPr>
            <w:tcW w:w="904" w:type="pct"/>
            <w:tcBorders>
              <w:tl2br w:val="nil"/>
              <w:tr2bl w:val="nil"/>
            </w:tcBorders>
            <w:shd w:val="clear" w:color="auto" w:fill="auto"/>
            <w:noWrap w:val="0"/>
            <w:vAlign w:val="center"/>
          </w:tcPr>
          <w:p w14:paraId="17FA50AA">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0.01L</w:t>
            </w:r>
          </w:p>
        </w:tc>
        <w:tc>
          <w:tcPr>
            <w:tcW w:w="904" w:type="pct"/>
            <w:tcBorders>
              <w:tl2br w:val="nil"/>
              <w:tr2bl w:val="nil"/>
            </w:tcBorders>
            <w:shd w:val="clear" w:color="auto" w:fill="auto"/>
            <w:noWrap w:val="0"/>
            <w:vAlign w:val="center"/>
          </w:tcPr>
          <w:p w14:paraId="022C451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0.01L</w:t>
            </w:r>
          </w:p>
        </w:tc>
        <w:tc>
          <w:tcPr>
            <w:tcW w:w="910" w:type="pct"/>
            <w:tcBorders>
              <w:tl2br w:val="nil"/>
              <w:tr2bl w:val="nil"/>
            </w:tcBorders>
            <w:shd w:val="clear" w:color="auto" w:fill="auto"/>
            <w:noWrap w:val="0"/>
            <w:vAlign w:val="center"/>
          </w:tcPr>
          <w:p w14:paraId="0487883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0.01L</w:t>
            </w:r>
          </w:p>
        </w:tc>
      </w:tr>
      <w:tr w14:paraId="6B7B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3F7C83B7">
            <w:pPr>
              <w:jc w:val="center"/>
              <w:rPr>
                <w:color w:val="auto"/>
                <w:szCs w:val="21"/>
              </w:rPr>
            </w:pPr>
            <w:r>
              <w:rPr>
                <w:rFonts w:hint="eastAsia"/>
                <w:color w:val="auto"/>
                <w:szCs w:val="21"/>
              </w:rPr>
              <w:t>9</w:t>
            </w:r>
          </w:p>
        </w:tc>
        <w:tc>
          <w:tcPr>
            <w:tcW w:w="945" w:type="pct"/>
            <w:tcBorders>
              <w:tl2br w:val="nil"/>
              <w:tr2bl w:val="nil"/>
            </w:tcBorders>
            <w:noWrap w:val="0"/>
            <w:vAlign w:val="center"/>
          </w:tcPr>
          <w:p w14:paraId="61EA2685">
            <w:pPr>
              <w:spacing w:line="240" w:lineRule="auto"/>
              <w:jc w:val="center"/>
              <w:rPr>
                <w:color w:val="auto"/>
                <w:szCs w:val="21"/>
              </w:rPr>
            </w:pPr>
            <w:r>
              <w:rPr>
                <w:rFonts w:hint="default" w:ascii="Times New Roman" w:hAnsi="Times New Roman" w:eastAsia="宋体" w:cs="Times New Roman"/>
                <w:color w:val="auto"/>
                <w:sz w:val="21"/>
                <w:szCs w:val="21"/>
                <w:vertAlign w:val="baseline"/>
                <w:lang w:val="en-US" w:eastAsia="zh-CN"/>
              </w:rPr>
              <w:t>六价铬</w:t>
            </w:r>
          </w:p>
        </w:tc>
        <w:tc>
          <w:tcPr>
            <w:tcW w:w="904" w:type="pct"/>
            <w:tcBorders>
              <w:tl2br w:val="nil"/>
              <w:tr2bl w:val="nil"/>
            </w:tcBorders>
            <w:shd w:val="clear" w:color="auto" w:fill="auto"/>
            <w:noWrap w:val="0"/>
            <w:vAlign w:val="center"/>
          </w:tcPr>
          <w:p w14:paraId="0EC58DD1">
            <w:pPr>
              <w:keepNext w:val="0"/>
              <w:keepLines w:val="0"/>
              <w:suppressLineNumbers w:val="0"/>
              <w:snapToGrid w:val="0"/>
              <w:spacing w:before="0" w:beforeAutospacing="0" w:after="0" w:afterAutospacing="0" w:line="240" w:lineRule="auto"/>
              <w:ind w:left="72"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0.004L</w:t>
            </w:r>
          </w:p>
        </w:tc>
        <w:tc>
          <w:tcPr>
            <w:tcW w:w="904" w:type="pct"/>
            <w:tcBorders>
              <w:tl2br w:val="nil"/>
              <w:tr2bl w:val="nil"/>
            </w:tcBorders>
            <w:shd w:val="clear" w:color="auto" w:fill="auto"/>
            <w:noWrap w:val="0"/>
            <w:vAlign w:val="center"/>
          </w:tcPr>
          <w:p w14:paraId="62B86141">
            <w:pPr>
              <w:keepNext w:val="0"/>
              <w:keepLines w:val="0"/>
              <w:suppressLineNumbers w:val="0"/>
              <w:snapToGrid w:val="0"/>
              <w:spacing w:before="0" w:beforeAutospacing="0" w:after="0" w:afterAutospacing="0" w:line="240" w:lineRule="auto"/>
              <w:ind w:left="72"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0.004L</w:t>
            </w:r>
          </w:p>
        </w:tc>
        <w:tc>
          <w:tcPr>
            <w:tcW w:w="904" w:type="pct"/>
            <w:tcBorders>
              <w:tl2br w:val="nil"/>
              <w:tr2bl w:val="nil"/>
            </w:tcBorders>
            <w:shd w:val="clear" w:color="auto" w:fill="auto"/>
            <w:noWrap w:val="0"/>
            <w:vAlign w:val="center"/>
          </w:tcPr>
          <w:p w14:paraId="7FDC94A6">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0.004L</w:t>
            </w:r>
          </w:p>
        </w:tc>
        <w:tc>
          <w:tcPr>
            <w:tcW w:w="910" w:type="pct"/>
            <w:tcBorders>
              <w:tl2br w:val="nil"/>
              <w:tr2bl w:val="nil"/>
            </w:tcBorders>
            <w:shd w:val="clear" w:color="auto" w:fill="auto"/>
            <w:noWrap w:val="0"/>
            <w:vAlign w:val="center"/>
          </w:tcPr>
          <w:p w14:paraId="58366B4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0.004L</w:t>
            </w:r>
          </w:p>
        </w:tc>
      </w:tr>
      <w:tr w14:paraId="2A04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30D88C54">
            <w:pPr>
              <w:jc w:val="center"/>
              <w:rPr>
                <w:color w:val="auto"/>
                <w:szCs w:val="21"/>
              </w:rPr>
            </w:pPr>
            <w:r>
              <w:rPr>
                <w:rFonts w:hint="eastAsia"/>
                <w:color w:val="auto"/>
                <w:szCs w:val="21"/>
              </w:rPr>
              <w:t>10</w:t>
            </w:r>
          </w:p>
        </w:tc>
        <w:tc>
          <w:tcPr>
            <w:tcW w:w="945" w:type="pct"/>
            <w:tcBorders>
              <w:tl2br w:val="nil"/>
              <w:tr2bl w:val="nil"/>
            </w:tcBorders>
            <w:noWrap w:val="0"/>
            <w:vAlign w:val="center"/>
          </w:tcPr>
          <w:p w14:paraId="31C7A110">
            <w:pPr>
              <w:spacing w:line="240" w:lineRule="auto"/>
              <w:jc w:val="center"/>
              <w:rPr>
                <w:color w:val="auto"/>
                <w:szCs w:val="21"/>
              </w:rPr>
            </w:pPr>
            <w:r>
              <w:rPr>
                <w:rFonts w:hint="eastAsia" w:ascii="Times New Roman" w:hAnsi="Times New Roman" w:cs="Times New Roman"/>
                <w:color w:val="auto"/>
                <w:sz w:val="21"/>
                <w:szCs w:val="21"/>
                <w:vertAlign w:val="baseline"/>
                <w:lang w:val="en-US" w:eastAsia="zh-CN"/>
              </w:rPr>
              <w:t>氯化物</w:t>
            </w:r>
          </w:p>
        </w:tc>
        <w:tc>
          <w:tcPr>
            <w:tcW w:w="904" w:type="pct"/>
            <w:tcBorders>
              <w:tl2br w:val="nil"/>
              <w:tr2bl w:val="nil"/>
            </w:tcBorders>
            <w:shd w:val="clear" w:color="auto" w:fill="auto"/>
            <w:noWrap w:val="0"/>
            <w:vAlign w:val="center"/>
          </w:tcPr>
          <w:p w14:paraId="5654207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0.66</w:t>
            </w:r>
          </w:p>
        </w:tc>
        <w:tc>
          <w:tcPr>
            <w:tcW w:w="904" w:type="pct"/>
            <w:tcBorders>
              <w:tl2br w:val="nil"/>
              <w:tr2bl w:val="nil"/>
            </w:tcBorders>
            <w:shd w:val="clear" w:color="auto" w:fill="auto"/>
            <w:noWrap w:val="0"/>
            <w:vAlign w:val="center"/>
          </w:tcPr>
          <w:p w14:paraId="5F7A666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0.54</w:t>
            </w:r>
          </w:p>
        </w:tc>
        <w:tc>
          <w:tcPr>
            <w:tcW w:w="904" w:type="pct"/>
            <w:tcBorders>
              <w:tl2br w:val="nil"/>
              <w:tr2bl w:val="nil"/>
            </w:tcBorders>
            <w:shd w:val="clear" w:color="auto" w:fill="auto"/>
            <w:noWrap w:val="0"/>
            <w:vAlign w:val="center"/>
          </w:tcPr>
          <w:p w14:paraId="5D8700CA">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0.61</w:t>
            </w:r>
          </w:p>
        </w:tc>
        <w:tc>
          <w:tcPr>
            <w:tcW w:w="910" w:type="pct"/>
            <w:tcBorders>
              <w:tl2br w:val="nil"/>
              <w:tr2bl w:val="nil"/>
            </w:tcBorders>
            <w:shd w:val="clear" w:color="auto" w:fill="auto"/>
            <w:noWrap w:val="0"/>
            <w:vAlign w:val="center"/>
          </w:tcPr>
          <w:p w14:paraId="26FC74CD">
            <w:pPr>
              <w:keepNext w:val="0"/>
              <w:keepLines w:val="0"/>
              <w:suppressLineNumbers w:val="0"/>
              <w:snapToGrid w:val="0"/>
              <w:spacing w:before="0" w:beforeAutospacing="0" w:after="0" w:afterAutospacing="0" w:line="240" w:lineRule="auto"/>
              <w:ind w:left="72"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0.41</w:t>
            </w:r>
          </w:p>
        </w:tc>
      </w:tr>
      <w:tr w14:paraId="740F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tcBorders>
              <w:tl2br w:val="nil"/>
              <w:tr2bl w:val="nil"/>
            </w:tcBorders>
            <w:noWrap w:val="0"/>
            <w:vAlign w:val="center"/>
          </w:tcPr>
          <w:p w14:paraId="002E1B52">
            <w:pPr>
              <w:jc w:val="center"/>
              <w:rPr>
                <w:rFonts w:hint="default" w:eastAsia="宋体"/>
                <w:color w:val="auto"/>
                <w:szCs w:val="21"/>
                <w:lang w:val="en-US" w:eastAsia="zh-CN"/>
              </w:rPr>
            </w:pPr>
            <w:r>
              <w:rPr>
                <w:rFonts w:hint="eastAsia"/>
                <w:color w:val="auto"/>
                <w:szCs w:val="21"/>
                <w:lang w:val="en-US" w:eastAsia="zh-CN"/>
              </w:rPr>
              <w:t>11</w:t>
            </w:r>
          </w:p>
        </w:tc>
        <w:tc>
          <w:tcPr>
            <w:tcW w:w="945" w:type="pct"/>
            <w:tcBorders>
              <w:tl2br w:val="nil"/>
              <w:tr2bl w:val="nil"/>
            </w:tcBorders>
            <w:shd w:val="clear" w:color="auto" w:fill="auto"/>
            <w:noWrap w:val="0"/>
            <w:vAlign w:val="center"/>
          </w:tcPr>
          <w:p w14:paraId="7FCF011B">
            <w:pPr>
              <w:spacing w:line="240" w:lineRule="auto"/>
              <w:jc w:val="center"/>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硫化物</w:t>
            </w:r>
          </w:p>
        </w:tc>
        <w:tc>
          <w:tcPr>
            <w:tcW w:w="904" w:type="pct"/>
            <w:tcBorders>
              <w:tl2br w:val="nil"/>
              <w:tr2bl w:val="nil"/>
            </w:tcBorders>
            <w:shd w:val="clear" w:color="auto" w:fill="auto"/>
            <w:noWrap w:val="0"/>
            <w:vAlign w:val="center"/>
          </w:tcPr>
          <w:p w14:paraId="307FD05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0.01L</w:t>
            </w:r>
          </w:p>
        </w:tc>
        <w:tc>
          <w:tcPr>
            <w:tcW w:w="904" w:type="pct"/>
            <w:tcBorders>
              <w:tl2br w:val="nil"/>
              <w:tr2bl w:val="nil"/>
            </w:tcBorders>
            <w:shd w:val="clear" w:color="auto" w:fill="auto"/>
            <w:noWrap w:val="0"/>
            <w:vAlign w:val="center"/>
          </w:tcPr>
          <w:p w14:paraId="137255D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0.01L</w:t>
            </w:r>
          </w:p>
        </w:tc>
        <w:tc>
          <w:tcPr>
            <w:tcW w:w="904" w:type="pct"/>
            <w:tcBorders>
              <w:tl2br w:val="nil"/>
              <w:tr2bl w:val="nil"/>
            </w:tcBorders>
            <w:shd w:val="clear" w:color="auto" w:fill="auto"/>
            <w:noWrap w:val="0"/>
            <w:vAlign w:val="center"/>
          </w:tcPr>
          <w:p w14:paraId="1D52851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0.01L</w:t>
            </w:r>
          </w:p>
        </w:tc>
        <w:tc>
          <w:tcPr>
            <w:tcW w:w="910" w:type="pct"/>
            <w:tcBorders>
              <w:tl2br w:val="nil"/>
              <w:tr2bl w:val="nil"/>
            </w:tcBorders>
            <w:shd w:val="clear" w:color="auto" w:fill="auto"/>
            <w:noWrap w:val="0"/>
            <w:vAlign w:val="center"/>
          </w:tcPr>
          <w:p w14:paraId="074E6382">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0.01L</w:t>
            </w:r>
          </w:p>
        </w:tc>
      </w:tr>
      <w:tr w14:paraId="038D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14:paraId="7D808642">
            <w:pPr>
              <w:jc w:val="center"/>
              <w:rPr>
                <w:rFonts w:hint="default" w:eastAsia="宋体"/>
                <w:color w:val="auto"/>
                <w:szCs w:val="21"/>
                <w:lang w:val="en-US" w:eastAsia="zh-CN"/>
              </w:rPr>
            </w:pPr>
            <w:r>
              <w:rPr>
                <w:rFonts w:hint="eastAsia"/>
                <w:color w:val="auto"/>
                <w:szCs w:val="21"/>
                <w:lang w:val="en-US" w:eastAsia="zh-CN"/>
              </w:rPr>
              <w:t>12</w:t>
            </w:r>
          </w:p>
        </w:tc>
        <w:tc>
          <w:tcPr>
            <w:tcW w:w="945" w:type="pct"/>
            <w:shd w:val="clear" w:color="auto" w:fill="auto"/>
            <w:vAlign w:val="center"/>
          </w:tcPr>
          <w:p w14:paraId="4DB36807">
            <w:pPr>
              <w:spacing w:line="240" w:lineRule="auto"/>
              <w:jc w:val="center"/>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总硬度</w:t>
            </w:r>
          </w:p>
        </w:tc>
        <w:tc>
          <w:tcPr>
            <w:tcW w:w="904" w:type="pct"/>
            <w:shd w:val="clear" w:color="auto" w:fill="auto"/>
            <w:vAlign w:val="center"/>
          </w:tcPr>
          <w:p w14:paraId="6D7AEF2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289</w:t>
            </w:r>
          </w:p>
        </w:tc>
        <w:tc>
          <w:tcPr>
            <w:tcW w:w="904" w:type="pct"/>
            <w:shd w:val="clear" w:color="auto" w:fill="auto"/>
            <w:vAlign w:val="center"/>
          </w:tcPr>
          <w:p w14:paraId="0D37108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311</w:t>
            </w:r>
          </w:p>
        </w:tc>
        <w:tc>
          <w:tcPr>
            <w:tcW w:w="904" w:type="pct"/>
            <w:shd w:val="clear" w:color="auto" w:fill="auto"/>
            <w:vAlign w:val="center"/>
          </w:tcPr>
          <w:p w14:paraId="4BCF1B6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376</w:t>
            </w:r>
          </w:p>
        </w:tc>
        <w:tc>
          <w:tcPr>
            <w:tcW w:w="910" w:type="pct"/>
            <w:shd w:val="clear" w:color="auto" w:fill="auto"/>
            <w:vAlign w:val="center"/>
          </w:tcPr>
          <w:p w14:paraId="11F799B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325</w:t>
            </w:r>
          </w:p>
        </w:tc>
      </w:tr>
      <w:tr w14:paraId="35B2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14:paraId="681FB6B9">
            <w:pPr>
              <w:jc w:val="center"/>
              <w:rPr>
                <w:rFonts w:hint="default" w:eastAsia="宋体"/>
                <w:color w:val="auto"/>
                <w:szCs w:val="21"/>
                <w:lang w:val="en-US" w:eastAsia="zh-CN"/>
              </w:rPr>
            </w:pPr>
            <w:r>
              <w:rPr>
                <w:rFonts w:hint="eastAsia"/>
                <w:color w:val="auto"/>
                <w:szCs w:val="21"/>
                <w:lang w:val="en-US" w:eastAsia="zh-CN"/>
              </w:rPr>
              <w:t>13</w:t>
            </w:r>
          </w:p>
        </w:tc>
        <w:tc>
          <w:tcPr>
            <w:tcW w:w="945" w:type="pct"/>
            <w:shd w:val="clear" w:color="auto" w:fill="auto"/>
            <w:vAlign w:val="center"/>
          </w:tcPr>
          <w:p w14:paraId="7FD39C23">
            <w:pPr>
              <w:spacing w:line="240" w:lineRule="auto"/>
              <w:jc w:val="center"/>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溶解性总固体</w:t>
            </w:r>
          </w:p>
        </w:tc>
        <w:tc>
          <w:tcPr>
            <w:tcW w:w="904" w:type="pct"/>
            <w:vAlign w:val="center"/>
          </w:tcPr>
          <w:p w14:paraId="2D42561F">
            <w:pPr>
              <w:keepNext w:val="0"/>
              <w:keepLines w:val="0"/>
              <w:suppressLineNumbers w:val="0"/>
              <w:snapToGrid w:val="0"/>
              <w:spacing w:before="0" w:beforeAutospacing="0" w:after="0" w:afterAutospacing="0" w:line="240" w:lineRule="auto"/>
              <w:ind w:left="72" w:leftChars="0" w:right="0" w:rightChars="0"/>
              <w:jc w:val="center"/>
              <w:rPr>
                <w:rFonts w:hint="eastAsia" w:eastAsia="宋体" w:cs="Times New Roman"/>
                <w:b w:val="0"/>
                <w:bCs w:val="0"/>
                <w:color w:val="auto"/>
                <w:sz w:val="21"/>
                <w:szCs w:val="21"/>
                <w:highlight w:val="none"/>
                <w:lang w:val="en-US" w:eastAsia="zh-CN"/>
              </w:rPr>
            </w:pPr>
            <w:r>
              <w:rPr>
                <w:rFonts w:hint="eastAsia" w:eastAsia="宋体" w:cs="Times New Roman"/>
                <w:color w:val="auto"/>
                <w:kern w:val="2"/>
                <w:sz w:val="21"/>
                <w:szCs w:val="21"/>
                <w:highlight w:val="none"/>
                <w:lang w:val="en-US" w:eastAsia="zh-CN" w:bidi="ar-SA"/>
              </w:rPr>
              <w:t>634</w:t>
            </w:r>
          </w:p>
        </w:tc>
        <w:tc>
          <w:tcPr>
            <w:tcW w:w="904" w:type="pct"/>
            <w:vAlign w:val="center"/>
          </w:tcPr>
          <w:p w14:paraId="2EF6A770">
            <w:pPr>
              <w:keepNext w:val="0"/>
              <w:keepLines w:val="0"/>
              <w:suppressLineNumbers w:val="0"/>
              <w:snapToGrid w:val="0"/>
              <w:spacing w:before="0" w:beforeAutospacing="0" w:after="0" w:afterAutospacing="0" w:line="240" w:lineRule="auto"/>
              <w:ind w:left="72" w:leftChars="0" w:right="0" w:rightChars="0"/>
              <w:jc w:val="center"/>
              <w:rPr>
                <w:rFonts w:hint="eastAsia" w:eastAsia="宋体" w:cs="Times New Roman"/>
                <w:b w:val="0"/>
                <w:bCs w:val="0"/>
                <w:color w:val="auto"/>
                <w:sz w:val="21"/>
                <w:szCs w:val="21"/>
                <w:lang w:val="en-US" w:eastAsia="zh-CN"/>
              </w:rPr>
            </w:pPr>
            <w:r>
              <w:rPr>
                <w:rFonts w:hint="eastAsia" w:eastAsia="宋体" w:cs="Times New Roman"/>
                <w:color w:val="auto"/>
                <w:kern w:val="2"/>
                <w:sz w:val="21"/>
                <w:szCs w:val="21"/>
                <w:highlight w:val="none"/>
                <w:lang w:val="en-US" w:eastAsia="zh-CN" w:bidi="ar-SA"/>
              </w:rPr>
              <w:t>708</w:t>
            </w:r>
          </w:p>
        </w:tc>
        <w:tc>
          <w:tcPr>
            <w:tcW w:w="904" w:type="pct"/>
            <w:vAlign w:val="center"/>
          </w:tcPr>
          <w:p w14:paraId="23DA53EE">
            <w:pPr>
              <w:keepNext w:val="0"/>
              <w:keepLines w:val="0"/>
              <w:suppressLineNumbers w:val="0"/>
              <w:snapToGrid w:val="0"/>
              <w:spacing w:before="0" w:beforeAutospacing="0" w:after="0" w:afterAutospacing="0" w:line="240" w:lineRule="auto"/>
              <w:ind w:left="72" w:leftChars="0" w:right="0" w:rightChars="0"/>
              <w:jc w:val="center"/>
              <w:rPr>
                <w:rFonts w:hint="eastAsia" w:eastAsia="宋体" w:cs="Times New Roman"/>
                <w:b w:val="0"/>
                <w:bCs w:val="0"/>
                <w:color w:val="auto"/>
                <w:sz w:val="21"/>
                <w:szCs w:val="21"/>
                <w:lang w:val="en-US" w:eastAsia="zh-CN"/>
              </w:rPr>
            </w:pPr>
            <w:r>
              <w:rPr>
                <w:rFonts w:hint="eastAsia" w:eastAsia="宋体" w:cs="Times New Roman"/>
                <w:color w:val="auto"/>
                <w:kern w:val="2"/>
                <w:sz w:val="21"/>
                <w:szCs w:val="21"/>
                <w:highlight w:val="none"/>
                <w:lang w:val="en-US" w:eastAsia="zh-CN" w:bidi="ar-SA"/>
              </w:rPr>
              <w:t>752</w:t>
            </w:r>
          </w:p>
        </w:tc>
        <w:tc>
          <w:tcPr>
            <w:tcW w:w="910" w:type="pct"/>
            <w:vAlign w:val="center"/>
          </w:tcPr>
          <w:p w14:paraId="2FE0C95F">
            <w:pPr>
              <w:keepNext w:val="0"/>
              <w:keepLines w:val="0"/>
              <w:suppressLineNumbers w:val="0"/>
              <w:snapToGrid w:val="0"/>
              <w:spacing w:before="0" w:beforeAutospacing="0" w:after="0" w:afterAutospacing="0" w:line="240" w:lineRule="auto"/>
              <w:ind w:left="72" w:leftChars="0" w:right="0" w:rightChars="0"/>
              <w:jc w:val="center"/>
              <w:rPr>
                <w:rFonts w:hint="eastAsia" w:cs="Times New Roman"/>
                <w:b w:val="0"/>
                <w:bCs w:val="0"/>
                <w:color w:val="auto"/>
                <w:sz w:val="21"/>
                <w:szCs w:val="21"/>
                <w:lang w:val="en-US" w:eastAsia="zh-CN"/>
              </w:rPr>
            </w:pPr>
            <w:r>
              <w:rPr>
                <w:rFonts w:hint="eastAsia" w:eastAsia="宋体" w:cs="Times New Roman"/>
                <w:color w:val="auto"/>
                <w:kern w:val="2"/>
                <w:sz w:val="21"/>
                <w:szCs w:val="21"/>
                <w:highlight w:val="none"/>
                <w:lang w:val="en-US" w:eastAsia="zh-CN" w:bidi="ar-SA"/>
              </w:rPr>
              <w:t>737</w:t>
            </w:r>
          </w:p>
        </w:tc>
      </w:tr>
      <w:tr w14:paraId="1FA3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14:paraId="07EA5F3D">
            <w:pPr>
              <w:jc w:val="center"/>
              <w:rPr>
                <w:rFonts w:hint="default" w:eastAsia="宋体"/>
                <w:color w:val="auto"/>
                <w:szCs w:val="21"/>
                <w:lang w:val="en-US" w:eastAsia="zh-CN"/>
              </w:rPr>
            </w:pPr>
            <w:r>
              <w:rPr>
                <w:rFonts w:hint="eastAsia"/>
                <w:color w:val="auto"/>
                <w:szCs w:val="21"/>
                <w:lang w:val="en-US" w:eastAsia="zh-CN"/>
              </w:rPr>
              <w:t>14</w:t>
            </w:r>
          </w:p>
        </w:tc>
        <w:tc>
          <w:tcPr>
            <w:tcW w:w="945" w:type="pct"/>
            <w:shd w:val="clear" w:color="auto" w:fill="auto"/>
            <w:vAlign w:val="center"/>
          </w:tcPr>
          <w:p w14:paraId="0EE9C5A8">
            <w:pPr>
              <w:spacing w:line="240" w:lineRule="auto"/>
              <w:jc w:val="center"/>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硝酸盐氮</w:t>
            </w:r>
          </w:p>
        </w:tc>
        <w:tc>
          <w:tcPr>
            <w:tcW w:w="904" w:type="pct"/>
            <w:shd w:val="clear" w:color="auto" w:fill="auto"/>
            <w:vAlign w:val="center"/>
          </w:tcPr>
          <w:p w14:paraId="6C2138C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0.94</w:t>
            </w:r>
          </w:p>
        </w:tc>
        <w:tc>
          <w:tcPr>
            <w:tcW w:w="904" w:type="pct"/>
            <w:shd w:val="clear" w:color="auto" w:fill="auto"/>
            <w:vAlign w:val="center"/>
          </w:tcPr>
          <w:p w14:paraId="17454255">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0.85</w:t>
            </w:r>
          </w:p>
        </w:tc>
        <w:tc>
          <w:tcPr>
            <w:tcW w:w="904" w:type="pct"/>
            <w:shd w:val="clear" w:color="auto" w:fill="auto"/>
            <w:vAlign w:val="center"/>
          </w:tcPr>
          <w:p w14:paraId="6F2F6D7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1.01</w:t>
            </w:r>
          </w:p>
        </w:tc>
        <w:tc>
          <w:tcPr>
            <w:tcW w:w="910" w:type="pct"/>
            <w:shd w:val="clear" w:color="auto" w:fill="auto"/>
            <w:vAlign w:val="center"/>
          </w:tcPr>
          <w:p w14:paraId="1A3BFB88">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0.82</w:t>
            </w:r>
          </w:p>
        </w:tc>
      </w:tr>
      <w:tr w14:paraId="1350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14:paraId="7B3257B1">
            <w:pPr>
              <w:jc w:val="center"/>
              <w:rPr>
                <w:rFonts w:hint="default" w:eastAsia="宋体"/>
                <w:color w:val="auto"/>
                <w:szCs w:val="21"/>
                <w:lang w:val="en-US" w:eastAsia="zh-CN"/>
              </w:rPr>
            </w:pPr>
            <w:r>
              <w:rPr>
                <w:rFonts w:hint="eastAsia"/>
                <w:color w:val="auto"/>
                <w:szCs w:val="21"/>
                <w:lang w:val="en-US" w:eastAsia="zh-CN"/>
              </w:rPr>
              <w:t>15</w:t>
            </w:r>
          </w:p>
        </w:tc>
        <w:tc>
          <w:tcPr>
            <w:tcW w:w="945" w:type="pct"/>
            <w:shd w:val="clear" w:color="auto" w:fill="auto"/>
            <w:vAlign w:val="center"/>
          </w:tcPr>
          <w:p w14:paraId="37892DA4">
            <w:pPr>
              <w:spacing w:line="240" w:lineRule="auto"/>
              <w:jc w:val="center"/>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硫酸盐</w:t>
            </w:r>
          </w:p>
        </w:tc>
        <w:tc>
          <w:tcPr>
            <w:tcW w:w="904" w:type="pct"/>
            <w:shd w:val="clear" w:color="auto" w:fill="auto"/>
            <w:vAlign w:val="center"/>
          </w:tcPr>
          <w:p w14:paraId="01500DE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227</w:t>
            </w:r>
          </w:p>
        </w:tc>
        <w:tc>
          <w:tcPr>
            <w:tcW w:w="904" w:type="pct"/>
            <w:shd w:val="clear" w:color="auto" w:fill="auto"/>
            <w:vAlign w:val="center"/>
          </w:tcPr>
          <w:p w14:paraId="6A9EC80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236</w:t>
            </w:r>
          </w:p>
        </w:tc>
        <w:tc>
          <w:tcPr>
            <w:tcW w:w="904" w:type="pct"/>
            <w:shd w:val="clear" w:color="auto" w:fill="auto"/>
            <w:vAlign w:val="center"/>
          </w:tcPr>
          <w:p w14:paraId="3755BF3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248</w:t>
            </w:r>
          </w:p>
        </w:tc>
        <w:tc>
          <w:tcPr>
            <w:tcW w:w="910" w:type="pct"/>
            <w:shd w:val="clear" w:color="auto" w:fill="auto"/>
            <w:vAlign w:val="center"/>
          </w:tcPr>
          <w:p w14:paraId="67CA710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220</w:t>
            </w:r>
          </w:p>
        </w:tc>
      </w:tr>
    </w:tbl>
    <w:p w14:paraId="59B3F5BE">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color w:val="auto"/>
          <w:sz w:val="24"/>
        </w:rPr>
        <w:t>从上表监测结果可知，监测点结果值与背景值相差较小，表明现有工程对评价区包气带土壤环境未产生显著影响，包气带现状较好。</w:t>
      </w:r>
    </w:p>
    <w:p w14:paraId="4C88AC6C">
      <w:pPr>
        <w:pStyle w:val="5"/>
        <w:bidi w:val="0"/>
        <w:rPr>
          <w:rFonts w:hint="default"/>
          <w:color w:val="auto"/>
          <w:lang w:val="en-US" w:eastAsia="zh-CN"/>
        </w:rPr>
      </w:pPr>
      <w:bookmarkStart w:id="216" w:name="_Toc17745"/>
      <w:bookmarkStart w:id="217" w:name="_Toc23912"/>
      <w:r>
        <w:rPr>
          <w:rFonts w:hint="eastAsia"/>
          <w:color w:val="auto"/>
          <w:lang w:val="en-US" w:eastAsia="zh-CN"/>
        </w:rPr>
        <w:t>4.2.4声环境质量现状监测与评价</w:t>
      </w:r>
      <w:bookmarkEnd w:id="216"/>
      <w:bookmarkEnd w:id="217"/>
    </w:p>
    <w:p w14:paraId="5C41428F">
      <w:pPr>
        <w:pStyle w:val="11"/>
        <w:bidi w:val="0"/>
        <w:rPr>
          <w:rFonts w:hint="default"/>
          <w:color w:val="auto"/>
          <w:lang w:val="en-US" w:eastAsia="zh-CN"/>
        </w:rPr>
      </w:pPr>
      <w:r>
        <w:rPr>
          <w:rFonts w:hint="eastAsia"/>
          <w:color w:val="auto"/>
          <w:lang w:val="en-US" w:eastAsia="zh-CN"/>
        </w:rPr>
        <w:t>（1）监测点位</w:t>
      </w:r>
    </w:p>
    <w:p w14:paraId="0F44E97A">
      <w:pPr>
        <w:pStyle w:val="11"/>
        <w:bidi w:val="0"/>
        <w:rPr>
          <w:rFonts w:hint="default"/>
          <w:color w:val="auto"/>
          <w:lang w:val="en-US" w:eastAsia="zh-CN"/>
        </w:rPr>
      </w:pPr>
      <w:r>
        <w:rPr>
          <w:rFonts w:hint="eastAsia"/>
          <w:color w:val="auto"/>
          <w:lang w:val="en-US" w:eastAsia="zh-CN"/>
        </w:rPr>
        <w:t>本工程区位于油区，</w:t>
      </w:r>
      <w:r>
        <w:rPr>
          <w:rFonts w:hint="default"/>
          <w:color w:val="auto"/>
          <w:lang w:val="en-US" w:eastAsia="zh-CN"/>
        </w:rPr>
        <w:t>项目区周边</w:t>
      </w:r>
      <w:r>
        <w:rPr>
          <w:rFonts w:hint="eastAsia"/>
          <w:color w:val="auto"/>
          <w:lang w:val="en-US" w:eastAsia="zh-CN"/>
        </w:rPr>
        <w:t>200</w:t>
      </w:r>
      <w:r>
        <w:rPr>
          <w:rFonts w:hint="default"/>
          <w:color w:val="auto"/>
          <w:lang w:val="en-US" w:eastAsia="zh-CN"/>
        </w:rPr>
        <w:t>m范围内无声环境保护目标，为评价项目区域声环境质量现状，选取</w:t>
      </w:r>
      <w:r>
        <w:rPr>
          <w:rFonts w:hint="eastAsia"/>
          <w:color w:val="auto"/>
          <w:lang w:val="en-US" w:eastAsia="zh-CN"/>
        </w:rPr>
        <w:t>2</w:t>
      </w:r>
      <w:r>
        <w:rPr>
          <w:rFonts w:hint="default"/>
          <w:color w:val="auto"/>
          <w:lang w:val="en-US" w:eastAsia="zh-CN"/>
        </w:rPr>
        <w:t>口井在其井场四周1m处各设置1个噪声监测点进行声环境现状监测。监测时间</w:t>
      </w:r>
      <w:r>
        <w:rPr>
          <w:rFonts w:hint="eastAsia"/>
          <w:color w:val="auto"/>
          <w:lang w:val="en-US" w:eastAsia="zh-CN"/>
        </w:rPr>
        <w:t>分别</w:t>
      </w:r>
      <w:r>
        <w:rPr>
          <w:rFonts w:hint="default"/>
          <w:color w:val="auto"/>
          <w:lang w:val="en-US" w:eastAsia="zh-CN"/>
        </w:rPr>
        <w:t>为</w:t>
      </w:r>
      <w:r>
        <w:rPr>
          <w:rFonts w:hint="eastAsia"/>
          <w:color w:val="auto"/>
          <w:lang w:val="en-US" w:eastAsia="zh-CN"/>
        </w:rPr>
        <w:t>2025</w:t>
      </w:r>
      <w:r>
        <w:rPr>
          <w:rFonts w:hint="default"/>
          <w:color w:val="auto"/>
          <w:lang w:val="en-US" w:eastAsia="zh-CN"/>
        </w:rPr>
        <w:t>年</w:t>
      </w:r>
      <w:r>
        <w:rPr>
          <w:rFonts w:hint="eastAsia"/>
          <w:color w:val="auto"/>
          <w:lang w:val="en-US" w:eastAsia="zh-CN"/>
        </w:rPr>
        <w:t>8</w:t>
      </w:r>
      <w:r>
        <w:rPr>
          <w:rFonts w:hint="default"/>
          <w:color w:val="auto"/>
          <w:lang w:val="en-US" w:eastAsia="zh-CN"/>
        </w:rPr>
        <w:t>月</w:t>
      </w:r>
      <w:r>
        <w:rPr>
          <w:rFonts w:hint="eastAsia"/>
          <w:color w:val="auto"/>
          <w:lang w:val="en-US" w:eastAsia="zh-CN"/>
        </w:rPr>
        <w:t>31</w:t>
      </w:r>
      <w:r>
        <w:rPr>
          <w:rFonts w:hint="default"/>
          <w:color w:val="auto"/>
          <w:lang w:val="en-US" w:eastAsia="zh-CN"/>
        </w:rPr>
        <w:t>日~</w:t>
      </w:r>
      <w:r>
        <w:rPr>
          <w:rFonts w:hint="eastAsia"/>
          <w:color w:val="auto"/>
          <w:lang w:val="en-US" w:eastAsia="zh-CN"/>
        </w:rPr>
        <w:t>9</w:t>
      </w:r>
      <w:r>
        <w:rPr>
          <w:rFonts w:hint="default"/>
          <w:color w:val="auto"/>
          <w:lang w:val="en-US" w:eastAsia="zh-CN"/>
        </w:rPr>
        <w:t>月</w:t>
      </w:r>
      <w:r>
        <w:rPr>
          <w:rFonts w:hint="eastAsia"/>
          <w:color w:val="auto"/>
          <w:lang w:val="en-US" w:eastAsia="zh-CN"/>
        </w:rPr>
        <w:t>1</w:t>
      </w:r>
      <w:r>
        <w:rPr>
          <w:rFonts w:hint="default"/>
          <w:color w:val="auto"/>
          <w:lang w:val="en-US" w:eastAsia="zh-CN"/>
        </w:rPr>
        <w:t>日，监测单位为新疆西域质信检验检测有限公司。</w:t>
      </w:r>
    </w:p>
    <w:p w14:paraId="4FC5530A">
      <w:pPr>
        <w:pStyle w:val="11"/>
        <w:bidi w:val="0"/>
        <w:rPr>
          <w:rFonts w:hint="default"/>
          <w:color w:val="auto"/>
          <w:lang w:val="en-US" w:eastAsia="zh-CN"/>
        </w:rPr>
      </w:pPr>
      <w:r>
        <w:rPr>
          <w:rFonts w:hint="eastAsia"/>
          <w:color w:val="auto"/>
          <w:lang w:val="en-US" w:eastAsia="zh-CN"/>
        </w:rPr>
        <w:t>（2）</w:t>
      </w:r>
      <w:r>
        <w:rPr>
          <w:rFonts w:hint="default"/>
          <w:color w:val="auto"/>
          <w:lang w:val="en-US" w:eastAsia="zh-CN"/>
        </w:rPr>
        <w:t>监测频次</w:t>
      </w:r>
    </w:p>
    <w:p w14:paraId="13CF1DB8">
      <w:pPr>
        <w:pStyle w:val="11"/>
        <w:bidi w:val="0"/>
        <w:rPr>
          <w:rFonts w:hint="default"/>
          <w:color w:val="auto"/>
          <w:lang w:val="en-US" w:eastAsia="zh-CN"/>
        </w:rPr>
      </w:pPr>
      <w:r>
        <w:rPr>
          <w:rFonts w:hint="default"/>
          <w:color w:val="auto"/>
          <w:lang w:val="en-US" w:eastAsia="zh-CN"/>
        </w:rPr>
        <w:t>连续监测1天，昼夜各1次。监测因子为等效连续A声级。</w:t>
      </w:r>
    </w:p>
    <w:p w14:paraId="00F82DBD">
      <w:pPr>
        <w:pStyle w:val="11"/>
        <w:bidi w:val="0"/>
        <w:rPr>
          <w:rFonts w:hint="default"/>
          <w:color w:val="auto"/>
          <w:lang w:val="en-US" w:eastAsia="zh-CN"/>
        </w:rPr>
      </w:pPr>
      <w:r>
        <w:rPr>
          <w:rFonts w:hint="eastAsia"/>
          <w:color w:val="auto"/>
          <w:lang w:val="en-US" w:eastAsia="zh-CN"/>
        </w:rPr>
        <w:t>（3）</w:t>
      </w:r>
      <w:r>
        <w:rPr>
          <w:rFonts w:hint="default"/>
          <w:color w:val="auto"/>
          <w:lang w:val="en-US" w:eastAsia="zh-CN"/>
        </w:rPr>
        <w:t>监测方法</w:t>
      </w:r>
    </w:p>
    <w:p w14:paraId="2A18DED3">
      <w:pPr>
        <w:pStyle w:val="11"/>
        <w:bidi w:val="0"/>
        <w:rPr>
          <w:rFonts w:hint="default"/>
          <w:color w:val="auto"/>
          <w:lang w:val="en-US" w:eastAsia="zh-CN"/>
        </w:rPr>
      </w:pPr>
      <w:r>
        <w:rPr>
          <w:rFonts w:hint="default"/>
          <w:color w:val="auto"/>
          <w:lang w:val="en-US" w:eastAsia="zh-CN"/>
        </w:rPr>
        <w:t>测量方法采用《环境监测技术规范》（噪声部分）对项目区背景噪声进行声压级测量（以A声级计）。</w:t>
      </w:r>
    </w:p>
    <w:p w14:paraId="459D0BCE">
      <w:pPr>
        <w:pStyle w:val="11"/>
        <w:bidi w:val="0"/>
        <w:rPr>
          <w:rFonts w:hint="default"/>
          <w:color w:val="auto"/>
          <w:lang w:val="en-US" w:eastAsia="zh-CN"/>
        </w:rPr>
      </w:pPr>
      <w:r>
        <w:rPr>
          <w:rFonts w:hint="eastAsia"/>
          <w:color w:val="auto"/>
          <w:lang w:val="en-US" w:eastAsia="zh-CN"/>
        </w:rPr>
        <w:t>（4）</w:t>
      </w:r>
      <w:r>
        <w:rPr>
          <w:rFonts w:hint="default"/>
          <w:color w:val="auto"/>
          <w:lang w:val="en-US" w:eastAsia="zh-CN"/>
        </w:rPr>
        <w:t>评价标准</w:t>
      </w:r>
    </w:p>
    <w:p w14:paraId="0102A6B3">
      <w:pPr>
        <w:pStyle w:val="11"/>
        <w:bidi w:val="0"/>
        <w:rPr>
          <w:rFonts w:hint="default"/>
          <w:color w:val="auto"/>
          <w:lang w:val="en-US" w:eastAsia="zh-CN"/>
        </w:rPr>
      </w:pPr>
      <w:r>
        <w:rPr>
          <w:rFonts w:hint="default"/>
          <w:color w:val="auto"/>
          <w:lang w:val="en-US" w:eastAsia="zh-CN"/>
        </w:rPr>
        <w:t>《声环境质量标准》（GB3096-2008）2类标准。</w:t>
      </w:r>
    </w:p>
    <w:p w14:paraId="1217FF9B">
      <w:pPr>
        <w:pStyle w:val="11"/>
        <w:bidi w:val="0"/>
        <w:rPr>
          <w:rFonts w:hint="eastAsia"/>
          <w:color w:val="auto"/>
          <w:lang w:val="en-US" w:eastAsia="zh-CN"/>
        </w:rPr>
      </w:pPr>
      <w:r>
        <w:rPr>
          <w:rFonts w:hint="eastAsia"/>
          <w:color w:val="auto"/>
          <w:lang w:val="en-US" w:eastAsia="zh-CN"/>
        </w:rPr>
        <w:t>（5）</w:t>
      </w:r>
      <w:r>
        <w:rPr>
          <w:rFonts w:hint="default"/>
          <w:color w:val="auto"/>
          <w:lang w:val="en-US" w:eastAsia="zh-CN"/>
        </w:rPr>
        <w:t>监测结果</w:t>
      </w:r>
      <w:r>
        <w:rPr>
          <w:rFonts w:hint="eastAsia"/>
          <w:color w:val="auto"/>
          <w:lang w:val="en-US" w:eastAsia="zh-CN"/>
        </w:rPr>
        <w:t>及结论</w:t>
      </w:r>
    </w:p>
    <w:p w14:paraId="314DDC0E">
      <w:pPr>
        <w:pStyle w:val="11"/>
        <w:bidi w:val="0"/>
        <w:rPr>
          <w:rFonts w:hint="eastAsia"/>
          <w:color w:val="auto"/>
          <w:lang w:val="en-US" w:eastAsia="zh-CN"/>
        </w:rPr>
      </w:pPr>
      <w:r>
        <w:rPr>
          <w:rFonts w:hint="eastAsia"/>
          <w:color w:val="auto"/>
          <w:lang w:val="en-US" w:eastAsia="zh-CN"/>
        </w:rPr>
        <w:t>项目区声环境质量现状监测结果见表4.2-11。</w:t>
      </w:r>
    </w:p>
    <w:p w14:paraId="39801F9E">
      <w:pPr>
        <w:pStyle w:val="43"/>
        <w:bidi w:val="0"/>
        <w:rPr>
          <w:rFonts w:hint="eastAsia"/>
          <w:color w:val="auto"/>
          <w:lang w:val="en-US" w:eastAsia="zh-CN"/>
        </w:rPr>
      </w:pPr>
      <w:r>
        <w:rPr>
          <w:rFonts w:hint="eastAsia"/>
          <w:color w:val="auto"/>
          <w:lang w:val="en-US" w:eastAsia="zh-CN"/>
        </w:rPr>
        <w:t>表4.2-11  声环境现状监测结果一览表</w:t>
      </w:r>
    </w:p>
    <w:tbl>
      <w:tblPr>
        <w:tblStyle w:val="28"/>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7"/>
        <w:gridCol w:w="1607"/>
        <w:gridCol w:w="1607"/>
        <w:gridCol w:w="1608"/>
        <w:gridCol w:w="1608"/>
      </w:tblGrid>
      <w:tr w14:paraId="6697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4" w:type="dxa"/>
            <w:gridSpan w:val="2"/>
            <w:vMerge w:val="restart"/>
            <w:tcBorders>
              <w:tl2br w:val="nil"/>
              <w:tr2bl w:val="nil"/>
            </w:tcBorders>
            <w:noWrap w:val="0"/>
            <w:vAlign w:val="center"/>
          </w:tcPr>
          <w:p w14:paraId="6A3D412D">
            <w:pPr>
              <w:numPr>
                <w:ilvl w:val="0"/>
                <w:numId w:val="0"/>
              </w:num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监测点</w:t>
            </w:r>
          </w:p>
        </w:tc>
        <w:tc>
          <w:tcPr>
            <w:tcW w:w="4823" w:type="dxa"/>
            <w:gridSpan w:val="3"/>
            <w:tcBorders>
              <w:tl2br w:val="nil"/>
              <w:tr2bl w:val="nil"/>
            </w:tcBorders>
            <w:noWrap w:val="0"/>
            <w:vAlign w:val="center"/>
          </w:tcPr>
          <w:p w14:paraId="3080BFAE">
            <w:pPr>
              <w:numPr>
                <w:ilvl w:val="0"/>
                <w:numId w:val="0"/>
              </w:num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监测值dB(A)</w:t>
            </w:r>
          </w:p>
        </w:tc>
      </w:tr>
      <w:tr w14:paraId="7C60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4" w:type="dxa"/>
            <w:gridSpan w:val="2"/>
            <w:vMerge w:val="continue"/>
            <w:tcBorders>
              <w:tl2br w:val="nil"/>
              <w:tr2bl w:val="nil"/>
            </w:tcBorders>
            <w:noWrap w:val="0"/>
            <w:vAlign w:val="center"/>
          </w:tcPr>
          <w:p w14:paraId="05AC5393">
            <w:pPr>
              <w:numPr>
                <w:ilvl w:val="0"/>
                <w:numId w:val="0"/>
              </w:numPr>
              <w:jc w:val="center"/>
              <w:rPr>
                <w:rFonts w:hint="default" w:ascii="Times New Roman" w:hAnsi="Times New Roman" w:eastAsia="宋体" w:cs="Times New Roman"/>
                <w:b/>
                <w:bCs/>
                <w:color w:val="auto"/>
                <w:vertAlign w:val="baseline"/>
                <w:lang w:val="en-US" w:eastAsia="zh-CN"/>
              </w:rPr>
            </w:pPr>
          </w:p>
        </w:tc>
        <w:tc>
          <w:tcPr>
            <w:tcW w:w="1607" w:type="dxa"/>
            <w:tcBorders>
              <w:tl2br w:val="nil"/>
              <w:tr2bl w:val="nil"/>
            </w:tcBorders>
            <w:noWrap w:val="0"/>
            <w:vAlign w:val="center"/>
          </w:tcPr>
          <w:p w14:paraId="7547E617">
            <w:pPr>
              <w:numPr>
                <w:ilvl w:val="0"/>
                <w:numId w:val="0"/>
              </w:num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昼间</w:t>
            </w:r>
          </w:p>
        </w:tc>
        <w:tc>
          <w:tcPr>
            <w:tcW w:w="1608" w:type="dxa"/>
            <w:tcBorders>
              <w:tl2br w:val="nil"/>
              <w:tr2bl w:val="nil"/>
            </w:tcBorders>
            <w:noWrap w:val="0"/>
            <w:vAlign w:val="center"/>
          </w:tcPr>
          <w:p w14:paraId="1A7800CD">
            <w:pPr>
              <w:numPr>
                <w:ilvl w:val="0"/>
                <w:numId w:val="0"/>
              </w:num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夜间</w:t>
            </w:r>
          </w:p>
        </w:tc>
        <w:tc>
          <w:tcPr>
            <w:tcW w:w="1608" w:type="dxa"/>
            <w:tcBorders>
              <w:tl2br w:val="nil"/>
              <w:tr2bl w:val="nil"/>
            </w:tcBorders>
            <w:noWrap w:val="0"/>
            <w:vAlign w:val="center"/>
          </w:tcPr>
          <w:p w14:paraId="20BFB8F6">
            <w:pPr>
              <w:numPr>
                <w:ilvl w:val="0"/>
                <w:numId w:val="0"/>
              </w:num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达标情况</w:t>
            </w:r>
          </w:p>
        </w:tc>
      </w:tr>
      <w:tr w14:paraId="29DA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vMerge w:val="restart"/>
            <w:tcBorders>
              <w:tl2br w:val="nil"/>
              <w:tr2bl w:val="nil"/>
            </w:tcBorders>
            <w:noWrap w:val="0"/>
            <w:vAlign w:val="center"/>
          </w:tcPr>
          <w:p w14:paraId="279319E2">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百79井场</w:t>
            </w:r>
          </w:p>
        </w:tc>
        <w:tc>
          <w:tcPr>
            <w:tcW w:w="1607" w:type="dxa"/>
            <w:tcBorders>
              <w:tl2br w:val="nil"/>
              <w:tr2bl w:val="nil"/>
            </w:tcBorders>
            <w:noWrap w:val="0"/>
            <w:vAlign w:val="center"/>
          </w:tcPr>
          <w:p w14:paraId="34CFB00F">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东侧</w:t>
            </w:r>
          </w:p>
        </w:tc>
        <w:tc>
          <w:tcPr>
            <w:tcW w:w="1607" w:type="dxa"/>
            <w:tcBorders>
              <w:tl2br w:val="nil"/>
              <w:tr2bl w:val="nil"/>
            </w:tcBorders>
            <w:noWrap w:val="0"/>
            <w:vAlign w:val="center"/>
          </w:tcPr>
          <w:p w14:paraId="185D1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44</w:t>
            </w:r>
          </w:p>
        </w:tc>
        <w:tc>
          <w:tcPr>
            <w:tcW w:w="1608" w:type="dxa"/>
            <w:tcBorders>
              <w:tl2br w:val="nil"/>
              <w:tr2bl w:val="nil"/>
            </w:tcBorders>
            <w:noWrap w:val="0"/>
            <w:vAlign w:val="center"/>
          </w:tcPr>
          <w:p w14:paraId="5B9219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40</w:t>
            </w:r>
          </w:p>
        </w:tc>
        <w:tc>
          <w:tcPr>
            <w:tcW w:w="1608" w:type="dxa"/>
            <w:tcBorders>
              <w:tl2br w:val="nil"/>
              <w:tr2bl w:val="nil"/>
            </w:tcBorders>
            <w:noWrap w:val="0"/>
            <w:vAlign w:val="center"/>
          </w:tcPr>
          <w:p w14:paraId="18A643AB">
            <w:pPr>
              <w:numPr>
                <w:ilvl w:val="0"/>
                <w:numId w:val="0"/>
              </w:numPr>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达标</w:t>
            </w:r>
          </w:p>
        </w:tc>
      </w:tr>
      <w:tr w14:paraId="54FD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vMerge w:val="continue"/>
            <w:tcBorders>
              <w:tl2br w:val="nil"/>
              <w:tr2bl w:val="nil"/>
            </w:tcBorders>
            <w:noWrap w:val="0"/>
            <w:vAlign w:val="center"/>
          </w:tcPr>
          <w:p w14:paraId="63FA8136">
            <w:pPr>
              <w:numPr>
                <w:ilvl w:val="0"/>
                <w:numId w:val="0"/>
              </w:numPr>
              <w:jc w:val="center"/>
              <w:rPr>
                <w:rFonts w:hint="default" w:ascii="Times New Roman" w:hAnsi="Times New Roman" w:eastAsia="宋体" w:cs="Times New Roman"/>
                <w:color w:val="auto"/>
                <w:vertAlign w:val="baseline"/>
                <w:lang w:val="en-US" w:eastAsia="zh-CN"/>
              </w:rPr>
            </w:pPr>
          </w:p>
        </w:tc>
        <w:tc>
          <w:tcPr>
            <w:tcW w:w="1607" w:type="dxa"/>
            <w:tcBorders>
              <w:tl2br w:val="nil"/>
              <w:tr2bl w:val="nil"/>
            </w:tcBorders>
            <w:noWrap w:val="0"/>
            <w:vAlign w:val="center"/>
          </w:tcPr>
          <w:p w14:paraId="34E70C7D">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南侧</w:t>
            </w:r>
          </w:p>
        </w:tc>
        <w:tc>
          <w:tcPr>
            <w:tcW w:w="1607" w:type="dxa"/>
            <w:tcBorders>
              <w:tl2br w:val="nil"/>
              <w:tr2bl w:val="nil"/>
            </w:tcBorders>
            <w:noWrap w:val="0"/>
            <w:vAlign w:val="center"/>
          </w:tcPr>
          <w:p w14:paraId="13BBF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41</w:t>
            </w:r>
          </w:p>
        </w:tc>
        <w:tc>
          <w:tcPr>
            <w:tcW w:w="1608" w:type="dxa"/>
            <w:tcBorders>
              <w:tl2br w:val="nil"/>
              <w:tr2bl w:val="nil"/>
            </w:tcBorders>
            <w:noWrap w:val="0"/>
            <w:vAlign w:val="center"/>
          </w:tcPr>
          <w:p w14:paraId="6DF3F6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39</w:t>
            </w:r>
          </w:p>
        </w:tc>
        <w:tc>
          <w:tcPr>
            <w:tcW w:w="1608" w:type="dxa"/>
            <w:tcBorders>
              <w:tl2br w:val="nil"/>
              <w:tr2bl w:val="nil"/>
            </w:tcBorders>
            <w:noWrap w:val="0"/>
            <w:vAlign w:val="center"/>
          </w:tcPr>
          <w:p w14:paraId="09C8238F">
            <w:pPr>
              <w:numPr>
                <w:ilvl w:val="0"/>
                <w:numId w:val="0"/>
              </w:numPr>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达标</w:t>
            </w:r>
          </w:p>
        </w:tc>
      </w:tr>
      <w:tr w14:paraId="3043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vMerge w:val="continue"/>
            <w:tcBorders>
              <w:tl2br w:val="nil"/>
              <w:tr2bl w:val="nil"/>
            </w:tcBorders>
            <w:noWrap w:val="0"/>
            <w:vAlign w:val="center"/>
          </w:tcPr>
          <w:p w14:paraId="178FC427">
            <w:pPr>
              <w:numPr>
                <w:ilvl w:val="0"/>
                <w:numId w:val="0"/>
              </w:numPr>
              <w:jc w:val="center"/>
              <w:rPr>
                <w:rFonts w:hint="default" w:ascii="Times New Roman" w:hAnsi="Times New Roman" w:eastAsia="宋体" w:cs="Times New Roman"/>
                <w:color w:val="auto"/>
                <w:vertAlign w:val="baseline"/>
                <w:lang w:val="en-US" w:eastAsia="zh-CN"/>
              </w:rPr>
            </w:pPr>
          </w:p>
        </w:tc>
        <w:tc>
          <w:tcPr>
            <w:tcW w:w="1607" w:type="dxa"/>
            <w:tcBorders>
              <w:tl2br w:val="nil"/>
              <w:tr2bl w:val="nil"/>
            </w:tcBorders>
            <w:noWrap w:val="0"/>
            <w:vAlign w:val="center"/>
          </w:tcPr>
          <w:p w14:paraId="160582C2">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西侧</w:t>
            </w:r>
          </w:p>
        </w:tc>
        <w:tc>
          <w:tcPr>
            <w:tcW w:w="1607" w:type="dxa"/>
            <w:tcBorders>
              <w:tl2br w:val="nil"/>
              <w:tr2bl w:val="nil"/>
            </w:tcBorders>
            <w:noWrap w:val="0"/>
            <w:vAlign w:val="center"/>
          </w:tcPr>
          <w:p w14:paraId="39D5C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42</w:t>
            </w:r>
          </w:p>
        </w:tc>
        <w:tc>
          <w:tcPr>
            <w:tcW w:w="1608" w:type="dxa"/>
            <w:tcBorders>
              <w:tl2br w:val="nil"/>
              <w:tr2bl w:val="nil"/>
            </w:tcBorders>
            <w:noWrap w:val="0"/>
            <w:vAlign w:val="center"/>
          </w:tcPr>
          <w:p w14:paraId="26F8190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39</w:t>
            </w:r>
          </w:p>
        </w:tc>
        <w:tc>
          <w:tcPr>
            <w:tcW w:w="1608" w:type="dxa"/>
            <w:tcBorders>
              <w:tl2br w:val="nil"/>
              <w:tr2bl w:val="nil"/>
            </w:tcBorders>
            <w:noWrap w:val="0"/>
            <w:vAlign w:val="center"/>
          </w:tcPr>
          <w:p w14:paraId="749C29D0">
            <w:pPr>
              <w:numPr>
                <w:ilvl w:val="0"/>
                <w:numId w:val="0"/>
              </w:numPr>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达标</w:t>
            </w:r>
          </w:p>
        </w:tc>
      </w:tr>
      <w:tr w14:paraId="0171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vMerge w:val="continue"/>
            <w:tcBorders>
              <w:tl2br w:val="nil"/>
              <w:tr2bl w:val="nil"/>
            </w:tcBorders>
            <w:noWrap w:val="0"/>
            <w:vAlign w:val="center"/>
          </w:tcPr>
          <w:p w14:paraId="34BA9280">
            <w:pPr>
              <w:numPr>
                <w:ilvl w:val="0"/>
                <w:numId w:val="0"/>
              </w:numPr>
              <w:jc w:val="center"/>
              <w:rPr>
                <w:rFonts w:hint="default" w:ascii="Times New Roman" w:hAnsi="Times New Roman" w:eastAsia="宋体" w:cs="Times New Roman"/>
                <w:color w:val="auto"/>
                <w:vertAlign w:val="baseline"/>
                <w:lang w:val="en-US" w:eastAsia="zh-CN"/>
              </w:rPr>
            </w:pPr>
          </w:p>
        </w:tc>
        <w:tc>
          <w:tcPr>
            <w:tcW w:w="1607" w:type="dxa"/>
            <w:tcBorders>
              <w:tl2br w:val="nil"/>
              <w:tr2bl w:val="nil"/>
            </w:tcBorders>
            <w:noWrap w:val="0"/>
            <w:vAlign w:val="center"/>
          </w:tcPr>
          <w:p w14:paraId="7F0AA0D5">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北侧</w:t>
            </w:r>
          </w:p>
        </w:tc>
        <w:tc>
          <w:tcPr>
            <w:tcW w:w="1607" w:type="dxa"/>
            <w:tcBorders>
              <w:tl2br w:val="nil"/>
              <w:tr2bl w:val="nil"/>
            </w:tcBorders>
            <w:noWrap w:val="0"/>
            <w:vAlign w:val="center"/>
          </w:tcPr>
          <w:p w14:paraId="1FA73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42</w:t>
            </w:r>
          </w:p>
        </w:tc>
        <w:tc>
          <w:tcPr>
            <w:tcW w:w="1608" w:type="dxa"/>
            <w:tcBorders>
              <w:tl2br w:val="nil"/>
              <w:tr2bl w:val="nil"/>
            </w:tcBorders>
            <w:noWrap w:val="0"/>
            <w:vAlign w:val="center"/>
          </w:tcPr>
          <w:p w14:paraId="06C33F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38</w:t>
            </w:r>
          </w:p>
        </w:tc>
        <w:tc>
          <w:tcPr>
            <w:tcW w:w="1608" w:type="dxa"/>
            <w:tcBorders>
              <w:tl2br w:val="nil"/>
              <w:tr2bl w:val="nil"/>
            </w:tcBorders>
            <w:noWrap w:val="0"/>
            <w:vAlign w:val="center"/>
          </w:tcPr>
          <w:p w14:paraId="74DC09F2">
            <w:pPr>
              <w:numPr>
                <w:ilvl w:val="0"/>
                <w:numId w:val="0"/>
              </w:numPr>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达标</w:t>
            </w:r>
          </w:p>
        </w:tc>
      </w:tr>
      <w:tr w14:paraId="6397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vMerge w:val="restart"/>
            <w:tcBorders>
              <w:tl2br w:val="nil"/>
              <w:tr2bl w:val="nil"/>
            </w:tcBorders>
            <w:noWrap w:val="0"/>
            <w:vAlign w:val="center"/>
          </w:tcPr>
          <w:p w14:paraId="6A13ADAC">
            <w:pPr>
              <w:numPr>
                <w:ilvl w:val="0"/>
                <w:numId w:val="0"/>
              </w:num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夏209</w:t>
            </w:r>
            <w:r>
              <w:rPr>
                <w:rFonts w:hint="eastAsia" w:ascii="Times New Roman" w:hAnsi="Times New Roman" w:cs="Times New Roman"/>
                <w:color w:val="auto"/>
                <w:vertAlign w:val="baseline"/>
                <w:lang w:val="en-US" w:eastAsia="zh-CN"/>
              </w:rPr>
              <w:t>井场</w:t>
            </w:r>
          </w:p>
        </w:tc>
        <w:tc>
          <w:tcPr>
            <w:tcW w:w="1607" w:type="dxa"/>
            <w:tcBorders>
              <w:tl2br w:val="nil"/>
              <w:tr2bl w:val="nil"/>
            </w:tcBorders>
            <w:noWrap w:val="0"/>
            <w:vAlign w:val="center"/>
          </w:tcPr>
          <w:p w14:paraId="0861E85A">
            <w:pPr>
              <w:numPr>
                <w:ilvl w:val="0"/>
                <w:numId w:val="0"/>
              </w:numPr>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东侧</w:t>
            </w:r>
          </w:p>
        </w:tc>
        <w:tc>
          <w:tcPr>
            <w:tcW w:w="1607" w:type="dxa"/>
            <w:tcBorders>
              <w:tl2br w:val="nil"/>
              <w:tr2bl w:val="nil"/>
            </w:tcBorders>
            <w:noWrap w:val="0"/>
            <w:vAlign w:val="center"/>
          </w:tcPr>
          <w:p w14:paraId="5583C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41</w:t>
            </w:r>
          </w:p>
        </w:tc>
        <w:tc>
          <w:tcPr>
            <w:tcW w:w="1608" w:type="dxa"/>
            <w:tcBorders>
              <w:tl2br w:val="nil"/>
              <w:tr2bl w:val="nil"/>
            </w:tcBorders>
            <w:noWrap w:val="0"/>
            <w:vAlign w:val="center"/>
          </w:tcPr>
          <w:p w14:paraId="450BB2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39</w:t>
            </w:r>
          </w:p>
        </w:tc>
        <w:tc>
          <w:tcPr>
            <w:tcW w:w="1608" w:type="dxa"/>
            <w:tcBorders>
              <w:tl2br w:val="nil"/>
              <w:tr2bl w:val="nil"/>
            </w:tcBorders>
            <w:shd w:val="clear" w:color="auto" w:fill="auto"/>
            <w:noWrap w:val="0"/>
            <w:vAlign w:val="center"/>
          </w:tcPr>
          <w:p w14:paraId="70B45D26">
            <w:pPr>
              <w:numPr>
                <w:ilvl w:val="0"/>
                <w:numId w:val="0"/>
              </w:numPr>
              <w:ind w:left="0" w:leftChars="0" w:firstLine="0" w:firstLineChars="0"/>
              <w:jc w:val="center"/>
              <w:rPr>
                <w:rFonts w:hint="eastAsia" w:ascii="Times New Roman" w:hAnsi="Times New Roman" w:eastAsia="宋体" w:cs="Times New Roman"/>
                <w:color w:val="auto"/>
                <w:sz w:val="21"/>
                <w:szCs w:val="22"/>
                <w:vertAlign w:val="baseline"/>
                <w:lang w:val="en-US" w:eastAsia="zh-CN" w:bidi="ar-SA"/>
              </w:rPr>
            </w:pPr>
            <w:r>
              <w:rPr>
                <w:rFonts w:hint="eastAsia" w:ascii="Times New Roman" w:hAnsi="Times New Roman" w:eastAsia="宋体" w:cs="Times New Roman"/>
                <w:color w:val="auto"/>
                <w:vertAlign w:val="baseline"/>
                <w:lang w:val="en-US" w:eastAsia="zh-CN"/>
              </w:rPr>
              <w:t>达标</w:t>
            </w:r>
          </w:p>
        </w:tc>
      </w:tr>
      <w:tr w14:paraId="7185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vMerge w:val="continue"/>
            <w:tcBorders>
              <w:tl2br w:val="nil"/>
              <w:tr2bl w:val="nil"/>
            </w:tcBorders>
            <w:noWrap w:val="0"/>
            <w:vAlign w:val="center"/>
          </w:tcPr>
          <w:p w14:paraId="033E954B">
            <w:pPr>
              <w:numPr>
                <w:ilvl w:val="0"/>
                <w:numId w:val="0"/>
              </w:numPr>
              <w:jc w:val="center"/>
              <w:rPr>
                <w:rFonts w:hint="default" w:ascii="Times New Roman" w:hAnsi="Times New Roman" w:eastAsia="宋体" w:cs="Times New Roman"/>
                <w:color w:val="auto"/>
                <w:vertAlign w:val="baseline"/>
                <w:lang w:val="en-US" w:eastAsia="zh-CN"/>
              </w:rPr>
            </w:pPr>
          </w:p>
        </w:tc>
        <w:tc>
          <w:tcPr>
            <w:tcW w:w="1607" w:type="dxa"/>
            <w:tcBorders>
              <w:tl2br w:val="nil"/>
              <w:tr2bl w:val="nil"/>
            </w:tcBorders>
            <w:noWrap w:val="0"/>
            <w:vAlign w:val="center"/>
          </w:tcPr>
          <w:p w14:paraId="027F75AE">
            <w:pPr>
              <w:numPr>
                <w:ilvl w:val="0"/>
                <w:numId w:val="0"/>
              </w:numPr>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南侧</w:t>
            </w:r>
          </w:p>
        </w:tc>
        <w:tc>
          <w:tcPr>
            <w:tcW w:w="1607" w:type="dxa"/>
            <w:tcBorders>
              <w:tl2br w:val="nil"/>
              <w:tr2bl w:val="nil"/>
            </w:tcBorders>
            <w:noWrap w:val="0"/>
            <w:vAlign w:val="center"/>
          </w:tcPr>
          <w:p w14:paraId="79295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43</w:t>
            </w:r>
          </w:p>
        </w:tc>
        <w:tc>
          <w:tcPr>
            <w:tcW w:w="1608" w:type="dxa"/>
            <w:tcBorders>
              <w:tl2br w:val="nil"/>
              <w:tr2bl w:val="nil"/>
            </w:tcBorders>
            <w:noWrap w:val="0"/>
            <w:vAlign w:val="center"/>
          </w:tcPr>
          <w:p w14:paraId="1B075D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39</w:t>
            </w:r>
          </w:p>
        </w:tc>
        <w:tc>
          <w:tcPr>
            <w:tcW w:w="1608" w:type="dxa"/>
            <w:tcBorders>
              <w:tl2br w:val="nil"/>
              <w:tr2bl w:val="nil"/>
            </w:tcBorders>
            <w:shd w:val="clear" w:color="auto" w:fill="auto"/>
            <w:noWrap w:val="0"/>
            <w:vAlign w:val="center"/>
          </w:tcPr>
          <w:p w14:paraId="2ADAAD25">
            <w:pPr>
              <w:numPr>
                <w:ilvl w:val="0"/>
                <w:numId w:val="0"/>
              </w:numPr>
              <w:ind w:left="0" w:leftChars="0" w:firstLine="0" w:firstLineChars="0"/>
              <w:jc w:val="center"/>
              <w:rPr>
                <w:rFonts w:hint="eastAsia" w:ascii="Times New Roman" w:hAnsi="Times New Roman" w:eastAsia="宋体" w:cs="Times New Roman"/>
                <w:color w:val="auto"/>
                <w:sz w:val="21"/>
                <w:szCs w:val="22"/>
                <w:vertAlign w:val="baseline"/>
                <w:lang w:val="en-US" w:eastAsia="zh-CN" w:bidi="ar-SA"/>
              </w:rPr>
            </w:pPr>
            <w:r>
              <w:rPr>
                <w:rFonts w:hint="eastAsia" w:ascii="Times New Roman" w:hAnsi="Times New Roman" w:eastAsia="宋体" w:cs="Times New Roman"/>
                <w:color w:val="auto"/>
                <w:vertAlign w:val="baseline"/>
                <w:lang w:val="en-US" w:eastAsia="zh-CN"/>
              </w:rPr>
              <w:t>达标</w:t>
            </w:r>
          </w:p>
        </w:tc>
      </w:tr>
      <w:tr w14:paraId="3DA4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vMerge w:val="continue"/>
            <w:tcBorders>
              <w:tl2br w:val="nil"/>
              <w:tr2bl w:val="nil"/>
            </w:tcBorders>
            <w:noWrap w:val="0"/>
            <w:vAlign w:val="center"/>
          </w:tcPr>
          <w:p w14:paraId="3DD2977B">
            <w:pPr>
              <w:numPr>
                <w:ilvl w:val="0"/>
                <w:numId w:val="0"/>
              </w:numPr>
              <w:jc w:val="center"/>
              <w:rPr>
                <w:rFonts w:hint="default" w:ascii="Times New Roman" w:hAnsi="Times New Roman" w:eastAsia="宋体" w:cs="Times New Roman"/>
                <w:color w:val="auto"/>
                <w:vertAlign w:val="baseline"/>
                <w:lang w:val="en-US" w:eastAsia="zh-CN"/>
              </w:rPr>
            </w:pPr>
          </w:p>
        </w:tc>
        <w:tc>
          <w:tcPr>
            <w:tcW w:w="1607" w:type="dxa"/>
            <w:tcBorders>
              <w:tl2br w:val="nil"/>
              <w:tr2bl w:val="nil"/>
            </w:tcBorders>
            <w:noWrap w:val="0"/>
            <w:vAlign w:val="center"/>
          </w:tcPr>
          <w:p w14:paraId="333C4DB2">
            <w:pPr>
              <w:numPr>
                <w:ilvl w:val="0"/>
                <w:numId w:val="0"/>
              </w:numPr>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西侧</w:t>
            </w:r>
          </w:p>
        </w:tc>
        <w:tc>
          <w:tcPr>
            <w:tcW w:w="1607" w:type="dxa"/>
            <w:tcBorders>
              <w:tl2br w:val="nil"/>
              <w:tr2bl w:val="nil"/>
            </w:tcBorders>
            <w:noWrap w:val="0"/>
            <w:vAlign w:val="center"/>
          </w:tcPr>
          <w:p w14:paraId="4BDE3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43</w:t>
            </w:r>
          </w:p>
        </w:tc>
        <w:tc>
          <w:tcPr>
            <w:tcW w:w="1608" w:type="dxa"/>
            <w:tcBorders>
              <w:tl2br w:val="nil"/>
              <w:tr2bl w:val="nil"/>
            </w:tcBorders>
            <w:noWrap w:val="0"/>
            <w:vAlign w:val="center"/>
          </w:tcPr>
          <w:p w14:paraId="55B3C3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39</w:t>
            </w:r>
          </w:p>
        </w:tc>
        <w:tc>
          <w:tcPr>
            <w:tcW w:w="1608" w:type="dxa"/>
            <w:tcBorders>
              <w:tl2br w:val="nil"/>
              <w:tr2bl w:val="nil"/>
            </w:tcBorders>
            <w:shd w:val="clear" w:color="auto" w:fill="auto"/>
            <w:noWrap w:val="0"/>
            <w:vAlign w:val="center"/>
          </w:tcPr>
          <w:p w14:paraId="13C96558">
            <w:pPr>
              <w:numPr>
                <w:ilvl w:val="0"/>
                <w:numId w:val="0"/>
              </w:numPr>
              <w:ind w:left="0" w:leftChars="0" w:firstLine="0" w:firstLineChars="0"/>
              <w:jc w:val="center"/>
              <w:rPr>
                <w:rFonts w:hint="eastAsia" w:ascii="Times New Roman" w:hAnsi="Times New Roman" w:eastAsia="宋体" w:cs="Times New Roman"/>
                <w:color w:val="auto"/>
                <w:sz w:val="21"/>
                <w:szCs w:val="22"/>
                <w:vertAlign w:val="baseline"/>
                <w:lang w:val="en-US" w:eastAsia="zh-CN" w:bidi="ar-SA"/>
              </w:rPr>
            </w:pPr>
            <w:r>
              <w:rPr>
                <w:rFonts w:hint="eastAsia" w:ascii="Times New Roman" w:hAnsi="Times New Roman" w:eastAsia="宋体" w:cs="Times New Roman"/>
                <w:color w:val="auto"/>
                <w:vertAlign w:val="baseline"/>
                <w:lang w:val="en-US" w:eastAsia="zh-CN"/>
              </w:rPr>
              <w:t>达标</w:t>
            </w:r>
          </w:p>
        </w:tc>
      </w:tr>
      <w:tr w14:paraId="3892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vMerge w:val="continue"/>
            <w:tcBorders>
              <w:tl2br w:val="nil"/>
              <w:tr2bl w:val="nil"/>
            </w:tcBorders>
            <w:noWrap w:val="0"/>
            <w:vAlign w:val="center"/>
          </w:tcPr>
          <w:p w14:paraId="2A83AB53">
            <w:pPr>
              <w:numPr>
                <w:ilvl w:val="0"/>
                <w:numId w:val="0"/>
              </w:numPr>
              <w:jc w:val="center"/>
              <w:rPr>
                <w:rFonts w:hint="default" w:ascii="Times New Roman" w:hAnsi="Times New Roman" w:eastAsia="宋体" w:cs="Times New Roman"/>
                <w:color w:val="auto"/>
                <w:vertAlign w:val="baseline"/>
                <w:lang w:val="en-US" w:eastAsia="zh-CN"/>
              </w:rPr>
            </w:pPr>
          </w:p>
        </w:tc>
        <w:tc>
          <w:tcPr>
            <w:tcW w:w="1607" w:type="dxa"/>
            <w:tcBorders>
              <w:tl2br w:val="nil"/>
              <w:tr2bl w:val="nil"/>
            </w:tcBorders>
            <w:noWrap w:val="0"/>
            <w:vAlign w:val="center"/>
          </w:tcPr>
          <w:p w14:paraId="69C8633C">
            <w:pPr>
              <w:numPr>
                <w:ilvl w:val="0"/>
                <w:numId w:val="0"/>
              </w:numPr>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北侧</w:t>
            </w:r>
          </w:p>
        </w:tc>
        <w:tc>
          <w:tcPr>
            <w:tcW w:w="1607" w:type="dxa"/>
            <w:tcBorders>
              <w:tl2br w:val="nil"/>
              <w:tr2bl w:val="nil"/>
            </w:tcBorders>
            <w:noWrap w:val="0"/>
            <w:vAlign w:val="center"/>
          </w:tcPr>
          <w:p w14:paraId="52FF7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41</w:t>
            </w:r>
          </w:p>
        </w:tc>
        <w:tc>
          <w:tcPr>
            <w:tcW w:w="1608" w:type="dxa"/>
            <w:tcBorders>
              <w:tl2br w:val="nil"/>
              <w:tr2bl w:val="nil"/>
            </w:tcBorders>
            <w:noWrap w:val="0"/>
            <w:vAlign w:val="center"/>
          </w:tcPr>
          <w:p w14:paraId="57D0006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37</w:t>
            </w:r>
          </w:p>
        </w:tc>
        <w:tc>
          <w:tcPr>
            <w:tcW w:w="1608" w:type="dxa"/>
            <w:tcBorders>
              <w:tl2br w:val="nil"/>
              <w:tr2bl w:val="nil"/>
            </w:tcBorders>
            <w:shd w:val="clear" w:color="auto" w:fill="auto"/>
            <w:noWrap w:val="0"/>
            <w:vAlign w:val="center"/>
          </w:tcPr>
          <w:p w14:paraId="1895055D">
            <w:pPr>
              <w:numPr>
                <w:ilvl w:val="0"/>
                <w:numId w:val="0"/>
              </w:numPr>
              <w:ind w:left="0" w:leftChars="0" w:firstLine="0" w:firstLineChars="0"/>
              <w:jc w:val="center"/>
              <w:rPr>
                <w:rFonts w:hint="eastAsia" w:ascii="Times New Roman" w:hAnsi="Times New Roman" w:eastAsia="宋体" w:cs="Times New Roman"/>
                <w:color w:val="auto"/>
                <w:sz w:val="21"/>
                <w:szCs w:val="22"/>
                <w:vertAlign w:val="baseline"/>
                <w:lang w:val="en-US" w:eastAsia="zh-CN" w:bidi="ar-SA"/>
              </w:rPr>
            </w:pPr>
            <w:r>
              <w:rPr>
                <w:rFonts w:hint="eastAsia" w:ascii="Times New Roman" w:hAnsi="Times New Roman" w:eastAsia="宋体" w:cs="Times New Roman"/>
                <w:color w:val="auto"/>
                <w:vertAlign w:val="baseline"/>
                <w:lang w:val="en-US" w:eastAsia="zh-CN"/>
              </w:rPr>
              <w:t>达标</w:t>
            </w:r>
          </w:p>
        </w:tc>
      </w:tr>
    </w:tbl>
    <w:p w14:paraId="64B67035">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auto"/>
          <w:sz w:val="24"/>
          <w:szCs w:val="24"/>
          <w:lang w:val="en-US" w:eastAsia="zh-CN"/>
        </w:rPr>
        <w:t>由上表可知，各监测点昼间、夜间噪声值均满足《声环境质量标准》（GB 3096-2008）2类标准，声环境质量现状较好。</w:t>
      </w:r>
    </w:p>
    <w:p w14:paraId="6F3B4050">
      <w:pPr>
        <w:pStyle w:val="5"/>
        <w:bidi w:val="0"/>
        <w:rPr>
          <w:rFonts w:hint="default"/>
          <w:color w:val="auto"/>
          <w:lang w:val="en-US" w:eastAsia="zh-CN"/>
        </w:rPr>
      </w:pPr>
      <w:bookmarkStart w:id="218" w:name="_Toc16318"/>
      <w:bookmarkStart w:id="219" w:name="_Toc29014"/>
      <w:r>
        <w:rPr>
          <w:rFonts w:hint="eastAsia"/>
          <w:color w:val="auto"/>
          <w:lang w:val="en-US" w:eastAsia="zh-CN"/>
        </w:rPr>
        <w:t>4.2.5土壤环境质量现状监测与评价</w:t>
      </w:r>
      <w:bookmarkEnd w:id="218"/>
      <w:bookmarkEnd w:id="219"/>
    </w:p>
    <w:p w14:paraId="0676DE0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（1）监测点位</w:t>
      </w:r>
    </w:p>
    <w:p w14:paraId="28A5734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根据《环境影响评价技术导则 土壤环境（试行）》（HJ964-2018）和《环境影响评价技术导则 陆地石油天然气开发建设项目》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HJ349-2023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，工程所在区域属于土壤盐化地区，拟建工程类别同时按照生态影响型项目和污染影响型项目考虑。根据项目位置和HJ964-2018布点要求，</w:t>
      </w:r>
      <w:r>
        <w:rPr>
          <w:rFonts w:hint="eastAsia" w:cs="Times New Roman"/>
          <w:color w:val="auto"/>
          <w:sz w:val="24"/>
          <w:szCs w:val="24"/>
          <w:lang w:val="en-US" w:eastAsia="zh-CN"/>
        </w:rPr>
        <w:t>本工程</w:t>
      </w:r>
      <w:r>
        <w:rPr>
          <w:rFonts w:hint="eastAsia" w:ascii="Times New Roman" w:hAnsi="Times New Roman" w:eastAsia="宋体" w:cs="Times New Roman"/>
          <w:color w:val="auto"/>
          <w:sz w:val="24"/>
          <w:szCs w:val="24"/>
          <w:lang w:val="en-US" w:eastAsia="zh-CN"/>
        </w:rPr>
        <w:t>在</w:t>
      </w:r>
      <w:r>
        <w:rPr>
          <w:rFonts w:hint="default" w:ascii="Times New Roman" w:hAnsi="Times New Roman" w:cs="Times New Roman"/>
          <w:color w:val="auto"/>
          <w:kern w:val="2"/>
          <w:sz w:val="24"/>
          <w:szCs w:val="24"/>
        </w:rPr>
        <w:t>占地范围内：布设</w:t>
      </w:r>
      <w:r>
        <w:rPr>
          <w:rFonts w:hint="eastAsia" w:cs="Times New Roman"/>
          <w:color w:val="auto"/>
          <w:kern w:val="2"/>
          <w:sz w:val="24"/>
          <w:szCs w:val="24"/>
          <w:lang w:val="en-US" w:eastAsia="zh-CN"/>
        </w:rPr>
        <w:t>5</w:t>
      </w:r>
      <w:r>
        <w:rPr>
          <w:rFonts w:hint="default" w:ascii="Times New Roman" w:hAnsi="Times New Roman" w:cs="Times New Roman"/>
          <w:color w:val="auto"/>
          <w:kern w:val="2"/>
          <w:sz w:val="24"/>
          <w:szCs w:val="24"/>
        </w:rPr>
        <w:t>个柱状样（T</w:t>
      </w:r>
      <w:r>
        <w:rPr>
          <w:rFonts w:hint="eastAsia" w:ascii="Times New Roman" w:hAnsi="Times New Roman" w:cs="Times New Roman"/>
          <w:color w:val="auto"/>
          <w:kern w:val="2"/>
          <w:sz w:val="24"/>
          <w:szCs w:val="24"/>
          <w:lang w:val="en-US" w:eastAsia="zh-CN"/>
        </w:rPr>
        <w:t>1</w:t>
      </w:r>
      <w:r>
        <w:rPr>
          <w:rFonts w:hint="default" w:ascii="Times New Roman" w:hAnsi="Times New Roman" w:cs="Times New Roman"/>
          <w:color w:val="auto"/>
          <w:kern w:val="2"/>
          <w:sz w:val="24"/>
          <w:szCs w:val="24"/>
        </w:rPr>
        <w:t>、T2、T3</w:t>
      </w:r>
      <w:r>
        <w:rPr>
          <w:rFonts w:hint="eastAsia" w:cs="Times New Roman"/>
          <w:color w:val="auto"/>
          <w:kern w:val="2"/>
          <w:sz w:val="24"/>
          <w:szCs w:val="24"/>
          <w:lang w:eastAsia="zh-CN"/>
        </w:rPr>
        <w:t>、</w:t>
      </w:r>
      <w:r>
        <w:rPr>
          <w:rFonts w:hint="eastAsia" w:cs="Times New Roman"/>
          <w:color w:val="auto"/>
          <w:kern w:val="2"/>
          <w:sz w:val="24"/>
          <w:szCs w:val="24"/>
          <w:lang w:val="en-US" w:eastAsia="zh-CN"/>
        </w:rPr>
        <w:t>T4、T5</w:t>
      </w:r>
      <w:r>
        <w:rPr>
          <w:rFonts w:hint="default" w:ascii="Times New Roman" w:hAnsi="Times New Roman" w:cs="Times New Roman"/>
          <w:color w:val="auto"/>
          <w:kern w:val="2"/>
          <w:sz w:val="24"/>
          <w:szCs w:val="24"/>
        </w:rPr>
        <w:t>）</w:t>
      </w:r>
      <w:r>
        <w:rPr>
          <w:rFonts w:hint="eastAsia" w:ascii="Times New Roman" w:hAnsi="Times New Roman" w:cs="Times New Roman"/>
          <w:color w:val="auto"/>
          <w:kern w:val="2"/>
          <w:sz w:val="24"/>
          <w:szCs w:val="24"/>
          <w:lang w:eastAsia="zh-CN"/>
        </w:rPr>
        <w:t>，</w:t>
      </w:r>
      <w:r>
        <w:rPr>
          <w:rFonts w:hint="eastAsia" w:ascii="Times New Roman" w:hAnsi="Times New Roman" w:cs="Times New Roman"/>
          <w:color w:val="auto"/>
          <w:kern w:val="2"/>
          <w:sz w:val="24"/>
          <w:szCs w:val="24"/>
          <w:lang w:val="en-US" w:eastAsia="zh-CN"/>
        </w:rPr>
        <w:t>5</w:t>
      </w:r>
      <w:r>
        <w:rPr>
          <w:rFonts w:hint="default" w:ascii="Times New Roman" w:hAnsi="Times New Roman" w:cs="Times New Roman"/>
          <w:color w:val="auto"/>
          <w:kern w:val="2"/>
          <w:sz w:val="24"/>
          <w:szCs w:val="24"/>
        </w:rPr>
        <w:t>个表层样（T</w:t>
      </w:r>
      <w:r>
        <w:rPr>
          <w:rFonts w:hint="eastAsia" w:cs="Times New Roman"/>
          <w:color w:val="auto"/>
          <w:kern w:val="2"/>
          <w:sz w:val="24"/>
          <w:szCs w:val="24"/>
          <w:lang w:val="en-US" w:eastAsia="zh-CN"/>
        </w:rPr>
        <w:t>6</w:t>
      </w:r>
      <w:r>
        <w:rPr>
          <w:rFonts w:hint="eastAsia" w:ascii="Times New Roman" w:hAnsi="Times New Roman" w:cs="Times New Roman"/>
          <w:color w:val="auto"/>
          <w:kern w:val="2"/>
          <w:sz w:val="24"/>
          <w:szCs w:val="24"/>
          <w:lang w:val="en-US" w:eastAsia="zh-CN"/>
        </w:rPr>
        <w:t>、</w:t>
      </w:r>
      <w:r>
        <w:rPr>
          <w:rFonts w:hint="default" w:ascii="Times New Roman" w:hAnsi="Times New Roman" w:cs="Times New Roman"/>
          <w:color w:val="auto"/>
          <w:kern w:val="2"/>
          <w:sz w:val="24"/>
          <w:szCs w:val="24"/>
        </w:rPr>
        <w:t>T</w:t>
      </w:r>
      <w:r>
        <w:rPr>
          <w:rFonts w:hint="eastAsia" w:cs="Times New Roman"/>
          <w:color w:val="auto"/>
          <w:kern w:val="2"/>
          <w:sz w:val="24"/>
          <w:szCs w:val="24"/>
          <w:lang w:val="en-US" w:eastAsia="zh-CN"/>
        </w:rPr>
        <w:t>7</w:t>
      </w:r>
      <w:r>
        <w:rPr>
          <w:rFonts w:hint="default" w:ascii="Times New Roman" w:hAnsi="Times New Roman" w:cs="Times New Roman"/>
          <w:color w:val="auto"/>
          <w:kern w:val="2"/>
          <w:sz w:val="24"/>
          <w:szCs w:val="24"/>
        </w:rPr>
        <w:t>、T</w:t>
      </w:r>
      <w:r>
        <w:rPr>
          <w:rFonts w:hint="eastAsia" w:cs="Times New Roman"/>
          <w:color w:val="auto"/>
          <w:kern w:val="2"/>
          <w:sz w:val="24"/>
          <w:szCs w:val="24"/>
          <w:lang w:val="en-US" w:eastAsia="zh-CN"/>
        </w:rPr>
        <w:t>8</w:t>
      </w:r>
      <w:r>
        <w:rPr>
          <w:rFonts w:hint="eastAsia" w:cs="Times New Roman"/>
          <w:color w:val="auto"/>
          <w:kern w:val="2"/>
          <w:sz w:val="24"/>
          <w:szCs w:val="24"/>
          <w:lang w:eastAsia="zh-CN"/>
        </w:rPr>
        <w:t>、</w:t>
      </w:r>
      <w:r>
        <w:rPr>
          <w:rFonts w:hint="eastAsia" w:cs="Times New Roman"/>
          <w:color w:val="auto"/>
          <w:kern w:val="2"/>
          <w:sz w:val="24"/>
          <w:szCs w:val="24"/>
          <w:lang w:val="en-US" w:eastAsia="zh-CN"/>
        </w:rPr>
        <w:t>T9、T10</w:t>
      </w:r>
      <w:r>
        <w:rPr>
          <w:rFonts w:hint="default" w:ascii="Times New Roman" w:hAnsi="Times New Roman" w:cs="Times New Roman"/>
          <w:color w:val="auto"/>
          <w:kern w:val="2"/>
          <w:sz w:val="24"/>
          <w:szCs w:val="24"/>
        </w:rPr>
        <w:t>）；占地范围外：布设</w:t>
      </w:r>
      <w:r>
        <w:rPr>
          <w:rFonts w:hint="eastAsia" w:ascii="Times New Roman" w:hAnsi="Times New Roman" w:cs="Times New Roman"/>
          <w:color w:val="auto"/>
          <w:kern w:val="2"/>
          <w:sz w:val="24"/>
          <w:szCs w:val="24"/>
          <w:lang w:val="en-US" w:eastAsia="zh-CN"/>
        </w:rPr>
        <w:t>6</w:t>
      </w:r>
      <w:r>
        <w:rPr>
          <w:rFonts w:hint="default" w:ascii="Times New Roman" w:hAnsi="Times New Roman" w:cs="Times New Roman"/>
          <w:color w:val="auto"/>
          <w:kern w:val="2"/>
          <w:sz w:val="24"/>
          <w:szCs w:val="24"/>
        </w:rPr>
        <w:t>个表层样（T</w:t>
      </w:r>
      <w:r>
        <w:rPr>
          <w:rFonts w:hint="eastAsia" w:cs="Times New Roman"/>
          <w:color w:val="auto"/>
          <w:kern w:val="2"/>
          <w:sz w:val="24"/>
          <w:szCs w:val="24"/>
          <w:lang w:val="en-US" w:eastAsia="zh-CN"/>
        </w:rPr>
        <w:t>11</w:t>
      </w:r>
      <w:r>
        <w:rPr>
          <w:rFonts w:hint="default" w:ascii="Times New Roman" w:hAnsi="Times New Roman" w:cs="Times New Roman"/>
          <w:color w:val="auto"/>
          <w:kern w:val="2"/>
          <w:sz w:val="24"/>
          <w:szCs w:val="24"/>
        </w:rPr>
        <w:t>、T</w:t>
      </w:r>
      <w:r>
        <w:rPr>
          <w:rFonts w:hint="eastAsia" w:ascii="Times New Roman" w:hAnsi="Times New Roman" w:cs="Times New Roman"/>
          <w:color w:val="auto"/>
          <w:kern w:val="2"/>
          <w:sz w:val="24"/>
          <w:szCs w:val="24"/>
          <w:lang w:val="en-US" w:eastAsia="zh-CN"/>
        </w:rPr>
        <w:t>1</w:t>
      </w:r>
      <w:r>
        <w:rPr>
          <w:rFonts w:hint="eastAsia" w:cs="Times New Roman"/>
          <w:color w:val="auto"/>
          <w:kern w:val="2"/>
          <w:sz w:val="24"/>
          <w:szCs w:val="24"/>
          <w:lang w:val="en-US" w:eastAsia="zh-CN"/>
        </w:rPr>
        <w:t>2</w:t>
      </w:r>
      <w:r>
        <w:rPr>
          <w:rFonts w:hint="eastAsia" w:ascii="Times New Roman" w:hAnsi="Times New Roman" w:cs="Times New Roman"/>
          <w:color w:val="auto"/>
          <w:kern w:val="2"/>
          <w:sz w:val="24"/>
          <w:szCs w:val="24"/>
          <w:lang w:val="en-US" w:eastAsia="zh-CN"/>
        </w:rPr>
        <w:t>、</w:t>
      </w:r>
      <w:r>
        <w:rPr>
          <w:rFonts w:hint="default" w:ascii="Times New Roman" w:hAnsi="Times New Roman" w:cs="Times New Roman"/>
          <w:color w:val="auto"/>
          <w:kern w:val="2"/>
          <w:sz w:val="24"/>
          <w:szCs w:val="24"/>
        </w:rPr>
        <w:t>T</w:t>
      </w:r>
      <w:r>
        <w:rPr>
          <w:rFonts w:hint="eastAsia" w:ascii="Times New Roman" w:hAnsi="Times New Roman" w:cs="Times New Roman"/>
          <w:color w:val="auto"/>
          <w:kern w:val="2"/>
          <w:sz w:val="24"/>
          <w:szCs w:val="24"/>
          <w:lang w:val="en-US" w:eastAsia="zh-CN"/>
        </w:rPr>
        <w:t>1</w:t>
      </w:r>
      <w:r>
        <w:rPr>
          <w:rFonts w:hint="eastAsia" w:cs="Times New Roman"/>
          <w:color w:val="auto"/>
          <w:kern w:val="2"/>
          <w:sz w:val="24"/>
          <w:szCs w:val="24"/>
          <w:lang w:val="en-US" w:eastAsia="zh-CN"/>
        </w:rPr>
        <w:t>3</w:t>
      </w:r>
      <w:r>
        <w:rPr>
          <w:rFonts w:hint="default" w:ascii="Times New Roman" w:hAnsi="Times New Roman" w:cs="Times New Roman"/>
          <w:color w:val="auto"/>
          <w:kern w:val="2"/>
          <w:sz w:val="24"/>
          <w:szCs w:val="24"/>
        </w:rPr>
        <w:t>、T</w:t>
      </w:r>
      <w:r>
        <w:rPr>
          <w:rFonts w:hint="eastAsia" w:ascii="Times New Roman" w:hAnsi="Times New Roman" w:cs="Times New Roman"/>
          <w:color w:val="auto"/>
          <w:kern w:val="2"/>
          <w:sz w:val="24"/>
          <w:szCs w:val="24"/>
          <w:lang w:val="en-US" w:eastAsia="zh-CN"/>
        </w:rPr>
        <w:t>1</w:t>
      </w:r>
      <w:r>
        <w:rPr>
          <w:rFonts w:hint="eastAsia" w:cs="Times New Roman"/>
          <w:color w:val="auto"/>
          <w:kern w:val="2"/>
          <w:sz w:val="24"/>
          <w:szCs w:val="24"/>
          <w:lang w:val="en-US" w:eastAsia="zh-CN"/>
        </w:rPr>
        <w:t>4、T15、T16</w:t>
      </w:r>
      <w:r>
        <w:rPr>
          <w:rFonts w:hint="default" w:ascii="Times New Roman" w:hAnsi="Times New Roman" w:cs="Times New Roman"/>
          <w:color w:val="auto"/>
          <w:kern w:val="2"/>
          <w:sz w:val="24"/>
          <w:szCs w:val="24"/>
        </w:rPr>
        <w:t>）；</w:t>
      </w:r>
      <w:r>
        <w:rPr>
          <w:rFonts w:hint="default" w:ascii="Times New Roman" w:hAnsi="Times New Roman" w:cs="Times New Roman"/>
          <w:color w:val="auto"/>
          <w:sz w:val="24"/>
          <w:szCs w:val="24"/>
        </w:rPr>
        <w:t>其中表层样采集其表层土壤样（0~20cm混合样）；柱状样在0~0.5m、0.5m~1.5m、1.5~3m分别取样。</w:t>
      </w:r>
      <w:r>
        <w:rPr>
          <w:rFonts w:hint="eastAsia" w:ascii="Times New Roman" w:hAnsi="Times New Roman" w:cs="Times New Roman"/>
          <w:color w:val="auto"/>
          <w:sz w:val="24"/>
          <w:szCs w:val="24"/>
          <w:lang w:val="en-US" w:eastAsia="zh-CN"/>
        </w:rPr>
        <w:t>土壤监测点位见表4.2-12。</w:t>
      </w:r>
    </w:p>
    <w:p w14:paraId="30B00F54">
      <w:pPr>
        <w:pStyle w:val="43"/>
        <w:bidi w:val="0"/>
        <w:rPr>
          <w:rFonts w:hint="default"/>
          <w:color w:val="auto"/>
          <w:lang w:val="en-US" w:eastAsia="zh-CN"/>
        </w:rPr>
      </w:pPr>
      <w:r>
        <w:rPr>
          <w:rFonts w:hint="default"/>
          <w:color w:val="auto"/>
          <w:lang w:eastAsia="zh-CN"/>
        </w:rPr>
        <w:t>表</w:t>
      </w:r>
      <w:r>
        <w:rPr>
          <w:rFonts w:hint="eastAsia"/>
          <w:color w:val="auto"/>
          <w:lang w:val="en-US" w:eastAsia="zh-CN"/>
        </w:rPr>
        <w:t>4.2-12</w:t>
      </w:r>
      <w:r>
        <w:rPr>
          <w:rFonts w:hint="eastAsia"/>
          <w:color w:val="auto"/>
          <w:lang w:val="en-US" w:eastAsia="zh-CN"/>
        </w:rPr>
        <w:tab/>
      </w:r>
      <w:r>
        <w:rPr>
          <w:rFonts w:hint="default"/>
          <w:color w:val="auto"/>
          <w:lang w:val="en-US" w:eastAsia="zh-CN"/>
        </w:rPr>
        <w:t xml:space="preserve">  土壤监测点位</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706"/>
        <w:gridCol w:w="1500"/>
        <w:gridCol w:w="2821"/>
        <w:gridCol w:w="1907"/>
      </w:tblGrid>
      <w:tr w14:paraId="0C6E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tcBorders>
              <w:tl2br w:val="nil"/>
              <w:tr2bl w:val="nil"/>
            </w:tcBorders>
            <w:noWrap w:val="0"/>
            <w:vAlign w:val="center"/>
          </w:tcPr>
          <w:p w14:paraId="00C7D7C6">
            <w:pPr>
              <w:pStyle w:val="59"/>
              <w:spacing w:line="300" w:lineRule="exact"/>
              <w:ind w:lef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点号</w:t>
            </w:r>
          </w:p>
        </w:tc>
        <w:tc>
          <w:tcPr>
            <w:tcW w:w="1881" w:type="pct"/>
            <w:gridSpan w:val="2"/>
            <w:tcBorders>
              <w:tl2br w:val="nil"/>
              <w:tr2bl w:val="nil"/>
            </w:tcBorders>
            <w:noWrap w:val="0"/>
            <w:vAlign w:val="center"/>
          </w:tcPr>
          <w:p w14:paraId="645D560A">
            <w:pPr>
              <w:pStyle w:val="59"/>
              <w:spacing w:line="300" w:lineRule="exact"/>
              <w:ind w:lef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位置</w:t>
            </w:r>
          </w:p>
        </w:tc>
        <w:tc>
          <w:tcPr>
            <w:tcW w:w="1655" w:type="pct"/>
            <w:tcBorders>
              <w:tl2br w:val="nil"/>
              <w:tr2bl w:val="nil"/>
            </w:tcBorders>
            <w:noWrap w:val="0"/>
            <w:vAlign w:val="center"/>
          </w:tcPr>
          <w:p w14:paraId="2A4C3024">
            <w:pPr>
              <w:pStyle w:val="59"/>
              <w:spacing w:line="300" w:lineRule="exact"/>
              <w:ind w:lef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坐标</w:t>
            </w:r>
          </w:p>
        </w:tc>
        <w:tc>
          <w:tcPr>
            <w:tcW w:w="1119" w:type="pct"/>
            <w:tcBorders>
              <w:tl2br w:val="nil"/>
              <w:tr2bl w:val="nil"/>
            </w:tcBorders>
            <w:noWrap w:val="0"/>
            <w:vAlign w:val="center"/>
          </w:tcPr>
          <w:p w14:paraId="4C583232">
            <w:pPr>
              <w:pStyle w:val="59"/>
              <w:spacing w:line="300" w:lineRule="exact"/>
              <w:ind w:lef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备注</w:t>
            </w:r>
          </w:p>
        </w:tc>
      </w:tr>
      <w:tr w14:paraId="5CD9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restart"/>
            <w:tcBorders>
              <w:tl2br w:val="nil"/>
              <w:tr2bl w:val="nil"/>
            </w:tcBorders>
            <w:noWrap w:val="0"/>
            <w:vAlign w:val="center"/>
          </w:tcPr>
          <w:p w14:paraId="312A051C">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001" w:type="pct"/>
            <w:vMerge w:val="restart"/>
            <w:tcBorders>
              <w:tl2br w:val="nil"/>
              <w:tr2bl w:val="nil"/>
            </w:tcBorders>
            <w:noWrap w:val="0"/>
            <w:vAlign w:val="center"/>
          </w:tcPr>
          <w:p w14:paraId="2E37FDB5">
            <w:pPr>
              <w:pStyle w:val="59"/>
              <w:spacing w:line="300" w:lineRule="exact"/>
              <w:ind w:left="0" w:leftChars="0" w:right="-57" w:rightChars="0"/>
              <w:jc w:val="center"/>
              <w:rPr>
                <w:rFonts w:hint="eastAsia" w:ascii="Times New Roman" w:hAnsi="Times New Roman" w:eastAsia="黑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T1</w:t>
            </w:r>
            <w:r>
              <w:rPr>
                <w:rStyle w:val="92"/>
                <w:rFonts w:hint="eastAsia"/>
                <w:color w:val="auto"/>
                <w:sz w:val="21"/>
                <w:szCs w:val="20"/>
                <w:lang w:eastAsia="zh-CN"/>
              </w:rPr>
              <w:t>（</w:t>
            </w:r>
            <w:r>
              <w:rPr>
                <w:rStyle w:val="92"/>
                <w:rFonts w:hint="eastAsia"/>
                <w:color w:val="auto"/>
                <w:sz w:val="21"/>
                <w:szCs w:val="20"/>
                <w:lang w:val="en-US" w:eastAsia="zh-CN"/>
              </w:rPr>
              <w:t>赛探1井场内</w:t>
            </w:r>
            <w:r>
              <w:rPr>
                <w:rStyle w:val="92"/>
                <w:rFonts w:hint="eastAsia"/>
                <w:color w:val="auto"/>
                <w:sz w:val="21"/>
                <w:szCs w:val="20"/>
                <w:lang w:eastAsia="zh-CN"/>
              </w:rPr>
              <w:t>）</w:t>
            </w:r>
          </w:p>
        </w:tc>
        <w:tc>
          <w:tcPr>
            <w:tcW w:w="880" w:type="pct"/>
            <w:tcBorders>
              <w:tl2br w:val="nil"/>
              <w:tr2bl w:val="nil"/>
            </w:tcBorders>
            <w:noWrap w:val="0"/>
            <w:vAlign w:val="center"/>
          </w:tcPr>
          <w:p w14:paraId="3570142E">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0-0.5m</w:t>
            </w:r>
          </w:p>
        </w:tc>
        <w:tc>
          <w:tcPr>
            <w:tcW w:w="1655" w:type="pct"/>
            <w:vMerge w:val="restart"/>
            <w:tcBorders>
              <w:tl2br w:val="nil"/>
              <w:tr2bl w:val="nil"/>
            </w:tcBorders>
            <w:noWrap w:val="0"/>
            <w:vAlign w:val="center"/>
          </w:tcPr>
          <w:p w14:paraId="76E2BA02">
            <w:pPr>
              <w:bidi w:val="0"/>
              <w:jc w:val="center"/>
              <w:rPr>
                <w:rFonts w:hint="default" w:ascii="Times New Roman" w:hAnsi="Times New Roman" w:cs="Times New Roman"/>
                <w:color w:val="auto"/>
                <w:lang w:val="en-US" w:eastAsia="zh-CN"/>
              </w:rPr>
            </w:pPr>
            <w:r>
              <w:rPr>
                <w:rFonts w:hint="eastAsia" w:cs="Times New Roman"/>
                <w:color w:val="auto"/>
                <w:lang w:val="en-US" w:eastAsia="zh-CN"/>
              </w:rPr>
              <w:t>******</w:t>
            </w:r>
          </w:p>
        </w:tc>
        <w:tc>
          <w:tcPr>
            <w:tcW w:w="1119" w:type="pct"/>
            <w:vMerge w:val="restart"/>
            <w:tcBorders>
              <w:tl2br w:val="nil"/>
              <w:tr2bl w:val="nil"/>
            </w:tcBorders>
            <w:noWrap w:val="0"/>
            <w:vAlign w:val="center"/>
          </w:tcPr>
          <w:p w14:paraId="13589C90">
            <w:pPr>
              <w:pStyle w:val="59"/>
              <w:spacing w:line="300" w:lineRule="exact"/>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每层进行土壤理化性质及剖面调查</w:t>
            </w:r>
          </w:p>
        </w:tc>
      </w:tr>
      <w:tr w14:paraId="7742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699DCA57">
            <w:pPr>
              <w:pStyle w:val="59"/>
              <w:spacing w:line="300" w:lineRule="exact"/>
              <w:ind w:left="0" w:leftChars="0" w:right="-57" w:rightChars="0"/>
              <w:jc w:val="center"/>
              <w:rPr>
                <w:rFonts w:hint="default" w:ascii="Times New Roman" w:hAnsi="Times New Roman" w:eastAsia="黑体" w:cs="Times New Roman"/>
                <w:color w:val="auto"/>
                <w:sz w:val="21"/>
                <w:szCs w:val="21"/>
                <w:lang w:val="en-US" w:eastAsia="zh-CN"/>
              </w:rPr>
            </w:pPr>
          </w:p>
        </w:tc>
        <w:tc>
          <w:tcPr>
            <w:tcW w:w="1001" w:type="pct"/>
            <w:vMerge w:val="continue"/>
            <w:tcBorders>
              <w:tl2br w:val="nil"/>
              <w:tr2bl w:val="nil"/>
            </w:tcBorders>
            <w:noWrap w:val="0"/>
            <w:vAlign w:val="center"/>
          </w:tcPr>
          <w:p w14:paraId="2B42DAD4">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c>
          <w:tcPr>
            <w:tcW w:w="880" w:type="pct"/>
            <w:tcBorders>
              <w:tl2br w:val="nil"/>
              <w:tr2bl w:val="nil"/>
            </w:tcBorders>
            <w:noWrap w:val="0"/>
            <w:vAlign w:val="center"/>
          </w:tcPr>
          <w:p w14:paraId="4DBB9F2E">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0.5-1.5m</w:t>
            </w:r>
          </w:p>
        </w:tc>
        <w:tc>
          <w:tcPr>
            <w:tcW w:w="1655" w:type="pct"/>
            <w:vMerge w:val="continue"/>
            <w:tcBorders>
              <w:tl2br w:val="nil"/>
              <w:tr2bl w:val="nil"/>
            </w:tcBorders>
            <w:noWrap w:val="0"/>
            <w:vAlign w:val="center"/>
          </w:tcPr>
          <w:p w14:paraId="279C3760">
            <w:pPr>
              <w:bidi w:val="0"/>
              <w:jc w:val="center"/>
              <w:rPr>
                <w:rFonts w:hint="default" w:ascii="Times New Roman" w:hAnsi="Times New Roman" w:cs="Times New Roman"/>
                <w:color w:val="auto"/>
                <w:lang w:val="en-US" w:eastAsia="zh-CN"/>
              </w:rPr>
            </w:pPr>
          </w:p>
        </w:tc>
        <w:tc>
          <w:tcPr>
            <w:tcW w:w="1119" w:type="pct"/>
            <w:vMerge w:val="continue"/>
            <w:tcBorders>
              <w:tl2br w:val="nil"/>
              <w:tr2bl w:val="nil"/>
            </w:tcBorders>
            <w:noWrap w:val="0"/>
            <w:vAlign w:val="center"/>
          </w:tcPr>
          <w:p w14:paraId="05592DA1">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6A2A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019B455E">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c>
          <w:tcPr>
            <w:tcW w:w="1001" w:type="pct"/>
            <w:vMerge w:val="continue"/>
            <w:tcBorders>
              <w:tl2br w:val="nil"/>
              <w:tr2bl w:val="nil"/>
            </w:tcBorders>
            <w:noWrap w:val="0"/>
            <w:vAlign w:val="center"/>
          </w:tcPr>
          <w:p w14:paraId="59470A2A">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c>
          <w:tcPr>
            <w:tcW w:w="880" w:type="pct"/>
            <w:tcBorders>
              <w:tl2br w:val="nil"/>
              <w:tr2bl w:val="nil"/>
            </w:tcBorders>
            <w:noWrap w:val="0"/>
            <w:vAlign w:val="center"/>
          </w:tcPr>
          <w:p w14:paraId="488D2BF2">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1.5-3.0m</w:t>
            </w:r>
          </w:p>
        </w:tc>
        <w:tc>
          <w:tcPr>
            <w:tcW w:w="1655" w:type="pct"/>
            <w:vMerge w:val="continue"/>
            <w:tcBorders>
              <w:tl2br w:val="nil"/>
              <w:tr2bl w:val="nil"/>
            </w:tcBorders>
            <w:noWrap w:val="0"/>
            <w:vAlign w:val="center"/>
          </w:tcPr>
          <w:p w14:paraId="4A6CDE1C">
            <w:pPr>
              <w:bidi w:val="0"/>
              <w:jc w:val="center"/>
              <w:rPr>
                <w:rFonts w:hint="default" w:ascii="Times New Roman" w:hAnsi="Times New Roman" w:cs="Times New Roman"/>
                <w:color w:val="auto"/>
                <w:lang w:val="en-US" w:eastAsia="zh-CN"/>
              </w:rPr>
            </w:pPr>
          </w:p>
        </w:tc>
        <w:tc>
          <w:tcPr>
            <w:tcW w:w="1119" w:type="pct"/>
            <w:vMerge w:val="continue"/>
            <w:tcBorders>
              <w:tl2br w:val="nil"/>
              <w:tr2bl w:val="nil"/>
            </w:tcBorders>
            <w:noWrap w:val="0"/>
            <w:vAlign w:val="center"/>
          </w:tcPr>
          <w:p w14:paraId="1D754FFA">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13CD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restart"/>
            <w:tcBorders>
              <w:tl2br w:val="nil"/>
              <w:tr2bl w:val="nil"/>
            </w:tcBorders>
            <w:noWrap w:val="0"/>
            <w:vAlign w:val="center"/>
          </w:tcPr>
          <w:p w14:paraId="5C09D5CD">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001" w:type="pct"/>
            <w:vMerge w:val="restart"/>
            <w:tcBorders>
              <w:tl2br w:val="nil"/>
              <w:tr2bl w:val="nil"/>
            </w:tcBorders>
            <w:noWrap w:val="0"/>
            <w:vAlign w:val="center"/>
          </w:tcPr>
          <w:p w14:paraId="28A7A65E">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T2（百791井场内）</w:t>
            </w:r>
          </w:p>
        </w:tc>
        <w:tc>
          <w:tcPr>
            <w:tcW w:w="880" w:type="pct"/>
            <w:tcBorders>
              <w:tl2br w:val="nil"/>
              <w:tr2bl w:val="nil"/>
            </w:tcBorders>
            <w:noWrap w:val="0"/>
            <w:vAlign w:val="center"/>
          </w:tcPr>
          <w:p w14:paraId="2D77B310">
            <w:pPr>
              <w:pStyle w:val="59"/>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0-0.5m</w:t>
            </w:r>
          </w:p>
        </w:tc>
        <w:tc>
          <w:tcPr>
            <w:tcW w:w="1655" w:type="pct"/>
            <w:vMerge w:val="restart"/>
            <w:tcBorders>
              <w:tl2br w:val="nil"/>
              <w:tr2bl w:val="nil"/>
            </w:tcBorders>
            <w:noWrap w:val="0"/>
            <w:vAlign w:val="center"/>
          </w:tcPr>
          <w:p w14:paraId="2CE47E09">
            <w:pPr>
              <w:jc w:val="center"/>
              <w:rPr>
                <w:rFonts w:hint="default"/>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46F8554E">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55D4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1C2638BC">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1001" w:type="pct"/>
            <w:vMerge w:val="continue"/>
            <w:tcBorders>
              <w:tl2br w:val="nil"/>
              <w:tr2bl w:val="nil"/>
            </w:tcBorders>
            <w:noWrap w:val="0"/>
            <w:vAlign w:val="center"/>
          </w:tcPr>
          <w:p w14:paraId="61D62697">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880" w:type="pct"/>
            <w:tcBorders>
              <w:tl2br w:val="nil"/>
              <w:tr2bl w:val="nil"/>
            </w:tcBorders>
            <w:noWrap w:val="0"/>
            <w:vAlign w:val="center"/>
          </w:tcPr>
          <w:p w14:paraId="46EA373B">
            <w:pPr>
              <w:pStyle w:val="59"/>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0.5-1.5m</w:t>
            </w:r>
          </w:p>
        </w:tc>
        <w:tc>
          <w:tcPr>
            <w:tcW w:w="1655" w:type="pct"/>
            <w:vMerge w:val="continue"/>
            <w:tcBorders>
              <w:tl2br w:val="nil"/>
              <w:tr2bl w:val="nil"/>
            </w:tcBorders>
            <w:noWrap w:val="0"/>
            <w:vAlign w:val="center"/>
          </w:tcPr>
          <w:p w14:paraId="7391AB25">
            <w:pPr>
              <w:bidi w:val="0"/>
              <w:jc w:val="center"/>
              <w:rPr>
                <w:rFonts w:hint="default" w:ascii="Times New Roman" w:hAnsi="Times New Roman" w:cs="Times New Roman"/>
                <w:color w:val="auto"/>
                <w:lang w:val="en-US" w:eastAsia="zh-CN"/>
              </w:rPr>
            </w:pPr>
          </w:p>
        </w:tc>
        <w:tc>
          <w:tcPr>
            <w:tcW w:w="1119" w:type="pct"/>
            <w:vMerge w:val="continue"/>
            <w:tcBorders>
              <w:tl2br w:val="nil"/>
              <w:tr2bl w:val="nil"/>
            </w:tcBorders>
            <w:noWrap w:val="0"/>
            <w:vAlign w:val="center"/>
          </w:tcPr>
          <w:p w14:paraId="179BB200">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6F5E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4D3836F7">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1001" w:type="pct"/>
            <w:vMerge w:val="continue"/>
            <w:tcBorders>
              <w:tl2br w:val="nil"/>
              <w:tr2bl w:val="nil"/>
            </w:tcBorders>
            <w:noWrap w:val="0"/>
            <w:vAlign w:val="center"/>
          </w:tcPr>
          <w:p w14:paraId="1AEAADA8">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880" w:type="pct"/>
            <w:tcBorders>
              <w:tl2br w:val="nil"/>
              <w:tr2bl w:val="nil"/>
            </w:tcBorders>
            <w:noWrap w:val="0"/>
            <w:vAlign w:val="center"/>
          </w:tcPr>
          <w:p w14:paraId="34426BA3">
            <w:pPr>
              <w:pStyle w:val="59"/>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1.5-3.0m</w:t>
            </w:r>
          </w:p>
        </w:tc>
        <w:tc>
          <w:tcPr>
            <w:tcW w:w="1655" w:type="pct"/>
            <w:vMerge w:val="continue"/>
            <w:tcBorders>
              <w:tl2br w:val="nil"/>
              <w:tr2bl w:val="nil"/>
            </w:tcBorders>
            <w:noWrap w:val="0"/>
            <w:vAlign w:val="center"/>
          </w:tcPr>
          <w:p w14:paraId="6F3FF4E6">
            <w:pPr>
              <w:bidi w:val="0"/>
              <w:jc w:val="center"/>
              <w:rPr>
                <w:rFonts w:hint="default" w:ascii="Times New Roman" w:hAnsi="Times New Roman" w:cs="Times New Roman"/>
                <w:color w:val="auto"/>
                <w:lang w:val="en-US" w:eastAsia="zh-CN"/>
              </w:rPr>
            </w:pPr>
          </w:p>
        </w:tc>
        <w:tc>
          <w:tcPr>
            <w:tcW w:w="1119" w:type="pct"/>
            <w:vMerge w:val="continue"/>
            <w:tcBorders>
              <w:tl2br w:val="nil"/>
              <w:tr2bl w:val="nil"/>
            </w:tcBorders>
            <w:noWrap w:val="0"/>
            <w:vAlign w:val="center"/>
          </w:tcPr>
          <w:p w14:paraId="72205C23">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6BF5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restart"/>
            <w:tcBorders>
              <w:tl2br w:val="nil"/>
              <w:tr2bl w:val="nil"/>
            </w:tcBorders>
            <w:noWrap w:val="0"/>
            <w:vAlign w:val="center"/>
          </w:tcPr>
          <w:p w14:paraId="17D45D92">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001" w:type="pct"/>
            <w:vMerge w:val="restart"/>
            <w:tcBorders>
              <w:tl2br w:val="nil"/>
              <w:tr2bl w:val="nil"/>
            </w:tcBorders>
            <w:noWrap w:val="0"/>
            <w:vAlign w:val="center"/>
          </w:tcPr>
          <w:p w14:paraId="0025AE01">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T3（夏92_H井场内）</w:t>
            </w:r>
          </w:p>
        </w:tc>
        <w:tc>
          <w:tcPr>
            <w:tcW w:w="880" w:type="pct"/>
            <w:tcBorders>
              <w:tl2br w:val="nil"/>
              <w:tr2bl w:val="nil"/>
            </w:tcBorders>
            <w:noWrap w:val="0"/>
            <w:vAlign w:val="center"/>
          </w:tcPr>
          <w:p w14:paraId="2E487D31">
            <w:pPr>
              <w:pStyle w:val="59"/>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0-0.5m</w:t>
            </w:r>
          </w:p>
        </w:tc>
        <w:tc>
          <w:tcPr>
            <w:tcW w:w="1655" w:type="pct"/>
            <w:vMerge w:val="restart"/>
            <w:tcBorders>
              <w:tl2br w:val="nil"/>
              <w:tr2bl w:val="nil"/>
            </w:tcBorders>
            <w:noWrap w:val="0"/>
            <w:vAlign w:val="center"/>
          </w:tcPr>
          <w:p w14:paraId="056E101F">
            <w:pPr>
              <w:jc w:val="center"/>
              <w:rPr>
                <w:rFonts w:hint="default"/>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01059C8E">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72D6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2F7FB7A9">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1001" w:type="pct"/>
            <w:vMerge w:val="continue"/>
            <w:tcBorders>
              <w:tl2br w:val="nil"/>
              <w:tr2bl w:val="nil"/>
            </w:tcBorders>
            <w:noWrap w:val="0"/>
            <w:vAlign w:val="center"/>
          </w:tcPr>
          <w:p w14:paraId="74C9DC5C">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880" w:type="pct"/>
            <w:tcBorders>
              <w:tl2br w:val="nil"/>
              <w:tr2bl w:val="nil"/>
            </w:tcBorders>
            <w:noWrap w:val="0"/>
            <w:vAlign w:val="center"/>
          </w:tcPr>
          <w:p w14:paraId="58627D41">
            <w:pPr>
              <w:pStyle w:val="59"/>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0.5-1.5m</w:t>
            </w:r>
          </w:p>
        </w:tc>
        <w:tc>
          <w:tcPr>
            <w:tcW w:w="1655" w:type="pct"/>
            <w:vMerge w:val="continue"/>
            <w:tcBorders>
              <w:tl2br w:val="nil"/>
              <w:tr2bl w:val="nil"/>
            </w:tcBorders>
            <w:noWrap w:val="0"/>
            <w:vAlign w:val="center"/>
          </w:tcPr>
          <w:p w14:paraId="7C9A0115">
            <w:pPr>
              <w:pStyle w:val="59"/>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p>
        </w:tc>
        <w:tc>
          <w:tcPr>
            <w:tcW w:w="1119" w:type="pct"/>
            <w:vMerge w:val="continue"/>
            <w:tcBorders>
              <w:tl2br w:val="nil"/>
              <w:tr2bl w:val="nil"/>
            </w:tcBorders>
            <w:noWrap w:val="0"/>
            <w:vAlign w:val="center"/>
          </w:tcPr>
          <w:p w14:paraId="07793B32">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3D09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343AA312">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1001" w:type="pct"/>
            <w:vMerge w:val="continue"/>
            <w:tcBorders>
              <w:tl2br w:val="nil"/>
              <w:tr2bl w:val="nil"/>
            </w:tcBorders>
            <w:noWrap w:val="0"/>
            <w:vAlign w:val="center"/>
          </w:tcPr>
          <w:p w14:paraId="70EB6972">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880" w:type="pct"/>
            <w:tcBorders>
              <w:tl2br w:val="nil"/>
              <w:tr2bl w:val="nil"/>
            </w:tcBorders>
            <w:noWrap w:val="0"/>
            <w:vAlign w:val="center"/>
          </w:tcPr>
          <w:p w14:paraId="4B0D4116">
            <w:pPr>
              <w:pStyle w:val="59"/>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1.5-3.0m</w:t>
            </w:r>
          </w:p>
        </w:tc>
        <w:tc>
          <w:tcPr>
            <w:tcW w:w="1655" w:type="pct"/>
            <w:vMerge w:val="continue"/>
            <w:tcBorders>
              <w:tl2br w:val="nil"/>
              <w:tr2bl w:val="nil"/>
            </w:tcBorders>
            <w:noWrap w:val="0"/>
            <w:vAlign w:val="center"/>
          </w:tcPr>
          <w:p w14:paraId="18023484">
            <w:pPr>
              <w:pStyle w:val="59"/>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p>
        </w:tc>
        <w:tc>
          <w:tcPr>
            <w:tcW w:w="1119" w:type="pct"/>
            <w:vMerge w:val="continue"/>
            <w:tcBorders>
              <w:tl2br w:val="nil"/>
              <w:tr2bl w:val="nil"/>
            </w:tcBorders>
            <w:noWrap w:val="0"/>
            <w:vAlign w:val="center"/>
          </w:tcPr>
          <w:p w14:paraId="6BD23FA3">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4425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restart"/>
            <w:tcBorders>
              <w:tl2br w:val="nil"/>
              <w:tr2bl w:val="nil"/>
            </w:tcBorders>
            <w:noWrap w:val="0"/>
            <w:vAlign w:val="center"/>
          </w:tcPr>
          <w:p w14:paraId="5D9E7870">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001" w:type="pct"/>
            <w:vMerge w:val="restart"/>
            <w:tcBorders>
              <w:tl2br w:val="nil"/>
              <w:tr2bl w:val="nil"/>
            </w:tcBorders>
            <w:noWrap w:val="0"/>
            <w:vAlign w:val="center"/>
          </w:tcPr>
          <w:p w14:paraId="30C48AEF">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T4（DM2721井场内）</w:t>
            </w:r>
          </w:p>
        </w:tc>
        <w:tc>
          <w:tcPr>
            <w:tcW w:w="880" w:type="pct"/>
            <w:tcBorders>
              <w:tl2br w:val="nil"/>
              <w:tr2bl w:val="nil"/>
            </w:tcBorders>
            <w:shd w:val="clear" w:color="auto" w:fill="auto"/>
            <w:noWrap w:val="0"/>
            <w:vAlign w:val="center"/>
          </w:tcPr>
          <w:p w14:paraId="5B9DCEFB">
            <w:pPr>
              <w:pStyle w:val="59"/>
              <w:spacing w:line="300" w:lineRule="exact"/>
              <w:ind w:left="0" w:leftChars="0" w:right="-57" w:rightChars="0"/>
              <w:jc w:val="center"/>
              <w:rPr>
                <w:rFonts w:hint="default" w:ascii="Times New Roman" w:hAnsi="Times New Roman" w:eastAsia="黑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0-0.5m</w:t>
            </w:r>
          </w:p>
        </w:tc>
        <w:tc>
          <w:tcPr>
            <w:tcW w:w="1655" w:type="pct"/>
            <w:vMerge w:val="restart"/>
            <w:tcBorders>
              <w:tl2br w:val="nil"/>
              <w:tr2bl w:val="nil"/>
            </w:tcBorders>
            <w:noWrap w:val="0"/>
            <w:vAlign w:val="center"/>
          </w:tcPr>
          <w:p w14:paraId="366AAF72">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5C30D832">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66C4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741C1AD1">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1001" w:type="pct"/>
            <w:vMerge w:val="continue"/>
            <w:tcBorders>
              <w:tl2br w:val="nil"/>
              <w:tr2bl w:val="nil"/>
            </w:tcBorders>
            <w:noWrap w:val="0"/>
            <w:vAlign w:val="center"/>
          </w:tcPr>
          <w:p w14:paraId="4BEF0752">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880" w:type="pct"/>
            <w:tcBorders>
              <w:tl2br w:val="nil"/>
              <w:tr2bl w:val="nil"/>
            </w:tcBorders>
            <w:shd w:val="clear" w:color="auto" w:fill="auto"/>
            <w:noWrap w:val="0"/>
            <w:vAlign w:val="center"/>
          </w:tcPr>
          <w:p w14:paraId="29E858D2">
            <w:pPr>
              <w:pStyle w:val="59"/>
              <w:spacing w:line="300" w:lineRule="exact"/>
              <w:ind w:left="0" w:leftChars="0" w:right="-57" w:rightChars="0"/>
              <w:jc w:val="center"/>
              <w:rPr>
                <w:rFonts w:hint="default" w:ascii="Times New Roman" w:hAnsi="Times New Roman" w:eastAsia="黑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0.5-1.5m</w:t>
            </w:r>
          </w:p>
        </w:tc>
        <w:tc>
          <w:tcPr>
            <w:tcW w:w="1655" w:type="pct"/>
            <w:vMerge w:val="continue"/>
            <w:tcBorders>
              <w:tl2br w:val="nil"/>
              <w:tr2bl w:val="nil"/>
            </w:tcBorders>
            <w:noWrap w:val="0"/>
            <w:vAlign w:val="center"/>
          </w:tcPr>
          <w:p w14:paraId="0C319E3C">
            <w:pPr>
              <w:pStyle w:val="59"/>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p>
        </w:tc>
        <w:tc>
          <w:tcPr>
            <w:tcW w:w="1119" w:type="pct"/>
            <w:vMerge w:val="continue"/>
            <w:tcBorders>
              <w:tl2br w:val="nil"/>
              <w:tr2bl w:val="nil"/>
            </w:tcBorders>
            <w:noWrap w:val="0"/>
            <w:vAlign w:val="center"/>
          </w:tcPr>
          <w:p w14:paraId="71AA8465">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3184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1B4E9906">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1001" w:type="pct"/>
            <w:vMerge w:val="continue"/>
            <w:tcBorders>
              <w:tl2br w:val="nil"/>
              <w:tr2bl w:val="nil"/>
            </w:tcBorders>
            <w:noWrap w:val="0"/>
            <w:vAlign w:val="center"/>
          </w:tcPr>
          <w:p w14:paraId="39DCBD49">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880" w:type="pct"/>
            <w:tcBorders>
              <w:tl2br w:val="nil"/>
              <w:tr2bl w:val="nil"/>
            </w:tcBorders>
            <w:shd w:val="clear" w:color="auto" w:fill="auto"/>
            <w:noWrap w:val="0"/>
            <w:vAlign w:val="center"/>
          </w:tcPr>
          <w:p w14:paraId="682A9600">
            <w:pPr>
              <w:pStyle w:val="59"/>
              <w:spacing w:line="300" w:lineRule="exact"/>
              <w:ind w:left="0" w:leftChars="0" w:right="-57" w:rightChars="0"/>
              <w:jc w:val="center"/>
              <w:rPr>
                <w:rFonts w:hint="default" w:ascii="Times New Roman" w:hAnsi="Times New Roman" w:eastAsia="黑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1.5-3.0m</w:t>
            </w:r>
          </w:p>
        </w:tc>
        <w:tc>
          <w:tcPr>
            <w:tcW w:w="1655" w:type="pct"/>
            <w:vMerge w:val="continue"/>
            <w:tcBorders>
              <w:tl2br w:val="nil"/>
              <w:tr2bl w:val="nil"/>
            </w:tcBorders>
            <w:noWrap w:val="0"/>
            <w:vAlign w:val="center"/>
          </w:tcPr>
          <w:p w14:paraId="153A042D">
            <w:pPr>
              <w:pStyle w:val="59"/>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p>
        </w:tc>
        <w:tc>
          <w:tcPr>
            <w:tcW w:w="1119" w:type="pct"/>
            <w:vMerge w:val="continue"/>
            <w:tcBorders>
              <w:tl2br w:val="nil"/>
              <w:tr2bl w:val="nil"/>
            </w:tcBorders>
            <w:noWrap w:val="0"/>
            <w:vAlign w:val="center"/>
          </w:tcPr>
          <w:p w14:paraId="2C5E68A7">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537D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restart"/>
            <w:tcBorders>
              <w:tl2br w:val="nil"/>
              <w:tr2bl w:val="nil"/>
            </w:tcBorders>
            <w:noWrap w:val="0"/>
            <w:vAlign w:val="center"/>
          </w:tcPr>
          <w:p w14:paraId="633AA1E0">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001" w:type="pct"/>
            <w:vMerge w:val="restart"/>
            <w:tcBorders>
              <w:tl2br w:val="nil"/>
              <w:tr2bl w:val="nil"/>
            </w:tcBorders>
            <w:noWrap w:val="0"/>
            <w:vAlign w:val="center"/>
          </w:tcPr>
          <w:p w14:paraId="7C85E778">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T5（夏207H井场内）</w:t>
            </w:r>
          </w:p>
        </w:tc>
        <w:tc>
          <w:tcPr>
            <w:tcW w:w="880" w:type="pct"/>
            <w:tcBorders>
              <w:tl2br w:val="nil"/>
              <w:tr2bl w:val="nil"/>
            </w:tcBorders>
            <w:shd w:val="clear" w:color="auto" w:fill="auto"/>
            <w:noWrap w:val="0"/>
            <w:vAlign w:val="center"/>
          </w:tcPr>
          <w:p w14:paraId="6BC21F86">
            <w:pPr>
              <w:pStyle w:val="59"/>
              <w:spacing w:line="300" w:lineRule="exact"/>
              <w:ind w:left="0" w:leftChars="0" w:right="-57" w:rightChars="0"/>
              <w:jc w:val="center"/>
              <w:rPr>
                <w:rFonts w:hint="default" w:ascii="Times New Roman" w:hAnsi="Times New Roman" w:eastAsia="黑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0-0.5m</w:t>
            </w:r>
          </w:p>
        </w:tc>
        <w:tc>
          <w:tcPr>
            <w:tcW w:w="1655" w:type="pct"/>
            <w:vMerge w:val="restart"/>
            <w:tcBorders>
              <w:tl2br w:val="nil"/>
              <w:tr2bl w:val="nil"/>
            </w:tcBorders>
            <w:noWrap w:val="0"/>
            <w:vAlign w:val="center"/>
          </w:tcPr>
          <w:p w14:paraId="233891AB">
            <w:pPr>
              <w:pStyle w:val="59"/>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1B666968">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394D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77BB8C50">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1001" w:type="pct"/>
            <w:vMerge w:val="continue"/>
            <w:tcBorders>
              <w:tl2br w:val="nil"/>
              <w:tr2bl w:val="nil"/>
            </w:tcBorders>
            <w:noWrap w:val="0"/>
            <w:vAlign w:val="center"/>
          </w:tcPr>
          <w:p w14:paraId="29B5DF7B">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880" w:type="pct"/>
            <w:tcBorders>
              <w:tl2br w:val="nil"/>
              <w:tr2bl w:val="nil"/>
            </w:tcBorders>
            <w:shd w:val="clear" w:color="auto" w:fill="auto"/>
            <w:noWrap w:val="0"/>
            <w:vAlign w:val="center"/>
          </w:tcPr>
          <w:p w14:paraId="6BE93249">
            <w:pPr>
              <w:pStyle w:val="59"/>
              <w:spacing w:line="300" w:lineRule="exact"/>
              <w:ind w:left="0" w:leftChars="0" w:right="-57" w:rightChars="0"/>
              <w:jc w:val="center"/>
              <w:rPr>
                <w:rFonts w:hint="default" w:ascii="Times New Roman" w:hAnsi="Times New Roman" w:eastAsia="黑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0.5-1.5m</w:t>
            </w:r>
          </w:p>
        </w:tc>
        <w:tc>
          <w:tcPr>
            <w:tcW w:w="1655" w:type="pct"/>
            <w:vMerge w:val="continue"/>
            <w:tcBorders>
              <w:tl2br w:val="nil"/>
              <w:tr2bl w:val="nil"/>
            </w:tcBorders>
            <w:noWrap w:val="0"/>
            <w:vAlign w:val="center"/>
          </w:tcPr>
          <w:p w14:paraId="416B2469">
            <w:pPr>
              <w:pStyle w:val="59"/>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p>
        </w:tc>
        <w:tc>
          <w:tcPr>
            <w:tcW w:w="1119" w:type="pct"/>
            <w:vMerge w:val="continue"/>
            <w:tcBorders>
              <w:tl2br w:val="nil"/>
              <w:tr2bl w:val="nil"/>
            </w:tcBorders>
            <w:noWrap w:val="0"/>
            <w:vAlign w:val="center"/>
          </w:tcPr>
          <w:p w14:paraId="66EB8A49">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2911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3" w:type="pct"/>
            <w:vMerge w:val="continue"/>
            <w:tcBorders>
              <w:tl2br w:val="nil"/>
              <w:tr2bl w:val="nil"/>
            </w:tcBorders>
            <w:noWrap w:val="0"/>
            <w:vAlign w:val="center"/>
          </w:tcPr>
          <w:p w14:paraId="7DAD2AB3">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1001" w:type="pct"/>
            <w:vMerge w:val="continue"/>
            <w:tcBorders>
              <w:tl2br w:val="nil"/>
              <w:tr2bl w:val="nil"/>
            </w:tcBorders>
            <w:noWrap w:val="0"/>
            <w:vAlign w:val="center"/>
          </w:tcPr>
          <w:p w14:paraId="1D4C8A9B">
            <w:pPr>
              <w:pStyle w:val="59"/>
              <w:spacing w:line="300" w:lineRule="exact"/>
              <w:ind w:left="0" w:leftChars="0" w:right="-57" w:rightChars="0"/>
              <w:jc w:val="center"/>
              <w:rPr>
                <w:rFonts w:hint="eastAsia" w:ascii="Times New Roman" w:hAnsi="Times New Roman" w:eastAsia="宋体" w:cs="Times New Roman"/>
                <w:color w:val="auto"/>
                <w:sz w:val="21"/>
                <w:szCs w:val="21"/>
                <w:lang w:val="en-US" w:eastAsia="zh-CN"/>
              </w:rPr>
            </w:pPr>
          </w:p>
        </w:tc>
        <w:tc>
          <w:tcPr>
            <w:tcW w:w="880" w:type="pct"/>
            <w:tcBorders>
              <w:tl2br w:val="nil"/>
              <w:tr2bl w:val="nil"/>
            </w:tcBorders>
            <w:shd w:val="clear" w:color="auto" w:fill="auto"/>
            <w:noWrap w:val="0"/>
            <w:vAlign w:val="center"/>
          </w:tcPr>
          <w:p w14:paraId="0799F86E">
            <w:pPr>
              <w:pStyle w:val="59"/>
              <w:spacing w:line="300" w:lineRule="exact"/>
              <w:ind w:left="0" w:leftChars="0" w:right="-57" w:rightChars="0"/>
              <w:jc w:val="center"/>
              <w:rPr>
                <w:rFonts w:hint="default" w:ascii="Times New Roman" w:hAnsi="Times New Roman" w:eastAsia="黑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1.5-3.0m</w:t>
            </w:r>
          </w:p>
        </w:tc>
        <w:tc>
          <w:tcPr>
            <w:tcW w:w="1655" w:type="pct"/>
            <w:vMerge w:val="continue"/>
            <w:tcBorders>
              <w:tl2br w:val="nil"/>
              <w:tr2bl w:val="nil"/>
            </w:tcBorders>
            <w:noWrap w:val="0"/>
            <w:vAlign w:val="center"/>
          </w:tcPr>
          <w:p w14:paraId="3BC657AF">
            <w:pPr>
              <w:pStyle w:val="59"/>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p>
        </w:tc>
        <w:tc>
          <w:tcPr>
            <w:tcW w:w="1119" w:type="pct"/>
            <w:vMerge w:val="continue"/>
            <w:tcBorders>
              <w:tl2br w:val="nil"/>
              <w:tr2bl w:val="nil"/>
            </w:tcBorders>
            <w:noWrap w:val="0"/>
            <w:vAlign w:val="center"/>
          </w:tcPr>
          <w:p w14:paraId="3E03455C">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2CCE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shd w:val="clear" w:color="auto" w:fill="auto"/>
            <w:noWrap w:val="0"/>
            <w:vAlign w:val="center"/>
          </w:tcPr>
          <w:p w14:paraId="197627AD">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1001" w:type="pct"/>
            <w:tcBorders>
              <w:tl2br w:val="nil"/>
              <w:tr2bl w:val="nil"/>
            </w:tcBorders>
            <w:shd w:val="clear" w:color="auto" w:fill="auto"/>
            <w:noWrap w:val="0"/>
            <w:vAlign w:val="center"/>
          </w:tcPr>
          <w:p w14:paraId="41370F1D">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T6（百76井场内）</w:t>
            </w:r>
          </w:p>
        </w:tc>
        <w:tc>
          <w:tcPr>
            <w:tcW w:w="880" w:type="pct"/>
            <w:tcBorders>
              <w:tl2br w:val="nil"/>
              <w:tr2bl w:val="nil"/>
            </w:tcBorders>
            <w:noWrap w:val="0"/>
            <w:vAlign w:val="center"/>
          </w:tcPr>
          <w:p w14:paraId="7458C81C">
            <w:pPr>
              <w:pStyle w:val="59"/>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59C6B8D8">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w:t>
            </w:r>
          </w:p>
        </w:tc>
        <w:tc>
          <w:tcPr>
            <w:tcW w:w="1119" w:type="pct"/>
            <w:vMerge w:val="restart"/>
            <w:tcBorders>
              <w:tl2br w:val="nil"/>
              <w:tr2bl w:val="nil"/>
            </w:tcBorders>
            <w:noWrap w:val="0"/>
            <w:vAlign w:val="center"/>
          </w:tcPr>
          <w:p w14:paraId="34418BEF">
            <w:pPr>
              <w:pStyle w:val="59"/>
              <w:spacing w:line="300" w:lineRule="exact"/>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每层进行土壤理化特性调查</w:t>
            </w:r>
          </w:p>
        </w:tc>
      </w:tr>
      <w:tr w14:paraId="7AFD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shd w:val="clear" w:color="auto" w:fill="auto"/>
            <w:noWrap w:val="0"/>
            <w:vAlign w:val="center"/>
          </w:tcPr>
          <w:p w14:paraId="28D34896">
            <w:pPr>
              <w:pStyle w:val="59"/>
              <w:spacing w:line="300" w:lineRule="exact"/>
              <w:ind w:left="0" w:leftChars="0" w:right="-57" w:rightChars="0"/>
              <w:jc w:val="center"/>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1001" w:type="pct"/>
            <w:tcBorders>
              <w:tl2br w:val="nil"/>
              <w:tr2bl w:val="nil"/>
            </w:tcBorders>
            <w:shd w:val="clear" w:color="auto" w:fill="auto"/>
            <w:noWrap w:val="0"/>
            <w:vAlign w:val="center"/>
          </w:tcPr>
          <w:p w14:paraId="0C83EE21">
            <w:pPr>
              <w:pStyle w:val="59"/>
              <w:spacing w:line="300" w:lineRule="exact"/>
              <w:ind w:left="0" w:leftChars="0" w:right="-57" w:rightChars="0"/>
              <w:jc w:val="center"/>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T7（Ma20023_H井场内）</w:t>
            </w:r>
          </w:p>
        </w:tc>
        <w:tc>
          <w:tcPr>
            <w:tcW w:w="880" w:type="pct"/>
            <w:tcBorders>
              <w:tl2br w:val="nil"/>
              <w:tr2bl w:val="nil"/>
            </w:tcBorders>
            <w:noWrap w:val="0"/>
            <w:vAlign w:val="center"/>
          </w:tcPr>
          <w:p w14:paraId="60738A73">
            <w:pPr>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342D1320">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3B7DE06F">
            <w:pPr>
              <w:pStyle w:val="59"/>
              <w:spacing w:line="300" w:lineRule="exact"/>
              <w:ind w:left="0"/>
              <w:jc w:val="center"/>
              <w:rPr>
                <w:rFonts w:hint="eastAsia" w:ascii="Times New Roman" w:hAnsi="Times New Roman" w:eastAsia="宋体" w:cs="Times New Roman"/>
                <w:color w:val="auto"/>
                <w:sz w:val="21"/>
                <w:szCs w:val="21"/>
                <w:lang w:val="en-US" w:eastAsia="zh-CN"/>
              </w:rPr>
            </w:pPr>
          </w:p>
        </w:tc>
      </w:tr>
      <w:tr w14:paraId="717F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shd w:val="clear" w:color="auto" w:fill="auto"/>
            <w:noWrap w:val="0"/>
            <w:vAlign w:val="center"/>
          </w:tcPr>
          <w:p w14:paraId="25D466FD">
            <w:pPr>
              <w:pStyle w:val="59"/>
              <w:spacing w:line="300" w:lineRule="exact"/>
              <w:ind w:left="0" w:leftChars="0" w:right="-57" w:rightChars="0"/>
              <w:jc w:val="center"/>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1001" w:type="pct"/>
            <w:tcBorders>
              <w:tl2br w:val="nil"/>
              <w:tr2bl w:val="nil"/>
            </w:tcBorders>
            <w:shd w:val="clear" w:color="auto" w:fill="auto"/>
            <w:noWrap w:val="0"/>
            <w:vAlign w:val="center"/>
          </w:tcPr>
          <w:p w14:paraId="04BF18A9">
            <w:pPr>
              <w:pStyle w:val="59"/>
              <w:spacing w:line="300" w:lineRule="exact"/>
              <w:ind w:left="0" w:leftChars="0" w:right="-57" w:rightChars="0"/>
              <w:jc w:val="center"/>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T8（夏724井场内）</w:t>
            </w:r>
          </w:p>
        </w:tc>
        <w:tc>
          <w:tcPr>
            <w:tcW w:w="880" w:type="pct"/>
            <w:tcBorders>
              <w:tl2br w:val="nil"/>
              <w:tr2bl w:val="nil"/>
            </w:tcBorders>
            <w:noWrap w:val="0"/>
            <w:vAlign w:val="center"/>
          </w:tcPr>
          <w:p w14:paraId="088AA11A">
            <w:pPr>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00070EA5">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7D747616">
            <w:pPr>
              <w:pStyle w:val="59"/>
              <w:spacing w:line="300" w:lineRule="exact"/>
              <w:ind w:left="0"/>
              <w:jc w:val="center"/>
              <w:rPr>
                <w:rFonts w:hint="eastAsia" w:ascii="Times New Roman" w:hAnsi="Times New Roman" w:eastAsia="宋体" w:cs="Times New Roman"/>
                <w:color w:val="auto"/>
                <w:sz w:val="21"/>
                <w:szCs w:val="21"/>
                <w:lang w:val="en-US" w:eastAsia="zh-CN"/>
              </w:rPr>
            </w:pPr>
          </w:p>
        </w:tc>
      </w:tr>
      <w:tr w14:paraId="1FB3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shd w:val="clear" w:color="auto" w:fill="auto"/>
            <w:noWrap w:val="0"/>
            <w:vAlign w:val="center"/>
          </w:tcPr>
          <w:p w14:paraId="4323AB4A">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1001" w:type="pct"/>
            <w:tcBorders>
              <w:tl2br w:val="nil"/>
              <w:tr2bl w:val="nil"/>
            </w:tcBorders>
            <w:shd w:val="clear" w:color="auto" w:fill="auto"/>
            <w:noWrap w:val="0"/>
            <w:vAlign w:val="center"/>
          </w:tcPr>
          <w:p w14:paraId="51622770">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T9（百791管线沿线占地内）</w:t>
            </w:r>
          </w:p>
        </w:tc>
        <w:tc>
          <w:tcPr>
            <w:tcW w:w="880" w:type="pct"/>
            <w:tcBorders>
              <w:tl2br w:val="nil"/>
              <w:tr2bl w:val="nil"/>
            </w:tcBorders>
            <w:noWrap w:val="0"/>
            <w:vAlign w:val="center"/>
          </w:tcPr>
          <w:p w14:paraId="170C9AA0">
            <w:pPr>
              <w:pStyle w:val="59"/>
              <w:spacing w:line="300" w:lineRule="exact"/>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321EB70D">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227D829F">
            <w:pPr>
              <w:pStyle w:val="59"/>
              <w:spacing w:line="300" w:lineRule="exact"/>
              <w:ind w:left="0"/>
              <w:jc w:val="center"/>
              <w:rPr>
                <w:rFonts w:hint="default" w:ascii="Times New Roman" w:hAnsi="Times New Roman" w:eastAsia="宋体" w:cs="Times New Roman"/>
                <w:color w:val="auto"/>
                <w:sz w:val="21"/>
                <w:szCs w:val="21"/>
                <w:lang w:val="en-US" w:eastAsia="zh-CN"/>
              </w:rPr>
            </w:pPr>
          </w:p>
        </w:tc>
      </w:tr>
      <w:tr w14:paraId="5700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shd w:val="clear" w:color="auto" w:fill="auto"/>
            <w:noWrap w:val="0"/>
            <w:vAlign w:val="center"/>
          </w:tcPr>
          <w:p w14:paraId="7F862DDD">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1001" w:type="pct"/>
            <w:tcBorders>
              <w:tl2br w:val="nil"/>
              <w:tr2bl w:val="nil"/>
            </w:tcBorders>
            <w:shd w:val="clear" w:color="auto" w:fill="auto"/>
            <w:noWrap w:val="0"/>
            <w:vAlign w:val="center"/>
          </w:tcPr>
          <w:p w14:paraId="55951B25">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T10（2号计量站内）</w:t>
            </w:r>
          </w:p>
        </w:tc>
        <w:tc>
          <w:tcPr>
            <w:tcW w:w="880" w:type="pct"/>
            <w:tcBorders>
              <w:tl2br w:val="nil"/>
              <w:tr2bl w:val="nil"/>
            </w:tcBorders>
            <w:noWrap w:val="0"/>
            <w:vAlign w:val="center"/>
          </w:tcPr>
          <w:p w14:paraId="5AB529BB">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00BF485A">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788545F7">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r>
      <w:tr w14:paraId="1779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shd w:val="clear" w:color="auto" w:fill="auto"/>
            <w:noWrap w:val="0"/>
            <w:vAlign w:val="center"/>
          </w:tcPr>
          <w:p w14:paraId="7E1F1853">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11#</w:t>
            </w:r>
          </w:p>
        </w:tc>
        <w:tc>
          <w:tcPr>
            <w:tcW w:w="1001" w:type="pct"/>
            <w:tcBorders>
              <w:tl2br w:val="nil"/>
              <w:tr2bl w:val="nil"/>
            </w:tcBorders>
            <w:shd w:val="clear" w:color="auto" w:fill="auto"/>
            <w:noWrap w:val="0"/>
            <w:vAlign w:val="center"/>
          </w:tcPr>
          <w:p w14:paraId="42648DE4">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T11（Ma20024_H井场549m范围外）</w:t>
            </w:r>
          </w:p>
        </w:tc>
        <w:tc>
          <w:tcPr>
            <w:tcW w:w="880" w:type="pct"/>
            <w:tcBorders>
              <w:tl2br w:val="nil"/>
              <w:tr2bl w:val="nil"/>
            </w:tcBorders>
            <w:noWrap w:val="0"/>
            <w:vAlign w:val="center"/>
          </w:tcPr>
          <w:p w14:paraId="7692E182">
            <w:pPr>
              <w:pStyle w:val="59"/>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2BA7399D">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7F097B4C">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r>
      <w:tr w14:paraId="44EF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shd w:val="clear" w:color="auto" w:fill="auto"/>
            <w:noWrap w:val="0"/>
            <w:vAlign w:val="center"/>
          </w:tcPr>
          <w:p w14:paraId="4B987D95">
            <w:pPr>
              <w:pStyle w:val="59"/>
              <w:spacing w:line="300" w:lineRule="exact"/>
              <w:ind w:left="0" w:leftChars="0" w:right="-57" w:rightChars="0"/>
              <w:jc w:val="center"/>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12#</w:t>
            </w:r>
          </w:p>
        </w:tc>
        <w:tc>
          <w:tcPr>
            <w:tcW w:w="1001" w:type="pct"/>
            <w:tcBorders>
              <w:tl2br w:val="nil"/>
              <w:tr2bl w:val="nil"/>
            </w:tcBorders>
            <w:shd w:val="clear" w:color="auto" w:fill="auto"/>
            <w:noWrap w:val="0"/>
            <w:vAlign w:val="center"/>
          </w:tcPr>
          <w:p w14:paraId="20D2F65E">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T12（XHHW7202井场140m外）</w:t>
            </w:r>
          </w:p>
        </w:tc>
        <w:tc>
          <w:tcPr>
            <w:tcW w:w="880" w:type="pct"/>
            <w:tcBorders>
              <w:tl2br w:val="nil"/>
              <w:tr2bl w:val="nil"/>
            </w:tcBorders>
            <w:noWrap w:val="0"/>
            <w:vAlign w:val="center"/>
          </w:tcPr>
          <w:p w14:paraId="07DE39C2">
            <w:pPr>
              <w:pStyle w:val="59"/>
              <w:spacing w:line="300" w:lineRule="exact"/>
              <w:ind w:left="0" w:leftChars="0" w:right="-57"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3AF17A5A">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3AD7A66B">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r>
      <w:tr w14:paraId="6E2D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shd w:val="clear" w:color="auto" w:fill="auto"/>
            <w:noWrap w:val="0"/>
            <w:vAlign w:val="center"/>
          </w:tcPr>
          <w:p w14:paraId="2D209E24">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13#</w:t>
            </w:r>
          </w:p>
        </w:tc>
        <w:tc>
          <w:tcPr>
            <w:tcW w:w="1001" w:type="pct"/>
            <w:tcBorders>
              <w:tl2br w:val="nil"/>
              <w:tr2bl w:val="nil"/>
            </w:tcBorders>
            <w:shd w:val="clear" w:color="auto" w:fill="auto"/>
            <w:noWrap w:val="0"/>
            <w:vAlign w:val="center"/>
          </w:tcPr>
          <w:p w14:paraId="42CA2BFA">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T13（夏91_H管线150m外）</w:t>
            </w:r>
          </w:p>
        </w:tc>
        <w:tc>
          <w:tcPr>
            <w:tcW w:w="880" w:type="pct"/>
            <w:tcBorders>
              <w:tl2br w:val="nil"/>
              <w:tr2bl w:val="nil"/>
            </w:tcBorders>
            <w:shd w:val="clear" w:color="auto" w:fill="auto"/>
            <w:noWrap w:val="0"/>
            <w:vAlign w:val="center"/>
          </w:tcPr>
          <w:p w14:paraId="7E72C470">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7CF9E8FB">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745A2905">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r>
      <w:tr w14:paraId="0F57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shd w:val="clear" w:color="auto" w:fill="auto"/>
            <w:noWrap w:val="0"/>
            <w:vAlign w:val="center"/>
          </w:tcPr>
          <w:p w14:paraId="33662E79">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14#</w:t>
            </w:r>
          </w:p>
        </w:tc>
        <w:tc>
          <w:tcPr>
            <w:tcW w:w="1001" w:type="pct"/>
            <w:tcBorders>
              <w:tl2br w:val="nil"/>
              <w:tr2bl w:val="nil"/>
            </w:tcBorders>
            <w:shd w:val="clear" w:color="auto" w:fill="auto"/>
            <w:noWrap w:val="0"/>
            <w:vAlign w:val="center"/>
          </w:tcPr>
          <w:p w14:paraId="4D40092F">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T14（玛2井区西侧外）</w:t>
            </w:r>
          </w:p>
        </w:tc>
        <w:tc>
          <w:tcPr>
            <w:tcW w:w="880" w:type="pct"/>
            <w:tcBorders>
              <w:tl2br w:val="nil"/>
              <w:tr2bl w:val="nil"/>
            </w:tcBorders>
            <w:shd w:val="clear" w:color="auto" w:fill="auto"/>
            <w:noWrap w:val="0"/>
            <w:vAlign w:val="center"/>
          </w:tcPr>
          <w:p w14:paraId="12B7DEE3">
            <w:pPr>
              <w:pStyle w:val="59"/>
              <w:spacing w:line="300" w:lineRule="exact"/>
              <w:ind w:left="0" w:leftChars="0" w:right="-57" w:rightChars="0"/>
              <w:jc w:val="center"/>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1C5109AC">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332A4EDF">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r>
      <w:tr w14:paraId="3E46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noWrap w:val="0"/>
            <w:vAlign w:val="center"/>
          </w:tcPr>
          <w:p w14:paraId="2300C7B9">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001" w:type="pct"/>
            <w:tcBorders>
              <w:tl2br w:val="nil"/>
              <w:tr2bl w:val="nil"/>
            </w:tcBorders>
            <w:noWrap w:val="0"/>
            <w:vAlign w:val="center"/>
          </w:tcPr>
          <w:p w14:paraId="6DF9CD74">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T15（百209H井东北侧1.3km处）</w:t>
            </w:r>
          </w:p>
        </w:tc>
        <w:tc>
          <w:tcPr>
            <w:tcW w:w="880" w:type="pct"/>
            <w:tcBorders>
              <w:tl2br w:val="nil"/>
              <w:tr2bl w:val="nil"/>
            </w:tcBorders>
            <w:shd w:val="clear" w:color="auto" w:fill="auto"/>
            <w:noWrap w:val="0"/>
            <w:vAlign w:val="center"/>
          </w:tcPr>
          <w:p w14:paraId="0A58CADB">
            <w:pPr>
              <w:pStyle w:val="59"/>
              <w:spacing w:line="300" w:lineRule="exact"/>
              <w:ind w:left="0" w:leftChars="0" w:right="-57" w:rightChars="0"/>
              <w:jc w:val="center"/>
              <w:rPr>
                <w:rFonts w:hint="default" w:ascii="Times New Roman" w:hAnsi="Times New Roman" w:eastAsia="黑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1E03B7E6">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5412A360">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r>
      <w:tr w14:paraId="3973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tcBorders>
              <w:tl2br w:val="nil"/>
              <w:tr2bl w:val="nil"/>
            </w:tcBorders>
            <w:noWrap w:val="0"/>
            <w:vAlign w:val="center"/>
          </w:tcPr>
          <w:p w14:paraId="7F8C7E98">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001" w:type="pct"/>
            <w:tcBorders>
              <w:tl2br w:val="nil"/>
              <w:tr2bl w:val="nil"/>
            </w:tcBorders>
            <w:noWrap w:val="0"/>
            <w:vAlign w:val="center"/>
          </w:tcPr>
          <w:p w14:paraId="10A4C3C5">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T16（艾湖30#站阀池65m外）</w:t>
            </w:r>
          </w:p>
        </w:tc>
        <w:tc>
          <w:tcPr>
            <w:tcW w:w="880" w:type="pct"/>
            <w:tcBorders>
              <w:tl2br w:val="nil"/>
              <w:tr2bl w:val="nil"/>
            </w:tcBorders>
            <w:shd w:val="clear" w:color="auto" w:fill="auto"/>
            <w:noWrap w:val="0"/>
            <w:vAlign w:val="center"/>
          </w:tcPr>
          <w:p w14:paraId="43DBDE57">
            <w:pPr>
              <w:pStyle w:val="59"/>
              <w:spacing w:line="300" w:lineRule="exact"/>
              <w:ind w:left="0" w:leftChars="0" w:right="-57" w:rightChars="0"/>
              <w:jc w:val="center"/>
              <w:rPr>
                <w:rFonts w:hint="default" w:ascii="Times New Roman" w:hAnsi="Times New Roman" w:eastAsia="黑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0-0.2m</w:t>
            </w:r>
          </w:p>
        </w:tc>
        <w:tc>
          <w:tcPr>
            <w:tcW w:w="1655" w:type="pct"/>
            <w:tcBorders>
              <w:tl2br w:val="nil"/>
              <w:tr2bl w:val="nil"/>
            </w:tcBorders>
            <w:noWrap w:val="0"/>
            <w:vAlign w:val="center"/>
          </w:tcPr>
          <w:p w14:paraId="0DE5916F">
            <w:pPr>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w:t>
            </w:r>
          </w:p>
        </w:tc>
        <w:tc>
          <w:tcPr>
            <w:tcW w:w="1119" w:type="pct"/>
            <w:vMerge w:val="continue"/>
            <w:tcBorders>
              <w:tl2br w:val="nil"/>
              <w:tr2bl w:val="nil"/>
            </w:tcBorders>
            <w:noWrap w:val="0"/>
            <w:vAlign w:val="center"/>
          </w:tcPr>
          <w:p w14:paraId="4AB48FAE">
            <w:pPr>
              <w:pStyle w:val="59"/>
              <w:spacing w:line="300" w:lineRule="exact"/>
              <w:ind w:left="0" w:leftChars="0" w:right="-57" w:rightChars="0"/>
              <w:jc w:val="center"/>
              <w:rPr>
                <w:rFonts w:hint="default" w:ascii="Times New Roman" w:hAnsi="Times New Roman" w:eastAsia="宋体" w:cs="Times New Roman"/>
                <w:color w:val="auto"/>
                <w:sz w:val="21"/>
                <w:szCs w:val="21"/>
                <w:lang w:val="en-US" w:eastAsia="zh-CN"/>
              </w:rPr>
            </w:pPr>
          </w:p>
        </w:tc>
      </w:tr>
    </w:tbl>
    <w:p w14:paraId="6CF63CA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（2）监测项目</w:t>
      </w:r>
    </w:p>
    <w:p w14:paraId="3963508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占地范围内</w:t>
      </w:r>
      <w:r>
        <w:rPr>
          <w:rFonts w:hint="eastAsia" w:cs="Times New Roman"/>
          <w:color w:val="auto"/>
          <w:sz w:val="24"/>
          <w:szCs w:val="28"/>
          <w:lang w:val="en-US" w:eastAsia="zh-CN"/>
        </w:rPr>
        <w:t>柱状样</w:t>
      </w:r>
      <w:r>
        <w:rPr>
          <w:rFonts w:hint="default" w:ascii="Times New Roman" w:hAnsi="Times New Roman" w:eastAsia="宋体" w:cs="Times New Roman"/>
          <w:color w:val="auto"/>
          <w:sz w:val="24"/>
          <w:szCs w:val="28"/>
          <w:lang w:val="en-US" w:eastAsia="zh-CN"/>
        </w:rPr>
        <w:t>：</w:t>
      </w:r>
      <w:r>
        <w:rPr>
          <w:rFonts w:hint="default" w:ascii="Times New Roman" w:hAnsi="Times New Roman" w:eastAsia="宋体" w:cs="Times New Roman"/>
          <w:color w:val="auto"/>
          <w:sz w:val="24"/>
          <w:szCs w:val="24"/>
        </w:rPr>
        <w:t>基本因子为</w:t>
      </w:r>
      <w:r>
        <w:rPr>
          <w:rFonts w:hint="eastAsia" w:ascii="Times New Roman" w:hAnsi="Times New Roman" w:eastAsia="宋体" w:cs="Times New Roman"/>
          <w:color w:val="auto"/>
          <w:sz w:val="24"/>
          <w:szCs w:val="24"/>
          <w:lang w:val="en-US" w:eastAsia="zh-CN"/>
        </w:rPr>
        <w:t>pH、</w:t>
      </w:r>
      <w:r>
        <w:rPr>
          <w:rFonts w:hint="default" w:ascii="Times New Roman" w:hAnsi="Times New Roman" w:eastAsia="宋体" w:cs="Times New Roman"/>
          <w:color w:val="auto"/>
          <w:sz w:val="24"/>
          <w:szCs w:val="24"/>
        </w:rPr>
        <w:t>砷、镉、六价铬、铜、汞、镍、铅、苯、甲苯、乙苯、间二甲苯+对二甲苯、邻二甲苯、氯甲烷、氯乙烯、1,1-二氯乙烯、二氯甲烷、反-1,2-二氯乙烯、1,1-二氯乙烷、顺-1,2-二氯乙烯、氯仿、1,1,1三氯乙烷、四氯化碳、1,2-二氯乙烷、三氯乙烯、1,2-二氯丙烷、1,1,2-三氯乙烷、四氯乙烯、氯苯、1,1,1,2-四氯乙烷、苯乙烯、1,1,2,2-四氯乙烷、1,2,3-三氯丙烷、1,4-二氯苯、1,2-二氯苯、2-氯酚、硝基苯、苯胺、萘、苯并[a]蒽、䓛、苯并[b]荧蒽、苯并[k]荧蒽、苯并[a]芘、茚并[1,2,3-cd]芘、二苯并[a，h]蒽</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土壤含盐量</w:t>
      </w:r>
      <w:r>
        <w:rPr>
          <w:rFonts w:hint="eastAsia" w:cs="Times New Roman"/>
          <w:color w:val="auto"/>
          <w:sz w:val="24"/>
          <w:szCs w:val="24"/>
          <w:lang w:val="en-US" w:eastAsia="zh-CN"/>
        </w:rPr>
        <w:t>（水溶性盐总量）</w:t>
      </w:r>
      <w:r>
        <w:rPr>
          <w:rFonts w:hint="default" w:ascii="Times New Roman" w:hAnsi="Times New Roman" w:eastAsia="宋体" w:cs="Times New Roman"/>
          <w:color w:val="auto"/>
          <w:sz w:val="24"/>
          <w:szCs w:val="24"/>
        </w:rPr>
        <w:t>，共4</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项</w:t>
      </w:r>
      <w:r>
        <w:rPr>
          <w:rFonts w:hint="eastAsia" w:ascii="Times New Roman" w:hAnsi="Times New Roman" w:eastAsia="宋体" w:cs="Times New Roman"/>
          <w:color w:val="auto"/>
          <w:sz w:val="24"/>
          <w:szCs w:val="24"/>
          <w:lang w:val="en-US" w:eastAsia="zh-CN"/>
        </w:rPr>
        <w:t>。特征因子：石油烃（C</w:t>
      </w:r>
      <w:r>
        <w:rPr>
          <w:rFonts w:hint="eastAsia" w:ascii="Times New Roman" w:hAnsi="Times New Roman" w:eastAsia="宋体" w:cs="Times New Roman"/>
          <w:color w:val="auto"/>
          <w:sz w:val="24"/>
          <w:szCs w:val="24"/>
          <w:vertAlign w:val="subscript"/>
          <w:lang w:val="en-US" w:eastAsia="zh-CN"/>
        </w:rPr>
        <w:t>10</w:t>
      </w:r>
      <w:r>
        <w:rPr>
          <w:rFonts w:hint="eastAsia"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vertAlign w:val="subscript"/>
          <w:lang w:val="en-US" w:eastAsia="zh-CN"/>
        </w:rPr>
        <w:t>40</w:t>
      </w:r>
      <w:r>
        <w:rPr>
          <w:rFonts w:hint="eastAsia" w:ascii="Times New Roman" w:hAnsi="Times New Roman" w:eastAsia="宋体" w:cs="Times New Roman"/>
          <w:color w:val="auto"/>
          <w:sz w:val="24"/>
          <w:szCs w:val="24"/>
          <w:lang w:val="en-US" w:eastAsia="zh-CN"/>
        </w:rPr>
        <w:t>）。</w:t>
      </w:r>
    </w:p>
    <w:p w14:paraId="0A1DB2A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表层样</w:t>
      </w:r>
      <w:r>
        <w:rPr>
          <w:rFonts w:hint="eastAsia" w:ascii="Times New Roman" w:hAnsi="Times New Roman" w:eastAsia="宋体" w:cs="Times New Roman"/>
          <w:color w:val="auto"/>
          <w:sz w:val="24"/>
          <w:szCs w:val="28"/>
          <w:lang w:val="en-US" w:eastAsia="zh-CN"/>
        </w:rPr>
        <w:t>：</w:t>
      </w:r>
      <w:r>
        <w:rPr>
          <w:rFonts w:hint="default" w:ascii="Times New Roman" w:hAnsi="Times New Roman" w:eastAsia="宋体" w:cs="Times New Roman"/>
          <w:color w:val="auto"/>
          <w:sz w:val="24"/>
          <w:szCs w:val="24"/>
        </w:rPr>
        <w:t>基本因子为</w:t>
      </w:r>
      <w:r>
        <w:rPr>
          <w:rFonts w:hint="eastAsia" w:ascii="Times New Roman" w:hAnsi="Times New Roman" w:eastAsia="宋体" w:cs="Times New Roman"/>
          <w:color w:val="auto"/>
          <w:sz w:val="24"/>
          <w:szCs w:val="24"/>
          <w:lang w:val="en-US" w:eastAsia="zh-CN"/>
        </w:rPr>
        <w:t>pH、</w:t>
      </w:r>
      <w:r>
        <w:rPr>
          <w:rFonts w:hint="default" w:ascii="Times New Roman" w:hAnsi="Times New Roman" w:eastAsia="宋体" w:cs="Times New Roman"/>
          <w:color w:val="auto"/>
          <w:sz w:val="24"/>
          <w:szCs w:val="24"/>
        </w:rPr>
        <w:t>砷、镉、铬、铜、汞、镍、铅</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锌、土壤含盐量</w:t>
      </w:r>
      <w:r>
        <w:rPr>
          <w:rFonts w:hint="eastAsia" w:cs="Times New Roman"/>
          <w:color w:val="auto"/>
          <w:sz w:val="24"/>
          <w:szCs w:val="24"/>
          <w:lang w:val="en-US" w:eastAsia="zh-CN"/>
        </w:rPr>
        <w:t>（水溶性盐总量）</w:t>
      </w:r>
      <w:r>
        <w:rPr>
          <w:rFonts w:hint="eastAsia" w:ascii="Times New Roman" w:hAnsi="Times New Roman" w:eastAsia="宋体" w:cs="Times New Roman"/>
          <w:color w:val="auto"/>
          <w:sz w:val="24"/>
          <w:szCs w:val="24"/>
          <w:lang w:val="en-US" w:eastAsia="zh-CN"/>
        </w:rPr>
        <w:t>共10项。特征因子：石油烃（C</w:t>
      </w:r>
      <w:r>
        <w:rPr>
          <w:rFonts w:hint="eastAsia" w:ascii="Times New Roman" w:hAnsi="Times New Roman" w:eastAsia="宋体" w:cs="Times New Roman"/>
          <w:color w:val="auto"/>
          <w:sz w:val="24"/>
          <w:szCs w:val="24"/>
          <w:vertAlign w:val="subscript"/>
          <w:lang w:val="en-US" w:eastAsia="zh-CN"/>
        </w:rPr>
        <w:t>10</w:t>
      </w:r>
      <w:r>
        <w:rPr>
          <w:rFonts w:hint="eastAsia"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vertAlign w:val="subscript"/>
          <w:lang w:val="en-US" w:eastAsia="zh-CN"/>
        </w:rPr>
        <w:t>40</w:t>
      </w:r>
      <w:r>
        <w:rPr>
          <w:rFonts w:hint="eastAsia" w:ascii="Times New Roman" w:hAnsi="Times New Roman" w:eastAsia="宋体" w:cs="Times New Roman"/>
          <w:color w:val="auto"/>
          <w:sz w:val="24"/>
          <w:szCs w:val="24"/>
          <w:lang w:val="en-US" w:eastAsia="zh-CN"/>
        </w:rPr>
        <w:t>）。</w:t>
      </w:r>
    </w:p>
    <w:p w14:paraId="3D2B74A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（3）监测时间和频率</w:t>
      </w:r>
    </w:p>
    <w:p w14:paraId="5389421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监测采样时间为202</w:t>
      </w:r>
      <w:r>
        <w:rPr>
          <w:rFonts w:hint="eastAsia" w:ascii="Times New Roman" w:hAnsi="Times New Roman" w:cs="Times New Roman"/>
          <w:color w:val="auto"/>
          <w:sz w:val="24"/>
          <w:szCs w:val="28"/>
          <w:lang w:val="en-US" w:eastAsia="zh-CN"/>
        </w:rPr>
        <w:t>5</w:t>
      </w:r>
      <w:r>
        <w:rPr>
          <w:rFonts w:hint="eastAsia" w:ascii="Times New Roman" w:hAnsi="Times New Roman" w:eastAsia="宋体" w:cs="Times New Roman"/>
          <w:color w:val="auto"/>
          <w:sz w:val="24"/>
          <w:szCs w:val="28"/>
          <w:lang w:val="en-US" w:eastAsia="zh-CN"/>
        </w:rPr>
        <w:t>年</w:t>
      </w:r>
      <w:r>
        <w:rPr>
          <w:rFonts w:hint="eastAsia" w:ascii="Times New Roman" w:hAnsi="Times New Roman" w:cs="Times New Roman"/>
          <w:color w:val="auto"/>
          <w:sz w:val="24"/>
          <w:szCs w:val="28"/>
          <w:lang w:val="en-US" w:eastAsia="zh-CN"/>
        </w:rPr>
        <w:t>8</w:t>
      </w:r>
      <w:r>
        <w:rPr>
          <w:rFonts w:hint="eastAsia" w:ascii="Times New Roman" w:hAnsi="Times New Roman" w:eastAsia="宋体" w:cs="Times New Roman"/>
          <w:color w:val="auto"/>
          <w:sz w:val="24"/>
          <w:szCs w:val="28"/>
          <w:lang w:val="en-US" w:eastAsia="zh-CN"/>
        </w:rPr>
        <w:t>月</w:t>
      </w:r>
      <w:r>
        <w:rPr>
          <w:rFonts w:hint="eastAsia" w:cs="Times New Roman"/>
          <w:color w:val="auto"/>
          <w:sz w:val="24"/>
          <w:szCs w:val="28"/>
          <w:lang w:val="en-US" w:eastAsia="zh-CN"/>
        </w:rPr>
        <w:t>31</w:t>
      </w:r>
      <w:r>
        <w:rPr>
          <w:rFonts w:hint="eastAsia" w:ascii="Times New Roman" w:hAnsi="Times New Roman" w:eastAsia="宋体" w:cs="Times New Roman"/>
          <w:color w:val="auto"/>
          <w:sz w:val="24"/>
          <w:szCs w:val="28"/>
          <w:lang w:val="en-US" w:eastAsia="zh-CN"/>
        </w:rPr>
        <w:t>日</w:t>
      </w:r>
      <w:r>
        <w:rPr>
          <w:rFonts w:hint="eastAsia" w:cs="Times New Roman"/>
          <w:color w:val="auto"/>
          <w:sz w:val="24"/>
          <w:szCs w:val="28"/>
          <w:lang w:val="en-US" w:eastAsia="zh-CN"/>
        </w:rPr>
        <w:t>和2025年9月5日</w:t>
      </w:r>
      <w:r>
        <w:rPr>
          <w:rFonts w:hint="eastAsia" w:ascii="Times New Roman" w:hAnsi="Times New Roman" w:eastAsia="宋体" w:cs="Times New Roman"/>
          <w:color w:val="auto"/>
          <w:sz w:val="24"/>
          <w:szCs w:val="28"/>
          <w:lang w:val="en-US" w:eastAsia="zh-CN"/>
        </w:rPr>
        <w:t>，各点取样分别监测一次。</w:t>
      </w:r>
    </w:p>
    <w:p w14:paraId="434E400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（4）分析方法</w:t>
      </w:r>
    </w:p>
    <w:p w14:paraId="7D14A39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土壤检测方法及依据见表4.2-13。</w:t>
      </w:r>
    </w:p>
    <w:p w14:paraId="4B1DC78A">
      <w:pPr>
        <w:pStyle w:val="43"/>
        <w:bidi w:val="0"/>
        <w:rPr>
          <w:rFonts w:hint="default"/>
          <w:color w:val="auto"/>
          <w:lang w:val="en-US" w:eastAsia="zh-CN"/>
        </w:rPr>
      </w:pPr>
      <w:r>
        <w:rPr>
          <w:rFonts w:hint="eastAsia"/>
          <w:color w:val="auto"/>
          <w:lang w:val="en-US" w:eastAsia="zh-CN"/>
        </w:rPr>
        <w:t>表4.2-13  土壤检测方法及依据</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468"/>
        <w:gridCol w:w="3543"/>
        <w:gridCol w:w="2140"/>
        <w:gridCol w:w="1198"/>
      </w:tblGrid>
      <w:tr w14:paraId="78AA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624" w:hRule="atLeast"/>
          <w:tblHeader/>
          <w:jc w:val="center"/>
        </w:trPr>
        <w:tc>
          <w:tcPr>
            <w:tcW w:w="879" w:type="pct"/>
            <w:tcBorders>
              <w:tl2br w:val="nil"/>
              <w:tr2bl w:val="nil"/>
            </w:tcBorders>
            <w:noWrap w:val="0"/>
            <w:vAlign w:val="center"/>
          </w:tcPr>
          <w:p w14:paraId="559199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lang w:bidi="ar"/>
              </w:rPr>
            </w:pPr>
            <w:r>
              <w:rPr>
                <w:rFonts w:hint="eastAsia" w:ascii="Times New Roman" w:hAnsi="Times New Roman" w:eastAsia="宋体" w:cs="Times New Roman"/>
                <w:b/>
                <w:bCs w:val="0"/>
                <w:color w:val="auto"/>
                <w:sz w:val="21"/>
                <w:szCs w:val="21"/>
                <w:lang w:eastAsia="zh-CN" w:bidi="ar"/>
              </w:rPr>
              <w:t>检</w:t>
            </w:r>
            <w:r>
              <w:rPr>
                <w:rFonts w:hint="default" w:ascii="Times New Roman" w:hAnsi="Times New Roman" w:eastAsia="宋体" w:cs="Times New Roman"/>
                <w:b/>
                <w:bCs w:val="0"/>
                <w:color w:val="auto"/>
                <w:sz w:val="21"/>
                <w:szCs w:val="21"/>
                <w:lang w:eastAsia="zh-CN" w:bidi="ar"/>
              </w:rPr>
              <w:t>测</w:t>
            </w:r>
            <w:r>
              <w:rPr>
                <w:rFonts w:hint="default" w:ascii="Times New Roman" w:hAnsi="Times New Roman" w:eastAsia="宋体" w:cs="Times New Roman"/>
                <w:b/>
                <w:bCs w:val="0"/>
                <w:color w:val="auto"/>
                <w:sz w:val="21"/>
                <w:szCs w:val="21"/>
                <w:lang w:bidi="ar"/>
              </w:rPr>
              <w:t>项目</w:t>
            </w:r>
          </w:p>
        </w:tc>
        <w:tc>
          <w:tcPr>
            <w:tcW w:w="2121" w:type="pct"/>
            <w:tcBorders>
              <w:tl2br w:val="nil"/>
              <w:tr2bl w:val="nil"/>
            </w:tcBorders>
            <w:noWrap w:val="0"/>
            <w:vAlign w:val="center"/>
          </w:tcPr>
          <w:p w14:paraId="42490C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lang w:bidi="ar"/>
              </w:rPr>
            </w:pPr>
            <w:r>
              <w:rPr>
                <w:rFonts w:hint="eastAsia" w:ascii="Times New Roman" w:hAnsi="Times New Roman" w:eastAsia="宋体" w:cs="Times New Roman"/>
                <w:b/>
                <w:bCs w:val="0"/>
                <w:color w:val="auto"/>
                <w:sz w:val="21"/>
                <w:szCs w:val="21"/>
                <w:lang w:eastAsia="zh-CN" w:bidi="ar"/>
              </w:rPr>
              <w:t>检</w:t>
            </w:r>
            <w:r>
              <w:rPr>
                <w:rFonts w:hint="default" w:ascii="Times New Roman" w:hAnsi="Times New Roman" w:eastAsia="宋体" w:cs="Times New Roman"/>
                <w:b/>
                <w:bCs w:val="0"/>
                <w:color w:val="auto"/>
                <w:sz w:val="21"/>
                <w:szCs w:val="21"/>
                <w:lang w:eastAsia="zh-CN" w:bidi="ar"/>
              </w:rPr>
              <w:t>测</w:t>
            </w:r>
            <w:r>
              <w:rPr>
                <w:rFonts w:hint="default" w:ascii="Times New Roman" w:hAnsi="Times New Roman" w:eastAsia="宋体" w:cs="Times New Roman"/>
                <w:b/>
                <w:bCs w:val="0"/>
                <w:color w:val="auto"/>
                <w:sz w:val="21"/>
                <w:szCs w:val="21"/>
                <w:lang w:bidi="ar"/>
              </w:rPr>
              <w:t>方法及依据</w:t>
            </w:r>
          </w:p>
        </w:tc>
        <w:tc>
          <w:tcPr>
            <w:tcW w:w="1281" w:type="pct"/>
            <w:tcBorders>
              <w:tl2br w:val="nil"/>
              <w:tr2bl w:val="nil"/>
            </w:tcBorders>
            <w:noWrap w:val="0"/>
            <w:vAlign w:val="center"/>
          </w:tcPr>
          <w:p w14:paraId="35EDFD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lang w:bidi="ar"/>
              </w:rPr>
            </w:pPr>
            <w:r>
              <w:rPr>
                <w:rFonts w:hint="default" w:ascii="Times New Roman" w:hAnsi="Times New Roman" w:eastAsia="宋体" w:cs="Times New Roman"/>
                <w:b/>
                <w:bCs w:val="0"/>
                <w:color w:val="auto"/>
                <w:sz w:val="21"/>
                <w:szCs w:val="21"/>
                <w:lang w:bidi="ar"/>
              </w:rPr>
              <w:t>所用仪器</w:t>
            </w:r>
          </w:p>
        </w:tc>
        <w:tc>
          <w:tcPr>
            <w:tcW w:w="717" w:type="pct"/>
            <w:tcBorders>
              <w:tl2br w:val="nil"/>
              <w:tr2bl w:val="nil"/>
            </w:tcBorders>
            <w:noWrap w:val="0"/>
            <w:vAlign w:val="center"/>
          </w:tcPr>
          <w:p w14:paraId="330020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sz w:val="21"/>
                <w:szCs w:val="21"/>
                <w:lang w:bidi="ar"/>
              </w:rPr>
            </w:pPr>
            <w:r>
              <w:rPr>
                <w:rFonts w:hint="default" w:ascii="Times New Roman" w:hAnsi="Times New Roman" w:eastAsia="宋体" w:cs="Times New Roman"/>
                <w:b/>
                <w:bCs w:val="0"/>
                <w:color w:val="auto"/>
                <w:sz w:val="21"/>
                <w:szCs w:val="21"/>
                <w:lang w:bidi="ar"/>
              </w:rPr>
              <w:t>检出限</w:t>
            </w:r>
          </w:p>
        </w:tc>
      </w:tr>
      <w:tr w14:paraId="30BE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tcBorders>
              <w:tl2br w:val="nil"/>
              <w:tr2bl w:val="nil"/>
            </w:tcBorders>
            <w:shd w:val="clear" w:color="auto" w:fill="auto"/>
            <w:noWrap w:val="0"/>
            <w:vAlign w:val="center"/>
          </w:tcPr>
          <w:p w14:paraId="1A69CA7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i w:val="0"/>
                <w:iCs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pH</w:t>
            </w:r>
          </w:p>
        </w:tc>
        <w:tc>
          <w:tcPr>
            <w:tcW w:w="2121" w:type="pct"/>
            <w:tcBorders>
              <w:tl2br w:val="nil"/>
              <w:tr2bl w:val="nil"/>
            </w:tcBorders>
            <w:shd w:val="clear" w:color="auto" w:fill="auto"/>
            <w:noWrap w:val="0"/>
            <w:vAlign w:val="center"/>
          </w:tcPr>
          <w:p w14:paraId="7E3112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《土壤检测 第 2 部分:土壤 pH 的测定》NY/T 1121.2-2006</w:t>
            </w:r>
          </w:p>
        </w:tc>
        <w:tc>
          <w:tcPr>
            <w:tcW w:w="1281" w:type="pct"/>
            <w:tcBorders>
              <w:tl2br w:val="nil"/>
              <w:tr2bl w:val="nil"/>
            </w:tcBorders>
            <w:shd w:val="clear" w:color="auto" w:fill="auto"/>
            <w:noWrap w:val="0"/>
            <w:vAlign w:val="center"/>
          </w:tcPr>
          <w:p w14:paraId="033F92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PHSJ-3F</w:t>
            </w:r>
            <w:r>
              <w:rPr>
                <w:rFonts w:hint="eastAsia" w:eastAsia="宋体" w:cs="Times New Roman"/>
                <w:color w:val="auto"/>
                <w:sz w:val="21"/>
                <w:szCs w:val="21"/>
                <w:lang w:val="en-US" w:eastAsia="zh-CN"/>
              </w:rPr>
              <w:t>型</w:t>
            </w:r>
            <w:r>
              <w:rPr>
                <w:rFonts w:hint="default" w:ascii="Times New Roman" w:hAnsi="Times New Roman" w:eastAsia="宋体" w:cs="Times New Roman"/>
                <w:color w:val="auto"/>
                <w:sz w:val="21"/>
                <w:szCs w:val="21"/>
                <w:lang w:val="en-US" w:eastAsia="zh-CN"/>
              </w:rPr>
              <w:t>pH计</w:t>
            </w:r>
          </w:p>
        </w:tc>
        <w:tc>
          <w:tcPr>
            <w:tcW w:w="717" w:type="pct"/>
            <w:tcBorders>
              <w:tl2br w:val="nil"/>
              <w:tr2bl w:val="nil"/>
            </w:tcBorders>
            <w:shd w:val="clear" w:color="auto" w:fill="auto"/>
            <w:noWrap w:val="0"/>
            <w:vAlign w:val="center"/>
          </w:tcPr>
          <w:p w14:paraId="531BED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w:t>
            </w:r>
          </w:p>
        </w:tc>
      </w:tr>
      <w:tr w14:paraId="2404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tcBorders>
              <w:tl2br w:val="nil"/>
              <w:tr2bl w:val="nil"/>
            </w:tcBorders>
            <w:shd w:val="clear" w:color="auto" w:fill="auto"/>
            <w:noWrap w:val="0"/>
            <w:vAlign w:val="center"/>
          </w:tcPr>
          <w:p w14:paraId="27DC411A">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水分</w:t>
            </w:r>
          </w:p>
        </w:tc>
        <w:tc>
          <w:tcPr>
            <w:tcW w:w="2121" w:type="pct"/>
            <w:vMerge w:val="restart"/>
            <w:tcBorders>
              <w:tl2br w:val="nil"/>
              <w:tr2bl w:val="nil"/>
            </w:tcBorders>
            <w:shd w:val="clear" w:color="auto" w:fill="auto"/>
            <w:noWrap w:val="0"/>
            <w:vAlign w:val="center"/>
          </w:tcPr>
          <w:p w14:paraId="525DB4A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eastAsia="zh-CN" w:bidi="ar"/>
              </w:rPr>
              <w:t>《土壤 干物质和水分的测定 重量法》HJ 613-2011</w:t>
            </w:r>
          </w:p>
        </w:tc>
        <w:tc>
          <w:tcPr>
            <w:tcW w:w="1281" w:type="pct"/>
            <w:vMerge w:val="restart"/>
            <w:tcBorders>
              <w:tl2br w:val="nil"/>
              <w:tr2bl w:val="nil"/>
            </w:tcBorders>
            <w:shd w:val="clear" w:color="auto" w:fill="auto"/>
            <w:noWrap w:val="0"/>
            <w:vAlign w:val="center"/>
          </w:tcPr>
          <w:p w14:paraId="408C7C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lang w:val="en-US" w:eastAsia="zh-CN" w:bidi="ar"/>
              </w:rPr>
            </w:pPr>
            <w:r>
              <w:rPr>
                <w:rFonts w:hint="default" w:ascii="Times New Roman" w:hAnsi="Times New Roman" w:eastAsia="宋体" w:cs="Times New Roman"/>
                <w:b w:val="0"/>
                <w:bCs/>
                <w:color w:val="auto"/>
                <w:sz w:val="21"/>
                <w:szCs w:val="21"/>
                <w:lang w:val="en-US" w:eastAsia="zh-CN" w:bidi="ar"/>
              </w:rPr>
              <w:t>AL204型岛津电子天平</w:t>
            </w:r>
          </w:p>
          <w:p w14:paraId="4FB72F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bidi="ar"/>
              </w:rPr>
              <w:t>101-2EBS型电热鼓干燥箱</w:t>
            </w:r>
          </w:p>
        </w:tc>
        <w:tc>
          <w:tcPr>
            <w:tcW w:w="717" w:type="pct"/>
            <w:tcBorders>
              <w:tl2br w:val="nil"/>
              <w:tr2bl w:val="nil"/>
            </w:tcBorders>
            <w:shd w:val="clear" w:color="auto" w:fill="auto"/>
            <w:noWrap w:val="0"/>
            <w:vAlign w:val="center"/>
          </w:tcPr>
          <w:p w14:paraId="5F7322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sz w:val="21"/>
                <w:szCs w:val="21"/>
                <w:lang w:val="en-US" w:eastAsia="zh-CN" w:bidi="ar"/>
              </w:rPr>
              <w:t>/</w:t>
            </w:r>
          </w:p>
        </w:tc>
      </w:tr>
      <w:tr w14:paraId="1A7B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77987CB2">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干物质</w:t>
            </w:r>
          </w:p>
        </w:tc>
        <w:tc>
          <w:tcPr>
            <w:tcW w:w="2121" w:type="pct"/>
            <w:vMerge w:val="continue"/>
          </w:tcPr>
          <w:p w14:paraId="6B2E2B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 w:val="0"/>
                <w:bCs/>
                <w:color w:val="auto"/>
                <w:sz w:val="21"/>
                <w:szCs w:val="21"/>
                <w:lang w:eastAsia="zh-CN" w:bidi="ar"/>
              </w:rPr>
            </w:pPr>
          </w:p>
        </w:tc>
        <w:tc>
          <w:tcPr>
            <w:tcW w:w="1281" w:type="pct"/>
            <w:vMerge w:val="continue"/>
          </w:tcPr>
          <w:p w14:paraId="1C6113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color w:val="auto"/>
                <w:sz w:val="21"/>
                <w:szCs w:val="21"/>
                <w:lang w:bidi="ar"/>
              </w:rPr>
            </w:pPr>
          </w:p>
        </w:tc>
        <w:tc>
          <w:tcPr>
            <w:tcW w:w="0" w:type="auto"/>
            <w:shd w:val="clear" w:color="auto" w:fill="auto"/>
            <w:vAlign w:val="center"/>
          </w:tcPr>
          <w:p w14:paraId="3ABEDE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sz w:val="21"/>
                <w:szCs w:val="21"/>
                <w:lang w:val="en-US" w:eastAsia="zh-CN" w:bidi="ar"/>
              </w:rPr>
              <w:t>/</w:t>
            </w:r>
          </w:p>
        </w:tc>
      </w:tr>
      <w:tr w14:paraId="4E65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7151FF0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水溶性盐总量</w:t>
            </w:r>
          </w:p>
        </w:tc>
        <w:tc>
          <w:tcPr>
            <w:tcW w:w="2121" w:type="pct"/>
            <w:shd w:val="clear" w:color="auto" w:fill="auto"/>
            <w:vAlign w:val="center"/>
          </w:tcPr>
          <w:p w14:paraId="4F7FB62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《土壤检测 第 16 部分:土壤水溶性盐总量的测定》</w:t>
            </w:r>
          </w:p>
          <w:p w14:paraId="6095486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NY/T 1121.16-2006</w:t>
            </w:r>
          </w:p>
        </w:tc>
        <w:tc>
          <w:tcPr>
            <w:tcW w:w="0" w:type="auto"/>
            <w:shd w:val="clear" w:color="auto" w:fill="auto"/>
            <w:vAlign w:val="center"/>
          </w:tcPr>
          <w:p w14:paraId="5FF395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
              </w:rPr>
              <w:t>ATX124</w:t>
            </w:r>
            <w:r>
              <w:rPr>
                <w:rFonts w:hint="eastAsia" w:ascii="Times New Roman" w:hAnsi="Times New Roman" w:eastAsia="宋体" w:cs="Times New Roman"/>
                <w:b w:val="0"/>
                <w:bCs/>
                <w:color w:val="auto"/>
                <w:kern w:val="2"/>
                <w:sz w:val="21"/>
                <w:szCs w:val="21"/>
                <w:lang w:val="en-US" w:eastAsia="zh-CN" w:bidi="ar"/>
              </w:rPr>
              <w:t>型</w:t>
            </w:r>
            <w:r>
              <w:rPr>
                <w:rFonts w:hint="default" w:ascii="Times New Roman" w:hAnsi="Times New Roman" w:eastAsia="宋体" w:cs="Times New Roman"/>
                <w:b w:val="0"/>
                <w:bCs/>
                <w:color w:val="auto"/>
                <w:kern w:val="2"/>
                <w:sz w:val="21"/>
                <w:szCs w:val="21"/>
                <w:lang w:val="en-US" w:eastAsia="zh-CN" w:bidi="ar"/>
              </w:rPr>
              <w:t>岛津电子天平</w:t>
            </w:r>
          </w:p>
        </w:tc>
        <w:tc>
          <w:tcPr>
            <w:tcW w:w="0" w:type="auto"/>
            <w:shd w:val="clear" w:color="auto" w:fill="auto"/>
            <w:vAlign w:val="center"/>
          </w:tcPr>
          <w:p w14:paraId="57B730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eastAsia="宋体" w:cs="Times New Roman"/>
                <w:color w:val="auto"/>
                <w:sz w:val="21"/>
                <w:szCs w:val="21"/>
                <w:lang w:val="en-US" w:eastAsia="zh-CN"/>
              </w:rPr>
              <w:t>/</w:t>
            </w:r>
          </w:p>
        </w:tc>
      </w:tr>
      <w:tr w14:paraId="09C9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C635234">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汞</w:t>
            </w:r>
          </w:p>
        </w:tc>
        <w:tc>
          <w:tcPr>
            <w:tcW w:w="2121" w:type="pct"/>
            <w:vMerge w:val="restart"/>
            <w:shd w:val="clear" w:color="auto" w:fill="auto"/>
            <w:vAlign w:val="center"/>
          </w:tcPr>
          <w:p w14:paraId="436A264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《土壤质量 总汞、总砷、总铅的测定 原子荧光法第 1 部分:土壤中总汞的测定》GB/T 22105.1-2008</w:t>
            </w:r>
          </w:p>
        </w:tc>
        <w:tc>
          <w:tcPr>
            <w:tcW w:w="1281" w:type="pct"/>
            <w:vMerge w:val="restart"/>
            <w:shd w:val="clear" w:color="auto" w:fill="auto"/>
            <w:vAlign w:val="center"/>
          </w:tcPr>
          <w:p w14:paraId="18B755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AF-7550型原子荧光分光光度计</w:t>
            </w:r>
          </w:p>
          <w:p w14:paraId="5CFBF0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ATX124型岛津电子天平</w:t>
            </w:r>
          </w:p>
        </w:tc>
        <w:tc>
          <w:tcPr>
            <w:tcW w:w="0" w:type="auto"/>
            <w:shd w:val="clear" w:color="auto" w:fill="auto"/>
            <w:vAlign w:val="center"/>
          </w:tcPr>
          <w:p w14:paraId="7DE351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0.002mg/kg</w:t>
            </w:r>
          </w:p>
        </w:tc>
      </w:tr>
      <w:tr w14:paraId="44C3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DFB782F">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砷</w:t>
            </w:r>
          </w:p>
        </w:tc>
        <w:tc>
          <w:tcPr>
            <w:tcW w:w="2121" w:type="pct"/>
            <w:vMerge w:val="continue"/>
          </w:tcPr>
          <w:p w14:paraId="61B021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 w:val="0"/>
                <w:bCs/>
                <w:color w:val="auto"/>
                <w:sz w:val="21"/>
                <w:szCs w:val="21"/>
                <w:lang w:eastAsia="zh-CN" w:bidi="ar"/>
              </w:rPr>
            </w:pPr>
          </w:p>
        </w:tc>
        <w:tc>
          <w:tcPr>
            <w:tcW w:w="1281" w:type="pct"/>
            <w:vMerge w:val="continue"/>
          </w:tcPr>
          <w:p w14:paraId="24BECA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color w:val="auto"/>
                <w:sz w:val="21"/>
                <w:szCs w:val="21"/>
                <w:lang w:bidi="ar"/>
              </w:rPr>
            </w:pPr>
          </w:p>
        </w:tc>
        <w:tc>
          <w:tcPr>
            <w:tcW w:w="0" w:type="auto"/>
            <w:shd w:val="clear" w:color="auto" w:fill="auto"/>
            <w:vAlign w:val="center"/>
          </w:tcPr>
          <w:p w14:paraId="21A4FD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0.01mg/kg</w:t>
            </w:r>
          </w:p>
        </w:tc>
      </w:tr>
      <w:tr w14:paraId="5E83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64" w:hRule="atLeast"/>
          <w:tblHeader/>
          <w:jc w:val="center"/>
        </w:trPr>
        <w:tc>
          <w:tcPr>
            <w:tcW w:w="879" w:type="pct"/>
            <w:shd w:val="clear" w:color="auto" w:fill="auto"/>
            <w:vAlign w:val="center"/>
          </w:tcPr>
          <w:p w14:paraId="0CAF3F29">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铅</w:t>
            </w:r>
          </w:p>
        </w:tc>
        <w:tc>
          <w:tcPr>
            <w:tcW w:w="2121" w:type="pct"/>
            <w:vMerge w:val="restart"/>
            <w:shd w:val="clear" w:color="auto" w:fill="auto"/>
            <w:vAlign w:val="center"/>
          </w:tcPr>
          <w:p w14:paraId="4619DA7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《土壤质量 铅、镉的测定 石墨炉原子吸收分光光度法》GB/T 17141-1997</w:t>
            </w:r>
          </w:p>
        </w:tc>
        <w:tc>
          <w:tcPr>
            <w:tcW w:w="1281" w:type="pct"/>
            <w:vMerge w:val="restart"/>
            <w:shd w:val="clear" w:color="auto" w:fill="auto"/>
            <w:vAlign w:val="center"/>
          </w:tcPr>
          <w:p w14:paraId="32B847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AA-7090型原子吸收分光光度计</w:t>
            </w:r>
          </w:p>
          <w:p w14:paraId="322CE4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ATX124型岛津电子天平</w:t>
            </w:r>
          </w:p>
        </w:tc>
        <w:tc>
          <w:tcPr>
            <w:tcW w:w="0" w:type="auto"/>
            <w:shd w:val="clear" w:color="auto" w:fill="auto"/>
            <w:vAlign w:val="center"/>
          </w:tcPr>
          <w:p w14:paraId="335503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0.1mg/kg</w:t>
            </w:r>
          </w:p>
        </w:tc>
      </w:tr>
      <w:tr w14:paraId="7357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48D89CB1">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镉</w:t>
            </w:r>
          </w:p>
        </w:tc>
        <w:tc>
          <w:tcPr>
            <w:tcW w:w="2121" w:type="pct"/>
            <w:vMerge w:val="continue"/>
          </w:tcPr>
          <w:p w14:paraId="609AB4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 w:val="0"/>
                <w:bCs/>
                <w:color w:val="auto"/>
                <w:sz w:val="21"/>
                <w:szCs w:val="21"/>
                <w:lang w:eastAsia="zh-CN" w:bidi="ar"/>
              </w:rPr>
            </w:pPr>
          </w:p>
        </w:tc>
        <w:tc>
          <w:tcPr>
            <w:tcW w:w="1281" w:type="pct"/>
            <w:vMerge w:val="continue"/>
          </w:tcPr>
          <w:p w14:paraId="4B68CE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color w:val="auto"/>
                <w:sz w:val="21"/>
                <w:szCs w:val="21"/>
                <w:lang w:bidi="ar"/>
              </w:rPr>
            </w:pPr>
          </w:p>
        </w:tc>
        <w:tc>
          <w:tcPr>
            <w:tcW w:w="0" w:type="auto"/>
            <w:shd w:val="clear" w:color="auto" w:fill="auto"/>
            <w:vAlign w:val="center"/>
          </w:tcPr>
          <w:p w14:paraId="26A926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0.01mg/kg</w:t>
            </w:r>
          </w:p>
        </w:tc>
      </w:tr>
      <w:tr w14:paraId="07FB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73CEAA7">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铜</w:t>
            </w:r>
          </w:p>
        </w:tc>
        <w:tc>
          <w:tcPr>
            <w:tcW w:w="2121" w:type="pct"/>
            <w:vMerge w:val="restart"/>
            <w:shd w:val="clear" w:color="auto" w:fill="auto"/>
            <w:vAlign w:val="center"/>
          </w:tcPr>
          <w:p w14:paraId="3620CCC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《土壤和沉积物 铜、锌、铅、镍、铬的测定 火焰原子吸收分光光度法》HJ 491-2019</w:t>
            </w:r>
          </w:p>
        </w:tc>
        <w:tc>
          <w:tcPr>
            <w:tcW w:w="1281" w:type="pct"/>
            <w:vMerge w:val="restart"/>
            <w:shd w:val="clear" w:color="auto" w:fill="auto"/>
            <w:vAlign w:val="center"/>
          </w:tcPr>
          <w:p w14:paraId="7BBBC6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AA-7050型原子吸收分光光度计</w:t>
            </w:r>
          </w:p>
          <w:p w14:paraId="39EE5A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ATX124型岛津电子天平</w:t>
            </w:r>
          </w:p>
        </w:tc>
        <w:tc>
          <w:tcPr>
            <w:tcW w:w="0" w:type="auto"/>
            <w:shd w:val="clear" w:color="auto" w:fill="auto"/>
            <w:vAlign w:val="center"/>
          </w:tcPr>
          <w:p w14:paraId="10C02F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1mg/kg</w:t>
            </w:r>
          </w:p>
        </w:tc>
      </w:tr>
      <w:tr w14:paraId="3098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6CF1460E">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镍</w:t>
            </w:r>
          </w:p>
        </w:tc>
        <w:tc>
          <w:tcPr>
            <w:tcW w:w="2121" w:type="pct"/>
            <w:vMerge w:val="continue"/>
          </w:tcPr>
          <w:p w14:paraId="5B071B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 w:val="0"/>
                <w:bCs/>
                <w:color w:val="auto"/>
                <w:sz w:val="21"/>
                <w:szCs w:val="21"/>
                <w:lang w:eastAsia="zh-CN" w:bidi="ar"/>
              </w:rPr>
            </w:pPr>
          </w:p>
        </w:tc>
        <w:tc>
          <w:tcPr>
            <w:tcW w:w="1281" w:type="pct"/>
            <w:vMerge w:val="continue"/>
          </w:tcPr>
          <w:p w14:paraId="529FAC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color w:val="auto"/>
                <w:sz w:val="21"/>
                <w:szCs w:val="21"/>
                <w:lang w:bidi="ar"/>
              </w:rPr>
            </w:pPr>
          </w:p>
        </w:tc>
        <w:tc>
          <w:tcPr>
            <w:tcW w:w="0" w:type="auto"/>
            <w:shd w:val="clear" w:color="auto" w:fill="auto"/>
            <w:vAlign w:val="center"/>
          </w:tcPr>
          <w:p w14:paraId="5F890F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3mg/kg</w:t>
            </w:r>
          </w:p>
        </w:tc>
      </w:tr>
      <w:tr w14:paraId="58F2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5D0E7398">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eastAsia="宋体" w:cs="Times New Roman"/>
                <w:b w:val="0"/>
                <w:bCs w:val="0"/>
                <w:color w:val="auto"/>
                <w:sz w:val="21"/>
                <w:szCs w:val="21"/>
                <w:lang w:val="en-US" w:eastAsia="zh-CN"/>
              </w:rPr>
              <w:t>锌</w:t>
            </w:r>
          </w:p>
        </w:tc>
        <w:tc>
          <w:tcPr>
            <w:tcW w:w="2121" w:type="pct"/>
            <w:vMerge w:val="continue"/>
          </w:tcPr>
          <w:p w14:paraId="054B06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 w:val="0"/>
                <w:bCs/>
                <w:color w:val="auto"/>
                <w:sz w:val="21"/>
                <w:szCs w:val="21"/>
                <w:lang w:eastAsia="zh-CN" w:bidi="ar"/>
              </w:rPr>
            </w:pPr>
          </w:p>
        </w:tc>
        <w:tc>
          <w:tcPr>
            <w:tcW w:w="1281" w:type="pct"/>
            <w:vMerge w:val="continue"/>
          </w:tcPr>
          <w:p w14:paraId="5A82A4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color w:val="auto"/>
                <w:sz w:val="21"/>
                <w:szCs w:val="21"/>
                <w:lang w:bidi="ar"/>
              </w:rPr>
            </w:pPr>
          </w:p>
        </w:tc>
        <w:tc>
          <w:tcPr>
            <w:tcW w:w="0" w:type="auto"/>
            <w:shd w:val="clear" w:color="auto" w:fill="auto"/>
            <w:vAlign w:val="center"/>
          </w:tcPr>
          <w:p w14:paraId="411B50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1mg/kg</w:t>
            </w:r>
          </w:p>
        </w:tc>
      </w:tr>
      <w:tr w14:paraId="7744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190F081F">
            <w:pPr>
              <w:keepNext w:val="0"/>
              <w:keepLines w:val="0"/>
              <w:suppressLineNumbers w:val="0"/>
              <w:snapToGrid w:val="0"/>
              <w:spacing w:before="0" w:beforeAutospacing="0" w:after="0" w:afterAutospacing="0"/>
              <w:ind w:left="72" w:leftChars="0" w:right="0" w:rightChars="0"/>
              <w:jc w:val="center"/>
              <w:rPr>
                <w:rFonts w:hint="eastAsia" w:ascii="Times New Roman" w:hAnsi="Times New Roman" w:eastAsia="宋体" w:cs="Times New Roman"/>
                <w:b w:val="0"/>
                <w:bCs w:val="0"/>
                <w:color w:val="auto"/>
                <w:sz w:val="21"/>
                <w:szCs w:val="21"/>
                <w:lang w:val="en-US" w:eastAsia="zh-CN" w:bidi="ar-SA"/>
              </w:rPr>
            </w:pPr>
            <w:r>
              <w:rPr>
                <w:rFonts w:hint="eastAsia" w:eastAsia="宋体" w:cs="Times New Roman"/>
                <w:b w:val="0"/>
                <w:bCs w:val="0"/>
                <w:color w:val="auto"/>
                <w:sz w:val="21"/>
                <w:szCs w:val="21"/>
                <w:lang w:val="en-US" w:eastAsia="zh-CN"/>
              </w:rPr>
              <w:t>铬</w:t>
            </w:r>
          </w:p>
        </w:tc>
        <w:tc>
          <w:tcPr>
            <w:tcW w:w="2121" w:type="pct"/>
            <w:vMerge w:val="continue"/>
          </w:tcPr>
          <w:p w14:paraId="53A4D8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 w:val="0"/>
                <w:bCs/>
                <w:color w:val="auto"/>
                <w:sz w:val="21"/>
                <w:szCs w:val="21"/>
                <w:lang w:eastAsia="zh-CN" w:bidi="ar"/>
              </w:rPr>
            </w:pPr>
          </w:p>
        </w:tc>
        <w:tc>
          <w:tcPr>
            <w:tcW w:w="1281" w:type="pct"/>
            <w:vMerge w:val="continue"/>
          </w:tcPr>
          <w:p w14:paraId="397D1A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color w:val="auto"/>
                <w:sz w:val="21"/>
                <w:szCs w:val="21"/>
                <w:lang w:bidi="ar"/>
              </w:rPr>
            </w:pPr>
          </w:p>
        </w:tc>
        <w:tc>
          <w:tcPr>
            <w:tcW w:w="0" w:type="auto"/>
            <w:shd w:val="clear" w:color="auto" w:fill="auto"/>
            <w:vAlign w:val="center"/>
          </w:tcPr>
          <w:p w14:paraId="41F61B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eastAsia="宋体" w:cs="Times New Roman"/>
                <w:color w:val="auto"/>
                <w:sz w:val="21"/>
                <w:szCs w:val="21"/>
                <w:lang w:val="en-US" w:eastAsia="zh-CN"/>
              </w:rPr>
              <w:t>4mg/kg</w:t>
            </w:r>
          </w:p>
        </w:tc>
      </w:tr>
      <w:tr w14:paraId="6B11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944A3DB">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汞</w:t>
            </w:r>
            <w:r>
              <w:rPr>
                <w:rFonts w:hint="eastAsia" w:eastAsia="宋体" w:cs="Times New Roman"/>
                <w:color w:val="auto"/>
                <w:sz w:val="21"/>
                <w:szCs w:val="21"/>
                <w:lang w:val="en-US" w:eastAsia="zh-CN" w:bidi="ar-SA"/>
              </w:rPr>
              <w:t>*</w:t>
            </w:r>
          </w:p>
        </w:tc>
        <w:tc>
          <w:tcPr>
            <w:tcW w:w="2121" w:type="pct"/>
            <w:shd w:val="clear" w:color="auto" w:fill="auto"/>
            <w:vAlign w:val="center"/>
          </w:tcPr>
          <w:p w14:paraId="4487DA4E">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土壤质量 总汞、总砷、总铅的测定 原子荧光法 第1部分：土壤中总汞的测定</w:t>
            </w:r>
            <w:r>
              <w:rPr>
                <w:rFonts w:hint="eastAsia"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GB/T 22105.1-2008</w:t>
            </w:r>
          </w:p>
        </w:tc>
        <w:tc>
          <w:tcPr>
            <w:tcW w:w="0" w:type="auto"/>
            <w:shd w:val="clear" w:color="auto" w:fill="auto"/>
            <w:vAlign w:val="center"/>
          </w:tcPr>
          <w:p w14:paraId="3D4F502C">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bidi="ar"/>
              </w:rPr>
              <w:t>原子荧光光度计AFS-8520</w:t>
            </w:r>
          </w:p>
        </w:tc>
        <w:tc>
          <w:tcPr>
            <w:tcW w:w="0" w:type="auto"/>
            <w:shd w:val="clear" w:color="auto" w:fill="auto"/>
            <w:vAlign w:val="center"/>
          </w:tcPr>
          <w:p w14:paraId="28237EA8">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0.002mg/kg</w:t>
            </w:r>
          </w:p>
        </w:tc>
      </w:tr>
      <w:tr w14:paraId="0A4D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3D920A78">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砷</w:t>
            </w:r>
            <w:r>
              <w:rPr>
                <w:rFonts w:hint="eastAsia" w:eastAsia="宋体" w:cs="Times New Roman"/>
                <w:color w:val="auto"/>
                <w:sz w:val="21"/>
                <w:szCs w:val="21"/>
                <w:lang w:val="en-US" w:eastAsia="zh-CN" w:bidi="ar-SA"/>
              </w:rPr>
              <w:t>*</w:t>
            </w:r>
          </w:p>
        </w:tc>
        <w:tc>
          <w:tcPr>
            <w:tcW w:w="2121" w:type="pct"/>
            <w:shd w:val="clear" w:color="auto" w:fill="auto"/>
            <w:vAlign w:val="center"/>
          </w:tcPr>
          <w:p w14:paraId="3B84B1A1">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b/>
                <w:bCs w:val="0"/>
                <w:color w:val="auto"/>
                <w:kern w:val="2"/>
                <w:sz w:val="21"/>
                <w:szCs w:val="21"/>
                <w:highlight w:val="none"/>
                <w:lang w:val="en-US" w:eastAsia="zh-CN" w:bidi="ar"/>
              </w:rPr>
            </w:pPr>
            <w:r>
              <w:rPr>
                <w:rFonts w:hint="eastAsia"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土壤质量 总汞、总砷、总铅的测定原子荧光法 第2部分：土壤中总砷的测定</w:t>
            </w:r>
            <w:r>
              <w:rPr>
                <w:rFonts w:hint="eastAsia"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GB/T 22105.2-2008</w:t>
            </w:r>
          </w:p>
        </w:tc>
        <w:tc>
          <w:tcPr>
            <w:tcW w:w="0" w:type="auto"/>
            <w:shd w:val="clear" w:color="auto" w:fill="auto"/>
            <w:vAlign w:val="center"/>
          </w:tcPr>
          <w:p w14:paraId="37D1CC47">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auto"/>
                <w:kern w:val="2"/>
                <w:sz w:val="21"/>
                <w:szCs w:val="21"/>
                <w:highlight w:val="yellow"/>
                <w:lang w:val="en-US" w:eastAsia="zh-CN" w:bidi="ar"/>
              </w:rPr>
            </w:pPr>
            <w:r>
              <w:rPr>
                <w:rFonts w:hint="default" w:ascii="Times New Roman" w:hAnsi="Times New Roman" w:eastAsia="宋体" w:cs="Times New Roman"/>
                <w:color w:val="auto"/>
                <w:sz w:val="21"/>
                <w:szCs w:val="21"/>
                <w:lang w:val="en-US" w:eastAsia="zh-CN" w:bidi="ar"/>
              </w:rPr>
              <w:t>原子荧光光度计AFS-230E</w:t>
            </w:r>
          </w:p>
        </w:tc>
        <w:tc>
          <w:tcPr>
            <w:tcW w:w="0" w:type="auto"/>
            <w:shd w:val="clear" w:color="auto" w:fill="auto"/>
            <w:vAlign w:val="center"/>
          </w:tcPr>
          <w:p w14:paraId="11BAA978">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0.01mg/kg</w:t>
            </w:r>
          </w:p>
        </w:tc>
      </w:tr>
      <w:tr w14:paraId="5D45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6B6D08C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铜</w:t>
            </w:r>
            <w:r>
              <w:rPr>
                <w:rFonts w:hint="eastAsia" w:eastAsia="宋体" w:cs="Times New Roman"/>
                <w:i w:val="0"/>
                <w:color w:val="auto"/>
                <w:kern w:val="0"/>
                <w:sz w:val="21"/>
                <w:szCs w:val="21"/>
                <w:u w:val="none"/>
                <w:lang w:val="en-US" w:eastAsia="zh-CN" w:bidi="ar"/>
              </w:rPr>
              <w:t>*</w:t>
            </w:r>
          </w:p>
        </w:tc>
        <w:tc>
          <w:tcPr>
            <w:tcW w:w="2121" w:type="pct"/>
            <w:vMerge w:val="restart"/>
            <w:shd w:val="clear" w:color="auto" w:fill="auto"/>
            <w:vAlign w:val="center"/>
          </w:tcPr>
          <w:p w14:paraId="6F7FEC77">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土壤和沉积物 铜、锌、铅、镍、铬的测定 火焰原子吸收分光光度法</w:t>
            </w:r>
            <w:r>
              <w:rPr>
                <w:rFonts w:hint="eastAsia"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HJ 491-2019</w:t>
            </w:r>
          </w:p>
        </w:tc>
        <w:tc>
          <w:tcPr>
            <w:tcW w:w="1281" w:type="pct"/>
            <w:vMerge w:val="restart"/>
            <w:shd w:val="clear" w:color="auto" w:fill="auto"/>
            <w:vAlign w:val="center"/>
          </w:tcPr>
          <w:p w14:paraId="75C6A83D">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bidi="ar"/>
              </w:rPr>
              <w:t>火焰原子吸收分光光谱仪240FS</w:t>
            </w:r>
          </w:p>
        </w:tc>
        <w:tc>
          <w:tcPr>
            <w:tcW w:w="0" w:type="auto"/>
            <w:shd w:val="clear" w:color="auto" w:fill="auto"/>
            <w:vAlign w:val="center"/>
          </w:tcPr>
          <w:p w14:paraId="58B80426">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1mg/kg</w:t>
            </w:r>
          </w:p>
        </w:tc>
      </w:tr>
      <w:tr w14:paraId="51EC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536A5CD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镍</w:t>
            </w:r>
            <w:r>
              <w:rPr>
                <w:rFonts w:hint="eastAsia" w:eastAsia="宋体" w:cs="Times New Roman"/>
                <w:i w:val="0"/>
                <w:color w:val="auto"/>
                <w:kern w:val="0"/>
                <w:sz w:val="21"/>
                <w:szCs w:val="21"/>
                <w:u w:val="none"/>
                <w:lang w:val="en-US" w:eastAsia="zh-CN" w:bidi="ar"/>
              </w:rPr>
              <w:t>*</w:t>
            </w:r>
          </w:p>
        </w:tc>
        <w:tc>
          <w:tcPr>
            <w:tcW w:w="2121" w:type="pct"/>
            <w:vMerge w:val="continue"/>
          </w:tcPr>
          <w:p w14:paraId="34FBB7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 w:val="0"/>
                <w:bCs/>
                <w:color w:val="auto"/>
                <w:sz w:val="21"/>
                <w:szCs w:val="21"/>
                <w:lang w:eastAsia="zh-CN" w:bidi="ar"/>
              </w:rPr>
            </w:pPr>
          </w:p>
        </w:tc>
        <w:tc>
          <w:tcPr>
            <w:tcW w:w="1281" w:type="pct"/>
            <w:vMerge w:val="continue"/>
          </w:tcPr>
          <w:p w14:paraId="055C69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color w:val="auto"/>
                <w:sz w:val="21"/>
                <w:szCs w:val="21"/>
                <w:lang w:bidi="ar"/>
              </w:rPr>
            </w:pPr>
          </w:p>
        </w:tc>
        <w:tc>
          <w:tcPr>
            <w:tcW w:w="0" w:type="auto"/>
            <w:shd w:val="clear" w:color="auto" w:fill="auto"/>
            <w:vAlign w:val="center"/>
          </w:tcPr>
          <w:p w14:paraId="6ED2682B">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3mg/kg</w:t>
            </w:r>
          </w:p>
        </w:tc>
      </w:tr>
      <w:tr w14:paraId="161F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42D3037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铅</w:t>
            </w:r>
            <w:r>
              <w:rPr>
                <w:rFonts w:hint="eastAsia" w:eastAsia="宋体" w:cs="Times New Roman"/>
                <w:i w:val="0"/>
                <w:color w:val="auto"/>
                <w:kern w:val="0"/>
                <w:sz w:val="21"/>
                <w:szCs w:val="21"/>
                <w:u w:val="none"/>
                <w:lang w:val="en-US" w:eastAsia="zh-CN" w:bidi="ar"/>
              </w:rPr>
              <w:t>*</w:t>
            </w:r>
          </w:p>
        </w:tc>
        <w:tc>
          <w:tcPr>
            <w:tcW w:w="2121" w:type="pct"/>
            <w:vMerge w:val="restart"/>
            <w:shd w:val="clear" w:color="auto" w:fill="auto"/>
            <w:vAlign w:val="center"/>
          </w:tcPr>
          <w:p w14:paraId="3E46BC7A">
            <w:pPr>
              <w:keepNext w:val="0"/>
              <w:keepLines w:val="0"/>
              <w:widowControl w:val="0"/>
              <w:suppressLineNumbers w:val="0"/>
              <w:adjustRightInd/>
              <w:snapToGrid/>
              <w:spacing w:before="0" w:beforeAutospacing="0" w:after="0" w:afterAutospacing="0"/>
              <w:ind w:left="0" w:right="0"/>
              <w:jc w:val="center"/>
              <w:rPr>
                <w:rFonts w:hint="eastAsia" w:eastAsia="宋体" w:cs="Times New Roman"/>
                <w:color w:val="auto"/>
                <w:sz w:val="21"/>
                <w:szCs w:val="21"/>
                <w:lang w:val="en-US" w:eastAsia="zh-CN" w:bidi="ar-SA"/>
              </w:rPr>
            </w:pPr>
            <w:r>
              <w:rPr>
                <w:rFonts w:hint="eastAsia"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土壤质量 铅、镉的测定 石墨炉原子吸收分光光度法</w:t>
            </w:r>
            <w:r>
              <w:rPr>
                <w:rFonts w:hint="eastAsia" w:eastAsia="宋体" w:cs="Times New Roman"/>
                <w:color w:val="auto"/>
                <w:sz w:val="21"/>
                <w:szCs w:val="21"/>
                <w:lang w:val="en-US" w:eastAsia="zh-CN" w:bidi="ar-SA"/>
              </w:rPr>
              <w:t>》</w:t>
            </w:r>
          </w:p>
          <w:p w14:paraId="47D8F0FE">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bidi="ar-SA"/>
              </w:rPr>
              <w:t>GB/T 17141-1997</w:t>
            </w:r>
          </w:p>
        </w:tc>
        <w:tc>
          <w:tcPr>
            <w:tcW w:w="1281" w:type="pct"/>
            <w:vMerge w:val="restart"/>
            <w:shd w:val="clear" w:color="auto" w:fill="auto"/>
            <w:vAlign w:val="center"/>
          </w:tcPr>
          <w:p w14:paraId="4551CF67">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bidi="ar-SA"/>
              </w:rPr>
              <w:t>石墨炉原子吸收光谱仪280Z</w:t>
            </w:r>
          </w:p>
        </w:tc>
        <w:tc>
          <w:tcPr>
            <w:tcW w:w="0" w:type="auto"/>
            <w:shd w:val="clear" w:color="auto" w:fill="auto"/>
            <w:vAlign w:val="center"/>
          </w:tcPr>
          <w:p w14:paraId="1F16E63C">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0.1mg/kg</w:t>
            </w:r>
          </w:p>
        </w:tc>
      </w:tr>
      <w:tr w14:paraId="36C7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317F801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镉</w:t>
            </w:r>
            <w:r>
              <w:rPr>
                <w:rFonts w:hint="eastAsia" w:eastAsia="宋体" w:cs="Times New Roman"/>
                <w:i w:val="0"/>
                <w:color w:val="auto"/>
                <w:kern w:val="0"/>
                <w:sz w:val="21"/>
                <w:szCs w:val="21"/>
                <w:u w:val="none"/>
                <w:lang w:val="en-US" w:eastAsia="zh-CN" w:bidi="ar"/>
              </w:rPr>
              <w:t>*</w:t>
            </w:r>
          </w:p>
        </w:tc>
        <w:tc>
          <w:tcPr>
            <w:tcW w:w="2121" w:type="pct"/>
            <w:vMerge w:val="continue"/>
            <w:shd w:val="clear" w:color="auto" w:fill="auto"/>
            <w:vAlign w:val="center"/>
          </w:tcPr>
          <w:p w14:paraId="1969EB3A">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shd w:val="clear" w:color="auto" w:fill="auto"/>
            <w:vAlign w:val="center"/>
          </w:tcPr>
          <w:p w14:paraId="079B3B1C">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7F7E46A4">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0.01mg/kg</w:t>
            </w:r>
          </w:p>
        </w:tc>
      </w:tr>
      <w:tr w14:paraId="5BCD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6E96DF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铬（六价）*</w:t>
            </w:r>
          </w:p>
        </w:tc>
        <w:tc>
          <w:tcPr>
            <w:tcW w:w="2121" w:type="pct"/>
            <w:shd w:val="clear" w:color="auto" w:fill="auto"/>
            <w:vAlign w:val="center"/>
          </w:tcPr>
          <w:p w14:paraId="3930CD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《土壤和沉积物  六价铬的测定  碱溶液提取-火焰原子吸收分光光度法》HJ 1082-2019</w:t>
            </w:r>
          </w:p>
        </w:tc>
        <w:tc>
          <w:tcPr>
            <w:tcW w:w="0" w:type="auto"/>
            <w:shd w:val="clear" w:color="auto" w:fill="auto"/>
            <w:vAlign w:val="center"/>
          </w:tcPr>
          <w:p w14:paraId="6E99A3CE">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lang w:val="en-US" w:eastAsia="zh-CN" w:bidi="ar"/>
              </w:rPr>
              <w:t>火焰原子吸收分光光谱仪 280FS</w:t>
            </w:r>
          </w:p>
        </w:tc>
        <w:tc>
          <w:tcPr>
            <w:tcW w:w="0" w:type="auto"/>
            <w:shd w:val="clear" w:color="auto" w:fill="auto"/>
            <w:vAlign w:val="center"/>
          </w:tcPr>
          <w:p w14:paraId="3E013F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0.5</w:t>
            </w:r>
            <w:r>
              <w:rPr>
                <w:rFonts w:hint="default" w:ascii="Times New Roman" w:hAnsi="Times New Roman" w:eastAsia="宋体" w:cs="Times New Roman"/>
                <w:color w:val="auto"/>
                <w:sz w:val="21"/>
                <w:szCs w:val="21"/>
                <w:lang w:val="en-US" w:eastAsia="zh-CN"/>
              </w:rPr>
              <w:t>mg/kg</w:t>
            </w:r>
          </w:p>
        </w:tc>
      </w:tr>
      <w:tr w14:paraId="4C27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3AEE91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苯胺*</w:t>
            </w:r>
          </w:p>
        </w:tc>
        <w:tc>
          <w:tcPr>
            <w:tcW w:w="2121" w:type="pct"/>
            <w:vMerge w:val="restart"/>
            <w:shd w:val="clear" w:color="auto" w:fill="auto"/>
            <w:vAlign w:val="center"/>
          </w:tcPr>
          <w:p w14:paraId="685D6C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《土壤和沉积物 半挥发性有机物的测定 气相色谱-质谱法》</w:t>
            </w:r>
          </w:p>
          <w:p w14:paraId="3E8BF0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HJ 834-2017 </w:t>
            </w:r>
          </w:p>
        </w:tc>
        <w:tc>
          <w:tcPr>
            <w:tcW w:w="1281" w:type="pct"/>
            <w:vMerge w:val="restart"/>
            <w:shd w:val="clear" w:color="auto" w:fill="auto"/>
            <w:vAlign w:val="center"/>
          </w:tcPr>
          <w:p w14:paraId="11499F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气相色谱质谱联用仪6890N-5975C</w:t>
            </w:r>
          </w:p>
        </w:tc>
        <w:tc>
          <w:tcPr>
            <w:tcW w:w="0" w:type="auto"/>
            <w:shd w:val="clear" w:color="auto" w:fill="auto"/>
            <w:vAlign w:val="center"/>
          </w:tcPr>
          <w:p w14:paraId="140FA7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0.</w:t>
            </w:r>
            <w:r>
              <w:rPr>
                <w:rFonts w:hint="eastAsia" w:eastAsia="宋体" w:cs="Times New Roman"/>
                <w:i w:val="0"/>
                <w:color w:val="auto"/>
                <w:kern w:val="0"/>
                <w:sz w:val="21"/>
                <w:szCs w:val="21"/>
                <w:u w:val="none"/>
                <w:lang w:val="en-US" w:eastAsia="zh-CN" w:bidi="ar"/>
              </w:rPr>
              <w:t>1</w:t>
            </w:r>
            <w:r>
              <w:rPr>
                <w:rFonts w:hint="default" w:ascii="Times New Roman" w:hAnsi="Times New Roman" w:eastAsia="宋体" w:cs="Times New Roman"/>
                <w:color w:val="auto"/>
                <w:sz w:val="21"/>
                <w:szCs w:val="21"/>
                <w:lang w:val="en-US" w:eastAsia="zh-CN"/>
              </w:rPr>
              <w:t>mg/kg</w:t>
            </w:r>
          </w:p>
        </w:tc>
      </w:tr>
      <w:tr w14:paraId="7F8B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B0353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2-氯酚*</w:t>
            </w:r>
          </w:p>
        </w:tc>
        <w:tc>
          <w:tcPr>
            <w:tcW w:w="2121" w:type="pct"/>
            <w:vMerge w:val="continue"/>
          </w:tcPr>
          <w:p w14:paraId="0D973D1E">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5D2278BF">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0E5F31D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0.</w:t>
            </w:r>
            <w:r>
              <w:rPr>
                <w:rFonts w:hint="eastAsia" w:eastAsia="宋体" w:cs="Times New Roman"/>
                <w:i w:val="0"/>
                <w:color w:val="auto"/>
                <w:kern w:val="0"/>
                <w:sz w:val="21"/>
                <w:szCs w:val="21"/>
                <w:u w:val="none"/>
                <w:lang w:val="en-US" w:eastAsia="zh-CN" w:bidi="ar"/>
              </w:rPr>
              <w:t>1</w:t>
            </w:r>
            <w:r>
              <w:rPr>
                <w:rFonts w:hint="default" w:ascii="Times New Roman" w:hAnsi="Times New Roman" w:eastAsia="宋体" w:cs="Times New Roman"/>
                <w:color w:val="auto"/>
                <w:sz w:val="21"/>
                <w:szCs w:val="21"/>
                <w:lang w:val="en-US" w:eastAsia="zh-CN"/>
              </w:rPr>
              <w:t>mg/kg</w:t>
            </w:r>
          </w:p>
        </w:tc>
      </w:tr>
      <w:tr w14:paraId="0B01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E378B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硝基苯*</w:t>
            </w:r>
          </w:p>
        </w:tc>
        <w:tc>
          <w:tcPr>
            <w:tcW w:w="2121" w:type="pct"/>
            <w:vMerge w:val="continue"/>
          </w:tcPr>
          <w:p w14:paraId="17157069">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42C96A2F">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7DFAFB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0.09</w:t>
            </w:r>
            <w:r>
              <w:rPr>
                <w:rFonts w:hint="default" w:ascii="Times New Roman" w:hAnsi="Times New Roman" w:eastAsia="宋体" w:cs="Times New Roman"/>
                <w:color w:val="auto"/>
                <w:sz w:val="21"/>
                <w:szCs w:val="21"/>
                <w:lang w:val="en-US" w:eastAsia="zh-CN"/>
              </w:rPr>
              <w:t>mg/kg</w:t>
            </w:r>
          </w:p>
        </w:tc>
      </w:tr>
      <w:tr w14:paraId="372B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5DB769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萘*</w:t>
            </w:r>
          </w:p>
        </w:tc>
        <w:tc>
          <w:tcPr>
            <w:tcW w:w="2121" w:type="pct"/>
            <w:vMerge w:val="continue"/>
          </w:tcPr>
          <w:p w14:paraId="0F0BF0A2">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5B9D073B">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0D707F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0.09</w:t>
            </w:r>
            <w:r>
              <w:rPr>
                <w:rFonts w:hint="default" w:ascii="Times New Roman" w:hAnsi="Times New Roman" w:eastAsia="宋体" w:cs="Times New Roman"/>
                <w:color w:val="auto"/>
                <w:sz w:val="21"/>
                <w:szCs w:val="21"/>
                <w:lang w:val="en-US" w:eastAsia="zh-CN"/>
              </w:rPr>
              <w:t>mg/kg</w:t>
            </w:r>
          </w:p>
        </w:tc>
      </w:tr>
      <w:tr w14:paraId="3D7F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092A82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苯并(a)蒽*</w:t>
            </w:r>
          </w:p>
        </w:tc>
        <w:tc>
          <w:tcPr>
            <w:tcW w:w="2121" w:type="pct"/>
            <w:vMerge w:val="continue"/>
          </w:tcPr>
          <w:p w14:paraId="11F0A011">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575B9BB0">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6B3616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r>
              <w:rPr>
                <w:rFonts w:hint="default" w:ascii="Times New Roman" w:hAnsi="Times New Roman" w:eastAsia="宋体" w:cs="Times New Roman"/>
                <w:color w:val="auto"/>
                <w:sz w:val="21"/>
                <w:szCs w:val="21"/>
                <w:lang w:val="en-US" w:eastAsia="zh-CN"/>
              </w:rPr>
              <w:t>mg/kg</w:t>
            </w:r>
          </w:p>
        </w:tc>
      </w:tr>
      <w:tr w14:paraId="5300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32241F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䓛*</w:t>
            </w:r>
          </w:p>
        </w:tc>
        <w:tc>
          <w:tcPr>
            <w:tcW w:w="2121" w:type="pct"/>
            <w:vMerge w:val="continue"/>
          </w:tcPr>
          <w:p w14:paraId="77FC86D3">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0D619BED">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7B2A36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r>
              <w:rPr>
                <w:rFonts w:hint="default" w:ascii="Times New Roman" w:hAnsi="Times New Roman" w:eastAsia="宋体" w:cs="Times New Roman"/>
                <w:color w:val="auto"/>
                <w:sz w:val="21"/>
                <w:szCs w:val="21"/>
                <w:lang w:val="en-US" w:eastAsia="zh-CN"/>
              </w:rPr>
              <w:t>mg/kg</w:t>
            </w:r>
          </w:p>
        </w:tc>
      </w:tr>
      <w:tr w14:paraId="7DFE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0F9BE0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苯并(b)荧蒽*</w:t>
            </w:r>
          </w:p>
        </w:tc>
        <w:tc>
          <w:tcPr>
            <w:tcW w:w="2121" w:type="pct"/>
            <w:vMerge w:val="continue"/>
          </w:tcPr>
          <w:p w14:paraId="74390EB6">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5B7BA46C">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1ED3C5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0.2</w:t>
            </w:r>
            <w:r>
              <w:rPr>
                <w:rFonts w:hint="default" w:ascii="Times New Roman" w:hAnsi="Times New Roman" w:eastAsia="宋体" w:cs="Times New Roman"/>
                <w:color w:val="auto"/>
                <w:sz w:val="21"/>
                <w:szCs w:val="21"/>
                <w:lang w:val="en-US" w:eastAsia="zh-CN"/>
              </w:rPr>
              <w:t>mg/kg</w:t>
            </w:r>
          </w:p>
        </w:tc>
      </w:tr>
      <w:tr w14:paraId="6E15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4A89F3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苯并(k)荧蒽*</w:t>
            </w:r>
          </w:p>
        </w:tc>
        <w:tc>
          <w:tcPr>
            <w:tcW w:w="2121" w:type="pct"/>
            <w:vMerge w:val="continue"/>
          </w:tcPr>
          <w:p w14:paraId="3BD2F584">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31675174">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4DCBE6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r>
              <w:rPr>
                <w:rFonts w:hint="default" w:ascii="Times New Roman" w:hAnsi="Times New Roman" w:eastAsia="宋体" w:cs="Times New Roman"/>
                <w:color w:val="auto"/>
                <w:sz w:val="21"/>
                <w:szCs w:val="21"/>
                <w:lang w:val="en-US" w:eastAsia="zh-CN"/>
              </w:rPr>
              <w:t>mg/kg</w:t>
            </w:r>
          </w:p>
        </w:tc>
      </w:tr>
      <w:tr w14:paraId="29E5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572B77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苯并(a)芘*</w:t>
            </w:r>
          </w:p>
        </w:tc>
        <w:tc>
          <w:tcPr>
            <w:tcW w:w="2121" w:type="pct"/>
            <w:vMerge w:val="continue"/>
          </w:tcPr>
          <w:p w14:paraId="011234CB">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1C4EAD90">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15F95D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r>
              <w:rPr>
                <w:rFonts w:hint="default" w:ascii="Times New Roman" w:hAnsi="Times New Roman" w:eastAsia="宋体" w:cs="Times New Roman"/>
                <w:color w:val="auto"/>
                <w:sz w:val="21"/>
                <w:szCs w:val="21"/>
                <w:lang w:val="en-US" w:eastAsia="zh-CN"/>
              </w:rPr>
              <w:t>mg/kg</w:t>
            </w:r>
          </w:p>
        </w:tc>
      </w:tr>
      <w:tr w14:paraId="5997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7BDEF7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2121" w:type="pct"/>
            <w:vMerge w:val="continue"/>
          </w:tcPr>
          <w:p w14:paraId="3596E5F0">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054B2CFF">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08371E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r>
              <w:rPr>
                <w:rFonts w:hint="default" w:ascii="Times New Roman" w:hAnsi="Times New Roman" w:eastAsia="宋体" w:cs="Times New Roman"/>
                <w:color w:val="auto"/>
                <w:sz w:val="21"/>
                <w:szCs w:val="21"/>
                <w:lang w:val="en-US" w:eastAsia="zh-CN"/>
              </w:rPr>
              <w:t>mg/kg</w:t>
            </w:r>
          </w:p>
        </w:tc>
      </w:tr>
      <w:tr w14:paraId="1083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36C8A6F6">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二苯并(a,h)蒽*</w:t>
            </w:r>
          </w:p>
        </w:tc>
        <w:tc>
          <w:tcPr>
            <w:tcW w:w="2121" w:type="pct"/>
            <w:vMerge w:val="continue"/>
          </w:tcPr>
          <w:p w14:paraId="085414D7">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13A4DDC4">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2DF8C8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0.1mg/kg</w:t>
            </w:r>
          </w:p>
        </w:tc>
      </w:tr>
      <w:tr w14:paraId="78BD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6C7052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氯甲烷*</w:t>
            </w:r>
          </w:p>
        </w:tc>
        <w:tc>
          <w:tcPr>
            <w:tcW w:w="2121" w:type="pct"/>
            <w:vMerge w:val="restart"/>
            <w:shd w:val="clear" w:color="auto" w:fill="auto"/>
            <w:vAlign w:val="center"/>
          </w:tcPr>
          <w:p w14:paraId="7FC947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auto"/>
                <w:kern w:val="2"/>
                <w:sz w:val="21"/>
                <w:szCs w:val="21"/>
                <w:highlight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《土壤和沉积物 挥发性有机物的测定 吹扫捕集/气相色谱-质谱法》HJ 605-2011</w:t>
            </w:r>
          </w:p>
        </w:tc>
        <w:tc>
          <w:tcPr>
            <w:tcW w:w="1281" w:type="pct"/>
            <w:vMerge w:val="restart"/>
            <w:shd w:val="clear" w:color="auto" w:fill="auto"/>
            <w:vAlign w:val="center"/>
          </w:tcPr>
          <w:p w14:paraId="439217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auto"/>
                <w:kern w:val="2"/>
                <w:sz w:val="21"/>
                <w:szCs w:val="21"/>
                <w:highlight w:val="yellow"/>
                <w:lang w:val="en-US" w:eastAsia="zh-CN" w:bidi="ar"/>
              </w:rPr>
            </w:pPr>
            <w:r>
              <w:rPr>
                <w:rFonts w:hint="default" w:ascii="Times New Roman" w:hAnsi="Times New Roman" w:eastAsia="宋体" w:cs="Times New Roman"/>
                <w:i w:val="0"/>
                <w:color w:val="auto"/>
                <w:kern w:val="0"/>
                <w:sz w:val="21"/>
                <w:szCs w:val="21"/>
                <w:u w:val="none"/>
                <w:lang w:val="en-US" w:eastAsia="zh-CN" w:bidi="ar"/>
              </w:rPr>
              <w:t>气相色谱质谱联用仪8860-5977B</w:t>
            </w:r>
          </w:p>
        </w:tc>
        <w:tc>
          <w:tcPr>
            <w:tcW w:w="0" w:type="auto"/>
            <w:shd w:val="clear" w:color="auto" w:fill="auto"/>
            <w:vAlign w:val="center"/>
          </w:tcPr>
          <w:p w14:paraId="2BE27F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1.0μg/kg</w:t>
            </w:r>
          </w:p>
        </w:tc>
      </w:tr>
      <w:tr w14:paraId="5AE1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5C06EF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氯乙烯*</w:t>
            </w:r>
          </w:p>
        </w:tc>
        <w:tc>
          <w:tcPr>
            <w:tcW w:w="2121" w:type="pct"/>
            <w:vMerge w:val="continue"/>
          </w:tcPr>
          <w:p w14:paraId="3F277F83">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42CA00F5">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020C99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1.0μg/kg</w:t>
            </w:r>
          </w:p>
        </w:tc>
      </w:tr>
      <w:tr w14:paraId="0E5E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1C15C2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1,1-二氯乙烯*</w:t>
            </w:r>
          </w:p>
        </w:tc>
        <w:tc>
          <w:tcPr>
            <w:tcW w:w="2121" w:type="pct"/>
            <w:vMerge w:val="continue"/>
          </w:tcPr>
          <w:p w14:paraId="7146DA7C">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71199C3B">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5AF6D7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1.0μg/kg</w:t>
            </w:r>
          </w:p>
        </w:tc>
      </w:tr>
      <w:tr w14:paraId="64DB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37F7B1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二氯甲烷*</w:t>
            </w:r>
          </w:p>
        </w:tc>
        <w:tc>
          <w:tcPr>
            <w:tcW w:w="2121" w:type="pct"/>
            <w:vMerge w:val="continue"/>
          </w:tcPr>
          <w:p w14:paraId="528D6D82">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7369B5C4">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0C9942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1.5μg/kg</w:t>
            </w:r>
          </w:p>
        </w:tc>
      </w:tr>
      <w:tr w14:paraId="53F9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0C1267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反-1,2-二氯乙烯*</w:t>
            </w:r>
          </w:p>
        </w:tc>
        <w:tc>
          <w:tcPr>
            <w:tcW w:w="2121" w:type="pct"/>
            <w:vMerge w:val="continue"/>
          </w:tcPr>
          <w:p w14:paraId="6B5BB20F">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1281" w:type="pct"/>
            <w:vMerge w:val="continue"/>
          </w:tcPr>
          <w:p w14:paraId="7B641FD3">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p>
        </w:tc>
        <w:tc>
          <w:tcPr>
            <w:tcW w:w="0" w:type="auto"/>
            <w:shd w:val="clear" w:color="auto" w:fill="auto"/>
            <w:vAlign w:val="center"/>
          </w:tcPr>
          <w:p w14:paraId="292FBC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1.4μg/kg</w:t>
            </w:r>
          </w:p>
        </w:tc>
      </w:tr>
      <w:tr w14:paraId="58F3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3A4A8C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2121" w:type="pct"/>
            <w:vMerge w:val="restart"/>
            <w:shd w:val="clear" w:color="auto" w:fill="auto"/>
            <w:vAlign w:val="center"/>
          </w:tcPr>
          <w:p w14:paraId="26BAC0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《土壤和沉积物 挥发性有机物的测定 吹扫捕集/气相色谱-质谱法》HJ 605-2011</w:t>
            </w:r>
          </w:p>
        </w:tc>
        <w:tc>
          <w:tcPr>
            <w:tcW w:w="1281" w:type="pct"/>
            <w:vMerge w:val="restart"/>
            <w:shd w:val="clear" w:color="auto" w:fill="auto"/>
            <w:vAlign w:val="center"/>
          </w:tcPr>
          <w:p w14:paraId="0D55FB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气相色谱质谱联用仪8860-5977B</w:t>
            </w:r>
          </w:p>
        </w:tc>
        <w:tc>
          <w:tcPr>
            <w:tcW w:w="0" w:type="auto"/>
            <w:shd w:val="clear" w:color="auto" w:fill="auto"/>
            <w:vAlign w:val="center"/>
          </w:tcPr>
          <w:p w14:paraId="1C4783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r>
      <w:tr w14:paraId="7111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6373C0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顺-1,2-二氯乙烯*</w:t>
            </w:r>
          </w:p>
        </w:tc>
        <w:tc>
          <w:tcPr>
            <w:tcW w:w="2121" w:type="pct"/>
            <w:vMerge w:val="continue"/>
            <w:shd w:val="clear" w:color="auto" w:fill="auto"/>
            <w:vAlign w:val="center"/>
          </w:tcPr>
          <w:p w14:paraId="344787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shd w:val="clear" w:color="auto" w:fill="auto"/>
            <w:vAlign w:val="center"/>
          </w:tcPr>
          <w:p w14:paraId="31EFEF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56F4D5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1.3μg/kg</w:t>
            </w:r>
          </w:p>
        </w:tc>
      </w:tr>
      <w:tr w14:paraId="67CE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06D363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氯仿*</w:t>
            </w:r>
          </w:p>
        </w:tc>
        <w:tc>
          <w:tcPr>
            <w:tcW w:w="2121" w:type="pct"/>
            <w:vMerge w:val="continue"/>
          </w:tcPr>
          <w:p w14:paraId="02EBB7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4E0D0B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77C828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1.1μg/kg</w:t>
            </w:r>
          </w:p>
        </w:tc>
      </w:tr>
      <w:tr w14:paraId="5404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329BBD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1,1,1-三氯乙烷*</w:t>
            </w:r>
          </w:p>
        </w:tc>
        <w:tc>
          <w:tcPr>
            <w:tcW w:w="2121" w:type="pct"/>
            <w:vMerge w:val="continue"/>
          </w:tcPr>
          <w:p w14:paraId="781A3E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7A647B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54A218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1.3μg/kg</w:t>
            </w:r>
          </w:p>
        </w:tc>
      </w:tr>
      <w:tr w14:paraId="1008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617ACA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四氯化碳*</w:t>
            </w:r>
          </w:p>
        </w:tc>
        <w:tc>
          <w:tcPr>
            <w:tcW w:w="2121" w:type="pct"/>
            <w:vMerge w:val="continue"/>
          </w:tcPr>
          <w:p w14:paraId="38A3E37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4A2A27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15A44B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1.3μg/kg</w:t>
            </w:r>
          </w:p>
        </w:tc>
      </w:tr>
      <w:tr w14:paraId="0FA1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7DA050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w:t>
            </w:r>
          </w:p>
        </w:tc>
        <w:tc>
          <w:tcPr>
            <w:tcW w:w="2121" w:type="pct"/>
            <w:vMerge w:val="continue"/>
          </w:tcPr>
          <w:p w14:paraId="4311EC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414E0A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0A0809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1.9μg/kg</w:t>
            </w:r>
          </w:p>
        </w:tc>
      </w:tr>
      <w:tr w14:paraId="0700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76D3760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1,2-二氯乙烷*</w:t>
            </w:r>
          </w:p>
        </w:tc>
        <w:tc>
          <w:tcPr>
            <w:tcW w:w="2121" w:type="pct"/>
            <w:vMerge w:val="continue"/>
          </w:tcPr>
          <w:p w14:paraId="45216E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2DE6B6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5751E4E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1.3μg/kg</w:t>
            </w:r>
          </w:p>
        </w:tc>
      </w:tr>
      <w:tr w14:paraId="3CEF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00DDD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三氯乙烯*</w:t>
            </w:r>
          </w:p>
        </w:tc>
        <w:tc>
          <w:tcPr>
            <w:tcW w:w="2121" w:type="pct"/>
            <w:vMerge w:val="continue"/>
          </w:tcPr>
          <w:p w14:paraId="06D035B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378BE5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6AA53F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r>
      <w:tr w14:paraId="3CB1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46D1B5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1,2-二氯丙烷*</w:t>
            </w:r>
          </w:p>
        </w:tc>
        <w:tc>
          <w:tcPr>
            <w:tcW w:w="2121" w:type="pct"/>
            <w:vMerge w:val="continue"/>
          </w:tcPr>
          <w:p w14:paraId="3888AA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3F0A7E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5A2AC4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1.1μg/kg</w:t>
            </w:r>
          </w:p>
        </w:tc>
      </w:tr>
      <w:tr w14:paraId="00BF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0B625B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甲苯*</w:t>
            </w:r>
          </w:p>
        </w:tc>
        <w:tc>
          <w:tcPr>
            <w:tcW w:w="2121" w:type="pct"/>
            <w:vMerge w:val="continue"/>
          </w:tcPr>
          <w:p w14:paraId="519558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58612C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2188DB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1.3μg/kg</w:t>
            </w:r>
          </w:p>
        </w:tc>
      </w:tr>
      <w:tr w14:paraId="394D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7A2E81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2121" w:type="pct"/>
            <w:vMerge w:val="continue"/>
          </w:tcPr>
          <w:p w14:paraId="5E8EB4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7FD817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7F3618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r>
      <w:tr w14:paraId="0F3E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11648B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四氯乙烯*</w:t>
            </w:r>
          </w:p>
        </w:tc>
        <w:tc>
          <w:tcPr>
            <w:tcW w:w="2121" w:type="pct"/>
            <w:vMerge w:val="continue"/>
          </w:tcPr>
          <w:p w14:paraId="56B93F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2219CF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15D3EB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1.4</w:t>
            </w:r>
            <w:r>
              <w:rPr>
                <w:rFonts w:hint="default" w:ascii="Times New Roman" w:hAnsi="Times New Roman" w:eastAsia="宋体" w:cs="Times New Roman"/>
                <w:i w:val="0"/>
                <w:color w:val="auto"/>
                <w:kern w:val="0"/>
                <w:sz w:val="21"/>
                <w:szCs w:val="21"/>
                <w:u w:val="none"/>
                <w:lang w:val="en-US" w:eastAsia="zh-CN" w:bidi="ar"/>
              </w:rPr>
              <w:t>μg/kg</w:t>
            </w:r>
          </w:p>
        </w:tc>
      </w:tr>
      <w:tr w14:paraId="54F0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7797F8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氯苯*</w:t>
            </w:r>
          </w:p>
        </w:tc>
        <w:tc>
          <w:tcPr>
            <w:tcW w:w="2121" w:type="pct"/>
            <w:vMerge w:val="continue"/>
          </w:tcPr>
          <w:p w14:paraId="1E7353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0D8E44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484416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1.2μg/kg</w:t>
            </w:r>
          </w:p>
        </w:tc>
      </w:tr>
      <w:tr w14:paraId="7F91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F8483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2121" w:type="pct"/>
            <w:vMerge w:val="continue"/>
          </w:tcPr>
          <w:p w14:paraId="71AD80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2D80CE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64458D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r>
      <w:tr w14:paraId="1EF0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73BAC1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乙苯*</w:t>
            </w:r>
          </w:p>
        </w:tc>
        <w:tc>
          <w:tcPr>
            <w:tcW w:w="2121" w:type="pct"/>
            <w:vMerge w:val="continue"/>
          </w:tcPr>
          <w:p w14:paraId="6BACBB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49CDE3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402EFC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r>
      <w:tr w14:paraId="7B4B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645F0B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间,对-二甲苯*</w:t>
            </w:r>
          </w:p>
        </w:tc>
        <w:tc>
          <w:tcPr>
            <w:tcW w:w="2121" w:type="pct"/>
            <w:vMerge w:val="continue"/>
          </w:tcPr>
          <w:p w14:paraId="3FBA3D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0D4E68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4D98DF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r>
      <w:tr w14:paraId="2767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84FED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邻二甲苯*</w:t>
            </w:r>
          </w:p>
        </w:tc>
        <w:tc>
          <w:tcPr>
            <w:tcW w:w="2121" w:type="pct"/>
            <w:vMerge w:val="continue"/>
          </w:tcPr>
          <w:p w14:paraId="1C6752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24C915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618722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r>
      <w:tr w14:paraId="1407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43430D0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苯乙烯*</w:t>
            </w:r>
          </w:p>
        </w:tc>
        <w:tc>
          <w:tcPr>
            <w:tcW w:w="2121" w:type="pct"/>
            <w:vMerge w:val="continue"/>
          </w:tcPr>
          <w:p w14:paraId="2FC5D3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32DDEE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41C072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1.1μg/kg</w:t>
            </w:r>
          </w:p>
        </w:tc>
      </w:tr>
      <w:tr w14:paraId="5645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3EFB2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1,1,2,2-四氯乙烷*</w:t>
            </w:r>
          </w:p>
        </w:tc>
        <w:tc>
          <w:tcPr>
            <w:tcW w:w="2121" w:type="pct"/>
            <w:vMerge w:val="continue"/>
          </w:tcPr>
          <w:p w14:paraId="44C835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117E65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3DB674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r>
      <w:tr w14:paraId="37DB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5AED00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1,2,3-三氯丙烷*</w:t>
            </w:r>
          </w:p>
        </w:tc>
        <w:tc>
          <w:tcPr>
            <w:tcW w:w="2121" w:type="pct"/>
            <w:vMerge w:val="restart"/>
            <w:shd w:val="clear" w:color="auto" w:fill="auto"/>
            <w:vAlign w:val="center"/>
          </w:tcPr>
          <w:p w14:paraId="711102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《土壤和沉积物 挥发性有机物的测定 吹扫捕集/气相色谱-质谱法》HJ 605-2011</w:t>
            </w:r>
          </w:p>
        </w:tc>
        <w:tc>
          <w:tcPr>
            <w:tcW w:w="1281" w:type="pct"/>
            <w:vMerge w:val="restart"/>
            <w:shd w:val="clear" w:color="auto" w:fill="auto"/>
            <w:vAlign w:val="center"/>
          </w:tcPr>
          <w:p w14:paraId="7788A15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气相色谱质谱联用仪8860-5977B</w:t>
            </w:r>
          </w:p>
        </w:tc>
        <w:tc>
          <w:tcPr>
            <w:tcW w:w="0" w:type="auto"/>
            <w:shd w:val="clear" w:color="auto" w:fill="auto"/>
            <w:vAlign w:val="center"/>
          </w:tcPr>
          <w:p w14:paraId="7B89E8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r>
      <w:tr w14:paraId="557C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1C57BA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1,4-二氯苯*</w:t>
            </w:r>
          </w:p>
        </w:tc>
        <w:tc>
          <w:tcPr>
            <w:tcW w:w="2121" w:type="pct"/>
            <w:vMerge w:val="continue"/>
          </w:tcPr>
          <w:p w14:paraId="5E0797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08F1AF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678D1A0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1.5μg/kg</w:t>
            </w:r>
          </w:p>
        </w:tc>
      </w:tr>
      <w:tr w14:paraId="1F4F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40" w:hRule="atLeast"/>
          <w:tblHeader/>
          <w:jc w:val="center"/>
        </w:trPr>
        <w:tc>
          <w:tcPr>
            <w:tcW w:w="879" w:type="pct"/>
            <w:shd w:val="clear" w:color="auto" w:fill="auto"/>
            <w:vAlign w:val="center"/>
          </w:tcPr>
          <w:p w14:paraId="22D223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1,2-二氯苯*</w:t>
            </w:r>
          </w:p>
        </w:tc>
        <w:tc>
          <w:tcPr>
            <w:tcW w:w="2121" w:type="pct"/>
            <w:vMerge w:val="continue"/>
          </w:tcPr>
          <w:p w14:paraId="1D5122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81" w:type="pct"/>
            <w:vMerge w:val="continue"/>
          </w:tcPr>
          <w:p w14:paraId="631C3E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0" w:type="auto"/>
            <w:shd w:val="clear" w:color="auto" w:fill="auto"/>
            <w:vAlign w:val="center"/>
          </w:tcPr>
          <w:p w14:paraId="5BA9A6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1.5μg/kg</w:t>
            </w:r>
          </w:p>
        </w:tc>
      </w:tr>
    </w:tbl>
    <w:p w14:paraId="6013D5D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default"/>
          <w:color w:val="auto"/>
          <w:sz w:val="24"/>
          <w:szCs w:val="28"/>
          <w:lang w:val="en-US" w:eastAsia="zh-CN"/>
        </w:rPr>
        <w:t>（</w:t>
      </w:r>
      <w:r>
        <w:rPr>
          <w:rFonts w:hint="eastAsia"/>
          <w:color w:val="auto"/>
          <w:sz w:val="24"/>
          <w:szCs w:val="28"/>
          <w:lang w:val="en-US" w:eastAsia="zh-CN"/>
        </w:rPr>
        <w:t>5</w:t>
      </w:r>
      <w:r>
        <w:rPr>
          <w:rFonts w:hint="default"/>
          <w:color w:val="auto"/>
          <w:sz w:val="24"/>
          <w:szCs w:val="28"/>
          <w:lang w:val="en-US" w:eastAsia="zh-CN"/>
        </w:rPr>
        <w:t>）评价标准</w:t>
      </w:r>
    </w:p>
    <w:p w14:paraId="3B5C45C1">
      <w:pPr>
        <w:pStyle w:val="15"/>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rPr>
          <w:color w:val="auto"/>
          <w:kern w:val="2"/>
          <w:sz w:val="24"/>
          <w:szCs w:val="24"/>
        </w:rPr>
      </w:pPr>
      <w:r>
        <w:rPr>
          <w:rFonts w:hint="default" w:ascii="Times New Roman" w:hAnsi="Times New Roman" w:cs="Times New Roman"/>
          <w:color w:val="auto"/>
          <w:kern w:val="2"/>
          <w:sz w:val="24"/>
          <w:szCs w:val="24"/>
          <w:lang w:eastAsia="zh-CN"/>
        </w:rPr>
        <w:t>占地范围内</w:t>
      </w:r>
      <w:r>
        <w:rPr>
          <w:rFonts w:hint="default" w:ascii="Times New Roman" w:hAnsi="Times New Roman" w:cs="Times New Roman"/>
          <w:color w:val="auto"/>
          <w:kern w:val="2"/>
          <w:sz w:val="24"/>
          <w:szCs w:val="24"/>
        </w:rPr>
        <w:t>《土壤环境质量建设用地土壤污染风险管控标准（试行）》（GB36600-2018）中第二类用地筛选值</w:t>
      </w:r>
      <w:r>
        <w:rPr>
          <w:rFonts w:hint="default" w:ascii="Times New Roman" w:hAnsi="Times New Roman" w:cs="Times New Roman"/>
          <w:color w:val="auto"/>
          <w:kern w:val="2"/>
          <w:sz w:val="24"/>
          <w:szCs w:val="24"/>
          <w:lang w:eastAsia="zh-CN"/>
        </w:rPr>
        <w:t>；占地范围外</w:t>
      </w:r>
      <w:r>
        <w:rPr>
          <w:rFonts w:hint="default" w:ascii="Times New Roman" w:hAnsi="Times New Roman" w:eastAsia="宋体" w:cs="Times New Roman"/>
          <w:color w:val="auto"/>
          <w:sz w:val="24"/>
          <w:szCs w:val="24"/>
        </w:rPr>
        <w:t>《土壤环境质量农用地土壤污染风险管控标准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试行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GB15618-2018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中农用地土壤污染风险筛选值</w:t>
      </w:r>
      <w:r>
        <w:rPr>
          <w:color w:val="auto"/>
          <w:kern w:val="2"/>
          <w:sz w:val="24"/>
          <w:szCs w:val="24"/>
        </w:rPr>
        <w:t>。</w:t>
      </w:r>
    </w:p>
    <w:p w14:paraId="69FD9E3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（6）监测结果及评价</w:t>
      </w:r>
    </w:p>
    <w:p w14:paraId="2A3622E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监测结果见表4.2-1</w:t>
      </w:r>
      <w:r>
        <w:rPr>
          <w:rFonts w:hint="eastAsia" w:ascii="Times New Roman" w:hAnsi="Times New Roman" w:cs="Times New Roman"/>
          <w:color w:val="auto"/>
          <w:sz w:val="24"/>
          <w:szCs w:val="28"/>
          <w:lang w:val="en-US" w:eastAsia="zh-CN"/>
        </w:rPr>
        <w:t>4</w:t>
      </w:r>
      <w:r>
        <w:rPr>
          <w:rFonts w:hint="eastAsia" w:ascii="Times New Roman" w:hAnsi="Times New Roman" w:eastAsia="宋体" w:cs="Times New Roman"/>
          <w:color w:val="auto"/>
          <w:sz w:val="24"/>
          <w:szCs w:val="28"/>
          <w:lang w:val="en-US" w:eastAsia="zh-CN"/>
        </w:rPr>
        <w:t>。</w:t>
      </w:r>
    </w:p>
    <w:p w14:paraId="4D03728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1D2658D">
      <w:pPr>
        <w:pStyle w:val="32"/>
        <w:bidi w:val="0"/>
        <w:rPr>
          <w:rFonts w:hint="default"/>
          <w:color w:val="auto"/>
          <w:lang w:val="en-US" w:eastAsia="zh-CN"/>
        </w:rPr>
      </w:pPr>
      <w:r>
        <w:rPr>
          <w:rFonts w:hint="eastAsia"/>
          <w:color w:val="auto"/>
          <w:lang w:val="en-US" w:eastAsia="zh-CN"/>
        </w:rPr>
        <w:t>表4.2-14（a）  土壤监测结果一览表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584"/>
        <w:gridCol w:w="1247"/>
        <w:gridCol w:w="1655"/>
        <w:gridCol w:w="1797"/>
        <w:gridCol w:w="1797"/>
        <w:gridCol w:w="1799"/>
        <w:gridCol w:w="1867"/>
      </w:tblGrid>
      <w:tr w14:paraId="3FC8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restart"/>
            <w:noWrap w:val="0"/>
            <w:vAlign w:val="center"/>
          </w:tcPr>
          <w:p w14:paraId="728C9B55">
            <w:pPr>
              <w:jc w:val="center"/>
              <w:rPr>
                <w:rFonts w:hint="eastAsia" w:eastAsia="宋体"/>
                <w:b/>
                <w:bCs/>
                <w:color w:val="auto"/>
                <w:szCs w:val="21"/>
                <w:lang w:val="en-US" w:eastAsia="zh-CN"/>
              </w:rPr>
            </w:pPr>
            <w:r>
              <w:rPr>
                <w:rFonts w:hint="eastAsia"/>
                <w:b/>
                <w:bCs/>
                <w:color w:val="auto"/>
                <w:szCs w:val="21"/>
                <w:lang w:val="en-US" w:eastAsia="zh-CN"/>
              </w:rPr>
              <w:t>序号</w:t>
            </w:r>
          </w:p>
        </w:tc>
        <w:tc>
          <w:tcPr>
            <w:tcW w:w="912" w:type="pct"/>
            <w:vMerge w:val="restart"/>
            <w:noWrap w:val="0"/>
            <w:vAlign w:val="center"/>
          </w:tcPr>
          <w:p w14:paraId="53EEC1C0">
            <w:pPr>
              <w:jc w:val="center"/>
              <w:rPr>
                <w:b/>
                <w:bCs/>
                <w:color w:val="auto"/>
                <w:szCs w:val="21"/>
              </w:rPr>
            </w:pPr>
            <w:r>
              <w:rPr>
                <w:b/>
                <w:bCs/>
                <w:color w:val="auto"/>
                <w:szCs w:val="21"/>
              </w:rPr>
              <w:t>检测项目</w:t>
            </w:r>
          </w:p>
        </w:tc>
        <w:tc>
          <w:tcPr>
            <w:tcW w:w="440" w:type="pct"/>
            <w:vMerge w:val="restart"/>
            <w:noWrap w:val="0"/>
            <w:vAlign w:val="center"/>
          </w:tcPr>
          <w:p w14:paraId="779BAAE7">
            <w:pPr>
              <w:jc w:val="center"/>
              <w:rPr>
                <w:b/>
                <w:bCs/>
                <w:color w:val="auto"/>
                <w:szCs w:val="21"/>
              </w:rPr>
            </w:pPr>
            <w:r>
              <w:rPr>
                <w:b/>
                <w:bCs/>
                <w:color w:val="auto"/>
                <w:szCs w:val="21"/>
              </w:rPr>
              <w:t>单位</w:t>
            </w:r>
          </w:p>
        </w:tc>
        <w:tc>
          <w:tcPr>
            <w:tcW w:w="584" w:type="pct"/>
            <w:vMerge w:val="restart"/>
            <w:noWrap w:val="0"/>
            <w:vAlign w:val="center"/>
          </w:tcPr>
          <w:p w14:paraId="55DD2B05">
            <w:pPr>
              <w:jc w:val="center"/>
              <w:rPr>
                <w:rFonts w:hint="eastAsia" w:ascii="Times New Roman" w:hAnsi="Times New Roman" w:eastAsia="宋体" w:cs="Times New Roman"/>
                <w:b/>
                <w:bCs/>
                <w:color w:val="auto"/>
                <w:kern w:val="2"/>
                <w:sz w:val="21"/>
                <w:szCs w:val="21"/>
                <w:lang w:val="en-US" w:eastAsia="zh-CN" w:bidi="ar-SA"/>
              </w:rPr>
            </w:pPr>
            <w:r>
              <w:rPr>
                <w:b/>
                <w:bCs/>
                <w:color w:val="auto"/>
                <w:szCs w:val="21"/>
              </w:rPr>
              <w:t>标准限值</w:t>
            </w:r>
            <w:r>
              <w:rPr>
                <w:rFonts w:hint="eastAsia"/>
                <w:b/>
                <w:bCs/>
                <w:color w:val="auto"/>
                <w:szCs w:val="21"/>
                <w:lang w:eastAsia="zh-CN"/>
              </w:rPr>
              <w:t>（</w:t>
            </w:r>
            <w:r>
              <w:rPr>
                <w:rFonts w:hint="eastAsia"/>
                <w:b/>
                <w:bCs/>
                <w:color w:val="auto"/>
                <w:szCs w:val="21"/>
                <w:lang w:val="en-US" w:eastAsia="zh-CN"/>
              </w:rPr>
              <w:t>第二类用地筛选值</w:t>
            </w:r>
            <w:r>
              <w:rPr>
                <w:rFonts w:hint="eastAsia"/>
                <w:b/>
                <w:bCs/>
                <w:color w:val="auto"/>
                <w:szCs w:val="21"/>
                <w:lang w:eastAsia="zh-CN"/>
              </w:rPr>
              <w:t>）</w:t>
            </w:r>
          </w:p>
        </w:tc>
        <w:tc>
          <w:tcPr>
            <w:tcW w:w="1903" w:type="pct"/>
            <w:gridSpan w:val="3"/>
            <w:noWrap w:val="0"/>
            <w:vAlign w:val="center"/>
          </w:tcPr>
          <w:p w14:paraId="6534606B">
            <w:pPr>
              <w:jc w:val="center"/>
              <w:rPr>
                <w:rFonts w:hint="default" w:eastAsia="宋体"/>
                <w:b/>
                <w:bCs/>
                <w:color w:val="auto"/>
                <w:szCs w:val="21"/>
                <w:lang w:val="en-US" w:eastAsia="zh-CN"/>
              </w:rPr>
            </w:pPr>
            <w:r>
              <w:rPr>
                <w:rFonts w:hint="eastAsia"/>
                <w:b/>
                <w:bCs/>
                <w:color w:val="auto"/>
                <w:szCs w:val="21"/>
                <w:lang w:val="en-US" w:eastAsia="zh-CN"/>
              </w:rPr>
              <w:t>T1柱状样监测结果（占地范围内）</w:t>
            </w:r>
          </w:p>
        </w:tc>
        <w:tc>
          <w:tcPr>
            <w:tcW w:w="659" w:type="pct"/>
            <w:vMerge w:val="restart"/>
            <w:noWrap w:val="0"/>
            <w:vAlign w:val="center"/>
          </w:tcPr>
          <w:p w14:paraId="50709972">
            <w:pPr>
              <w:jc w:val="center"/>
              <w:rPr>
                <w:rFonts w:hint="eastAsia" w:eastAsia="宋体"/>
                <w:color w:val="auto"/>
                <w:szCs w:val="21"/>
                <w:lang w:val="en-US" w:eastAsia="zh-CN"/>
              </w:rPr>
            </w:pPr>
            <w:r>
              <w:rPr>
                <w:rFonts w:hint="eastAsia"/>
                <w:b/>
                <w:bCs/>
                <w:color w:val="auto"/>
                <w:szCs w:val="21"/>
                <w:lang w:val="en-US" w:eastAsia="zh-CN"/>
              </w:rPr>
              <w:t>达标情况</w:t>
            </w:r>
          </w:p>
        </w:tc>
      </w:tr>
      <w:tr w14:paraId="6469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continue"/>
            <w:noWrap w:val="0"/>
            <w:vAlign w:val="center"/>
          </w:tcPr>
          <w:p w14:paraId="172DDE43">
            <w:pPr>
              <w:jc w:val="center"/>
              <w:rPr>
                <w:b/>
                <w:bCs/>
                <w:color w:val="auto"/>
                <w:szCs w:val="21"/>
              </w:rPr>
            </w:pPr>
          </w:p>
        </w:tc>
        <w:tc>
          <w:tcPr>
            <w:tcW w:w="912" w:type="pct"/>
            <w:vMerge w:val="continue"/>
            <w:noWrap w:val="0"/>
            <w:vAlign w:val="center"/>
          </w:tcPr>
          <w:p w14:paraId="70D07E41">
            <w:pPr>
              <w:jc w:val="center"/>
              <w:rPr>
                <w:b/>
                <w:bCs/>
                <w:color w:val="auto"/>
                <w:szCs w:val="21"/>
              </w:rPr>
            </w:pPr>
          </w:p>
        </w:tc>
        <w:tc>
          <w:tcPr>
            <w:tcW w:w="440" w:type="pct"/>
            <w:vMerge w:val="continue"/>
            <w:noWrap w:val="0"/>
            <w:vAlign w:val="center"/>
          </w:tcPr>
          <w:p w14:paraId="1C42666F">
            <w:pPr>
              <w:jc w:val="center"/>
              <w:rPr>
                <w:b/>
                <w:bCs/>
                <w:color w:val="auto"/>
                <w:szCs w:val="21"/>
              </w:rPr>
            </w:pPr>
          </w:p>
        </w:tc>
        <w:tc>
          <w:tcPr>
            <w:tcW w:w="584" w:type="pct"/>
            <w:vMerge w:val="continue"/>
            <w:noWrap w:val="0"/>
            <w:vAlign w:val="center"/>
          </w:tcPr>
          <w:p w14:paraId="71C71788">
            <w:pPr>
              <w:jc w:val="center"/>
              <w:rPr>
                <w:rFonts w:ascii="Times New Roman" w:hAnsi="Times New Roman" w:eastAsia="宋体" w:cs="Times New Roman"/>
                <w:b/>
                <w:bCs/>
                <w:color w:val="auto"/>
                <w:kern w:val="2"/>
                <w:sz w:val="21"/>
                <w:szCs w:val="21"/>
                <w:lang w:val="en-US" w:eastAsia="zh-CN" w:bidi="ar-SA"/>
              </w:rPr>
            </w:pPr>
          </w:p>
        </w:tc>
        <w:tc>
          <w:tcPr>
            <w:tcW w:w="634" w:type="pct"/>
            <w:noWrap w:val="0"/>
            <w:vAlign w:val="center"/>
          </w:tcPr>
          <w:p w14:paraId="5ED73A69">
            <w:pPr>
              <w:jc w:val="center"/>
              <w:rPr>
                <w:b/>
                <w:bCs/>
                <w:color w:val="auto"/>
                <w:szCs w:val="21"/>
              </w:rPr>
            </w:pPr>
            <w:r>
              <w:rPr>
                <w:rFonts w:hint="eastAsia"/>
                <w:b/>
                <w:bCs/>
                <w:color w:val="auto"/>
                <w:szCs w:val="21"/>
                <w:lang w:val="en-US" w:eastAsia="zh-CN"/>
              </w:rPr>
              <w:t>T1-1</w:t>
            </w:r>
            <w:r>
              <w:rPr>
                <w:b/>
                <w:bCs/>
                <w:color w:val="auto"/>
                <w:szCs w:val="21"/>
              </w:rPr>
              <w:t>监测结果</w:t>
            </w:r>
          </w:p>
        </w:tc>
        <w:tc>
          <w:tcPr>
            <w:tcW w:w="634" w:type="pct"/>
            <w:noWrap w:val="0"/>
            <w:vAlign w:val="center"/>
          </w:tcPr>
          <w:p w14:paraId="7F659F3D">
            <w:pPr>
              <w:jc w:val="center"/>
              <w:rPr>
                <w:b/>
                <w:bCs/>
                <w:color w:val="auto"/>
                <w:szCs w:val="21"/>
              </w:rPr>
            </w:pPr>
            <w:r>
              <w:rPr>
                <w:rFonts w:hint="eastAsia"/>
                <w:b/>
                <w:bCs/>
                <w:color w:val="auto"/>
                <w:szCs w:val="21"/>
                <w:lang w:val="en-US" w:eastAsia="zh-CN"/>
              </w:rPr>
              <w:t>T1-2</w:t>
            </w:r>
            <w:r>
              <w:rPr>
                <w:b/>
                <w:bCs/>
                <w:color w:val="auto"/>
                <w:szCs w:val="21"/>
              </w:rPr>
              <w:t>监测结果</w:t>
            </w:r>
          </w:p>
        </w:tc>
        <w:tc>
          <w:tcPr>
            <w:tcW w:w="634" w:type="pct"/>
            <w:noWrap w:val="0"/>
            <w:vAlign w:val="center"/>
          </w:tcPr>
          <w:p w14:paraId="10419139">
            <w:pPr>
              <w:jc w:val="center"/>
              <w:rPr>
                <w:rFonts w:hint="eastAsia"/>
                <w:b/>
                <w:bCs/>
                <w:color w:val="auto"/>
                <w:szCs w:val="21"/>
              </w:rPr>
            </w:pPr>
            <w:r>
              <w:rPr>
                <w:rFonts w:hint="eastAsia"/>
                <w:b/>
                <w:bCs/>
                <w:color w:val="auto"/>
                <w:szCs w:val="21"/>
                <w:lang w:val="en-US" w:eastAsia="zh-CN"/>
              </w:rPr>
              <w:t>T1-3</w:t>
            </w:r>
            <w:r>
              <w:rPr>
                <w:b/>
                <w:bCs/>
                <w:color w:val="auto"/>
                <w:szCs w:val="21"/>
              </w:rPr>
              <w:t>监测结果</w:t>
            </w:r>
          </w:p>
        </w:tc>
        <w:tc>
          <w:tcPr>
            <w:tcW w:w="659" w:type="pct"/>
            <w:vMerge w:val="continue"/>
            <w:noWrap w:val="0"/>
            <w:vAlign w:val="center"/>
          </w:tcPr>
          <w:p w14:paraId="2D222521">
            <w:pPr>
              <w:jc w:val="center"/>
              <w:rPr>
                <w:rFonts w:hint="eastAsia" w:eastAsia="宋体"/>
                <w:color w:val="auto"/>
                <w:szCs w:val="21"/>
                <w:lang w:val="en-US" w:eastAsia="zh-CN"/>
              </w:rPr>
            </w:pPr>
          </w:p>
        </w:tc>
      </w:tr>
      <w:tr w14:paraId="3640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3C08F33C">
            <w:pPr>
              <w:jc w:val="center"/>
              <w:rPr>
                <w:rFonts w:hint="eastAsia" w:eastAsia="宋体"/>
                <w:b w:val="0"/>
                <w:bCs w:val="0"/>
                <w:color w:val="auto"/>
                <w:szCs w:val="21"/>
                <w:lang w:val="en-US" w:eastAsia="zh-CN"/>
              </w:rPr>
            </w:pPr>
            <w:r>
              <w:rPr>
                <w:rFonts w:hint="eastAsia"/>
                <w:b w:val="0"/>
                <w:bCs w:val="0"/>
                <w:color w:val="auto"/>
                <w:szCs w:val="21"/>
                <w:lang w:val="en-US" w:eastAsia="zh-CN"/>
              </w:rPr>
              <w:t>1</w:t>
            </w:r>
          </w:p>
        </w:tc>
        <w:tc>
          <w:tcPr>
            <w:tcW w:w="912" w:type="pct"/>
            <w:noWrap w:val="0"/>
            <w:vAlign w:val="center"/>
          </w:tcPr>
          <w:p w14:paraId="083B8FE5">
            <w:pPr>
              <w:jc w:val="center"/>
              <w:rPr>
                <w:rFonts w:hint="default" w:eastAsia="宋体"/>
                <w:b w:val="0"/>
                <w:bCs w:val="0"/>
                <w:color w:val="auto"/>
                <w:szCs w:val="21"/>
                <w:lang w:val="en-US" w:eastAsia="zh-CN"/>
              </w:rPr>
            </w:pPr>
            <w:r>
              <w:rPr>
                <w:rFonts w:hint="eastAsia"/>
                <w:b w:val="0"/>
                <w:bCs w:val="0"/>
                <w:color w:val="auto"/>
                <w:szCs w:val="21"/>
                <w:lang w:val="en-US" w:eastAsia="zh-CN"/>
              </w:rPr>
              <w:t>pH</w:t>
            </w:r>
          </w:p>
        </w:tc>
        <w:tc>
          <w:tcPr>
            <w:tcW w:w="440" w:type="pct"/>
            <w:noWrap w:val="0"/>
            <w:vAlign w:val="center"/>
          </w:tcPr>
          <w:p w14:paraId="35B7478C">
            <w:pPr>
              <w:jc w:val="center"/>
              <w:rPr>
                <w:rFonts w:hint="eastAsia" w:eastAsia="宋体"/>
                <w:b w:val="0"/>
                <w:bCs w:val="0"/>
                <w:color w:val="auto"/>
                <w:szCs w:val="21"/>
                <w:lang w:val="en-US" w:eastAsia="zh-CN"/>
              </w:rPr>
            </w:pPr>
            <w:r>
              <w:rPr>
                <w:rFonts w:hint="eastAsia"/>
                <w:b w:val="0"/>
                <w:bCs w:val="0"/>
                <w:color w:val="auto"/>
                <w:szCs w:val="21"/>
                <w:lang w:val="en-US" w:eastAsia="zh-CN"/>
              </w:rPr>
              <w:t>无量纲</w:t>
            </w:r>
          </w:p>
        </w:tc>
        <w:tc>
          <w:tcPr>
            <w:tcW w:w="584" w:type="pct"/>
            <w:noWrap w:val="0"/>
            <w:vAlign w:val="center"/>
          </w:tcPr>
          <w:p w14:paraId="15064F3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noWrap w:val="0"/>
            <w:vAlign w:val="center"/>
          </w:tcPr>
          <w:p w14:paraId="75C939BC">
            <w:pPr>
              <w:jc w:val="center"/>
              <w:rPr>
                <w:rFonts w:hint="default"/>
                <w:b w:val="0"/>
                <w:bCs w:val="0"/>
                <w:color w:val="auto"/>
                <w:szCs w:val="21"/>
                <w:lang w:val="en-US" w:eastAsia="zh-CN"/>
              </w:rPr>
            </w:pPr>
            <w:r>
              <w:rPr>
                <w:rFonts w:hint="eastAsia"/>
                <w:b w:val="0"/>
                <w:bCs w:val="0"/>
                <w:color w:val="auto"/>
                <w:szCs w:val="21"/>
                <w:lang w:val="en-US" w:eastAsia="zh-CN"/>
              </w:rPr>
              <w:t>8.74</w:t>
            </w:r>
          </w:p>
        </w:tc>
        <w:tc>
          <w:tcPr>
            <w:tcW w:w="634" w:type="pct"/>
            <w:noWrap w:val="0"/>
            <w:vAlign w:val="center"/>
          </w:tcPr>
          <w:p w14:paraId="543DF3A4">
            <w:pPr>
              <w:jc w:val="center"/>
              <w:rPr>
                <w:rFonts w:hint="default"/>
                <w:b w:val="0"/>
                <w:bCs w:val="0"/>
                <w:color w:val="auto"/>
                <w:szCs w:val="21"/>
                <w:lang w:val="en-US" w:eastAsia="zh-CN"/>
              </w:rPr>
            </w:pPr>
            <w:r>
              <w:rPr>
                <w:rFonts w:hint="eastAsia"/>
                <w:b w:val="0"/>
                <w:bCs w:val="0"/>
                <w:color w:val="auto"/>
                <w:szCs w:val="21"/>
                <w:lang w:val="en-US" w:eastAsia="zh-CN"/>
              </w:rPr>
              <w:t>8.70</w:t>
            </w:r>
          </w:p>
        </w:tc>
        <w:tc>
          <w:tcPr>
            <w:tcW w:w="634" w:type="pct"/>
            <w:noWrap w:val="0"/>
            <w:vAlign w:val="center"/>
          </w:tcPr>
          <w:p w14:paraId="09369ED8">
            <w:pPr>
              <w:jc w:val="center"/>
              <w:rPr>
                <w:rFonts w:hint="default"/>
                <w:b w:val="0"/>
                <w:bCs w:val="0"/>
                <w:color w:val="auto"/>
                <w:szCs w:val="21"/>
                <w:lang w:val="en-US" w:eastAsia="zh-CN"/>
              </w:rPr>
            </w:pPr>
            <w:r>
              <w:rPr>
                <w:rFonts w:hint="eastAsia"/>
                <w:b w:val="0"/>
                <w:bCs w:val="0"/>
                <w:color w:val="auto"/>
                <w:szCs w:val="21"/>
                <w:lang w:val="en-US" w:eastAsia="zh-CN"/>
              </w:rPr>
              <w:t>8.78</w:t>
            </w:r>
          </w:p>
        </w:tc>
        <w:tc>
          <w:tcPr>
            <w:tcW w:w="659" w:type="pct"/>
            <w:noWrap w:val="0"/>
            <w:vAlign w:val="center"/>
          </w:tcPr>
          <w:p w14:paraId="2DD47C91">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4208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511C415C">
            <w:pPr>
              <w:jc w:val="center"/>
              <w:rPr>
                <w:rFonts w:hint="eastAsia" w:eastAsia="宋体"/>
                <w:b w:val="0"/>
                <w:bCs w:val="0"/>
                <w:color w:val="auto"/>
                <w:szCs w:val="21"/>
                <w:lang w:val="en-US" w:eastAsia="zh-CN"/>
              </w:rPr>
            </w:pPr>
            <w:r>
              <w:rPr>
                <w:rFonts w:hint="eastAsia"/>
                <w:b w:val="0"/>
                <w:bCs w:val="0"/>
                <w:color w:val="auto"/>
                <w:szCs w:val="21"/>
                <w:lang w:val="en-US" w:eastAsia="zh-CN"/>
              </w:rPr>
              <w:t>2</w:t>
            </w:r>
          </w:p>
        </w:tc>
        <w:tc>
          <w:tcPr>
            <w:tcW w:w="912" w:type="pct"/>
            <w:shd w:val="clear" w:color="auto" w:fill="auto"/>
            <w:noWrap w:val="0"/>
            <w:vAlign w:val="center"/>
          </w:tcPr>
          <w:p w14:paraId="54553FDC">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水溶性盐总量</w:t>
            </w:r>
          </w:p>
        </w:tc>
        <w:tc>
          <w:tcPr>
            <w:tcW w:w="440" w:type="pct"/>
            <w:shd w:val="clear" w:color="auto" w:fill="auto"/>
            <w:noWrap w:val="0"/>
            <w:vAlign w:val="center"/>
          </w:tcPr>
          <w:p w14:paraId="48CF829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g/kg</w:t>
            </w:r>
          </w:p>
        </w:tc>
        <w:tc>
          <w:tcPr>
            <w:tcW w:w="584" w:type="pct"/>
            <w:noWrap w:val="0"/>
            <w:vAlign w:val="center"/>
          </w:tcPr>
          <w:p w14:paraId="14EAD7F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shd w:val="clear" w:color="auto" w:fill="auto"/>
            <w:noWrap w:val="0"/>
            <w:vAlign w:val="center"/>
          </w:tcPr>
          <w:p w14:paraId="6798DEF2">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w:t>
            </w:r>
          </w:p>
        </w:tc>
        <w:tc>
          <w:tcPr>
            <w:tcW w:w="634" w:type="pct"/>
            <w:shd w:val="clear" w:color="auto" w:fill="auto"/>
            <w:noWrap w:val="0"/>
            <w:vAlign w:val="center"/>
          </w:tcPr>
          <w:p w14:paraId="5E54084B">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2.6</w:t>
            </w:r>
          </w:p>
        </w:tc>
        <w:tc>
          <w:tcPr>
            <w:tcW w:w="634" w:type="pct"/>
            <w:shd w:val="clear" w:color="auto" w:fill="auto"/>
            <w:noWrap w:val="0"/>
            <w:vAlign w:val="center"/>
          </w:tcPr>
          <w:p w14:paraId="6744D2D3">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3.2</w:t>
            </w:r>
          </w:p>
        </w:tc>
        <w:tc>
          <w:tcPr>
            <w:tcW w:w="659" w:type="pct"/>
            <w:noWrap w:val="0"/>
            <w:vAlign w:val="center"/>
          </w:tcPr>
          <w:p w14:paraId="53B16059">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0FCC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4315C95A">
            <w:pPr>
              <w:jc w:val="center"/>
              <w:rPr>
                <w:rFonts w:hint="eastAsia" w:eastAsia="宋体"/>
                <w:b w:val="0"/>
                <w:bCs w:val="0"/>
                <w:color w:val="auto"/>
                <w:szCs w:val="21"/>
                <w:lang w:val="en-US" w:eastAsia="zh-CN"/>
              </w:rPr>
            </w:pPr>
            <w:r>
              <w:rPr>
                <w:rFonts w:hint="eastAsia"/>
                <w:b w:val="0"/>
                <w:bCs w:val="0"/>
                <w:color w:val="auto"/>
                <w:szCs w:val="21"/>
                <w:lang w:val="en-US" w:eastAsia="zh-CN"/>
              </w:rPr>
              <w:t>3</w:t>
            </w:r>
          </w:p>
        </w:tc>
        <w:tc>
          <w:tcPr>
            <w:tcW w:w="912" w:type="pct"/>
            <w:shd w:val="clear" w:color="auto" w:fill="auto"/>
            <w:noWrap w:val="0"/>
            <w:vAlign w:val="center"/>
          </w:tcPr>
          <w:p w14:paraId="2196AA91">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石油烃</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10</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40</w:t>
            </w:r>
            <w:r>
              <w:rPr>
                <w:rFonts w:hint="default" w:ascii="Times New Roman" w:hAnsi="Times New Roman" w:eastAsia="宋体" w:cs="Times New Roman"/>
                <w:color w:val="auto"/>
                <w:kern w:val="0"/>
                <w:sz w:val="21"/>
                <w:szCs w:val="21"/>
                <w:lang w:val="en-US" w:eastAsia="zh-CN" w:bidi="ar"/>
              </w:rPr>
              <w:t>)</w:t>
            </w:r>
          </w:p>
        </w:tc>
        <w:tc>
          <w:tcPr>
            <w:tcW w:w="440" w:type="pct"/>
            <w:shd w:val="clear" w:color="auto" w:fill="auto"/>
            <w:noWrap w:val="0"/>
            <w:vAlign w:val="center"/>
          </w:tcPr>
          <w:p w14:paraId="1AB2DF17">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mg/kg</w:t>
            </w:r>
          </w:p>
        </w:tc>
        <w:tc>
          <w:tcPr>
            <w:tcW w:w="584" w:type="pct"/>
            <w:noWrap w:val="0"/>
            <w:vAlign w:val="center"/>
          </w:tcPr>
          <w:p w14:paraId="05A797C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4500</w:t>
            </w:r>
          </w:p>
        </w:tc>
        <w:tc>
          <w:tcPr>
            <w:tcW w:w="634" w:type="pct"/>
            <w:shd w:val="clear" w:color="auto" w:fill="auto"/>
            <w:noWrap w:val="0"/>
            <w:vAlign w:val="center"/>
          </w:tcPr>
          <w:p w14:paraId="2971A293">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29.4</w:t>
            </w:r>
          </w:p>
        </w:tc>
        <w:tc>
          <w:tcPr>
            <w:tcW w:w="634" w:type="pct"/>
            <w:shd w:val="clear" w:color="auto" w:fill="auto"/>
            <w:noWrap w:val="0"/>
            <w:vAlign w:val="center"/>
          </w:tcPr>
          <w:p w14:paraId="2473D603">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28.9</w:t>
            </w:r>
          </w:p>
        </w:tc>
        <w:tc>
          <w:tcPr>
            <w:tcW w:w="634" w:type="pct"/>
            <w:shd w:val="clear" w:color="auto" w:fill="auto"/>
            <w:noWrap w:val="0"/>
            <w:vAlign w:val="center"/>
          </w:tcPr>
          <w:p w14:paraId="6F4B6CD6">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31.7</w:t>
            </w:r>
          </w:p>
        </w:tc>
        <w:tc>
          <w:tcPr>
            <w:tcW w:w="1867" w:type="dxa"/>
            <w:noWrap w:val="0"/>
            <w:vAlign w:val="top"/>
          </w:tcPr>
          <w:p w14:paraId="2DE7F3B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B6C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2B8E1F2F">
            <w:pPr>
              <w:jc w:val="center"/>
              <w:rPr>
                <w:rFonts w:hint="eastAsia" w:eastAsia="宋体"/>
                <w:b w:val="0"/>
                <w:bCs w:val="0"/>
                <w:color w:val="auto"/>
                <w:szCs w:val="21"/>
                <w:lang w:val="en-US" w:eastAsia="zh-CN"/>
              </w:rPr>
            </w:pPr>
            <w:r>
              <w:rPr>
                <w:rFonts w:hint="eastAsia"/>
                <w:b w:val="0"/>
                <w:bCs w:val="0"/>
                <w:color w:val="auto"/>
                <w:szCs w:val="21"/>
                <w:lang w:val="en-US" w:eastAsia="zh-CN"/>
              </w:rPr>
              <w:t>4</w:t>
            </w:r>
          </w:p>
        </w:tc>
        <w:tc>
          <w:tcPr>
            <w:tcW w:w="912" w:type="pct"/>
            <w:shd w:val="clear" w:color="auto" w:fill="auto"/>
            <w:noWrap w:val="0"/>
            <w:vAlign w:val="center"/>
          </w:tcPr>
          <w:p w14:paraId="36F8ABFC">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汞*</w:t>
            </w:r>
          </w:p>
        </w:tc>
        <w:tc>
          <w:tcPr>
            <w:tcW w:w="440" w:type="pct"/>
            <w:shd w:val="clear" w:color="auto" w:fill="auto"/>
            <w:noWrap w:val="0"/>
            <w:vAlign w:val="center"/>
          </w:tcPr>
          <w:p w14:paraId="297C42FE">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2214AD8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38</w:t>
            </w:r>
          </w:p>
        </w:tc>
        <w:tc>
          <w:tcPr>
            <w:tcW w:w="634" w:type="pct"/>
            <w:shd w:val="clear" w:color="auto" w:fill="auto"/>
            <w:noWrap w:val="0"/>
            <w:vAlign w:val="center"/>
          </w:tcPr>
          <w:p w14:paraId="7CE713F8">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0.005</w:t>
            </w:r>
          </w:p>
        </w:tc>
        <w:tc>
          <w:tcPr>
            <w:tcW w:w="634" w:type="pct"/>
            <w:shd w:val="clear" w:color="auto" w:fill="auto"/>
            <w:noWrap w:val="0"/>
            <w:vAlign w:val="center"/>
          </w:tcPr>
          <w:p w14:paraId="23C3D275">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0.005</w:t>
            </w:r>
          </w:p>
        </w:tc>
        <w:tc>
          <w:tcPr>
            <w:tcW w:w="634" w:type="pct"/>
            <w:shd w:val="clear" w:color="auto" w:fill="auto"/>
            <w:noWrap w:val="0"/>
            <w:vAlign w:val="center"/>
          </w:tcPr>
          <w:p w14:paraId="6F4450E7">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0.006</w:t>
            </w:r>
          </w:p>
        </w:tc>
        <w:tc>
          <w:tcPr>
            <w:tcW w:w="1867" w:type="dxa"/>
            <w:noWrap w:val="0"/>
            <w:vAlign w:val="top"/>
          </w:tcPr>
          <w:p w14:paraId="47F8138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00D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5E8E1CE5">
            <w:pPr>
              <w:jc w:val="center"/>
              <w:rPr>
                <w:rFonts w:hint="eastAsia" w:eastAsia="宋体"/>
                <w:b w:val="0"/>
                <w:bCs w:val="0"/>
                <w:color w:val="auto"/>
                <w:szCs w:val="21"/>
                <w:lang w:val="en-US" w:eastAsia="zh-CN"/>
              </w:rPr>
            </w:pPr>
            <w:r>
              <w:rPr>
                <w:rFonts w:hint="eastAsia"/>
                <w:b w:val="0"/>
                <w:bCs w:val="0"/>
                <w:color w:val="auto"/>
                <w:szCs w:val="21"/>
                <w:lang w:val="en-US" w:eastAsia="zh-CN"/>
              </w:rPr>
              <w:t>5</w:t>
            </w:r>
          </w:p>
        </w:tc>
        <w:tc>
          <w:tcPr>
            <w:tcW w:w="912" w:type="pct"/>
            <w:shd w:val="clear" w:color="auto" w:fill="auto"/>
            <w:noWrap w:val="0"/>
            <w:vAlign w:val="center"/>
          </w:tcPr>
          <w:p w14:paraId="4A03B969">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砷*</w:t>
            </w:r>
          </w:p>
        </w:tc>
        <w:tc>
          <w:tcPr>
            <w:tcW w:w="440" w:type="pct"/>
            <w:shd w:val="clear" w:color="auto" w:fill="auto"/>
            <w:noWrap w:val="0"/>
            <w:vAlign w:val="center"/>
          </w:tcPr>
          <w:p w14:paraId="6F7585A0">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56E7C79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60</w:t>
            </w:r>
          </w:p>
        </w:tc>
        <w:tc>
          <w:tcPr>
            <w:tcW w:w="634" w:type="pct"/>
            <w:shd w:val="clear" w:color="auto" w:fill="auto"/>
            <w:noWrap w:val="0"/>
            <w:vAlign w:val="center"/>
          </w:tcPr>
          <w:p w14:paraId="67C9B841">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9.72</w:t>
            </w:r>
          </w:p>
        </w:tc>
        <w:tc>
          <w:tcPr>
            <w:tcW w:w="634" w:type="pct"/>
            <w:shd w:val="clear" w:color="auto" w:fill="auto"/>
            <w:noWrap w:val="0"/>
            <w:vAlign w:val="center"/>
          </w:tcPr>
          <w:p w14:paraId="28E4FF15">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9.58</w:t>
            </w:r>
          </w:p>
        </w:tc>
        <w:tc>
          <w:tcPr>
            <w:tcW w:w="634" w:type="pct"/>
            <w:shd w:val="clear" w:color="auto" w:fill="auto"/>
            <w:noWrap w:val="0"/>
            <w:vAlign w:val="center"/>
          </w:tcPr>
          <w:p w14:paraId="6160A686">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9.89</w:t>
            </w:r>
          </w:p>
        </w:tc>
        <w:tc>
          <w:tcPr>
            <w:tcW w:w="1867" w:type="dxa"/>
            <w:noWrap w:val="0"/>
            <w:vAlign w:val="top"/>
          </w:tcPr>
          <w:p w14:paraId="0995730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739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3909E50E">
            <w:pPr>
              <w:jc w:val="center"/>
              <w:rPr>
                <w:rFonts w:hint="eastAsia" w:eastAsia="宋体"/>
                <w:b w:val="0"/>
                <w:bCs w:val="0"/>
                <w:color w:val="auto"/>
                <w:szCs w:val="21"/>
                <w:lang w:val="en-US" w:eastAsia="zh-CN"/>
              </w:rPr>
            </w:pPr>
            <w:r>
              <w:rPr>
                <w:rFonts w:hint="eastAsia"/>
                <w:b w:val="0"/>
                <w:bCs w:val="0"/>
                <w:color w:val="auto"/>
                <w:szCs w:val="21"/>
                <w:lang w:val="en-US" w:eastAsia="zh-CN"/>
              </w:rPr>
              <w:t>6</w:t>
            </w:r>
          </w:p>
        </w:tc>
        <w:tc>
          <w:tcPr>
            <w:tcW w:w="912" w:type="pct"/>
            <w:shd w:val="clear" w:color="auto" w:fill="auto"/>
            <w:noWrap w:val="0"/>
            <w:vAlign w:val="center"/>
          </w:tcPr>
          <w:p w14:paraId="630C35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铜*</w:t>
            </w:r>
          </w:p>
        </w:tc>
        <w:tc>
          <w:tcPr>
            <w:tcW w:w="440" w:type="pct"/>
            <w:shd w:val="clear" w:color="auto" w:fill="auto"/>
            <w:noWrap w:val="0"/>
            <w:vAlign w:val="center"/>
          </w:tcPr>
          <w:p w14:paraId="468A86EA">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2D3D129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18000</w:t>
            </w:r>
          </w:p>
        </w:tc>
        <w:tc>
          <w:tcPr>
            <w:tcW w:w="634" w:type="pct"/>
            <w:shd w:val="clear" w:color="auto" w:fill="auto"/>
            <w:noWrap w:val="0"/>
            <w:vAlign w:val="center"/>
          </w:tcPr>
          <w:p w14:paraId="4D17B1F3">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32</w:t>
            </w:r>
          </w:p>
        </w:tc>
        <w:tc>
          <w:tcPr>
            <w:tcW w:w="634" w:type="pct"/>
            <w:shd w:val="clear" w:color="auto" w:fill="auto"/>
            <w:noWrap w:val="0"/>
            <w:vAlign w:val="center"/>
          </w:tcPr>
          <w:p w14:paraId="1217BDD7">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w:t>
            </w:r>
          </w:p>
        </w:tc>
        <w:tc>
          <w:tcPr>
            <w:tcW w:w="634" w:type="pct"/>
            <w:shd w:val="clear" w:color="auto" w:fill="auto"/>
            <w:noWrap w:val="0"/>
            <w:vAlign w:val="center"/>
          </w:tcPr>
          <w:p w14:paraId="316DA375">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34</w:t>
            </w:r>
          </w:p>
        </w:tc>
        <w:tc>
          <w:tcPr>
            <w:tcW w:w="1867" w:type="dxa"/>
            <w:noWrap w:val="0"/>
            <w:vAlign w:val="top"/>
          </w:tcPr>
          <w:p w14:paraId="43DA0B6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4F3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1F0BD7DF">
            <w:pPr>
              <w:jc w:val="center"/>
              <w:rPr>
                <w:rFonts w:hint="eastAsia" w:eastAsia="宋体"/>
                <w:b w:val="0"/>
                <w:bCs w:val="0"/>
                <w:color w:val="auto"/>
                <w:szCs w:val="21"/>
                <w:lang w:val="en-US" w:eastAsia="zh-CN"/>
              </w:rPr>
            </w:pPr>
            <w:r>
              <w:rPr>
                <w:rFonts w:hint="eastAsia"/>
                <w:b w:val="0"/>
                <w:bCs w:val="0"/>
                <w:color w:val="auto"/>
                <w:szCs w:val="21"/>
                <w:lang w:val="en-US" w:eastAsia="zh-CN"/>
              </w:rPr>
              <w:t>7</w:t>
            </w:r>
          </w:p>
        </w:tc>
        <w:tc>
          <w:tcPr>
            <w:tcW w:w="912" w:type="pct"/>
            <w:shd w:val="clear" w:color="auto" w:fill="auto"/>
            <w:noWrap w:val="0"/>
            <w:vAlign w:val="center"/>
          </w:tcPr>
          <w:p w14:paraId="6F70D7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镍*</w:t>
            </w:r>
          </w:p>
        </w:tc>
        <w:tc>
          <w:tcPr>
            <w:tcW w:w="440" w:type="pct"/>
            <w:shd w:val="clear" w:color="auto" w:fill="auto"/>
            <w:noWrap w:val="0"/>
            <w:vAlign w:val="center"/>
          </w:tcPr>
          <w:p w14:paraId="2C7F8BB5">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01C4279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634" w:type="pct"/>
            <w:shd w:val="clear" w:color="auto" w:fill="auto"/>
            <w:noWrap w:val="0"/>
            <w:vAlign w:val="center"/>
          </w:tcPr>
          <w:p w14:paraId="527F676F">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w:t>
            </w:r>
          </w:p>
        </w:tc>
        <w:tc>
          <w:tcPr>
            <w:tcW w:w="634" w:type="pct"/>
            <w:shd w:val="clear" w:color="auto" w:fill="auto"/>
            <w:noWrap w:val="0"/>
            <w:vAlign w:val="center"/>
          </w:tcPr>
          <w:p w14:paraId="57695403">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27</w:t>
            </w:r>
          </w:p>
        </w:tc>
        <w:tc>
          <w:tcPr>
            <w:tcW w:w="634" w:type="pct"/>
            <w:shd w:val="clear" w:color="auto" w:fill="auto"/>
            <w:noWrap w:val="0"/>
            <w:vAlign w:val="center"/>
          </w:tcPr>
          <w:p w14:paraId="75029EE9">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30</w:t>
            </w:r>
          </w:p>
        </w:tc>
        <w:tc>
          <w:tcPr>
            <w:tcW w:w="1867" w:type="dxa"/>
            <w:noWrap w:val="0"/>
            <w:vAlign w:val="top"/>
          </w:tcPr>
          <w:p w14:paraId="58856A2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C1E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6DD69817">
            <w:pPr>
              <w:jc w:val="center"/>
              <w:rPr>
                <w:rFonts w:hint="eastAsia" w:eastAsia="宋体"/>
                <w:b w:val="0"/>
                <w:bCs w:val="0"/>
                <w:color w:val="auto"/>
                <w:szCs w:val="21"/>
                <w:lang w:val="en-US" w:eastAsia="zh-CN"/>
              </w:rPr>
            </w:pPr>
            <w:r>
              <w:rPr>
                <w:rFonts w:hint="eastAsia"/>
                <w:b w:val="0"/>
                <w:bCs w:val="0"/>
                <w:color w:val="auto"/>
                <w:szCs w:val="21"/>
                <w:lang w:val="en-US" w:eastAsia="zh-CN"/>
              </w:rPr>
              <w:t>8</w:t>
            </w:r>
          </w:p>
        </w:tc>
        <w:tc>
          <w:tcPr>
            <w:tcW w:w="912" w:type="pct"/>
            <w:shd w:val="clear" w:color="auto" w:fill="auto"/>
            <w:noWrap w:val="0"/>
            <w:vAlign w:val="center"/>
          </w:tcPr>
          <w:p w14:paraId="1355E7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铅*</w:t>
            </w:r>
          </w:p>
        </w:tc>
        <w:tc>
          <w:tcPr>
            <w:tcW w:w="440" w:type="pct"/>
            <w:shd w:val="clear" w:color="auto" w:fill="auto"/>
            <w:noWrap w:val="0"/>
            <w:vAlign w:val="center"/>
          </w:tcPr>
          <w:p w14:paraId="4641CA64">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58B858A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800</w:t>
            </w:r>
          </w:p>
        </w:tc>
        <w:tc>
          <w:tcPr>
            <w:tcW w:w="634" w:type="pct"/>
            <w:shd w:val="clear" w:color="auto" w:fill="auto"/>
            <w:noWrap w:val="0"/>
            <w:vAlign w:val="center"/>
          </w:tcPr>
          <w:p w14:paraId="03191284">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18.6</w:t>
            </w:r>
          </w:p>
        </w:tc>
        <w:tc>
          <w:tcPr>
            <w:tcW w:w="634" w:type="pct"/>
            <w:shd w:val="clear" w:color="auto" w:fill="auto"/>
            <w:noWrap w:val="0"/>
            <w:vAlign w:val="center"/>
          </w:tcPr>
          <w:p w14:paraId="5659F69F">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18.1</w:t>
            </w:r>
          </w:p>
        </w:tc>
        <w:tc>
          <w:tcPr>
            <w:tcW w:w="634" w:type="pct"/>
            <w:shd w:val="clear" w:color="auto" w:fill="auto"/>
            <w:noWrap w:val="0"/>
            <w:vAlign w:val="center"/>
          </w:tcPr>
          <w:p w14:paraId="339DF6F1">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19.2</w:t>
            </w:r>
          </w:p>
        </w:tc>
        <w:tc>
          <w:tcPr>
            <w:tcW w:w="1867" w:type="dxa"/>
            <w:noWrap w:val="0"/>
            <w:vAlign w:val="top"/>
          </w:tcPr>
          <w:p w14:paraId="1B493B7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D9D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344DA05A">
            <w:pPr>
              <w:jc w:val="center"/>
              <w:rPr>
                <w:rFonts w:hint="eastAsia" w:eastAsia="宋体"/>
                <w:b w:val="0"/>
                <w:bCs w:val="0"/>
                <w:color w:val="auto"/>
                <w:szCs w:val="21"/>
                <w:lang w:val="en-US" w:eastAsia="zh-CN"/>
              </w:rPr>
            </w:pPr>
            <w:r>
              <w:rPr>
                <w:rFonts w:hint="eastAsia"/>
                <w:b w:val="0"/>
                <w:bCs w:val="0"/>
                <w:color w:val="auto"/>
                <w:szCs w:val="21"/>
                <w:lang w:val="en-US" w:eastAsia="zh-CN"/>
              </w:rPr>
              <w:t>9</w:t>
            </w:r>
          </w:p>
        </w:tc>
        <w:tc>
          <w:tcPr>
            <w:tcW w:w="912" w:type="pct"/>
            <w:shd w:val="clear" w:color="auto" w:fill="auto"/>
            <w:noWrap w:val="0"/>
            <w:vAlign w:val="center"/>
          </w:tcPr>
          <w:p w14:paraId="1B0A5B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镉*</w:t>
            </w:r>
          </w:p>
        </w:tc>
        <w:tc>
          <w:tcPr>
            <w:tcW w:w="440" w:type="pct"/>
            <w:shd w:val="clear" w:color="auto" w:fill="auto"/>
            <w:noWrap w:val="0"/>
            <w:vAlign w:val="center"/>
          </w:tcPr>
          <w:p w14:paraId="471AE537">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30E802E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65</w:t>
            </w:r>
          </w:p>
        </w:tc>
        <w:tc>
          <w:tcPr>
            <w:tcW w:w="634" w:type="pct"/>
            <w:shd w:val="clear" w:color="auto" w:fill="auto"/>
            <w:noWrap w:val="0"/>
            <w:vAlign w:val="center"/>
          </w:tcPr>
          <w:p w14:paraId="071071FE">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0.13</w:t>
            </w:r>
          </w:p>
        </w:tc>
        <w:tc>
          <w:tcPr>
            <w:tcW w:w="634" w:type="pct"/>
            <w:shd w:val="clear" w:color="auto" w:fill="auto"/>
            <w:noWrap w:val="0"/>
            <w:vAlign w:val="center"/>
          </w:tcPr>
          <w:p w14:paraId="789A70DA">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0.12</w:t>
            </w:r>
          </w:p>
        </w:tc>
        <w:tc>
          <w:tcPr>
            <w:tcW w:w="634" w:type="pct"/>
            <w:shd w:val="clear" w:color="auto" w:fill="auto"/>
            <w:noWrap w:val="0"/>
            <w:vAlign w:val="center"/>
          </w:tcPr>
          <w:p w14:paraId="5DF5DED2">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0.11</w:t>
            </w:r>
          </w:p>
        </w:tc>
        <w:tc>
          <w:tcPr>
            <w:tcW w:w="1867" w:type="dxa"/>
            <w:noWrap w:val="0"/>
            <w:vAlign w:val="top"/>
          </w:tcPr>
          <w:p w14:paraId="0C0C12E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1B4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7EDC85DC">
            <w:pPr>
              <w:jc w:val="center"/>
              <w:rPr>
                <w:rFonts w:hint="default"/>
                <w:b w:val="0"/>
                <w:bCs w:val="0"/>
                <w:color w:val="auto"/>
                <w:szCs w:val="21"/>
                <w:lang w:val="en-US" w:eastAsia="zh-CN"/>
              </w:rPr>
            </w:pPr>
            <w:r>
              <w:rPr>
                <w:rFonts w:hint="eastAsia"/>
                <w:b w:val="0"/>
                <w:bCs w:val="0"/>
                <w:color w:val="auto"/>
                <w:szCs w:val="21"/>
                <w:lang w:val="en-US" w:eastAsia="zh-CN"/>
              </w:rPr>
              <w:t>10</w:t>
            </w:r>
          </w:p>
        </w:tc>
        <w:tc>
          <w:tcPr>
            <w:tcW w:w="912" w:type="pct"/>
            <w:shd w:val="clear" w:color="auto" w:fill="auto"/>
            <w:noWrap w:val="0"/>
            <w:vAlign w:val="center"/>
          </w:tcPr>
          <w:p w14:paraId="2ED9FB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铬（六价）*</w:t>
            </w:r>
          </w:p>
        </w:tc>
        <w:tc>
          <w:tcPr>
            <w:tcW w:w="440" w:type="pct"/>
            <w:shd w:val="clear" w:color="auto" w:fill="auto"/>
            <w:noWrap w:val="0"/>
            <w:vAlign w:val="center"/>
          </w:tcPr>
          <w:p w14:paraId="0CB9FE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0DFC389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w:t>
            </w:r>
          </w:p>
        </w:tc>
        <w:tc>
          <w:tcPr>
            <w:tcW w:w="634" w:type="pct"/>
            <w:shd w:val="clear" w:color="auto" w:fill="auto"/>
            <w:noWrap w:val="0"/>
            <w:vAlign w:val="center"/>
          </w:tcPr>
          <w:p w14:paraId="2CE2B62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5A0FD48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7304B48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5928E3D6">
            <w:pPr>
              <w:jc w:val="center"/>
              <w:rPr>
                <w:rFonts w:hint="default" w:eastAsia="宋体"/>
                <w:b w:val="0"/>
                <w:bCs w:val="0"/>
                <w:color w:val="auto"/>
                <w:szCs w:val="21"/>
                <w:lang w:val="en-US" w:eastAsia="zh-CN"/>
              </w:rPr>
            </w:pPr>
            <w:r>
              <w:rPr>
                <w:rFonts w:hint="eastAsia"/>
                <w:b w:val="0"/>
                <w:bCs w:val="0"/>
                <w:color w:val="auto"/>
                <w:szCs w:val="21"/>
                <w:lang w:val="en-US" w:eastAsia="zh-CN"/>
              </w:rPr>
              <w:t>达标</w:t>
            </w:r>
          </w:p>
        </w:tc>
      </w:tr>
      <w:tr w14:paraId="1B92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241C6928">
            <w:pPr>
              <w:jc w:val="center"/>
              <w:rPr>
                <w:rFonts w:hint="default"/>
                <w:b w:val="0"/>
                <w:bCs w:val="0"/>
                <w:color w:val="auto"/>
                <w:szCs w:val="21"/>
                <w:lang w:val="en-US" w:eastAsia="zh-CN"/>
              </w:rPr>
            </w:pPr>
            <w:r>
              <w:rPr>
                <w:rFonts w:hint="eastAsia"/>
                <w:b w:val="0"/>
                <w:bCs w:val="0"/>
                <w:color w:val="auto"/>
                <w:szCs w:val="21"/>
                <w:lang w:val="en-US" w:eastAsia="zh-CN"/>
              </w:rPr>
              <w:t>11</w:t>
            </w:r>
          </w:p>
        </w:tc>
        <w:tc>
          <w:tcPr>
            <w:tcW w:w="912" w:type="pct"/>
            <w:shd w:val="clear" w:color="auto" w:fill="auto"/>
            <w:noWrap w:val="0"/>
            <w:vAlign w:val="center"/>
          </w:tcPr>
          <w:p w14:paraId="4E1FBF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苯胺*</w:t>
            </w:r>
          </w:p>
        </w:tc>
        <w:tc>
          <w:tcPr>
            <w:tcW w:w="440" w:type="pct"/>
            <w:shd w:val="clear" w:color="auto" w:fill="auto"/>
            <w:noWrap w:val="0"/>
            <w:vAlign w:val="center"/>
          </w:tcPr>
          <w:p w14:paraId="0D7D69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2F2F397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260</w:t>
            </w:r>
          </w:p>
        </w:tc>
        <w:tc>
          <w:tcPr>
            <w:tcW w:w="634" w:type="pct"/>
            <w:shd w:val="clear" w:color="auto" w:fill="auto"/>
            <w:noWrap w:val="0"/>
            <w:vAlign w:val="center"/>
          </w:tcPr>
          <w:p w14:paraId="03849C8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71354BA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AF400D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2814141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1BA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191D206F">
            <w:pPr>
              <w:jc w:val="center"/>
              <w:rPr>
                <w:rFonts w:hint="default"/>
                <w:b w:val="0"/>
                <w:bCs w:val="0"/>
                <w:color w:val="auto"/>
                <w:szCs w:val="21"/>
                <w:lang w:val="en-US" w:eastAsia="zh-CN"/>
              </w:rPr>
            </w:pPr>
            <w:r>
              <w:rPr>
                <w:rFonts w:hint="eastAsia"/>
                <w:b w:val="0"/>
                <w:bCs w:val="0"/>
                <w:color w:val="auto"/>
                <w:szCs w:val="21"/>
                <w:lang w:val="en-US" w:eastAsia="zh-CN"/>
              </w:rPr>
              <w:t>12</w:t>
            </w:r>
          </w:p>
        </w:tc>
        <w:tc>
          <w:tcPr>
            <w:tcW w:w="912" w:type="pct"/>
            <w:shd w:val="clear" w:color="auto" w:fill="auto"/>
            <w:noWrap w:val="0"/>
            <w:vAlign w:val="center"/>
          </w:tcPr>
          <w:p w14:paraId="4CC03D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2-氯酚*</w:t>
            </w:r>
          </w:p>
        </w:tc>
        <w:tc>
          <w:tcPr>
            <w:tcW w:w="440" w:type="pct"/>
            <w:shd w:val="clear" w:color="auto" w:fill="auto"/>
            <w:noWrap w:val="0"/>
            <w:vAlign w:val="center"/>
          </w:tcPr>
          <w:p w14:paraId="3618D6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1625055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2256</w:t>
            </w:r>
          </w:p>
        </w:tc>
        <w:tc>
          <w:tcPr>
            <w:tcW w:w="634" w:type="pct"/>
            <w:shd w:val="clear" w:color="auto" w:fill="auto"/>
            <w:noWrap w:val="0"/>
            <w:vAlign w:val="center"/>
          </w:tcPr>
          <w:p w14:paraId="54A5F54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64BA84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57AAB1E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30E7574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543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73353C89">
            <w:pPr>
              <w:jc w:val="center"/>
              <w:rPr>
                <w:rFonts w:hint="default"/>
                <w:b w:val="0"/>
                <w:bCs w:val="0"/>
                <w:color w:val="auto"/>
                <w:szCs w:val="21"/>
                <w:lang w:val="en-US" w:eastAsia="zh-CN"/>
              </w:rPr>
            </w:pPr>
            <w:r>
              <w:rPr>
                <w:rFonts w:hint="eastAsia"/>
                <w:b w:val="0"/>
                <w:bCs w:val="0"/>
                <w:color w:val="auto"/>
                <w:szCs w:val="21"/>
                <w:lang w:val="en-US" w:eastAsia="zh-CN"/>
              </w:rPr>
              <w:t>13</w:t>
            </w:r>
          </w:p>
        </w:tc>
        <w:tc>
          <w:tcPr>
            <w:tcW w:w="912" w:type="pct"/>
            <w:shd w:val="clear" w:color="auto" w:fill="auto"/>
            <w:noWrap w:val="0"/>
            <w:vAlign w:val="center"/>
          </w:tcPr>
          <w:p w14:paraId="10FC5D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硝基苯*</w:t>
            </w:r>
          </w:p>
        </w:tc>
        <w:tc>
          <w:tcPr>
            <w:tcW w:w="440" w:type="pct"/>
            <w:shd w:val="clear" w:color="auto" w:fill="auto"/>
            <w:noWrap w:val="0"/>
            <w:vAlign w:val="center"/>
          </w:tcPr>
          <w:p w14:paraId="76587E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7B6438E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76</w:t>
            </w:r>
          </w:p>
        </w:tc>
        <w:tc>
          <w:tcPr>
            <w:tcW w:w="634" w:type="pct"/>
            <w:shd w:val="clear" w:color="auto" w:fill="auto"/>
            <w:noWrap w:val="0"/>
            <w:vAlign w:val="center"/>
          </w:tcPr>
          <w:p w14:paraId="2B2389E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F883EC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50D6CC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374D41F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903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726A82F6">
            <w:pPr>
              <w:jc w:val="center"/>
              <w:rPr>
                <w:rFonts w:hint="default"/>
                <w:b w:val="0"/>
                <w:bCs w:val="0"/>
                <w:color w:val="auto"/>
                <w:szCs w:val="21"/>
                <w:lang w:val="en-US" w:eastAsia="zh-CN"/>
              </w:rPr>
            </w:pPr>
            <w:r>
              <w:rPr>
                <w:rFonts w:hint="eastAsia"/>
                <w:b w:val="0"/>
                <w:bCs w:val="0"/>
                <w:color w:val="auto"/>
                <w:szCs w:val="21"/>
                <w:lang w:val="en-US" w:eastAsia="zh-CN"/>
              </w:rPr>
              <w:t>14</w:t>
            </w:r>
          </w:p>
        </w:tc>
        <w:tc>
          <w:tcPr>
            <w:tcW w:w="912" w:type="pct"/>
            <w:shd w:val="clear" w:color="auto" w:fill="auto"/>
            <w:noWrap w:val="0"/>
            <w:vAlign w:val="center"/>
          </w:tcPr>
          <w:p w14:paraId="44CDD8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萘*</w:t>
            </w:r>
          </w:p>
        </w:tc>
        <w:tc>
          <w:tcPr>
            <w:tcW w:w="440" w:type="pct"/>
            <w:shd w:val="clear" w:color="auto" w:fill="auto"/>
            <w:noWrap w:val="0"/>
            <w:vAlign w:val="center"/>
          </w:tcPr>
          <w:p w14:paraId="6CB390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1BB6250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70</w:t>
            </w:r>
          </w:p>
        </w:tc>
        <w:tc>
          <w:tcPr>
            <w:tcW w:w="634" w:type="pct"/>
            <w:shd w:val="clear" w:color="auto" w:fill="auto"/>
            <w:noWrap w:val="0"/>
            <w:vAlign w:val="center"/>
          </w:tcPr>
          <w:p w14:paraId="71AE6BD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0EF44C4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DFB19B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54751A1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EE9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7EE3AA11">
            <w:pPr>
              <w:jc w:val="center"/>
              <w:rPr>
                <w:rFonts w:hint="default"/>
                <w:b w:val="0"/>
                <w:bCs w:val="0"/>
                <w:color w:val="auto"/>
                <w:szCs w:val="21"/>
                <w:lang w:val="en-US" w:eastAsia="zh-CN"/>
              </w:rPr>
            </w:pPr>
            <w:r>
              <w:rPr>
                <w:rFonts w:hint="eastAsia"/>
                <w:b w:val="0"/>
                <w:bCs w:val="0"/>
                <w:color w:val="auto"/>
                <w:szCs w:val="21"/>
                <w:lang w:val="en-US" w:eastAsia="zh-CN"/>
              </w:rPr>
              <w:t>15</w:t>
            </w:r>
          </w:p>
        </w:tc>
        <w:tc>
          <w:tcPr>
            <w:tcW w:w="912" w:type="pct"/>
            <w:shd w:val="clear" w:color="auto" w:fill="auto"/>
            <w:noWrap w:val="0"/>
            <w:vAlign w:val="center"/>
          </w:tcPr>
          <w:p w14:paraId="133A03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苯并(a)蒽*</w:t>
            </w:r>
          </w:p>
        </w:tc>
        <w:tc>
          <w:tcPr>
            <w:tcW w:w="440" w:type="pct"/>
            <w:shd w:val="clear" w:color="auto" w:fill="auto"/>
            <w:noWrap w:val="0"/>
            <w:vAlign w:val="center"/>
          </w:tcPr>
          <w:p w14:paraId="2071BD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6C48C09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634" w:type="pct"/>
            <w:shd w:val="clear" w:color="auto" w:fill="auto"/>
            <w:noWrap w:val="0"/>
            <w:vAlign w:val="center"/>
          </w:tcPr>
          <w:p w14:paraId="60184C9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8945F8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98D514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40A31CA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284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32655A4C">
            <w:pPr>
              <w:jc w:val="center"/>
              <w:rPr>
                <w:rFonts w:hint="default"/>
                <w:b w:val="0"/>
                <w:bCs w:val="0"/>
                <w:color w:val="auto"/>
                <w:szCs w:val="21"/>
                <w:lang w:val="en-US" w:eastAsia="zh-CN"/>
              </w:rPr>
            </w:pPr>
            <w:r>
              <w:rPr>
                <w:rFonts w:hint="eastAsia"/>
                <w:b w:val="0"/>
                <w:bCs w:val="0"/>
                <w:color w:val="auto"/>
                <w:szCs w:val="21"/>
                <w:lang w:val="en-US" w:eastAsia="zh-CN"/>
              </w:rPr>
              <w:t>16</w:t>
            </w:r>
          </w:p>
        </w:tc>
        <w:tc>
          <w:tcPr>
            <w:tcW w:w="912" w:type="pct"/>
            <w:shd w:val="clear" w:color="auto" w:fill="auto"/>
            <w:noWrap w:val="0"/>
            <w:vAlign w:val="center"/>
          </w:tcPr>
          <w:p w14:paraId="57A83BD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䓛*</w:t>
            </w:r>
          </w:p>
        </w:tc>
        <w:tc>
          <w:tcPr>
            <w:tcW w:w="440" w:type="pct"/>
            <w:shd w:val="clear" w:color="auto" w:fill="auto"/>
            <w:noWrap w:val="0"/>
            <w:vAlign w:val="center"/>
          </w:tcPr>
          <w:p w14:paraId="5FC198B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5CBC2A3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1293</w:t>
            </w:r>
          </w:p>
        </w:tc>
        <w:tc>
          <w:tcPr>
            <w:tcW w:w="634" w:type="pct"/>
            <w:shd w:val="clear" w:color="auto" w:fill="auto"/>
            <w:noWrap w:val="0"/>
            <w:vAlign w:val="center"/>
          </w:tcPr>
          <w:p w14:paraId="11EC194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7274931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D7FD66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38D6608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ABE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6BBE85F5">
            <w:pPr>
              <w:jc w:val="center"/>
              <w:rPr>
                <w:rFonts w:hint="default"/>
                <w:b w:val="0"/>
                <w:bCs w:val="0"/>
                <w:color w:val="auto"/>
                <w:szCs w:val="21"/>
                <w:lang w:val="en-US" w:eastAsia="zh-CN"/>
              </w:rPr>
            </w:pPr>
            <w:r>
              <w:rPr>
                <w:rFonts w:hint="eastAsia"/>
                <w:b w:val="0"/>
                <w:bCs w:val="0"/>
                <w:color w:val="auto"/>
                <w:szCs w:val="21"/>
                <w:lang w:val="en-US" w:eastAsia="zh-CN"/>
              </w:rPr>
              <w:t>17</w:t>
            </w:r>
          </w:p>
        </w:tc>
        <w:tc>
          <w:tcPr>
            <w:tcW w:w="912" w:type="pct"/>
            <w:shd w:val="clear" w:color="auto" w:fill="auto"/>
            <w:noWrap w:val="0"/>
            <w:vAlign w:val="center"/>
          </w:tcPr>
          <w:p w14:paraId="71EA56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苯并(b)荧蒽*</w:t>
            </w:r>
          </w:p>
        </w:tc>
        <w:tc>
          <w:tcPr>
            <w:tcW w:w="440" w:type="pct"/>
            <w:shd w:val="clear" w:color="auto" w:fill="auto"/>
            <w:noWrap w:val="0"/>
            <w:vAlign w:val="center"/>
          </w:tcPr>
          <w:p w14:paraId="26EE6D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0BFF5AF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634" w:type="pct"/>
            <w:shd w:val="clear" w:color="auto" w:fill="auto"/>
            <w:noWrap w:val="0"/>
            <w:vAlign w:val="center"/>
          </w:tcPr>
          <w:p w14:paraId="5DFFB1D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12DE7BE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6A88F8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4FD6337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7E5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6C2DD51B">
            <w:pPr>
              <w:jc w:val="center"/>
              <w:rPr>
                <w:rFonts w:hint="default"/>
                <w:b w:val="0"/>
                <w:bCs w:val="0"/>
                <w:color w:val="auto"/>
                <w:szCs w:val="21"/>
                <w:lang w:val="en-US" w:eastAsia="zh-CN"/>
              </w:rPr>
            </w:pPr>
            <w:r>
              <w:rPr>
                <w:rFonts w:hint="eastAsia"/>
                <w:b w:val="0"/>
                <w:bCs w:val="0"/>
                <w:color w:val="auto"/>
                <w:szCs w:val="21"/>
                <w:lang w:val="en-US" w:eastAsia="zh-CN"/>
              </w:rPr>
              <w:t>18</w:t>
            </w:r>
          </w:p>
        </w:tc>
        <w:tc>
          <w:tcPr>
            <w:tcW w:w="912" w:type="pct"/>
            <w:shd w:val="clear" w:color="auto" w:fill="auto"/>
            <w:noWrap w:val="0"/>
            <w:vAlign w:val="center"/>
          </w:tcPr>
          <w:p w14:paraId="43C455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苯并(k)荧蒽*</w:t>
            </w:r>
          </w:p>
        </w:tc>
        <w:tc>
          <w:tcPr>
            <w:tcW w:w="440" w:type="pct"/>
            <w:shd w:val="clear" w:color="auto" w:fill="auto"/>
            <w:noWrap w:val="0"/>
            <w:vAlign w:val="center"/>
          </w:tcPr>
          <w:p w14:paraId="345B65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77CDFA5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151</w:t>
            </w:r>
          </w:p>
        </w:tc>
        <w:tc>
          <w:tcPr>
            <w:tcW w:w="634" w:type="pct"/>
            <w:shd w:val="clear" w:color="auto" w:fill="auto"/>
            <w:noWrap w:val="0"/>
            <w:vAlign w:val="center"/>
          </w:tcPr>
          <w:p w14:paraId="3449FBF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1567A01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5337EA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70185EC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335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32129A4B">
            <w:pPr>
              <w:jc w:val="center"/>
              <w:rPr>
                <w:rFonts w:hint="default"/>
                <w:b w:val="0"/>
                <w:bCs w:val="0"/>
                <w:color w:val="auto"/>
                <w:szCs w:val="21"/>
                <w:lang w:val="en-US" w:eastAsia="zh-CN"/>
              </w:rPr>
            </w:pPr>
            <w:r>
              <w:rPr>
                <w:rFonts w:hint="eastAsia"/>
                <w:b w:val="0"/>
                <w:bCs w:val="0"/>
                <w:color w:val="auto"/>
                <w:szCs w:val="21"/>
                <w:lang w:val="en-US" w:eastAsia="zh-CN"/>
              </w:rPr>
              <w:t>19</w:t>
            </w:r>
          </w:p>
        </w:tc>
        <w:tc>
          <w:tcPr>
            <w:tcW w:w="912" w:type="pct"/>
            <w:shd w:val="clear" w:color="auto" w:fill="auto"/>
            <w:noWrap w:val="0"/>
            <w:vAlign w:val="center"/>
          </w:tcPr>
          <w:p w14:paraId="24715A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苯并(a)芘*</w:t>
            </w:r>
          </w:p>
        </w:tc>
        <w:tc>
          <w:tcPr>
            <w:tcW w:w="440" w:type="pct"/>
            <w:shd w:val="clear" w:color="auto" w:fill="auto"/>
            <w:noWrap w:val="0"/>
            <w:vAlign w:val="center"/>
          </w:tcPr>
          <w:p w14:paraId="7FCBF6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20B4ED0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634" w:type="pct"/>
            <w:shd w:val="clear" w:color="auto" w:fill="auto"/>
            <w:noWrap w:val="0"/>
            <w:vAlign w:val="center"/>
          </w:tcPr>
          <w:p w14:paraId="10C5F92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BB2F5A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212866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642CCDA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BB9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7D75226D">
            <w:pPr>
              <w:jc w:val="center"/>
              <w:rPr>
                <w:rFonts w:hint="default"/>
                <w:b w:val="0"/>
                <w:bCs w:val="0"/>
                <w:color w:val="auto"/>
                <w:szCs w:val="21"/>
                <w:lang w:val="en-US" w:eastAsia="zh-CN"/>
              </w:rPr>
            </w:pPr>
            <w:r>
              <w:rPr>
                <w:rFonts w:hint="eastAsia"/>
                <w:b w:val="0"/>
                <w:bCs w:val="0"/>
                <w:color w:val="auto"/>
                <w:szCs w:val="21"/>
                <w:lang w:val="en-US" w:eastAsia="zh-CN"/>
              </w:rPr>
              <w:t>20</w:t>
            </w:r>
          </w:p>
        </w:tc>
        <w:tc>
          <w:tcPr>
            <w:tcW w:w="912" w:type="pct"/>
            <w:shd w:val="clear" w:color="auto" w:fill="auto"/>
            <w:noWrap w:val="0"/>
            <w:vAlign w:val="center"/>
          </w:tcPr>
          <w:p w14:paraId="208223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440" w:type="pct"/>
            <w:shd w:val="clear" w:color="auto" w:fill="auto"/>
            <w:noWrap w:val="0"/>
            <w:vAlign w:val="center"/>
          </w:tcPr>
          <w:p w14:paraId="45DB4C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3ADFDCE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634" w:type="pct"/>
            <w:shd w:val="clear" w:color="auto" w:fill="auto"/>
            <w:noWrap w:val="0"/>
            <w:vAlign w:val="center"/>
          </w:tcPr>
          <w:p w14:paraId="02C2786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737DB8B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11DD9B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785E6DC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E4A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00" w:type="pct"/>
            <w:noWrap w:val="0"/>
            <w:vAlign w:val="center"/>
          </w:tcPr>
          <w:p w14:paraId="46A14801">
            <w:pPr>
              <w:jc w:val="center"/>
              <w:rPr>
                <w:rFonts w:hint="default"/>
                <w:b w:val="0"/>
                <w:bCs w:val="0"/>
                <w:color w:val="auto"/>
                <w:szCs w:val="21"/>
                <w:lang w:val="en-US" w:eastAsia="zh-CN"/>
              </w:rPr>
            </w:pPr>
            <w:r>
              <w:rPr>
                <w:rFonts w:hint="eastAsia"/>
                <w:b w:val="0"/>
                <w:bCs w:val="0"/>
                <w:color w:val="auto"/>
                <w:szCs w:val="21"/>
                <w:lang w:val="en-US" w:eastAsia="zh-CN"/>
              </w:rPr>
              <w:t>21</w:t>
            </w:r>
          </w:p>
        </w:tc>
        <w:tc>
          <w:tcPr>
            <w:tcW w:w="912" w:type="pct"/>
            <w:shd w:val="clear" w:color="auto" w:fill="auto"/>
            <w:noWrap w:val="0"/>
            <w:vAlign w:val="center"/>
          </w:tcPr>
          <w:p w14:paraId="30C77964">
            <w:pPr>
              <w:keepNext w:val="0"/>
              <w:keepLines w:val="0"/>
              <w:widowControl w:val="0"/>
              <w:suppressLineNumbers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二苯并(a,h)蒽*</w:t>
            </w:r>
          </w:p>
        </w:tc>
        <w:tc>
          <w:tcPr>
            <w:tcW w:w="440" w:type="pct"/>
            <w:shd w:val="clear" w:color="auto" w:fill="auto"/>
            <w:noWrap w:val="0"/>
            <w:vAlign w:val="center"/>
          </w:tcPr>
          <w:p w14:paraId="50DE8E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584" w:type="pct"/>
            <w:noWrap w:val="0"/>
            <w:vAlign w:val="center"/>
          </w:tcPr>
          <w:p w14:paraId="0DEC15A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634" w:type="pct"/>
            <w:shd w:val="clear" w:color="auto" w:fill="auto"/>
            <w:noWrap w:val="0"/>
            <w:vAlign w:val="center"/>
          </w:tcPr>
          <w:p w14:paraId="501DCDC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5628292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D603E2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2F7F225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A63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6BBDA44B">
            <w:pPr>
              <w:jc w:val="center"/>
              <w:rPr>
                <w:rFonts w:hint="default"/>
                <w:b w:val="0"/>
                <w:bCs w:val="0"/>
                <w:color w:val="auto"/>
                <w:szCs w:val="21"/>
                <w:lang w:val="en-US" w:eastAsia="zh-CN"/>
              </w:rPr>
            </w:pPr>
            <w:r>
              <w:rPr>
                <w:rFonts w:hint="eastAsia"/>
                <w:b w:val="0"/>
                <w:bCs w:val="0"/>
                <w:color w:val="auto"/>
                <w:szCs w:val="21"/>
                <w:lang w:val="en-US" w:eastAsia="zh-CN"/>
              </w:rPr>
              <w:t>22</w:t>
            </w:r>
          </w:p>
        </w:tc>
        <w:tc>
          <w:tcPr>
            <w:tcW w:w="912" w:type="pct"/>
            <w:shd w:val="clear" w:color="auto" w:fill="auto"/>
            <w:noWrap w:val="0"/>
            <w:vAlign w:val="center"/>
          </w:tcPr>
          <w:p w14:paraId="014C59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氯甲烷*</w:t>
            </w:r>
          </w:p>
        </w:tc>
        <w:tc>
          <w:tcPr>
            <w:tcW w:w="440" w:type="pct"/>
            <w:shd w:val="clear" w:color="auto" w:fill="auto"/>
            <w:noWrap w:val="0"/>
            <w:vAlign w:val="center"/>
          </w:tcPr>
          <w:p w14:paraId="53382B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2E063F1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37000</w:t>
            </w:r>
          </w:p>
        </w:tc>
        <w:tc>
          <w:tcPr>
            <w:tcW w:w="634" w:type="pct"/>
            <w:shd w:val="clear" w:color="auto" w:fill="auto"/>
            <w:noWrap w:val="0"/>
            <w:vAlign w:val="center"/>
          </w:tcPr>
          <w:p w14:paraId="460556E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E797C2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C7CF78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3FCCE6D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523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4C4C09BB">
            <w:pPr>
              <w:jc w:val="center"/>
              <w:rPr>
                <w:rFonts w:hint="default"/>
                <w:b w:val="0"/>
                <w:bCs w:val="0"/>
                <w:color w:val="auto"/>
                <w:szCs w:val="21"/>
                <w:lang w:val="en-US" w:eastAsia="zh-CN"/>
              </w:rPr>
            </w:pPr>
            <w:r>
              <w:rPr>
                <w:rFonts w:hint="eastAsia"/>
                <w:b w:val="0"/>
                <w:bCs w:val="0"/>
                <w:color w:val="auto"/>
                <w:szCs w:val="21"/>
                <w:lang w:val="en-US" w:eastAsia="zh-CN"/>
              </w:rPr>
              <w:t>23</w:t>
            </w:r>
          </w:p>
        </w:tc>
        <w:tc>
          <w:tcPr>
            <w:tcW w:w="912" w:type="pct"/>
            <w:shd w:val="clear" w:color="auto" w:fill="auto"/>
            <w:noWrap w:val="0"/>
            <w:vAlign w:val="center"/>
          </w:tcPr>
          <w:p w14:paraId="0DAE7B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氯乙烯*</w:t>
            </w:r>
          </w:p>
        </w:tc>
        <w:tc>
          <w:tcPr>
            <w:tcW w:w="440" w:type="pct"/>
            <w:shd w:val="clear" w:color="auto" w:fill="auto"/>
            <w:noWrap w:val="0"/>
            <w:vAlign w:val="center"/>
          </w:tcPr>
          <w:p w14:paraId="66A5B4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52939C2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430</w:t>
            </w:r>
          </w:p>
        </w:tc>
        <w:tc>
          <w:tcPr>
            <w:tcW w:w="634" w:type="pct"/>
            <w:shd w:val="clear" w:color="auto" w:fill="auto"/>
            <w:noWrap w:val="0"/>
            <w:vAlign w:val="center"/>
          </w:tcPr>
          <w:p w14:paraId="4F52769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FB6894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99CB46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244ABBC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FCF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05AA80C5">
            <w:pPr>
              <w:jc w:val="center"/>
              <w:rPr>
                <w:rFonts w:hint="default"/>
                <w:b w:val="0"/>
                <w:bCs w:val="0"/>
                <w:color w:val="auto"/>
                <w:szCs w:val="21"/>
                <w:lang w:val="en-US" w:eastAsia="zh-CN"/>
              </w:rPr>
            </w:pPr>
            <w:r>
              <w:rPr>
                <w:rFonts w:hint="eastAsia"/>
                <w:b w:val="0"/>
                <w:bCs w:val="0"/>
                <w:color w:val="auto"/>
                <w:szCs w:val="21"/>
                <w:lang w:val="en-US" w:eastAsia="zh-CN"/>
              </w:rPr>
              <w:t>24</w:t>
            </w:r>
          </w:p>
        </w:tc>
        <w:tc>
          <w:tcPr>
            <w:tcW w:w="912" w:type="pct"/>
            <w:shd w:val="clear" w:color="auto" w:fill="auto"/>
            <w:noWrap w:val="0"/>
            <w:vAlign w:val="center"/>
          </w:tcPr>
          <w:p w14:paraId="411A45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1,1-二氯乙烯*</w:t>
            </w:r>
          </w:p>
        </w:tc>
        <w:tc>
          <w:tcPr>
            <w:tcW w:w="440" w:type="pct"/>
            <w:shd w:val="clear" w:color="auto" w:fill="auto"/>
            <w:noWrap w:val="0"/>
            <w:vAlign w:val="center"/>
          </w:tcPr>
          <w:p w14:paraId="7BCDF6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0665355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66000</w:t>
            </w:r>
          </w:p>
        </w:tc>
        <w:tc>
          <w:tcPr>
            <w:tcW w:w="634" w:type="pct"/>
            <w:shd w:val="clear" w:color="auto" w:fill="auto"/>
            <w:noWrap w:val="0"/>
            <w:vAlign w:val="center"/>
          </w:tcPr>
          <w:p w14:paraId="6F7960F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102925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00E8D8F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42A0BFA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2E9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69F001C7">
            <w:pPr>
              <w:jc w:val="center"/>
              <w:rPr>
                <w:rFonts w:hint="default"/>
                <w:b w:val="0"/>
                <w:bCs w:val="0"/>
                <w:color w:val="auto"/>
                <w:szCs w:val="21"/>
                <w:lang w:val="en-US" w:eastAsia="zh-CN"/>
              </w:rPr>
            </w:pPr>
            <w:r>
              <w:rPr>
                <w:rFonts w:hint="eastAsia"/>
                <w:b w:val="0"/>
                <w:bCs w:val="0"/>
                <w:color w:val="auto"/>
                <w:szCs w:val="21"/>
                <w:lang w:val="en-US" w:eastAsia="zh-CN"/>
              </w:rPr>
              <w:t>25</w:t>
            </w:r>
          </w:p>
        </w:tc>
        <w:tc>
          <w:tcPr>
            <w:tcW w:w="912" w:type="pct"/>
            <w:shd w:val="clear" w:color="auto" w:fill="auto"/>
            <w:noWrap w:val="0"/>
            <w:vAlign w:val="center"/>
          </w:tcPr>
          <w:p w14:paraId="712333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二氯甲烷*</w:t>
            </w:r>
          </w:p>
        </w:tc>
        <w:tc>
          <w:tcPr>
            <w:tcW w:w="440" w:type="pct"/>
            <w:shd w:val="clear" w:color="auto" w:fill="auto"/>
            <w:noWrap w:val="0"/>
            <w:vAlign w:val="center"/>
          </w:tcPr>
          <w:p w14:paraId="10C982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7D69593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616000</w:t>
            </w:r>
          </w:p>
        </w:tc>
        <w:tc>
          <w:tcPr>
            <w:tcW w:w="634" w:type="pct"/>
            <w:shd w:val="clear" w:color="auto" w:fill="auto"/>
            <w:noWrap w:val="0"/>
            <w:vAlign w:val="center"/>
          </w:tcPr>
          <w:p w14:paraId="7216E26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5837D90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029F30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410A175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029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5875FE06">
            <w:pPr>
              <w:jc w:val="center"/>
              <w:rPr>
                <w:rFonts w:hint="default"/>
                <w:b w:val="0"/>
                <w:bCs w:val="0"/>
                <w:color w:val="auto"/>
                <w:szCs w:val="21"/>
                <w:lang w:val="en-US" w:eastAsia="zh-CN"/>
              </w:rPr>
            </w:pPr>
            <w:r>
              <w:rPr>
                <w:rFonts w:hint="eastAsia"/>
                <w:b w:val="0"/>
                <w:bCs w:val="0"/>
                <w:color w:val="auto"/>
                <w:szCs w:val="21"/>
                <w:lang w:val="en-US" w:eastAsia="zh-CN"/>
              </w:rPr>
              <w:t>26</w:t>
            </w:r>
          </w:p>
        </w:tc>
        <w:tc>
          <w:tcPr>
            <w:tcW w:w="912" w:type="pct"/>
            <w:shd w:val="clear" w:color="auto" w:fill="auto"/>
            <w:noWrap w:val="0"/>
            <w:vAlign w:val="center"/>
          </w:tcPr>
          <w:p w14:paraId="4A3548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反-1,2-二氯乙烯*</w:t>
            </w:r>
          </w:p>
        </w:tc>
        <w:tc>
          <w:tcPr>
            <w:tcW w:w="440" w:type="pct"/>
            <w:shd w:val="clear" w:color="auto" w:fill="auto"/>
            <w:noWrap w:val="0"/>
            <w:vAlign w:val="center"/>
          </w:tcPr>
          <w:p w14:paraId="54683F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573598F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54000</w:t>
            </w:r>
          </w:p>
        </w:tc>
        <w:tc>
          <w:tcPr>
            <w:tcW w:w="634" w:type="pct"/>
            <w:shd w:val="clear" w:color="auto" w:fill="auto"/>
            <w:noWrap w:val="0"/>
            <w:vAlign w:val="center"/>
          </w:tcPr>
          <w:p w14:paraId="2392D28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72AC2B9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EA72AB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3C26DF2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479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3DA7E6F3">
            <w:pPr>
              <w:jc w:val="center"/>
              <w:rPr>
                <w:rFonts w:hint="default"/>
                <w:b w:val="0"/>
                <w:bCs w:val="0"/>
                <w:color w:val="auto"/>
                <w:szCs w:val="21"/>
                <w:lang w:val="en-US" w:eastAsia="zh-CN"/>
              </w:rPr>
            </w:pPr>
            <w:r>
              <w:rPr>
                <w:rFonts w:hint="eastAsia"/>
                <w:b w:val="0"/>
                <w:bCs w:val="0"/>
                <w:color w:val="auto"/>
                <w:szCs w:val="21"/>
                <w:lang w:val="en-US" w:eastAsia="zh-CN"/>
              </w:rPr>
              <w:t>27</w:t>
            </w:r>
          </w:p>
        </w:tc>
        <w:tc>
          <w:tcPr>
            <w:tcW w:w="912" w:type="pct"/>
            <w:shd w:val="clear" w:color="auto" w:fill="auto"/>
            <w:noWrap w:val="0"/>
            <w:vAlign w:val="center"/>
          </w:tcPr>
          <w:p w14:paraId="144771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440" w:type="pct"/>
            <w:shd w:val="clear" w:color="auto" w:fill="auto"/>
            <w:noWrap w:val="0"/>
            <w:vAlign w:val="center"/>
          </w:tcPr>
          <w:p w14:paraId="5E3E4A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5D321EE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9000</w:t>
            </w:r>
          </w:p>
        </w:tc>
        <w:tc>
          <w:tcPr>
            <w:tcW w:w="634" w:type="pct"/>
            <w:shd w:val="clear" w:color="auto" w:fill="auto"/>
            <w:noWrap w:val="0"/>
            <w:vAlign w:val="center"/>
          </w:tcPr>
          <w:p w14:paraId="7FD05B8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BB6687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573F6EB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34CEFA0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7E9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6A7AFD0E">
            <w:pPr>
              <w:jc w:val="center"/>
              <w:rPr>
                <w:rFonts w:hint="default"/>
                <w:b w:val="0"/>
                <w:bCs w:val="0"/>
                <w:color w:val="auto"/>
                <w:szCs w:val="21"/>
                <w:lang w:val="en-US" w:eastAsia="zh-CN"/>
              </w:rPr>
            </w:pPr>
            <w:r>
              <w:rPr>
                <w:rFonts w:hint="eastAsia"/>
                <w:b w:val="0"/>
                <w:bCs w:val="0"/>
                <w:color w:val="auto"/>
                <w:szCs w:val="21"/>
                <w:lang w:val="en-US" w:eastAsia="zh-CN"/>
              </w:rPr>
              <w:t>28</w:t>
            </w:r>
          </w:p>
        </w:tc>
        <w:tc>
          <w:tcPr>
            <w:tcW w:w="912" w:type="pct"/>
            <w:shd w:val="clear" w:color="auto" w:fill="auto"/>
            <w:noWrap w:val="0"/>
            <w:vAlign w:val="center"/>
          </w:tcPr>
          <w:p w14:paraId="37A98A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顺-1,2-二氯乙烯*</w:t>
            </w:r>
          </w:p>
        </w:tc>
        <w:tc>
          <w:tcPr>
            <w:tcW w:w="440" w:type="pct"/>
            <w:shd w:val="clear" w:color="auto" w:fill="auto"/>
            <w:noWrap w:val="0"/>
            <w:vAlign w:val="center"/>
          </w:tcPr>
          <w:p w14:paraId="399EEF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43B9568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596000</w:t>
            </w:r>
          </w:p>
        </w:tc>
        <w:tc>
          <w:tcPr>
            <w:tcW w:w="634" w:type="pct"/>
            <w:shd w:val="clear" w:color="auto" w:fill="auto"/>
            <w:noWrap w:val="0"/>
            <w:vAlign w:val="center"/>
          </w:tcPr>
          <w:p w14:paraId="2E37457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B530AF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6326FB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2C26FF2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93A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2717DF2B">
            <w:pPr>
              <w:jc w:val="center"/>
              <w:rPr>
                <w:rFonts w:hint="default"/>
                <w:b w:val="0"/>
                <w:bCs w:val="0"/>
                <w:color w:val="auto"/>
                <w:szCs w:val="21"/>
                <w:lang w:val="en-US" w:eastAsia="zh-CN"/>
              </w:rPr>
            </w:pPr>
            <w:r>
              <w:rPr>
                <w:rFonts w:hint="eastAsia"/>
                <w:b w:val="0"/>
                <w:bCs w:val="0"/>
                <w:color w:val="auto"/>
                <w:szCs w:val="21"/>
                <w:lang w:val="en-US" w:eastAsia="zh-CN"/>
              </w:rPr>
              <w:t>29</w:t>
            </w:r>
          </w:p>
        </w:tc>
        <w:tc>
          <w:tcPr>
            <w:tcW w:w="912" w:type="pct"/>
            <w:shd w:val="clear" w:color="auto" w:fill="auto"/>
            <w:noWrap w:val="0"/>
            <w:vAlign w:val="center"/>
          </w:tcPr>
          <w:p w14:paraId="739290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氯仿*</w:t>
            </w:r>
          </w:p>
        </w:tc>
        <w:tc>
          <w:tcPr>
            <w:tcW w:w="440" w:type="pct"/>
            <w:shd w:val="clear" w:color="auto" w:fill="auto"/>
            <w:noWrap w:val="0"/>
            <w:vAlign w:val="center"/>
          </w:tcPr>
          <w:p w14:paraId="353F53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5745F25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634" w:type="pct"/>
            <w:shd w:val="clear" w:color="auto" w:fill="auto"/>
            <w:noWrap w:val="0"/>
            <w:vAlign w:val="center"/>
          </w:tcPr>
          <w:p w14:paraId="67B15D9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069BC83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67FE8A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76F1C43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44C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3A8B4D52">
            <w:pPr>
              <w:jc w:val="center"/>
              <w:rPr>
                <w:rFonts w:hint="default"/>
                <w:b w:val="0"/>
                <w:bCs w:val="0"/>
                <w:color w:val="auto"/>
                <w:szCs w:val="21"/>
                <w:lang w:val="en-US" w:eastAsia="zh-CN"/>
              </w:rPr>
            </w:pPr>
            <w:r>
              <w:rPr>
                <w:rFonts w:hint="eastAsia"/>
                <w:b w:val="0"/>
                <w:bCs w:val="0"/>
                <w:color w:val="auto"/>
                <w:szCs w:val="21"/>
                <w:lang w:val="en-US" w:eastAsia="zh-CN"/>
              </w:rPr>
              <w:t>30</w:t>
            </w:r>
          </w:p>
        </w:tc>
        <w:tc>
          <w:tcPr>
            <w:tcW w:w="912" w:type="pct"/>
            <w:shd w:val="clear" w:color="auto" w:fill="auto"/>
            <w:noWrap w:val="0"/>
            <w:vAlign w:val="center"/>
          </w:tcPr>
          <w:p w14:paraId="19CE3A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1,1,1-三氯乙烷*</w:t>
            </w:r>
          </w:p>
        </w:tc>
        <w:tc>
          <w:tcPr>
            <w:tcW w:w="440" w:type="pct"/>
            <w:shd w:val="clear" w:color="auto" w:fill="auto"/>
            <w:noWrap w:val="0"/>
            <w:vAlign w:val="center"/>
          </w:tcPr>
          <w:p w14:paraId="177069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4AE1036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840000</w:t>
            </w:r>
          </w:p>
        </w:tc>
        <w:tc>
          <w:tcPr>
            <w:tcW w:w="634" w:type="pct"/>
            <w:shd w:val="clear" w:color="auto" w:fill="auto"/>
            <w:noWrap w:val="0"/>
            <w:vAlign w:val="center"/>
          </w:tcPr>
          <w:p w14:paraId="7B62A4B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E1609C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045A4CF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1891AA0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042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5DF865F2">
            <w:pPr>
              <w:jc w:val="center"/>
              <w:rPr>
                <w:rFonts w:hint="default"/>
                <w:b w:val="0"/>
                <w:bCs w:val="0"/>
                <w:color w:val="auto"/>
                <w:szCs w:val="21"/>
                <w:lang w:val="en-US" w:eastAsia="zh-CN"/>
              </w:rPr>
            </w:pPr>
            <w:r>
              <w:rPr>
                <w:rFonts w:hint="eastAsia"/>
                <w:b w:val="0"/>
                <w:bCs w:val="0"/>
                <w:color w:val="auto"/>
                <w:szCs w:val="21"/>
                <w:lang w:val="en-US" w:eastAsia="zh-CN"/>
              </w:rPr>
              <w:t>31</w:t>
            </w:r>
          </w:p>
        </w:tc>
        <w:tc>
          <w:tcPr>
            <w:tcW w:w="912" w:type="pct"/>
            <w:shd w:val="clear" w:color="auto" w:fill="auto"/>
            <w:noWrap w:val="0"/>
            <w:vAlign w:val="center"/>
          </w:tcPr>
          <w:p w14:paraId="664D2F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四氯化碳*</w:t>
            </w:r>
          </w:p>
        </w:tc>
        <w:tc>
          <w:tcPr>
            <w:tcW w:w="440" w:type="pct"/>
            <w:shd w:val="clear" w:color="auto" w:fill="auto"/>
            <w:noWrap w:val="0"/>
            <w:vAlign w:val="center"/>
          </w:tcPr>
          <w:p w14:paraId="3C5F4D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7E89C2C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634" w:type="pct"/>
            <w:shd w:val="clear" w:color="auto" w:fill="auto"/>
            <w:noWrap w:val="0"/>
            <w:vAlign w:val="center"/>
          </w:tcPr>
          <w:p w14:paraId="1CE1AD2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D260C4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DD4423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65EC771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779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53E6043F">
            <w:pPr>
              <w:jc w:val="center"/>
              <w:rPr>
                <w:rFonts w:hint="default"/>
                <w:b w:val="0"/>
                <w:bCs w:val="0"/>
                <w:color w:val="auto"/>
                <w:szCs w:val="21"/>
                <w:lang w:val="en-US" w:eastAsia="zh-CN"/>
              </w:rPr>
            </w:pPr>
            <w:r>
              <w:rPr>
                <w:rFonts w:hint="eastAsia"/>
                <w:b w:val="0"/>
                <w:bCs w:val="0"/>
                <w:color w:val="auto"/>
                <w:szCs w:val="21"/>
                <w:lang w:val="en-US" w:eastAsia="zh-CN"/>
              </w:rPr>
              <w:t>32</w:t>
            </w:r>
          </w:p>
        </w:tc>
        <w:tc>
          <w:tcPr>
            <w:tcW w:w="912" w:type="pct"/>
            <w:shd w:val="clear" w:color="auto" w:fill="auto"/>
            <w:noWrap w:val="0"/>
            <w:vAlign w:val="center"/>
          </w:tcPr>
          <w:p w14:paraId="742592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w:t>
            </w:r>
          </w:p>
        </w:tc>
        <w:tc>
          <w:tcPr>
            <w:tcW w:w="440" w:type="pct"/>
            <w:shd w:val="clear" w:color="auto" w:fill="auto"/>
            <w:noWrap w:val="0"/>
            <w:vAlign w:val="center"/>
          </w:tcPr>
          <w:p w14:paraId="629D9A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713B0FA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4000</w:t>
            </w:r>
          </w:p>
        </w:tc>
        <w:tc>
          <w:tcPr>
            <w:tcW w:w="634" w:type="pct"/>
            <w:shd w:val="clear" w:color="auto" w:fill="auto"/>
            <w:noWrap w:val="0"/>
            <w:vAlign w:val="center"/>
          </w:tcPr>
          <w:p w14:paraId="388F839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AEC475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1A0CD0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60149EF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FF9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6CCB41E4">
            <w:pPr>
              <w:jc w:val="center"/>
              <w:rPr>
                <w:rFonts w:hint="default"/>
                <w:b w:val="0"/>
                <w:bCs w:val="0"/>
                <w:color w:val="auto"/>
                <w:szCs w:val="21"/>
                <w:lang w:val="en-US" w:eastAsia="zh-CN"/>
              </w:rPr>
            </w:pPr>
            <w:r>
              <w:rPr>
                <w:rFonts w:hint="eastAsia"/>
                <w:b w:val="0"/>
                <w:bCs w:val="0"/>
                <w:color w:val="auto"/>
                <w:szCs w:val="21"/>
                <w:lang w:val="en-US" w:eastAsia="zh-CN"/>
              </w:rPr>
              <w:t>33</w:t>
            </w:r>
          </w:p>
        </w:tc>
        <w:tc>
          <w:tcPr>
            <w:tcW w:w="912" w:type="pct"/>
            <w:shd w:val="clear" w:color="auto" w:fill="auto"/>
            <w:noWrap w:val="0"/>
            <w:vAlign w:val="center"/>
          </w:tcPr>
          <w:p w14:paraId="7B7DB3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1,2-二氯乙烷*</w:t>
            </w:r>
          </w:p>
        </w:tc>
        <w:tc>
          <w:tcPr>
            <w:tcW w:w="440" w:type="pct"/>
            <w:shd w:val="clear" w:color="auto" w:fill="auto"/>
            <w:noWrap w:val="0"/>
            <w:vAlign w:val="center"/>
          </w:tcPr>
          <w:p w14:paraId="4241C0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62E6F4F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634" w:type="pct"/>
            <w:shd w:val="clear" w:color="auto" w:fill="auto"/>
            <w:noWrap w:val="0"/>
            <w:vAlign w:val="center"/>
          </w:tcPr>
          <w:p w14:paraId="7DEA670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07168C8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0C945E0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4AF8B42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789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14D7F0AC">
            <w:pPr>
              <w:jc w:val="center"/>
              <w:rPr>
                <w:rFonts w:hint="default"/>
                <w:b w:val="0"/>
                <w:bCs w:val="0"/>
                <w:color w:val="auto"/>
                <w:szCs w:val="21"/>
                <w:lang w:val="en-US" w:eastAsia="zh-CN"/>
              </w:rPr>
            </w:pPr>
            <w:r>
              <w:rPr>
                <w:rFonts w:hint="eastAsia"/>
                <w:b w:val="0"/>
                <w:bCs w:val="0"/>
                <w:color w:val="auto"/>
                <w:szCs w:val="21"/>
                <w:lang w:val="en-US" w:eastAsia="zh-CN"/>
              </w:rPr>
              <w:t>34</w:t>
            </w:r>
          </w:p>
        </w:tc>
        <w:tc>
          <w:tcPr>
            <w:tcW w:w="912" w:type="pct"/>
            <w:shd w:val="clear" w:color="auto" w:fill="auto"/>
            <w:noWrap w:val="0"/>
            <w:vAlign w:val="center"/>
          </w:tcPr>
          <w:p w14:paraId="21B6C3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三氯乙烯*</w:t>
            </w:r>
          </w:p>
        </w:tc>
        <w:tc>
          <w:tcPr>
            <w:tcW w:w="440" w:type="pct"/>
            <w:shd w:val="clear" w:color="auto" w:fill="auto"/>
            <w:noWrap w:val="0"/>
            <w:vAlign w:val="center"/>
          </w:tcPr>
          <w:p w14:paraId="407311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7A8556C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634" w:type="pct"/>
            <w:shd w:val="clear" w:color="auto" w:fill="auto"/>
            <w:noWrap w:val="0"/>
            <w:vAlign w:val="center"/>
          </w:tcPr>
          <w:p w14:paraId="7552C38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61C981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082D3C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5C628BE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F33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71FF8957">
            <w:pPr>
              <w:jc w:val="center"/>
              <w:rPr>
                <w:rFonts w:hint="default"/>
                <w:b w:val="0"/>
                <w:bCs w:val="0"/>
                <w:color w:val="auto"/>
                <w:szCs w:val="21"/>
                <w:lang w:val="en-US" w:eastAsia="zh-CN"/>
              </w:rPr>
            </w:pPr>
            <w:r>
              <w:rPr>
                <w:rFonts w:hint="eastAsia"/>
                <w:b w:val="0"/>
                <w:bCs w:val="0"/>
                <w:color w:val="auto"/>
                <w:szCs w:val="21"/>
                <w:lang w:val="en-US" w:eastAsia="zh-CN"/>
              </w:rPr>
              <w:t>35</w:t>
            </w:r>
          </w:p>
        </w:tc>
        <w:tc>
          <w:tcPr>
            <w:tcW w:w="912" w:type="pct"/>
            <w:shd w:val="clear" w:color="auto" w:fill="auto"/>
            <w:noWrap w:val="0"/>
            <w:vAlign w:val="center"/>
          </w:tcPr>
          <w:p w14:paraId="196FD8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1,2-二氯丙烷*</w:t>
            </w:r>
          </w:p>
        </w:tc>
        <w:tc>
          <w:tcPr>
            <w:tcW w:w="440" w:type="pct"/>
            <w:shd w:val="clear" w:color="auto" w:fill="auto"/>
            <w:noWrap w:val="0"/>
            <w:vAlign w:val="center"/>
          </w:tcPr>
          <w:p w14:paraId="1C73B1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365CD04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634" w:type="pct"/>
            <w:shd w:val="clear" w:color="auto" w:fill="auto"/>
            <w:noWrap w:val="0"/>
            <w:vAlign w:val="center"/>
          </w:tcPr>
          <w:p w14:paraId="467C019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1EEB65C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E14D86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091A3D4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D79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1BF3A776">
            <w:pPr>
              <w:jc w:val="center"/>
              <w:rPr>
                <w:rFonts w:hint="default"/>
                <w:b w:val="0"/>
                <w:bCs w:val="0"/>
                <w:color w:val="auto"/>
                <w:szCs w:val="21"/>
                <w:lang w:val="en-US" w:eastAsia="zh-CN"/>
              </w:rPr>
            </w:pPr>
            <w:r>
              <w:rPr>
                <w:rFonts w:hint="eastAsia"/>
                <w:b w:val="0"/>
                <w:bCs w:val="0"/>
                <w:color w:val="auto"/>
                <w:szCs w:val="21"/>
                <w:lang w:val="en-US" w:eastAsia="zh-CN"/>
              </w:rPr>
              <w:t>36</w:t>
            </w:r>
          </w:p>
        </w:tc>
        <w:tc>
          <w:tcPr>
            <w:tcW w:w="912" w:type="pct"/>
            <w:shd w:val="clear" w:color="auto" w:fill="auto"/>
            <w:noWrap w:val="0"/>
            <w:vAlign w:val="center"/>
          </w:tcPr>
          <w:p w14:paraId="207C26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甲苯*</w:t>
            </w:r>
          </w:p>
        </w:tc>
        <w:tc>
          <w:tcPr>
            <w:tcW w:w="440" w:type="pct"/>
            <w:shd w:val="clear" w:color="auto" w:fill="auto"/>
            <w:noWrap w:val="0"/>
            <w:vAlign w:val="center"/>
          </w:tcPr>
          <w:p w14:paraId="444D83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5524A1B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1200000</w:t>
            </w:r>
          </w:p>
        </w:tc>
        <w:tc>
          <w:tcPr>
            <w:tcW w:w="634" w:type="pct"/>
            <w:shd w:val="clear" w:color="auto" w:fill="auto"/>
            <w:noWrap w:val="0"/>
            <w:vAlign w:val="center"/>
          </w:tcPr>
          <w:p w14:paraId="5E6AE42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61BA73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514F56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09FBDB9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9BC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7D1327C3">
            <w:pPr>
              <w:jc w:val="center"/>
              <w:rPr>
                <w:rFonts w:hint="default"/>
                <w:b w:val="0"/>
                <w:bCs w:val="0"/>
                <w:color w:val="auto"/>
                <w:szCs w:val="21"/>
                <w:lang w:val="en-US" w:eastAsia="zh-CN"/>
              </w:rPr>
            </w:pPr>
            <w:r>
              <w:rPr>
                <w:rFonts w:hint="eastAsia"/>
                <w:b w:val="0"/>
                <w:bCs w:val="0"/>
                <w:color w:val="auto"/>
                <w:szCs w:val="21"/>
                <w:lang w:val="en-US" w:eastAsia="zh-CN"/>
              </w:rPr>
              <w:t>37</w:t>
            </w:r>
          </w:p>
        </w:tc>
        <w:tc>
          <w:tcPr>
            <w:tcW w:w="912" w:type="pct"/>
            <w:shd w:val="clear" w:color="auto" w:fill="auto"/>
            <w:noWrap w:val="0"/>
            <w:vAlign w:val="center"/>
          </w:tcPr>
          <w:p w14:paraId="5FE186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440" w:type="pct"/>
            <w:shd w:val="clear" w:color="auto" w:fill="auto"/>
            <w:noWrap w:val="0"/>
            <w:vAlign w:val="center"/>
          </w:tcPr>
          <w:p w14:paraId="4CFB85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3B79ACE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634" w:type="pct"/>
            <w:shd w:val="clear" w:color="auto" w:fill="auto"/>
            <w:noWrap w:val="0"/>
            <w:vAlign w:val="center"/>
          </w:tcPr>
          <w:p w14:paraId="717EFBB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5604791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DFE664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796BD97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49F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61862274">
            <w:pPr>
              <w:jc w:val="center"/>
              <w:rPr>
                <w:rFonts w:hint="default"/>
                <w:b w:val="0"/>
                <w:bCs w:val="0"/>
                <w:color w:val="auto"/>
                <w:szCs w:val="21"/>
                <w:lang w:val="en-US" w:eastAsia="zh-CN"/>
              </w:rPr>
            </w:pPr>
            <w:r>
              <w:rPr>
                <w:rFonts w:hint="eastAsia"/>
                <w:b w:val="0"/>
                <w:bCs w:val="0"/>
                <w:color w:val="auto"/>
                <w:szCs w:val="21"/>
                <w:lang w:val="en-US" w:eastAsia="zh-CN"/>
              </w:rPr>
              <w:t>38</w:t>
            </w:r>
          </w:p>
        </w:tc>
        <w:tc>
          <w:tcPr>
            <w:tcW w:w="912" w:type="pct"/>
            <w:shd w:val="clear" w:color="auto" w:fill="auto"/>
            <w:noWrap w:val="0"/>
            <w:vAlign w:val="center"/>
          </w:tcPr>
          <w:p w14:paraId="636198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四氯乙烯*</w:t>
            </w:r>
          </w:p>
        </w:tc>
        <w:tc>
          <w:tcPr>
            <w:tcW w:w="440" w:type="pct"/>
            <w:shd w:val="clear" w:color="auto" w:fill="auto"/>
            <w:noWrap w:val="0"/>
            <w:vAlign w:val="center"/>
          </w:tcPr>
          <w:p w14:paraId="69D81B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584" w:type="pct"/>
            <w:noWrap w:val="0"/>
            <w:vAlign w:val="center"/>
          </w:tcPr>
          <w:p w14:paraId="4C7A7D4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53000</w:t>
            </w:r>
          </w:p>
        </w:tc>
        <w:tc>
          <w:tcPr>
            <w:tcW w:w="634" w:type="pct"/>
            <w:shd w:val="clear" w:color="auto" w:fill="auto"/>
            <w:noWrap w:val="0"/>
            <w:vAlign w:val="center"/>
          </w:tcPr>
          <w:p w14:paraId="4FB383C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6D0203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C75707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2265FEE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9A6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1EC03976">
            <w:pPr>
              <w:jc w:val="center"/>
              <w:rPr>
                <w:rFonts w:hint="default"/>
                <w:b w:val="0"/>
                <w:bCs w:val="0"/>
                <w:color w:val="auto"/>
                <w:szCs w:val="21"/>
                <w:lang w:val="en-US" w:eastAsia="zh-CN"/>
              </w:rPr>
            </w:pPr>
            <w:r>
              <w:rPr>
                <w:rFonts w:hint="eastAsia"/>
                <w:b w:val="0"/>
                <w:bCs w:val="0"/>
                <w:color w:val="auto"/>
                <w:szCs w:val="21"/>
                <w:lang w:val="en-US" w:eastAsia="zh-CN"/>
              </w:rPr>
              <w:t>39</w:t>
            </w:r>
          </w:p>
        </w:tc>
        <w:tc>
          <w:tcPr>
            <w:tcW w:w="912" w:type="pct"/>
            <w:shd w:val="clear" w:color="auto" w:fill="auto"/>
            <w:noWrap w:val="0"/>
            <w:vAlign w:val="center"/>
          </w:tcPr>
          <w:p w14:paraId="2C355B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氯苯*</w:t>
            </w:r>
          </w:p>
        </w:tc>
        <w:tc>
          <w:tcPr>
            <w:tcW w:w="440" w:type="pct"/>
            <w:shd w:val="clear" w:color="auto" w:fill="auto"/>
            <w:noWrap w:val="0"/>
            <w:vAlign w:val="center"/>
          </w:tcPr>
          <w:p w14:paraId="5705D0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56B549D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270000</w:t>
            </w:r>
          </w:p>
        </w:tc>
        <w:tc>
          <w:tcPr>
            <w:tcW w:w="634" w:type="pct"/>
            <w:shd w:val="clear" w:color="auto" w:fill="auto"/>
            <w:noWrap w:val="0"/>
            <w:vAlign w:val="center"/>
          </w:tcPr>
          <w:p w14:paraId="6C25DEF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1C26944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4DECB1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79BC0E9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146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3149DBB5">
            <w:pPr>
              <w:jc w:val="center"/>
              <w:rPr>
                <w:rFonts w:hint="default"/>
                <w:b w:val="0"/>
                <w:bCs w:val="0"/>
                <w:color w:val="auto"/>
                <w:szCs w:val="21"/>
                <w:lang w:val="en-US" w:eastAsia="zh-CN"/>
              </w:rPr>
            </w:pPr>
            <w:r>
              <w:rPr>
                <w:rFonts w:hint="eastAsia"/>
                <w:b w:val="0"/>
                <w:bCs w:val="0"/>
                <w:color w:val="auto"/>
                <w:szCs w:val="21"/>
                <w:lang w:val="en-US" w:eastAsia="zh-CN"/>
              </w:rPr>
              <w:t>40</w:t>
            </w:r>
          </w:p>
        </w:tc>
        <w:tc>
          <w:tcPr>
            <w:tcW w:w="912" w:type="pct"/>
            <w:shd w:val="clear" w:color="auto" w:fill="auto"/>
            <w:noWrap w:val="0"/>
            <w:vAlign w:val="center"/>
          </w:tcPr>
          <w:p w14:paraId="2B84A7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440" w:type="pct"/>
            <w:shd w:val="clear" w:color="auto" w:fill="auto"/>
            <w:noWrap w:val="0"/>
            <w:vAlign w:val="center"/>
          </w:tcPr>
          <w:p w14:paraId="6717BB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76602AB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10000</w:t>
            </w:r>
          </w:p>
        </w:tc>
        <w:tc>
          <w:tcPr>
            <w:tcW w:w="634" w:type="pct"/>
            <w:shd w:val="clear" w:color="auto" w:fill="auto"/>
            <w:noWrap w:val="0"/>
            <w:vAlign w:val="center"/>
          </w:tcPr>
          <w:p w14:paraId="7A75BA8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581F733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2786E8C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7DAB479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961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6968863F">
            <w:pPr>
              <w:jc w:val="center"/>
              <w:rPr>
                <w:rFonts w:hint="default"/>
                <w:b w:val="0"/>
                <w:bCs w:val="0"/>
                <w:color w:val="auto"/>
                <w:szCs w:val="21"/>
                <w:lang w:val="en-US" w:eastAsia="zh-CN"/>
              </w:rPr>
            </w:pPr>
            <w:r>
              <w:rPr>
                <w:rFonts w:hint="eastAsia"/>
                <w:b w:val="0"/>
                <w:bCs w:val="0"/>
                <w:color w:val="auto"/>
                <w:szCs w:val="21"/>
                <w:lang w:val="en-US" w:eastAsia="zh-CN"/>
              </w:rPr>
              <w:t>41</w:t>
            </w:r>
          </w:p>
        </w:tc>
        <w:tc>
          <w:tcPr>
            <w:tcW w:w="912" w:type="pct"/>
            <w:shd w:val="clear" w:color="auto" w:fill="auto"/>
            <w:noWrap w:val="0"/>
            <w:vAlign w:val="center"/>
          </w:tcPr>
          <w:p w14:paraId="61D3A9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乙苯*</w:t>
            </w:r>
          </w:p>
        </w:tc>
        <w:tc>
          <w:tcPr>
            <w:tcW w:w="440" w:type="pct"/>
            <w:shd w:val="clear" w:color="auto" w:fill="auto"/>
            <w:noWrap w:val="0"/>
            <w:vAlign w:val="center"/>
          </w:tcPr>
          <w:p w14:paraId="336A8E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0326F5D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28000</w:t>
            </w:r>
          </w:p>
        </w:tc>
        <w:tc>
          <w:tcPr>
            <w:tcW w:w="634" w:type="pct"/>
            <w:shd w:val="clear" w:color="auto" w:fill="auto"/>
            <w:noWrap w:val="0"/>
            <w:vAlign w:val="center"/>
          </w:tcPr>
          <w:p w14:paraId="67BF625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76D80D5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68560E1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299BF62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6B8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07F38B8E">
            <w:pPr>
              <w:jc w:val="center"/>
              <w:rPr>
                <w:rFonts w:hint="default"/>
                <w:b w:val="0"/>
                <w:bCs w:val="0"/>
                <w:color w:val="auto"/>
                <w:szCs w:val="21"/>
                <w:lang w:val="en-US" w:eastAsia="zh-CN"/>
              </w:rPr>
            </w:pPr>
            <w:r>
              <w:rPr>
                <w:rFonts w:hint="eastAsia"/>
                <w:b w:val="0"/>
                <w:bCs w:val="0"/>
                <w:color w:val="auto"/>
                <w:szCs w:val="21"/>
                <w:lang w:val="en-US" w:eastAsia="zh-CN"/>
              </w:rPr>
              <w:t>42</w:t>
            </w:r>
          </w:p>
        </w:tc>
        <w:tc>
          <w:tcPr>
            <w:tcW w:w="912" w:type="pct"/>
            <w:shd w:val="clear" w:color="auto" w:fill="auto"/>
            <w:noWrap w:val="0"/>
            <w:vAlign w:val="center"/>
          </w:tcPr>
          <w:p w14:paraId="074A490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间,对-二甲苯*</w:t>
            </w:r>
          </w:p>
        </w:tc>
        <w:tc>
          <w:tcPr>
            <w:tcW w:w="440" w:type="pct"/>
            <w:shd w:val="clear" w:color="auto" w:fill="auto"/>
            <w:noWrap w:val="0"/>
            <w:vAlign w:val="center"/>
          </w:tcPr>
          <w:p w14:paraId="4366DE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79F9C49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570000</w:t>
            </w:r>
          </w:p>
        </w:tc>
        <w:tc>
          <w:tcPr>
            <w:tcW w:w="634" w:type="pct"/>
            <w:shd w:val="clear" w:color="auto" w:fill="auto"/>
            <w:noWrap w:val="0"/>
            <w:vAlign w:val="center"/>
          </w:tcPr>
          <w:p w14:paraId="77139BD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1FDE1A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AAF705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0B68085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FB2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7A0BAA7A">
            <w:pPr>
              <w:jc w:val="center"/>
              <w:rPr>
                <w:rFonts w:hint="default"/>
                <w:b w:val="0"/>
                <w:bCs w:val="0"/>
                <w:color w:val="auto"/>
                <w:szCs w:val="21"/>
                <w:lang w:val="en-US" w:eastAsia="zh-CN"/>
              </w:rPr>
            </w:pPr>
            <w:r>
              <w:rPr>
                <w:rFonts w:hint="eastAsia"/>
                <w:b w:val="0"/>
                <w:bCs w:val="0"/>
                <w:color w:val="auto"/>
                <w:szCs w:val="21"/>
                <w:lang w:val="en-US" w:eastAsia="zh-CN"/>
              </w:rPr>
              <w:t>43</w:t>
            </w:r>
          </w:p>
        </w:tc>
        <w:tc>
          <w:tcPr>
            <w:tcW w:w="912" w:type="pct"/>
            <w:shd w:val="clear" w:color="auto" w:fill="auto"/>
            <w:noWrap w:val="0"/>
            <w:vAlign w:val="center"/>
          </w:tcPr>
          <w:p w14:paraId="410B38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邻二甲苯*</w:t>
            </w:r>
          </w:p>
        </w:tc>
        <w:tc>
          <w:tcPr>
            <w:tcW w:w="440" w:type="pct"/>
            <w:shd w:val="clear" w:color="auto" w:fill="auto"/>
            <w:noWrap w:val="0"/>
            <w:vAlign w:val="center"/>
          </w:tcPr>
          <w:p w14:paraId="3155A2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07F4695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640000</w:t>
            </w:r>
          </w:p>
        </w:tc>
        <w:tc>
          <w:tcPr>
            <w:tcW w:w="634" w:type="pct"/>
            <w:shd w:val="clear" w:color="auto" w:fill="auto"/>
            <w:noWrap w:val="0"/>
            <w:vAlign w:val="center"/>
          </w:tcPr>
          <w:p w14:paraId="14DB8D1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3DF0CE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7E6703A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5F396EB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A96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1DF5A7B7">
            <w:pPr>
              <w:jc w:val="center"/>
              <w:rPr>
                <w:rFonts w:hint="default"/>
                <w:b w:val="0"/>
                <w:bCs w:val="0"/>
                <w:color w:val="auto"/>
                <w:szCs w:val="21"/>
                <w:lang w:val="en-US" w:eastAsia="zh-CN"/>
              </w:rPr>
            </w:pPr>
            <w:r>
              <w:rPr>
                <w:rFonts w:hint="eastAsia"/>
                <w:b w:val="0"/>
                <w:bCs w:val="0"/>
                <w:color w:val="auto"/>
                <w:szCs w:val="21"/>
                <w:lang w:val="en-US" w:eastAsia="zh-CN"/>
              </w:rPr>
              <w:t>44</w:t>
            </w:r>
          </w:p>
        </w:tc>
        <w:tc>
          <w:tcPr>
            <w:tcW w:w="912" w:type="pct"/>
            <w:shd w:val="clear" w:color="auto" w:fill="auto"/>
            <w:noWrap w:val="0"/>
            <w:vAlign w:val="center"/>
          </w:tcPr>
          <w:p w14:paraId="5C15141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苯乙烯*</w:t>
            </w:r>
          </w:p>
        </w:tc>
        <w:tc>
          <w:tcPr>
            <w:tcW w:w="440" w:type="pct"/>
            <w:shd w:val="clear" w:color="auto" w:fill="auto"/>
            <w:noWrap w:val="0"/>
            <w:vAlign w:val="center"/>
          </w:tcPr>
          <w:p w14:paraId="485DFC7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700015F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1290000</w:t>
            </w:r>
          </w:p>
        </w:tc>
        <w:tc>
          <w:tcPr>
            <w:tcW w:w="634" w:type="pct"/>
            <w:shd w:val="clear" w:color="auto" w:fill="auto"/>
            <w:noWrap w:val="0"/>
            <w:vAlign w:val="center"/>
          </w:tcPr>
          <w:p w14:paraId="4902694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1424A7C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889EA1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1C48294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533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32DACF78">
            <w:pPr>
              <w:jc w:val="center"/>
              <w:rPr>
                <w:rFonts w:hint="default"/>
                <w:b w:val="0"/>
                <w:bCs w:val="0"/>
                <w:color w:val="auto"/>
                <w:szCs w:val="21"/>
                <w:lang w:val="en-US" w:eastAsia="zh-CN"/>
              </w:rPr>
            </w:pPr>
            <w:r>
              <w:rPr>
                <w:rFonts w:hint="eastAsia"/>
                <w:b w:val="0"/>
                <w:bCs w:val="0"/>
                <w:color w:val="auto"/>
                <w:szCs w:val="21"/>
                <w:lang w:val="en-US" w:eastAsia="zh-CN"/>
              </w:rPr>
              <w:t>45</w:t>
            </w:r>
          </w:p>
        </w:tc>
        <w:tc>
          <w:tcPr>
            <w:tcW w:w="912" w:type="pct"/>
            <w:shd w:val="clear" w:color="auto" w:fill="auto"/>
            <w:noWrap w:val="0"/>
            <w:vAlign w:val="center"/>
          </w:tcPr>
          <w:p w14:paraId="5DEFF5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1,1,2,2-四氯乙烷*</w:t>
            </w:r>
          </w:p>
        </w:tc>
        <w:tc>
          <w:tcPr>
            <w:tcW w:w="440" w:type="pct"/>
            <w:shd w:val="clear" w:color="auto" w:fill="auto"/>
            <w:noWrap w:val="0"/>
            <w:vAlign w:val="center"/>
          </w:tcPr>
          <w:p w14:paraId="3E415E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15DF822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6800</w:t>
            </w:r>
          </w:p>
        </w:tc>
        <w:tc>
          <w:tcPr>
            <w:tcW w:w="634" w:type="pct"/>
            <w:shd w:val="clear" w:color="auto" w:fill="auto"/>
            <w:noWrap w:val="0"/>
            <w:vAlign w:val="center"/>
          </w:tcPr>
          <w:p w14:paraId="394EA53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1C608D2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4AF4361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5ACA046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680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727A4D8A">
            <w:pPr>
              <w:jc w:val="center"/>
              <w:rPr>
                <w:rFonts w:hint="default"/>
                <w:b w:val="0"/>
                <w:bCs w:val="0"/>
                <w:color w:val="auto"/>
                <w:szCs w:val="21"/>
                <w:lang w:val="en-US" w:eastAsia="zh-CN"/>
              </w:rPr>
            </w:pPr>
            <w:r>
              <w:rPr>
                <w:rFonts w:hint="eastAsia"/>
                <w:b w:val="0"/>
                <w:bCs w:val="0"/>
                <w:color w:val="auto"/>
                <w:szCs w:val="21"/>
                <w:lang w:val="en-US" w:eastAsia="zh-CN"/>
              </w:rPr>
              <w:t>46</w:t>
            </w:r>
          </w:p>
        </w:tc>
        <w:tc>
          <w:tcPr>
            <w:tcW w:w="912" w:type="pct"/>
            <w:shd w:val="clear" w:color="auto" w:fill="auto"/>
            <w:noWrap w:val="0"/>
            <w:vAlign w:val="center"/>
          </w:tcPr>
          <w:p w14:paraId="5E69C6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1,2,3-三氯丙烷*</w:t>
            </w:r>
          </w:p>
        </w:tc>
        <w:tc>
          <w:tcPr>
            <w:tcW w:w="440" w:type="pct"/>
            <w:shd w:val="clear" w:color="auto" w:fill="auto"/>
            <w:noWrap w:val="0"/>
            <w:vAlign w:val="center"/>
          </w:tcPr>
          <w:p w14:paraId="1606DE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507D801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634" w:type="pct"/>
            <w:shd w:val="clear" w:color="auto" w:fill="auto"/>
            <w:noWrap w:val="0"/>
            <w:vAlign w:val="center"/>
          </w:tcPr>
          <w:p w14:paraId="448313A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1D34F01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1D9738D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4796353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E85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14:paraId="285EFD12">
            <w:pPr>
              <w:jc w:val="center"/>
              <w:rPr>
                <w:rFonts w:hint="default"/>
                <w:b w:val="0"/>
                <w:bCs w:val="0"/>
                <w:color w:val="auto"/>
                <w:szCs w:val="21"/>
                <w:lang w:val="en-US" w:eastAsia="zh-CN"/>
              </w:rPr>
            </w:pPr>
            <w:r>
              <w:rPr>
                <w:rFonts w:hint="eastAsia"/>
                <w:b w:val="0"/>
                <w:bCs w:val="0"/>
                <w:color w:val="auto"/>
                <w:szCs w:val="21"/>
                <w:lang w:val="en-US" w:eastAsia="zh-CN"/>
              </w:rPr>
              <w:t>47</w:t>
            </w:r>
          </w:p>
        </w:tc>
        <w:tc>
          <w:tcPr>
            <w:tcW w:w="912" w:type="pct"/>
            <w:shd w:val="clear" w:color="auto" w:fill="auto"/>
            <w:noWrap w:val="0"/>
            <w:vAlign w:val="center"/>
          </w:tcPr>
          <w:p w14:paraId="5C92BD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1,4-二氯苯*</w:t>
            </w:r>
          </w:p>
        </w:tc>
        <w:tc>
          <w:tcPr>
            <w:tcW w:w="440" w:type="pct"/>
            <w:shd w:val="clear" w:color="auto" w:fill="auto"/>
            <w:noWrap w:val="0"/>
            <w:vAlign w:val="center"/>
          </w:tcPr>
          <w:p w14:paraId="4140B1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584" w:type="pct"/>
            <w:noWrap w:val="0"/>
            <w:vAlign w:val="center"/>
          </w:tcPr>
          <w:p w14:paraId="6A554DC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20000</w:t>
            </w:r>
          </w:p>
        </w:tc>
        <w:tc>
          <w:tcPr>
            <w:tcW w:w="634" w:type="pct"/>
            <w:shd w:val="clear" w:color="auto" w:fill="auto"/>
            <w:noWrap w:val="0"/>
            <w:vAlign w:val="center"/>
          </w:tcPr>
          <w:p w14:paraId="5BDE0E4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753D6B4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34" w:type="pct"/>
            <w:shd w:val="clear" w:color="auto" w:fill="auto"/>
            <w:noWrap w:val="0"/>
            <w:vAlign w:val="center"/>
          </w:tcPr>
          <w:p w14:paraId="3EC081B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659" w:type="pct"/>
            <w:noWrap w:val="0"/>
            <w:vAlign w:val="center"/>
          </w:tcPr>
          <w:p w14:paraId="42A5F44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EB1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47702DC9">
            <w:pPr>
              <w:jc w:val="center"/>
              <w:rPr>
                <w:rFonts w:hint="default"/>
                <w:b w:val="0"/>
                <w:bCs w:val="0"/>
                <w:color w:val="auto"/>
                <w:szCs w:val="21"/>
                <w:lang w:val="en-US" w:eastAsia="zh-CN"/>
              </w:rPr>
            </w:pPr>
            <w:r>
              <w:rPr>
                <w:rFonts w:hint="eastAsia"/>
                <w:b w:val="0"/>
                <w:bCs w:val="0"/>
                <w:color w:val="auto"/>
                <w:szCs w:val="21"/>
                <w:lang w:val="en-US" w:eastAsia="zh-CN"/>
              </w:rPr>
              <w:t>48</w:t>
            </w:r>
          </w:p>
        </w:tc>
        <w:tc>
          <w:tcPr>
            <w:tcW w:w="0" w:type="auto"/>
            <w:shd w:val="clear" w:color="auto" w:fill="auto"/>
            <w:vAlign w:val="center"/>
          </w:tcPr>
          <w:p w14:paraId="0A38D1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1,2-二氯苯*</w:t>
            </w:r>
          </w:p>
        </w:tc>
        <w:tc>
          <w:tcPr>
            <w:tcW w:w="0" w:type="auto"/>
            <w:shd w:val="clear" w:color="auto" w:fill="auto"/>
            <w:vAlign w:val="center"/>
          </w:tcPr>
          <w:p w14:paraId="406667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tcPr>
          <w:p w14:paraId="7239C78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560000</w:t>
            </w:r>
          </w:p>
        </w:tc>
        <w:tc>
          <w:tcPr>
            <w:tcW w:w="0" w:type="auto"/>
            <w:shd w:val="clear" w:color="auto" w:fill="auto"/>
            <w:vAlign w:val="center"/>
          </w:tcPr>
          <w:p w14:paraId="36C230F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0" w:type="auto"/>
            <w:shd w:val="clear" w:color="auto" w:fill="auto"/>
            <w:vAlign w:val="center"/>
          </w:tcPr>
          <w:p w14:paraId="46F9928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0" w:type="auto"/>
            <w:shd w:val="clear" w:color="auto" w:fill="auto"/>
            <w:vAlign w:val="center"/>
          </w:tcPr>
          <w:p w14:paraId="1AE5111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ND</w:t>
            </w:r>
          </w:p>
        </w:tc>
        <w:tc>
          <w:tcPr>
            <w:tcW w:w="0" w:type="auto"/>
          </w:tcPr>
          <w:p w14:paraId="38002D2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790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172D783D">
            <w:pPr>
              <w:jc w:val="center"/>
              <w:rPr>
                <w:rFonts w:hint="default"/>
                <w:b w:val="0"/>
                <w:bCs w:val="0"/>
                <w:color w:val="auto"/>
                <w:szCs w:val="21"/>
                <w:lang w:val="en-US" w:eastAsia="zh-CN"/>
              </w:rPr>
            </w:pPr>
            <w:r>
              <w:rPr>
                <w:rFonts w:hint="eastAsia"/>
                <w:b w:val="0"/>
                <w:bCs w:val="0"/>
                <w:color w:val="auto"/>
                <w:szCs w:val="21"/>
                <w:lang w:val="en-US" w:eastAsia="zh-CN"/>
              </w:rPr>
              <w:t>49</w:t>
            </w:r>
          </w:p>
        </w:tc>
        <w:tc>
          <w:tcPr>
            <w:tcW w:w="0" w:type="auto"/>
            <w:shd w:val="clear" w:color="auto" w:fill="auto"/>
            <w:vAlign w:val="center"/>
          </w:tcPr>
          <w:p w14:paraId="773FD09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水分</w:t>
            </w:r>
          </w:p>
        </w:tc>
        <w:tc>
          <w:tcPr>
            <w:tcW w:w="0" w:type="auto"/>
            <w:shd w:val="clear" w:color="auto" w:fill="auto"/>
            <w:vAlign w:val="center"/>
          </w:tcPr>
          <w:p w14:paraId="3B015162">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0" w:type="auto"/>
          </w:tcPr>
          <w:p w14:paraId="6783870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29EF7E29">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3.1</w:t>
            </w:r>
          </w:p>
        </w:tc>
        <w:tc>
          <w:tcPr>
            <w:tcW w:w="0" w:type="auto"/>
            <w:shd w:val="clear" w:color="auto" w:fill="auto"/>
            <w:vAlign w:val="center"/>
          </w:tcPr>
          <w:p w14:paraId="770BFEE9">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3.5</w:t>
            </w:r>
          </w:p>
        </w:tc>
        <w:tc>
          <w:tcPr>
            <w:tcW w:w="0" w:type="auto"/>
            <w:shd w:val="clear" w:color="auto" w:fill="auto"/>
            <w:vAlign w:val="center"/>
          </w:tcPr>
          <w:p w14:paraId="7EE12CD9">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4.1</w:t>
            </w:r>
          </w:p>
        </w:tc>
        <w:tc>
          <w:tcPr>
            <w:tcW w:w="0" w:type="auto"/>
          </w:tcPr>
          <w:p w14:paraId="66E19E5D">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r w14:paraId="7A73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5467DD39">
            <w:pPr>
              <w:jc w:val="center"/>
              <w:rPr>
                <w:rFonts w:hint="default"/>
                <w:b w:val="0"/>
                <w:bCs w:val="0"/>
                <w:color w:val="auto"/>
                <w:szCs w:val="21"/>
                <w:lang w:val="en-US" w:eastAsia="zh-CN"/>
              </w:rPr>
            </w:pPr>
            <w:r>
              <w:rPr>
                <w:rFonts w:hint="eastAsia"/>
                <w:b w:val="0"/>
                <w:bCs w:val="0"/>
                <w:color w:val="auto"/>
                <w:szCs w:val="21"/>
                <w:lang w:val="en-US" w:eastAsia="zh-CN"/>
              </w:rPr>
              <w:t>50</w:t>
            </w:r>
          </w:p>
        </w:tc>
        <w:tc>
          <w:tcPr>
            <w:tcW w:w="0" w:type="auto"/>
            <w:shd w:val="clear" w:color="auto" w:fill="auto"/>
            <w:vAlign w:val="center"/>
          </w:tcPr>
          <w:p w14:paraId="6ED3F2BF">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干物质</w:t>
            </w:r>
          </w:p>
        </w:tc>
        <w:tc>
          <w:tcPr>
            <w:tcW w:w="0" w:type="auto"/>
            <w:shd w:val="clear" w:color="auto" w:fill="auto"/>
            <w:vAlign w:val="center"/>
          </w:tcPr>
          <w:p w14:paraId="509392BC">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0" w:type="auto"/>
          </w:tcPr>
          <w:p w14:paraId="61A3ED7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3B64E14C">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97.2</w:t>
            </w:r>
          </w:p>
        </w:tc>
        <w:tc>
          <w:tcPr>
            <w:tcW w:w="0" w:type="auto"/>
            <w:shd w:val="clear" w:color="auto" w:fill="auto"/>
            <w:vAlign w:val="center"/>
          </w:tcPr>
          <w:p w14:paraId="21FFE5CD">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96.9</w:t>
            </w:r>
          </w:p>
        </w:tc>
        <w:tc>
          <w:tcPr>
            <w:tcW w:w="0" w:type="auto"/>
            <w:shd w:val="clear" w:color="auto" w:fill="auto"/>
            <w:vAlign w:val="center"/>
          </w:tcPr>
          <w:p w14:paraId="18E8398C">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96.3</w:t>
            </w:r>
          </w:p>
        </w:tc>
        <w:tc>
          <w:tcPr>
            <w:tcW w:w="0" w:type="auto"/>
          </w:tcPr>
          <w:p w14:paraId="79A4ED03">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bl>
    <w:p w14:paraId="5BAA35A2">
      <w:pPr>
        <w:pStyle w:val="32"/>
        <w:bidi w:val="0"/>
        <w:rPr>
          <w:rFonts w:hint="default"/>
          <w:color w:val="auto"/>
          <w:lang w:val="en-US" w:eastAsia="zh-CN"/>
        </w:rPr>
      </w:pPr>
      <w:r>
        <w:rPr>
          <w:rFonts w:hint="eastAsia"/>
          <w:color w:val="auto"/>
          <w:lang w:val="en-US" w:eastAsia="zh-CN"/>
        </w:rPr>
        <w:t>表4.2-14（b）  土壤监测结果一览表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584"/>
        <w:gridCol w:w="1247"/>
        <w:gridCol w:w="1655"/>
        <w:gridCol w:w="1797"/>
        <w:gridCol w:w="1797"/>
        <w:gridCol w:w="1799"/>
        <w:gridCol w:w="1867"/>
      </w:tblGrid>
      <w:tr w14:paraId="6E7C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restart"/>
            <w:noWrap w:val="0"/>
            <w:vAlign w:val="center"/>
          </w:tcPr>
          <w:p w14:paraId="03939F46">
            <w:pPr>
              <w:jc w:val="center"/>
              <w:rPr>
                <w:rFonts w:hint="eastAsia" w:eastAsia="宋体"/>
                <w:b/>
                <w:bCs/>
                <w:color w:val="auto"/>
                <w:szCs w:val="21"/>
                <w:lang w:val="en-US" w:eastAsia="zh-CN"/>
              </w:rPr>
            </w:pPr>
            <w:r>
              <w:rPr>
                <w:rFonts w:hint="eastAsia"/>
                <w:b/>
                <w:bCs/>
                <w:color w:val="auto"/>
                <w:szCs w:val="21"/>
                <w:lang w:val="en-US" w:eastAsia="zh-CN"/>
              </w:rPr>
              <w:t>序号</w:t>
            </w:r>
          </w:p>
        </w:tc>
        <w:tc>
          <w:tcPr>
            <w:tcW w:w="912" w:type="pct"/>
            <w:vMerge w:val="restart"/>
            <w:noWrap w:val="0"/>
            <w:vAlign w:val="center"/>
          </w:tcPr>
          <w:p w14:paraId="055A3BB8">
            <w:pPr>
              <w:jc w:val="center"/>
              <w:rPr>
                <w:b/>
                <w:bCs/>
                <w:color w:val="auto"/>
                <w:szCs w:val="21"/>
              </w:rPr>
            </w:pPr>
            <w:r>
              <w:rPr>
                <w:b/>
                <w:bCs/>
                <w:color w:val="auto"/>
                <w:szCs w:val="21"/>
              </w:rPr>
              <w:t>检测项目</w:t>
            </w:r>
          </w:p>
        </w:tc>
        <w:tc>
          <w:tcPr>
            <w:tcW w:w="440" w:type="pct"/>
            <w:vMerge w:val="restart"/>
            <w:noWrap w:val="0"/>
            <w:vAlign w:val="center"/>
          </w:tcPr>
          <w:p w14:paraId="669E189B">
            <w:pPr>
              <w:jc w:val="center"/>
              <w:rPr>
                <w:b/>
                <w:bCs/>
                <w:color w:val="auto"/>
                <w:szCs w:val="21"/>
              </w:rPr>
            </w:pPr>
            <w:r>
              <w:rPr>
                <w:b/>
                <w:bCs/>
                <w:color w:val="auto"/>
                <w:szCs w:val="21"/>
              </w:rPr>
              <w:t>单位</w:t>
            </w:r>
          </w:p>
        </w:tc>
        <w:tc>
          <w:tcPr>
            <w:tcW w:w="584" w:type="pct"/>
            <w:vMerge w:val="restart"/>
            <w:noWrap w:val="0"/>
            <w:vAlign w:val="center"/>
          </w:tcPr>
          <w:p w14:paraId="27CDA692">
            <w:pPr>
              <w:jc w:val="center"/>
              <w:rPr>
                <w:rFonts w:hint="eastAsia" w:ascii="Times New Roman" w:hAnsi="Times New Roman" w:eastAsia="宋体" w:cs="Times New Roman"/>
                <w:b/>
                <w:bCs/>
                <w:color w:val="auto"/>
                <w:kern w:val="2"/>
                <w:sz w:val="21"/>
                <w:szCs w:val="21"/>
                <w:lang w:val="en-US" w:eastAsia="zh-CN" w:bidi="ar-SA"/>
              </w:rPr>
            </w:pPr>
            <w:r>
              <w:rPr>
                <w:b/>
                <w:bCs/>
                <w:color w:val="auto"/>
                <w:szCs w:val="21"/>
              </w:rPr>
              <w:t>标准限值</w:t>
            </w:r>
            <w:r>
              <w:rPr>
                <w:rFonts w:hint="eastAsia"/>
                <w:b/>
                <w:bCs/>
                <w:color w:val="auto"/>
                <w:szCs w:val="21"/>
                <w:lang w:eastAsia="zh-CN"/>
              </w:rPr>
              <w:t>（</w:t>
            </w:r>
            <w:r>
              <w:rPr>
                <w:rFonts w:hint="eastAsia"/>
                <w:b/>
                <w:bCs/>
                <w:color w:val="auto"/>
                <w:szCs w:val="21"/>
                <w:lang w:val="en-US" w:eastAsia="zh-CN"/>
              </w:rPr>
              <w:t>第二类用地筛选值</w:t>
            </w:r>
            <w:r>
              <w:rPr>
                <w:rFonts w:hint="eastAsia"/>
                <w:b/>
                <w:bCs/>
                <w:color w:val="auto"/>
                <w:szCs w:val="21"/>
                <w:lang w:eastAsia="zh-CN"/>
              </w:rPr>
              <w:t>）</w:t>
            </w:r>
          </w:p>
        </w:tc>
        <w:tc>
          <w:tcPr>
            <w:tcW w:w="1903" w:type="pct"/>
            <w:gridSpan w:val="3"/>
            <w:noWrap w:val="0"/>
            <w:vAlign w:val="center"/>
          </w:tcPr>
          <w:p w14:paraId="02517157">
            <w:pPr>
              <w:jc w:val="center"/>
              <w:rPr>
                <w:rFonts w:hint="default" w:eastAsia="宋体"/>
                <w:b/>
                <w:bCs/>
                <w:color w:val="auto"/>
                <w:szCs w:val="21"/>
                <w:lang w:val="en-US" w:eastAsia="zh-CN"/>
              </w:rPr>
            </w:pPr>
            <w:r>
              <w:rPr>
                <w:rFonts w:hint="eastAsia"/>
                <w:b/>
                <w:bCs/>
                <w:color w:val="auto"/>
                <w:szCs w:val="21"/>
                <w:lang w:val="en-US" w:eastAsia="zh-CN"/>
              </w:rPr>
              <w:t>T2柱状样监测结果（占地范围内）</w:t>
            </w:r>
          </w:p>
        </w:tc>
        <w:tc>
          <w:tcPr>
            <w:tcW w:w="659" w:type="pct"/>
            <w:vMerge w:val="restart"/>
            <w:noWrap w:val="0"/>
            <w:vAlign w:val="center"/>
          </w:tcPr>
          <w:p w14:paraId="677338DD">
            <w:pPr>
              <w:jc w:val="center"/>
              <w:rPr>
                <w:rFonts w:hint="eastAsia" w:eastAsia="宋体"/>
                <w:color w:val="auto"/>
                <w:szCs w:val="21"/>
                <w:lang w:val="en-US" w:eastAsia="zh-CN"/>
              </w:rPr>
            </w:pPr>
            <w:r>
              <w:rPr>
                <w:rFonts w:hint="eastAsia"/>
                <w:b/>
                <w:bCs/>
                <w:color w:val="auto"/>
                <w:szCs w:val="21"/>
                <w:lang w:val="en-US" w:eastAsia="zh-CN"/>
              </w:rPr>
              <w:t>达标情况</w:t>
            </w:r>
          </w:p>
        </w:tc>
      </w:tr>
      <w:tr w14:paraId="515D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continue"/>
            <w:noWrap w:val="0"/>
            <w:vAlign w:val="center"/>
          </w:tcPr>
          <w:p w14:paraId="43555059">
            <w:pPr>
              <w:jc w:val="center"/>
              <w:rPr>
                <w:b/>
                <w:bCs/>
                <w:color w:val="auto"/>
                <w:szCs w:val="21"/>
              </w:rPr>
            </w:pPr>
          </w:p>
        </w:tc>
        <w:tc>
          <w:tcPr>
            <w:tcW w:w="912" w:type="pct"/>
            <w:vMerge w:val="continue"/>
            <w:noWrap w:val="0"/>
            <w:vAlign w:val="center"/>
          </w:tcPr>
          <w:p w14:paraId="03052939">
            <w:pPr>
              <w:jc w:val="center"/>
              <w:rPr>
                <w:b/>
                <w:bCs/>
                <w:color w:val="auto"/>
                <w:szCs w:val="21"/>
              </w:rPr>
            </w:pPr>
          </w:p>
        </w:tc>
        <w:tc>
          <w:tcPr>
            <w:tcW w:w="440" w:type="pct"/>
            <w:vMerge w:val="continue"/>
            <w:noWrap w:val="0"/>
            <w:vAlign w:val="center"/>
          </w:tcPr>
          <w:p w14:paraId="1B52E37C">
            <w:pPr>
              <w:jc w:val="center"/>
              <w:rPr>
                <w:b/>
                <w:bCs/>
                <w:color w:val="auto"/>
                <w:szCs w:val="21"/>
              </w:rPr>
            </w:pPr>
          </w:p>
        </w:tc>
        <w:tc>
          <w:tcPr>
            <w:tcW w:w="584" w:type="pct"/>
            <w:vMerge w:val="continue"/>
            <w:noWrap w:val="0"/>
            <w:vAlign w:val="center"/>
          </w:tcPr>
          <w:p w14:paraId="3538B8CD">
            <w:pPr>
              <w:jc w:val="center"/>
              <w:rPr>
                <w:rFonts w:ascii="Times New Roman" w:hAnsi="Times New Roman" w:eastAsia="宋体" w:cs="Times New Roman"/>
                <w:b/>
                <w:bCs/>
                <w:color w:val="auto"/>
                <w:kern w:val="2"/>
                <w:sz w:val="21"/>
                <w:szCs w:val="21"/>
                <w:lang w:val="en-US" w:eastAsia="zh-CN" w:bidi="ar-SA"/>
              </w:rPr>
            </w:pPr>
          </w:p>
        </w:tc>
        <w:tc>
          <w:tcPr>
            <w:tcW w:w="634" w:type="pct"/>
            <w:noWrap w:val="0"/>
            <w:vAlign w:val="center"/>
          </w:tcPr>
          <w:p w14:paraId="0D074973">
            <w:pPr>
              <w:jc w:val="center"/>
              <w:rPr>
                <w:b/>
                <w:bCs/>
                <w:color w:val="auto"/>
                <w:szCs w:val="21"/>
              </w:rPr>
            </w:pPr>
            <w:r>
              <w:rPr>
                <w:rFonts w:hint="eastAsia"/>
                <w:b/>
                <w:bCs/>
                <w:color w:val="auto"/>
                <w:szCs w:val="21"/>
                <w:lang w:val="en-US" w:eastAsia="zh-CN"/>
              </w:rPr>
              <w:t>T2-1</w:t>
            </w:r>
            <w:r>
              <w:rPr>
                <w:b/>
                <w:bCs/>
                <w:color w:val="auto"/>
                <w:szCs w:val="21"/>
              </w:rPr>
              <w:t>监测结果</w:t>
            </w:r>
          </w:p>
        </w:tc>
        <w:tc>
          <w:tcPr>
            <w:tcW w:w="634" w:type="pct"/>
            <w:noWrap w:val="0"/>
            <w:vAlign w:val="center"/>
          </w:tcPr>
          <w:p w14:paraId="28DC775B">
            <w:pPr>
              <w:jc w:val="center"/>
              <w:rPr>
                <w:b/>
                <w:bCs/>
                <w:color w:val="auto"/>
                <w:szCs w:val="21"/>
              </w:rPr>
            </w:pPr>
            <w:r>
              <w:rPr>
                <w:rFonts w:hint="eastAsia"/>
                <w:b/>
                <w:bCs/>
                <w:color w:val="auto"/>
                <w:szCs w:val="21"/>
                <w:lang w:val="en-US" w:eastAsia="zh-CN"/>
              </w:rPr>
              <w:t>T2-2</w:t>
            </w:r>
            <w:r>
              <w:rPr>
                <w:b/>
                <w:bCs/>
                <w:color w:val="auto"/>
                <w:szCs w:val="21"/>
              </w:rPr>
              <w:t>监测结果</w:t>
            </w:r>
          </w:p>
        </w:tc>
        <w:tc>
          <w:tcPr>
            <w:tcW w:w="635" w:type="pct"/>
            <w:noWrap w:val="0"/>
            <w:vAlign w:val="center"/>
          </w:tcPr>
          <w:p w14:paraId="5F49F64A">
            <w:pPr>
              <w:jc w:val="center"/>
              <w:rPr>
                <w:rFonts w:hint="eastAsia"/>
                <w:b/>
                <w:bCs/>
                <w:color w:val="auto"/>
                <w:szCs w:val="21"/>
              </w:rPr>
            </w:pPr>
            <w:r>
              <w:rPr>
                <w:rFonts w:hint="eastAsia"/>
                <w:b/>
                <w:bCs/>
                <w:color w:val="auto"/>
                <w:szCs w:val="21"/>
                <w:lang w:val="en-US" w:eastAsia="zh-CN"/>
              </w:rPr>
              <w:t>T2-3</w:t>
            </w:r>
            <w:r>
              <w:rPr>
                <w:b/>
                <w:bCs/>
                <w:color w:val="auto"/>
                <w:szCs w:val="21"/>
              </w:rPr>
              <w:t>监测结果</w:t>
            </w:r>
          </w:p>
        </w:tc>
        <w:tc>
          <w:tcPr>
            <w:tcW w:w="659" w:type="pct"/>
            <w:vMerge w:val="continue"/>
            <w:noWrap w:val="0"/>
            <w:vAlign w:val="center"/>
          </w:tcPr>
          <w:p w14:paraId="17B3D582">
            <w:pPr>
              <w:jc w:val="center"/>
              <w:rPr>
                <w:rFonts w:hint="eastAsia" w:eastAsia="宋体"/>
                <w:color w:val="auto"/>
                <w:szCs w:val="21"/>
                <w:lang w:val="en-US" w:eastAsia="zh-CN"/>
              </w:rPr>
            </w:pPr>
          </w:p>
        </w:tc>
      </w:tr>
      <w:tr w14:paraId="6F31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4EDE1528">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w:t>
            </w:r>
          </w:p>
        </w:tc>
        <w:tc>
          <w:tcPr>
            <w:tcW w:w="912" w:type="pct"/>
            <w:shd w:val="clear" w:color="auto" w:fill="auto"/>
            <w:noWrap w:val="0"/>
            <w:vAlign w:val="center"/>
          </w:tcPr>
          <w:p w14:paraId="49A5EACB">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440" w:type="pct"/>
            <w:shd w:val="clear" w:color="auto" w:fill="auto"/>
            <w:noWrap w:val="0"/>
            <w:vAlign w:val="center"/>
          </w:tcPr>
          <w:p w14:paraId="4B27C35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无量纲</w:t>
            </w:r>
          </w:p>
        </w:tc>
        <w:tc>
          <w:tcPr>
            <w:tcW w:w="584" w:type="pct"/>
            <w:noWrap w:val="0"/>
            <w:vAlign w:val="center"/>
          </w:tcPr>
          <w:p w14:paraId="7692E41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shd w:val="clear" w:color="auto" w:fill="auto"/>
            <w:noWrap w:val="0"/>
            <w:vAlign w:val="center"/>
          </w:tcPr>
          <w:p w14:paraId="58756E3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8.48</w:t>
            </w:r>
          </w:p>
        </w:tc>
        <w:tc>
          <w:tcPr>
            <w:tcW w:w="634" w:type="pct"/>
            <w:shd w:val="clear" w:color="auto" w:fill="auto"/>
            <w:noWrap w:val="0"/>
            <w:vAlign w:val="center"/>
          </w:tcPr>
          <w:p w14:paraId="3FD2B4B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8.49</w:t>
            </w:r>
          </w:p>
        </w:tc>
        <w:tc>
          <w:tcPr>
            <w:tcW w:w="635" w:type="pct"/>
            <w:shd w:val="clear" w:color="auto" w:fill="auto"/>
            <w:noWrap w:val="0"/>
            <w:vAlign w:val="center"/>
          </w:tcPr>
          <w:p w14:paraId="3DC48B1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8.49</w:t>
            </w:r>
          </w:p>
        </w:tc>
        <w:tc>
          <w:tcPr>
            <w:tcW w:w="659" w:type="pct"/>
            <w:noWrap w:val="0"/>
            <w:vAlign w:val="center"/>
          </w:tcPr>
          <w:p w14:paraId="7F7EE45B">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099D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1F983A1E">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w:t>
            </w:r>
          </w:p>
        </w:tc>
        <w:tc>
          <w:tcPr>
            <w:tcW w:w="912" w:type="pct"/>
            <w:shd w:val="clear" w:color="auto" w:fill="auto"/>
            <w:noWrap w:val="0"/>
            <w:vAlign w:val="center"/>
          </w:tcPr>
          <w:p w14:paraId="09F0D11C">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石油烃</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10</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40</w:t>
            </w:r>
            <w:r>
              <w:rPr>
                <w:rFonts w:hint="default" w:ascii="Times New Roman" w:hAnsi="Times New Roman" w:eastAsia="宋体" w:cs="Times New Roman"/>
                <w:color w:val="auto"/>
                <w:kern w:val="0"/>
                <w:sz w:val="21"/>
                <w:szCs w:val="21"/>
                <w:lang w:val="en-US" w:eastAsia="zh-CN" w:bidi="ar"/>
              </w:rPr>
              <w:t>)</w:t>
            </w:r>
          </w:p>
        </w:tc>
        <w:tc>
          <w:tcPr>
            <w:tcW w:w="440" w:type="pct"/>
            <w:shd w:val="clear" w:color="auto" w:fill="auto"/>
            <w:noWrap w:val="0"/>
            <w:vAlign w:val="center"/>
          </w:tcPr>
          <w:p w14:paraId="4A396C9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4A37B61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4500</w:t>
            </w:r>
          </w:p>
        </w:tc>
        <w:tc>
          <w:tcPr>
            <w:tcW w:w="634" w:type="pct"/>
            <w:shd w:val="clear" w:color="auto" w:fill="auto"/>
            <w:noWrap w:val="0"/>
            <w:vAlign w:val="center"/>
          </w:tcPr>
          <w:p w14:paraId="3485A2F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28.3</w:t>
            </w:r>
          </w:p>
        </w:tc>
        <w:tc>
          <w:tcPr>
            <w:tcW w:w="634" w:type="pct"/>
            <w:shd w:val="clear" w:color="auto" w:fill="auto"/>
            <w:noWrap w:val="0"/>
            <w:vAlign w:val="center"/>
          </w:tcPr>
          <w:p w14:paraId="67D847E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33.8</w:t>
            </w:r>
          </w:p>
        </w:tc>
        <w:tc>
          <w:tcPr>
            <w:tcW w:w="635" w:type="pct"/>
            <w:shd w:val="clear" w:color="auto" w:fill="auto"/>
            <w:noWrap w:val="0"/>
            <w:vAlign w:val="center"/>
          </w:tcPr>
          <w:p w14:paraId="7FD7D9E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33.2</w:t>
            </w:r>
          </w:p>
        </w:tc>
        <w:tc>
          <w:tcPr>
            <w:tcW w:w="659" w:type="pct"/>
            <w:shd w:val="clear" w:color="auto" w:fill="auto"/>
            <w:noWrap w:val="0"/>
            <w:vAlign w:val="top"/>
          </w:tcPr>
          <w:p w14:paraId="3AB9BDF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达标</w:t>
            </w:r>
          </w:p>
        </w:tc>
      </w:tr>
      <w:tr w14:paraId="4F31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7F5994C0">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w:t>
            </w:r>
          </w:p>
        </w:tc>
        <w:tc>
          <w:tcPr>
            <w:tcW w:w="912" w:type="pct"/>
            <w:shd w:val="clear" w:color="auto" w:fill="auto"/>
            <w:noWrap w:val="0"/>
            <w:vAlign w:val="center"/>
          </w:tcPr>
          <w:p w14:paraId="2529D7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highlight w:val="none"/>
                <w:u w:val="none"/>
                <w:lang w:val="en-US" w:eastAsia="zh-CN" w:bidi="ar"/>
              </w:rPr>
              <w:t>水溶性总盐量</w:t>
            </w:r>
          </w:p>
        </w:tc>
        <w:tc>
          <w:tcPr>
            <w:tcW w:w="440" w:type="pct"/>
            <w:shd w:val="clear" w:color="auto" w:fill="auto"/>
            <w:noWrap w:val="0"/>
            <w:vAlign w:val="center"/>
          </w:tcPr>
          <w:p w14:paraId="7897D2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b w:val="0"/>
                <w:bCs w:val="0"/>
                <w:color w:val="auto"/>
                <w:szCs w:val="21"/>
                <w:lang w:val="en-US" w:eastAsia="zh-CN"/>
              </w:rPr>
              <w:t>g/kg</w:t>
            </w:r>
          </w:p>
        </w:tc>
        <w:tc>
          <w:tcPr>
            <w:tcW w:w="584" w:type="pct"/>
            <w:noWrap w:val="0"/>
            <w:vAlign w:val="center"/>
          </w:tcPr>
          <w:p w14:paraId="1F0BBB7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shd w:val="clear" w:color="auto" w:fill="auto"/>
            <w:noWrap w:val="0"/>
            <w:vAlign w:val="center"/>
          </w:tcPr>
          <w:p w14:paraId="3A8801E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5.2</w:t>
            </w:r>
          </w:p>
        </w:tc>
        <w:tc>
          <w:tcPr>
            <w:tcW w:w="634" w:type="pct"/>
            <w:shd w:val="clear" w:color="auto" w:fill="auto"/>
            <w:noWrap w:val="0"/>
            <w:vAlign w:val="center"/>
          </w:tcPr>
          <w:p w14:paraId="49EFB76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5.0</w:t>
            </w:r>
          </w:p>
        </w:tc>
        <w:tc>
          <w:tcPr>
            <w:tcW w:w="635" w:type="pct"/>
            <w:shd w:val="clear" w:color="auto" w:fill="auto"/>
            <w:noWrap w:val="0"/>
            <w:vAlign w:val="center"/>
          </w:tcPr>
          <w:p w14:paraId="7666B98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4.7</w:t>
            </w:r>
          </w:p>
        </w:tc>
        <w:tc>
          <w:tcPr>
            <w:tcW w:w="659" w:type="pct"/>
            <w:shd w:val="clear" w:color="auto" w:fill="auto"/>
            <w:noWrap w:val="0"/>
            <w:vAlign w:val="top"/>
          </w:tcPr>
          <w:p w14:paraId="10AA2F78">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w:t>
            </w:r>
          </w:p>
        </w:tc>
      </w:tr>
      <w:tr w14:paraId="7A17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40A51E54">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w:t>
            </w:r>
          </w:p>
        </w:tc>
        <w:tc>
          <w:tcPr>
            <w:tcW w:w="912" w:type="pct"/>
            <w:shd w:val="clear" w:color="auto" w:fill="auto"/>
            <w:noWrap w:val="0"/>
            <w:vAlign w:val="center"/>
          </w:tcPr>
          <w:p w14:paraId="0E96C0E3">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汞*</w:t>
            </w:r>
          </w:p>
        </w:tc>
        <w:tc>
          <w:tcPr>
            <w:tcW w:w="440" w:type="pct"/>
            <w:shd w:val="clear" w:color="auto" w:fill="auto"/>
            <w:noWrap w:val="0"/>
            <w:vAlign w:val="center"/>
          </w:tcPr>
          <w:p w14:paraId="64BFE30E">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76617AD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38</w:t>
            </w:r>
          </w:p>
        </w:tc>
        <w:tc>
          <w:tcPr>
            <w:tcW w:w="634" w:type="pct"/>
            <w:shd w:val="clear" w:color="auto" w:fill="auto"/>
            <w:noWrap w:val="0"/>
            <w:vAlign w:val="center"/>
          </w:tcPr>
          <w:p w14:paraId="5BEEF36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0.013</w:t>
            </w:r>
          </w:p>
        </w:tc>
        <w:tc>
          <w:tcPr>
            <w:tcW w:w="634" w:type="pct"/>
            <w:shd w:val="clear" w:color="auto" w:fill="auto"/>
            <w:noWrap w:val="0"/>
            <w:vAlign w:val="center"/>
          </w:tcPr>
          <w:p w14:paraId="37B7EB3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0.007</w:t>
            </w:r>
          </w:p>
        </w:tc>
        <w:tc>
          <w:tcPr>
            <w:tcW w:w="635" w:type="pct"/>
            <w:shd w:val="clear" w:color="auto" w:fill="auto"/>
            <w:noWrap w:val="0"/>
            <w:vAlign w:val="center"/>
          </w:tcPr>
          <w:p w14:paraId="16A16AF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0.006</w:t>
            </w:r>
          </w:p>
        </w:tc>
        <w:tc>
          <w:tcPr>
            <w:tcW w:w="1867" w:type="dxa"/>
            <w:noWrap w:val="0"/>
            <w:vAlign w:val="top"/>
          </w:tcPr>
          <w:p w14:paraId="7C25F18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BA0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5CAB5AA4">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5</w:t>
            </w:r>
          </w:p>
        </w:tc>
        <w:tc>
          <w:tcPr>
            <w:tcW w:w="912" w:type="pct"/>
            <w:shd w:val="clear" w:color="auto" w:fill="auto"/>
            <w:noWrap w:val="0"/>
            <w:vAlign w:val="center"/>
          </w:tcPr>
          <w:p w14:paraId="6454A419">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砷*</w:t>
            </w:r>
          </w:p>
        </w:tc>
        <w:tc>
          <w:tcPr>
            <w:tcW w:w="440" w:type="pct"/>
            <w:shd w:val="clear" w:color="auto" w:fill="auto"/>
            <w:noWrap w:val="0"/>
            <w:vAlign w:val="center"/>
          </w:tcPr>
          <w:p w14:paraId="4BF2D930">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556C377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60</w:t>
            </w:r>
          </w:p>
        </w:tc>
        <w:tc>
          <w:tcPr>
            <w:tcW w:w="634" w:type="pct"/>
            <w:shd w:val="clear" w:color="auto" w:fill="auto"/>
            <w:noWrap w:val="0"/>
            <w:vAlign w:val="center"/>
          </w:tcPr>
          <w:p w14:paraId="6A3F79B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10.3</w:t>
            </w:r>
          </w:p>
        </w:tc>
        <w:tc>
          <w:tcPr>
            <w:tcW w:w="634" w:type="pct"/>
            <w:shd w:val="clear" w:color="auto" w:fill="auto"/>
            <w:noWrap w:val="0"/>
            <w:vAlign w:val="center"/>
          </w:tcPr>
          <w:p w14:paraId="001F316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8.19</w:t>
            </w:r>
          </w:p>
        </w:tc>
        <w:tc>
          <w:tcPr>
            <w:tcW w:w="635" w:type="pct"/>
            <w:shd w:val="clear" w:color="auto" w:fill="auto"/>
            <w:noWrap w:val="0"/>
            <w:vAlign w:val="center"/>
          </w:tcPr>
          <w:p w14:paraId="4348465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10.3</w:t>
            </w:r>
          </w:p>
        </w:tc>
        <w:tc>
          <w:tcPr>
            <w:tcW w:w="1867" w:type="dxa"/>
            <w:noWrap w:val="0"/>
            <w:vAlign w:val="top"/>
          </w:tcPr>
          <w:p w14:paraId="7E9B486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40F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47236822">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6</w:t>
            </w:r>
          </w:p>
        </w:tc>
        <w:tc>
          <w:tcPr>
            <w:tcW w:w="912" w:type="pct"/>
            <w:shd w:val="clear" w:color="auto" w:fill="auto"/>
            <w:noWrap w:val="0"/>
            <w:vAlign w:val="center"/>
          </w:tcPr>
          <w:p w14:paraId="3E21829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铜*</w:t>
            </w:r>
          </w:p>
        </w:tc>
        <w:tc>
          <w:tcPr>
            <w:tcW w:w="440" w:type="pct"/>
            <w:shd w:val="clear" w:color="auto" w:fill="auto"/>
            <w:noWrap w:val="0"/>
            <w:vAlign w:val="center"/>
          </w:tcPr>
          <w:p w14:paraId="5AEA6BC9">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30B2CFD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18000</w:t>
            </w:r>
          </w:p>
        </w:tc>
        <w:tc>
          <w:tcPr>
            <w:tcW w:w="634" w:type="pct"/>
            <w:shd w:val="clear" w:color="auto" w:fill="auto"/>
            <w:noWrap w:val="0"/>
            <w:vAlign w:val="center"/>
          </w:tcPr>
          <w:p w14:paraId="45DAFDA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23</w:t>
            </w:r>
          </w:p>
        </w:tc>
        <w:tc>
          <w:tcPr>
            <w:tcW w:w="634" w:type="pct"/>
            <w:shd w:val="clear" w:color="auto" w:fill="auto"/>
            <w:noWrap w:val="0"/>
            <w:vAlign w:val="center"/>
          </w:tcPr>
          <w:p w14:paraId="6D45A9F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20</w:t>
            </w:r>
          </w:p>
        </w:tc>
        <w:tc>
          <w:tcPr>
            <w:tcW w:w="635" w:type="pct"/>
            <w:shd w:val="clear" w:color="auto" w:fill="auto"/>
            <w:noWrap w:val="0"/>
            <w:vAlign w:val="center"/>
          </w:tcPr>
          <w:p w14:paraId="33B72C8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23</w:t>
            </w:r>
          </w:p>
        </w:tc>
        <w:tc>
          <w:tcPr>
            <w:tcW w:w="1867" w:type="dxa"/>
            <w:noWrap w:val="0"/>
            <w:vAlign w:val="top"/>
          </w:tcPr>
          <w:p w14:paraId="02ED607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002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4F7F42A">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7</w:t>
            </w:r>
          </w:p>
        </w:tc>
        <w:tc>
          <w:tcPr>
            <w:tcW w:w="0" w:type="auto"/>
            <w:shd w:val="clear" w:color="auto" w:fill="auto"/>
            <w:vAlign w:val="center"/>
          </w:tcPr>
          <w:p w14:paraId="54CDCBC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镍*</w:t>
            </w:r>
          </w:p>
        </w:tc>
        <w:tc>
          <w:tcPr>
            <w:tcW w:w="0" w:type="auto"/>
            <w:shd w:val="clear" w:color="auto" w:fill="auto"/>
            <w:vAlign w:val="center"/>
          </w:tcPr>
          <w:p w14:paraId="7EDB3B7B">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0" w:type="auto"/>
            <w:shd w:val="clear" w:color="auto" w:fill="auto"/>
            <w:vAlign w:val="center"/>
          </w:tcPr>
          <w:p w14:paraId="18E0C06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0" w:type="auto"/>
            <w:shd w:val="clear" w:color="auto" w:fill="auto"/>
            <w:vAlign w:val="center"/>
          </w:tcPr>
          <w:p w14:paraId="387FEBD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25</w:t>
            </w:r>
          </w:p>
        </w:tc>
        <w:tc>
          <w:tcPr>
            <w:tcW w:w="0" w:type="auto"/>
            <w:shd w:val="clear" w:color="auto" w:fill="auto"/>
            <w:vAlign w:val="center"/>
          </w:tcPr>
          <w:p w14:paraId="56BDF35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21</w:t>
            </w:r>
          </w:p>
        </w:tc>
        <w:tc>
          <w:tcPr>
            <w:tcW w:w="0" w:type="auto"/>
            <w:shd w:val="clear" w:color="auto" w:fill="auto"/>
            <w:vAlign w:val="center"/>
          </w:tcPr>
          <w:p w14:paraId="6850D8F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24</w:t>
            </w:r>
          </w:p>
        </w:tc>
        <w:tc>
          <w:tcPr>
            <w:tcW w:w="1867" w:type="dxa"/>
            <w:vAlign w:val="top"/>
          </w:tcPr>
          <w:p w14:paraId="23D4812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983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9D9478B">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8</w:t>
            </w:r>
          </w:p>
        </w:tc>
        <w:tc>
          <w:tcPr>
            <w:tcW w:w="0" w:type="auto"/>
            <w:shd w:val="clear" w:color="auto" w:fill="auto"/>
            <w:vAlign w:val="center"/>
          </w:tcPr>
          <w:p w14:paraId="09E2FD1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铅*</w:t>
            </w:r>
          </w:p>
        </w:tc>
        <w:tc>
          <w:tcPr>
            <w:tcW w:w="0" w:type="auto"/>
            <w:shd w:val="clear" w:color="auto" w:fill="auto"/>
            <w:vAlign w:val="center"/>
          </w:tcPr>
          <w:p w14:paraId="338B76A4">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0" w:type="auto"/>
            <w:shd w:val="clear" w:color="auto" w:fill="auto"/>
            <w:vAlign w:val="center"/>
          </w:tcPr>
          <w:p w14:paraId="4F9A83A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800</w:t>
            </w:r>
          </w:p>
        </w:tc>
        <w:tc>
          <w:tcPr>
            <w:tcW w:w="0" w:type="auto"/>
            <w:shd w:val="clear" w:color="auto" w:fill="auto"/>
            <w:vAlign w:val="center"/>
          </w:tcPr>
          <w:p w14:paraId="7FD2302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10.3</w:t>
            </w:r>
          </w:p>
        </w:tc>
        <w:tc>
          <w:tcPr>
            <w:tcW w:w="0" w:type="auto"/>
            <w:shd w:val="clear" w:color="auto" w:fill="auto"/>
            <w:vAlign w:val="center"/>
          </w:tcPr>
          <w:p w14:paraId="3EF62C3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15.3</w:t>
            </w:r>
          </w:p>
        </w:tc>
        <w:tc>
          <w:tcPr>
            <w:tcW w:w="0" w:type="auto"/>
            <w:shd w:val="clear" w:color="auto" w:fill="auto"/>
            <w:vAlign w:val="center"/>
          </w:tcPr>
          <w:p w14:paraId="68D7192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14.9</w:t>
            </w:r>
          </w:p>
        </w:tc>
        <w:tc>
          <w:tcPr>
            <w:tcW w:w="1867" w:type="dxa"/>
            <w:vAlign w:val="top"/>
          </w:tcPr>
          <w:p w14:paraId="683188A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306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462580E">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9</w:t>
            </w:r>
          </w:p>
        </w:tc>
        <w:tc>
          <w:tcPr>
            <w:tcW w:w="0" w:type="auto"/>
            <w:shd w:val="clear" w:color="auto" w:fill="auto"/>
            <w:vAlign w:val="center"/>
          </w:tcPr>
          <w:p w14:paraId="34D638D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镉*</w:t>
            </w:r>
          </w:p>
        </w:tc>
        <w:tc>
          <w:tcPr>
            <w:tcW w:w="0" w:type="auto"/>
            <w:shd w:val="clear" w:color="auto" w:fill="auto"/>
            <w:vAlign w:val="center"/>
          </w:tcPr>
          <w:p w14:paraId="6D9475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10358A6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65</w:t>
            </w:r>
          </w:p>
        </w:tc>
        <w:tc>
          <w:tcPr>
            <w:tcW w:w="0" w:type="auto"/>
            <w:shd w:val="clear" w:color="auto" w:fill="auto"/>
            <w:vAlign w:val="center"/>
          </w:tcPr>
          <w:p w14:paraId="322C29A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0.07</w:t>
            </w:r>
          </w:p>
        </w:tc>
        <w:tc>
          <w:tcPr>
            <w:tcW w:w="0" w:type="auto"/>
            <w:shd w:val="clear" w:color="auto" w:fill="auto"/>
            <w:vAlign w:val="center"/>
          </w:tcPr>
          <w:p w14:paraId="5977F32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0.07</w:t>
            </w:r>
          </w:p>
        </w:tc>
        <w:tc>
          <w:tcPr>
            <w:tcW w:w="0" w:type="auto"/>
            <w:shd w:val="clear" w:color="auto" w:fill="auto"/>
            <w:vAlign w:val="center"/>
          </w:tcPr>
          <w:p w14:paraId="3C4DDA8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0.08</w:t>
            </w:r>
          </w:p>
        </w:tc>
        <w:tc>
          <w:tcPr>
            <w:tcW w:w="1867" w:type="dxa"/>
            <w:vAlign w:val="top"/>
          </w:tcPr>
          <w:p w14:paraId="38CCFB6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7D2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19E8B7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10</w:t>
            </w:r>
          </w:p>
        </w:tc>
        <w:tc>
          <w:tcPr>
            <w:tcW w:w="0" w:type="auto"/>
            <w:shd w:val="clear" w:color="auto" w:fill="auto"/>
            <w:vAlign w:val="center"/>
          </w:tcPr>
          <w:p w14:paraId="1894754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铬（六价）*</w:t>
            </w:r>
          </w:p>
        </w:tc>
        <w:tc>
          <w:tcPr>
            <w:tcW w:w="0" w:type="auto"/>
            <w:shd w:val="clear" w:color="auto" w:fill="auto"/>
            <w:vAlign w:val="center"/>
          </w:tcPr>
          <w:p w14:paraId="0DE1E1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1AF2289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w:t>
            </w:r>
          </w:p>
        </w:tc>
        <w:tc>
          <w:tcPr>
            <w:tcW w:w="0" w:type="auto"/>
            <w:shd w:val="clear" w:color="auto" w:fill="auto"/>
            <w:vAlign w:val="center"/>
          </w:tcPr>
          <w:p w14:paraId="3D3A523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368145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DDCAEB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4920FAB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991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7D9CE82">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11</w:t>
            </w:r>
          </w:p>
        </w:tc>
        <w:tc>
          <w:tcPr>
            <w:tcW w:w="0" w:type="auto"/>
            <w:shd w:val="clear" w:color="auto" w:fill="auto"/>
            <w:vAlign w:val="center"/>
          </w:tcPr>
          <w:p w14:paraId="1D1122E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苯胺*</w:t>
            </w:r>
          </w:p>
        </w:tc>
        <w:tc>
          <w:tcPr>
            <w:tcW w:w="0" w:type="auto"/>
            <w:shd w:val="clear" w:color="auto" w:fill="auto"/>
            <w:vAlign w:val="center"/>
          </w:tcPr>
          <w:p w14:paraId="442104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0FACEC3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260</w:t>
            </w:r>
          </w:p>
        </w:tc>
        <w:tc>
          <w:tcPr>
            <w:tcW w:w="0" w:type="auto"/>
            <w:shd w:val="clear" w:color="auto" w:fill="auto"/>
            <w:vAlign w:val="center"/>
          </w:tcPr>
          <w:p w14:paraId="4FFEFCA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2AF424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27C9DB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4287BA1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806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98F6D4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12</w:t>
            </w:r>
          </w:p>
        </w:tc>
        <w:tc>
          <w:tcPr>
            <w:tcW w:w="0" w:type="auto"/>
            <w:shd w:val="clear" w:color="auto" w:fill="auto"/>
            <w:vAlign w:val="center"/>
          </w:tcPr>
          <w:p w14:paraId="04717C5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2-氯酚*</w:t>
            </w:r>
          </w:p>
        </w:tc>
        <w:tc>
          <w:tcPr>
            <w:tcW w:w="0" w:type="auto"/>
            <w:shd w:val="clear" w:color="auto" w:fill="auto"/>
            <w:vAlign w:val="center"/>
          </w:tcPr>
          <w:p w14:paraId="181629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15646B5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2256</w:t>
            </w:r>
          </w:p>
        </w:tc>
        <w:tc>
          <w:tcPr>
            <w:tcW w:w="0" w:type="auto"/>
            <w:shd w:val="clear" w:color="auto" w:fill="auto"/>
            <w:vAlign w:val="center"/>
          </w:tcPr>
          <w:p w14:paraId="0D19F88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48D36C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ED9A9C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4160538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858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A15490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13</w:t>
            </w:r>
          </w:p>
        </w:tc>
        <w:tc>
          <w:tcPr>
            <w:tcW w:w="0" w:type="auto"/>
            <w:shd w:val="clear" w:color="auto" w:fill="auto"/>
            <w:vAlign w:val="center"/>
          </w:tcPr>
          <w:p w14:paraId="18C652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硝基苯*</w:t>
            </w:r>
          </w:p>
        </w:tc>
        <w:tc>
          <w:tcPr>
            <w:tcW w:w="0" w:type="auto"/>
            <w:shd w:val="clear" w:color="auto" w:fill="auto"/>
            <w:vAlign w:val="center"/>
          </w:tcPr>
          <w:p w14:paraId="7B6A62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741849B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76</w:t>
            </w:r>
          </w:p>
        </w:tc>
        <w:tc>
          <w:tcPr>
            <w:tcW w:w="0" w:type="auto"/>
            <w:shd w:val="clear" w:color="auto" w:fill="auto"/>
            <w:vAlign w:val="center"/>
          </w:tcPr>
          <w:p w14:paraId="22DD400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ACF8E0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279E44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19F7D5D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945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0BA58A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14</w:t>
            </w:r>
          </w:p>
        </w:tc>
        <w:tc>
          <w:tcPr>
            <w:tcW w:w="0" w:type="auto"/>
            <w:shd w:val="clear" w:color="auto" w:fill="auto"/>
            <w:vAlign w:val="center"/>
          </w:tcPr>
          <w:p w14:paraId="1D43AD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萘*</w:t>
            </w:r>
          </w:p>
        </w:tc>
        <w:tc>
          <w:tcPr>
            <w:tcW w:w="0" w:type="auto"/>
            <w:shd w:val="clear" w:color="auto" w:fill="auto"/>
            <w:vAlign w:val="center"/>
          </w:tcPr>
          <w:p w14:paraId="0640B0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4941356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70</w:t>
            </w:r>
          </w:p>
        </w:tc>
        <w:tc>
          <w:tcPr>
            <w:tcW w:w="0" w:type="auto"/>
            <w:shd w:val="clear" w:color="auto" w:fill="auto"/>
            <w:vAlign w:val="center"/>
          </w:tcPr>
          <w:p w14:paraId="149B2D9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10E3F2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8A3556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2702568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07F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7EECE5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15</w:t>
            </w:r>
          </w:p>
        </w:tc>
        <w:tc>
          <w:tcPr>
            <w:tcW w:w="0" w:type="auto"/>
            <w:shd w:val="clear" w:color="auto" w:fill="auto"/>
            <w:vAlign w:val="center"/>
          </w:tcPr>
          <w:p w14:paraId="2BE72D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苯并(a)蒽*</w:t>
            </w:r>
          </w:p>
        </w:tc>
        <w:tc>
          <w:tcPr>
            <w:tcW w:w="0" w:type="auto"/>
            <w:shd w:val="clear" w:color="auto" w:fill="auto"/>
            <w:vAlign w:val="center"/>
          </w:tcPr>
          <w:p w14:paraId="22E882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2C833DB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20F1536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36CCC7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2D5B9B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25A95EB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E36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F1D0A9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16</w:t>
            </w:r>
          </w:p>
        </w:tc>
        <w:tc>
          <w:tcPr>
            <w:tcW w:w="0" w:type="auto"/>
            <w:shd w:val="clear" w:color="auto" w:fill="auto"/>
            <w:vAlign w:val="center"/>
          </w:tcPr>
          <w:p w14:paraId="509EFD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䓛*</w:t>
            </w:r>
          </w:p>
        </w:tc>
        <w:tc>
          <w:tcPr>
            <w:tcW w:w="0" w:type="auto"/>
            <w:shd w:val="clear" w:color="auto" w:fill="auto"/>
            <w:vAlign w:val="center"/>
          </w:tcPr>
          <w:p w14:paraId="4F76957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2E81075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1293</w:t>
            </w:r>
          </w:p>
        </w:tc>
        <w:tc>
          <w:tcPr>
            <w:tcW w:w="0" w:type="auto"/>
            <w:shd w:val="clear" w:color="auto" w:fill="auto"/>
            <w:vAlign w:val="center"/>
          </w:tcPr>
          <w:p w14:paraId="633C1B3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E5DE41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F9887A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40ACE28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0A4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B9CE19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17</w:t>
            </w:r>
          </w:p>
        </w:tc>
        <w:tc>
          <w:tcPr>
            <w:tcW w:w="0" w:type="auto"/>
            <w:shd w:val="clear" w:color="auto" w:fill="auto"/>
            <w:vAlign w:val="center"/>
          </w:tcPr>
          <w:p w14:paraId="0E6B7B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苯并(b)荧蒽*</w:t>
            </w:r>
          </w:p>
        </w:tc>
        <w:tc>
          <w:tcPr>
            <w:tcW w:w="0" w:type="auto"/>
            <w:shd w:val="clear" w:color="auto" w:fill="auto"/>
            <w:vAlign w:val="center"/>
          </w:tcPr>
          <w:p w14:paraId="452DC4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7FDAE43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0676460B">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04ADBD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9B6140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37E3057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BBE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01A1CD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18</w:t>
            </w:r>
          </w:p>
        </w:tc>
        <w:tc>
          <w:tcPr>
            <w:tcW w:w="0" w:type="auto"/>
            <w:shd w:val="clear" w:color="auto" w:fill="auto"/>
            <w:vAlign w:val="center"/>
          </w:tcPr>
          <w:p w14:paraId="1CF44B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苯并(k)荧蒽*</w:t>
            </w:r>
          </w:p>
        </w:tc>
        <w:tc>
          <w:tcPr>
            <w:tcW w:w="0" w:type="auto"/>
            <w:shd w:val="clear" w:color="auto" w:fill="auto"/>
            <w:vAlign w:val="center"/>
          </w:tcPr>
          <w:p w14:paraId="7E3EAC9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409FD83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151</w:t>
            </w:r>
          </w:p>
        </w:tc>
        <w:tc>
          <w:tcPr>
            <w:tcW w:w="0" w:type="auto"/>
            <w:shd w:val="clear" w:color="auto" w:fill="auto"/>
            <w:vAlign w:val="center"/>
          </w:tcPr>
          <w:p w14:paraId="32639048">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A075B5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C17ED6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298D2E0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4C0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46FB6B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19</w:t>
            </w:r>
          </w:p>
        </w:tc>
        <w:tc>
          <w:tcPr>
            <w:tcW w:w="0" w:type="auto"/>
            <w:shd w:val="clear" w:color="auto" w:fill="auto"/>
            <w:vAlign w:val="center"/>
          </w:tcPr>
          <w:p w14:paraId="2E914CA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苯并(a)芘*</w:t>
            </w:r>
          </w:p>
        </w:tc>
        <w:tc>
          <w:tcPr>
            <w:tcW w:w="0" w:type="auto"/>
            <w:shd w:val="clear" w:color="auto" w:fill="auto"/>
            <w:vAlign w:val="center"/>
          </w:tcPr>
          <w:p w14:paraId="1350B2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66E168C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5B57E3C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689262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1F53D5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61103D8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00B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F93CAA2">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20</w:t>
            </w:r>
          </w:p>
        </w:tc>
        <w:tc>
          <w:tcPr>
            <w:tcW w:w="0" w:type="auto"/>
            <w:shd w:val="clear" w:color="auto" w:fill="auto"/>
            <w:vAlign w:val="center"/>
          </w:tcPr>
          <w:p w14:paraId="27CAB09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0" w:type="auto"/>
            <w:shd w:val="clear" w:color="auto" w:fill="auto"/>
            <w:vAlign w:val="center"/>
          </w:tcPr>
          <w:p w14:paraId="4286BA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FD828D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1AE3131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BEA483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0C2BC7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4D940FB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8B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E62AB9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21</w:t>
            </w:r>
          </w:p>
        </w:tc>
        <w:tc>
          <w:tcPr>
            <w:tcW w:w="0" w:type="auto"/>
            <w:shd w:val="clear" w:color="auto" w:fill="auto"/>
            <w:vAlign w:val="center"/>
          </w:tcPr>
          <w:p w14:paraId="5ACF8EAD">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二苯并(a,h)蒽*</w:t>
            </w:r>
          </w:p>
        </w:tc>
        <w:tc>
          <w:tcPr>
            <w:tcW w:w="0" w:type="auto"/>
            <w:shd w:val="clear" w:color="auto" w:fill="auto"/>
            <w:vAlign w:val="center"/>
          </w:tcPr>
          <w:p w14:paraId="3B0507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2E4667A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0F3A815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9BC915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3DA9B7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31E33A5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FCF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2835907">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22</w:t>
            </w:r>
          </w:p>
        </w:tc>
        <w:tc>
          <w:tcPr>
            <w:tcW w:w="0" w:type="auto"/>
            <w:shd w:val="clear" w:color="auto" w:fill="auto"/>
            <w:vAlign w:val="center"/>
          </w:tcPr>
          <w:p w14:paraId="5523DFE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氯甲烷*</w:t>
            </w:r>
          </w:p>
        </w:tc>
        <w:tc>
          <w:tcPr>
            <w:tcW w:w="0" w:type="auto"/>
            <w:shd w:val="clear" w:color="auto" w:fill="auto"/>
            <w:vAlign w:val="center"/>
          </w:tcPr>
          <w:p w14:paraId="279108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664857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37000</w:t>
            </w:r>
          </w:p>
        </w:tc>
        <w:tc>
          <w:tcPr>
            <w:tcW w:w="0" w:type="auto"/>
            <w:shd w:val="clear" w:color="auto" w:fill="auto"/>
            <w:vAlign w:val="center"/>
          </w:tcPr>
          <w:p w14:paraId="6440CEC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16DDA7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E53D4D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6AE4C44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1D6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F0A9517">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23</w:t>
            </w:r>
          </w:p>
        </w:tc>
        <w:tc>
          <w:tcPr>
            <w:tcW w:w="0" w:type="auto"/>
            <w:shd w:val="clear" w:color="auto" w:fill="auto"/>
            <w:vAlign w:val="center"/>
          </w:tcPr>
          <w:p w14:paraId="4BC404E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氯乙烯*</w:t>
            </w:r>
          </w:p>
        </w:tc>
        <w:tc>
          <w:tcPr>
            <w:tcW w:w="0" w:type="auto"/>
            <w:shd w:val="clear" w:color="auto" w:fill="auto"/>
            <w:vAlign w:val="center"/>
          </w:tcPr>
          <w:p w14:paraId="27D55A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A35994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430</w:t>
            </w:r>
          </w:p>
        </w:tc>
        <w:tc>
          <w:tcPr>
            <w:tcW w:w="0" w:type="auto"/>
            <w:shd w:val="clear" w:color="auto" w:fill="auto"/>
            <w:vAlign w:val="center"/>
          </w:tcPr>
          <w:p w14:paraId="6F02775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DA317C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CA3864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3EC740B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397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0429D96">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24</w:t>
            </w:r>
          </w:p>
        </w:tc>
        <w:tc>
          <w:tcPr>
            <w:tcW w:w="0" w:type="auto"/>
            <w:shd w:val="clear" w:color="auto" w:fill="auto"/>
            <w:vAlign w:val="center"/>
          </w:tcPr>
          <w:p w14:paraId="6F37BBF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1,1-二氯乙烯*</w:t>
            </w:r>
          </w:p>
        </w:tc>
        <w:tc>
          <w:tcPr>
            <w:tcW w:w="0" w:type="auto"/>
            <w:shd w:val="clear" w:color="auto" w:fill="auto"/>
            <w:vAlign w:val="center"/>
          </w:tcPr>
          <w:p w14:paraId="5FAB2C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3BF7FD8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66000</w:t>
            </w:r>
          </w:p>
        </w:tc>
        <w:tc>
          <w:tcPr>
            <w:tcW w:w="0" w:type="auto"/>
            <w:shd w:val="clear" w:color="auto" w:fill="auto"/>
            <w:vAlign w:val="center"/>
          </w:tcPr>
          <w:p w14:paraId="4C27C9D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DFA929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C05F21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164FE37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ACB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E52774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25</w:t>
            </w:r>
          </w:p>
        </w:tc>
        <w:tc>
          <w:tcPr>
            <w:tcW w:w="0" w:type="auto"/>
            <w:shd w:val="clear" w:color="auto" w:fill="auto"/>
            <w:vAlign w:val="center"/>
          </w:tcPr>
          <w:p w14:paraId="3BF444F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二氯甲烷*</w:t>
            </w:r>
          </w:p>
        </w:tc>
        <w:tc>
          <w:tcPr>
            <w:tcW w:w="0" w:type="auto"/>
            <w:shd w:val="clear" w:color="auto" w:fill="auto"/>
            <w:vAlign w:val="center"/>
          </w:tcPr>
          <w:p w14:paraId="7C27C2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50CCA5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616000</w:t>
            </w:r>
          </w:p>
        </w:tc>
        <w:tc>
          <w:tcPr>
            <w:tcW w:w="0" w:type="auto"/>
            <w:shd w:val="clear" w:color="auto" w:fill="auto"/>
            <w:vAlign w:val="center"/>
          </w:tcPr>
          <w:p w14:paraId="4188C28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45DA13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960D71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0BB29E0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35B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F44C648">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26</w:t>
            </w:r>
          </w:p>
        </w:tc>
        <w:tc>
          <w:tcPr>
            <w:tcW w:w="0" w:type="auto"/>
            <w:shd w:val="clear" w:color="auto" w:fill="auto"/>
            <w:vAlign w:val="center"/>
          </w:tcPr>
          <w:p w14:paraId="75EBC96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反-1,2-二氯乙烯*</w:t>
            </w:r>
          </w:p>
        </w:tc>
        <w:tc>
          <w:tcPr>
            <w:tcW w:w="0" w:type="auto"/>
            <w:shd w:val="clear" w:color="auto" w:fill="auto"/>
            <w:vAlign w:val="center"/>
          </w:tcPr>
          <w:p w14:paraId="18D0F2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87B382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54000</w:t>
            </w:r>
          </w:p>
        </w:tc>
        <w:tc>
          <w:tcPr>
            <w:tcW w:w="0" w:type="auto"/>
            <w:shd w:val="clear" w:color="auto" w:fill="auto"/>
            <w:vAlign w:val="center"/>
          </w:tcPr>
          <w:p w14:paraId="1067FE9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1CBE4D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2494EA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5277CAE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F44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D0DB64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27</w:t>
            </w:r>
          </w:p>
        </w:tc>
        <w:tc>
          <w:tcPr>
            <w:tcW w:w="0" w:type="auto"/>
            <w:shd w:val="clear" w:color="auto" w:fill="auto"/>
            <w:vAlign w:val="center"/>
          </w:tcPr>
          <w:p w14:paraId="296049C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0" w:type="auto"/>
            <w:shd w:val="clear" w:color="auto" w:fill="auto"/>
            <w:vAlign w:val="center"/>
          </w:tcPr>
          <w:p w14:paraId="672031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A7307F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9000</w:t>
            </w:r>
          </w:p>
        </w:tc>
        <w:tc>
          <w:tcPr>
            <w:tcW w:w="0" w:type="auto"/>
            <w:shd w:val="clear" w:color="auto" w:fill="auto"/>
            <w:vAlign w:val="center"/>
          </w:tcPr>
          <w:p w14:paraId="32A30A1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7E641A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2A3A3C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483761C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A2D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B087C0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28</w:t>
            </w:r>
          </w:p>
        </w:tc>
        <w:tc>
          <w:tcPr>
            <w:tcW w:w="0" w:type="auto"/>
            <w:shd w:val="clear" w:color="auto" w:fill="auto"/>
            <w:vAlign w:val="center"/>
          </w:tcPr>
          <w:p w14:paraId="0A24FB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顺-1,2-二氯乙烯*</w:t>
            </w:r>
          </w:p>
        </w:tc>
        <w:tc>
          <w:tcPr>
            <w:tcW w:w="0" w:type="auto"/>
            <w:shd w:val="clear" w:color="auto" w:fill="auto"/>
            <w:vAlign w:val="center"/>
          </w:tcPr>
          <w:p w14:paraId="3AEE97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719428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596000</w:t>
            </w:r>
          </w:p>
        </w:tc>
        <w:tc>
          <w:tcPr>
            <w:tcW w:w="0" w:type="auto"/>
            <w:shd w:val="clear" w:color="auto" w:fill="auto"/>
            <w:vAlign w:val="center"/>
          </w:tcPr>
          <w:p w14:paraId="7853CAF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9ABFDD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33123B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2B7C81B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EBD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79362EB">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29</w:t>
            </w:r>
          </w:p>
        </w:tc>
        <w:tc>
          <w:tcPr>
            <w:tcW w:w="0" w:type="auto"/>
            <w:shd w:val="clear" w:color="auto" w:fill="auto"/>
            <w:vAlign w:val="center"/>
          </w:tcPr>
          <w:p w14:paraId="27462E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氯仿*</w:t>
            </w:r>
          </w:p>
        </w:tc>
        <w:tc>
          <w:tcPr>
            <w:tcW w:w="0" w:type="auto"/>
            <w:shd w:val="clear" w:color="auto" w:fill="auto"/>
            <w:vAlign w:val="center"/>
          </w:tcPr>
          <w:p w14:paraId="78717B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4DE9DC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0" w:type="auto"/>
            <w:shd w:val="clear" w:color="auto" w:fill="auto"/>
            <w:vAlign w:val="center"/>
          </w:tcPr>
          <w:p w14:paraId="66462E5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484C49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D1508D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13BC487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880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BB3DD3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30</w:t>
            </w:r>
          </w:p>
        </w:tc>
        <w:tc>
          <w:tcPr>
            <w:tcW w:w="0" w:type="auto"/>
            <w:shd w:val="clear" w:color="auto" w:fill="auto"/>
            <w:vAlign w:val="center"/>
          </w:tcPr>
          <w:p w14:paraId="79CCC1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1,1,1-三氯乙烷*</w:t>
            </w:r>
          </w:p>
        </w:tc>
        <w:tc>
          <w:tcPr>
            <w:tcW w:w="0" w:type="auto"/>
            <w:shd w:val="clear" w:color="auto" w:fill="auto"/>
            <w:vAlign w:val="center"/>
          </w:tcPr>
          <w:p w14:paraId="5B54E3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4D1704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840000</w:t>
            </w:r>
          </w:p>
        </w:tc>
        <w:tc>
          <w:tcPr>
            <w:tcW w:w="0" w:type="auto"/>
            <w:shd w:val="clear" w:color="auto" w:fill="auto"/>
            <w:vAlign w:val="center"/>
          </w:tcPr>
          <w:p w14:paraId="1755A8B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A67A58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16C773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352DD1E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D09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AC94526">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31</w:t>
            </w:r>
          </w:p>
        </w:tc>
        <w:tc>
          <w:tcPr>
            <w:tcW w:w="0" w:type="auto"/>
            <w:shd w:val="clear" w:color="auto" w:fill="auto"/>
            <w:vAlign w:val="center"/>
          </w:tcPr>
          <w:p w14:paraId="10FD1A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四氯化碳*</w:t>
            </w:r>
          </w:p>
        </w:tc>
        <w:tc>
          <w:tcPr>
            <w:tcW w:w="0" w:type="auto"/>
            <w:shd w:val="clear" w:color="auto" w:fill="auto"/>
            <w:vAlign w:val="center"/>
          </w:tcPr>
          <w:p w14:paraId="2BC4A2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8FD192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2F4C577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0A7B58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0D5A37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503E5DF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F3D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6D4D7F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32</w:t>
            </w:r>
          </w:p>
        </w:tc>
        <w:tc>
          <w:tcPr>
            <w:tcW w:w="0" w:type="auto"/>
            <w:shd w:val="clear" w:color="auto" w:fill="auto"/>
            <w:vAlign w:val="center"/>
          </w:tcPr>
          <w:p w14:paraId="0BFC8A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w:t>
            </w:r>
          </w:p>
        </w:tc>
        <w:tc>
          <w:tcPr>
            <w:tcW w:w="0" w:type="auto"/>
            <w:shd w:val="clear" w:color="auto" w:fill="auto"/>
            <w:vAlign w:val="center"/>
          </w:tcPr>
          <w:p w14:paraId="3B3F4E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3A75A15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4000</w:t>
            </w:r>
          </w:p>
        </w:tc>
        <w:tc>
          <w:tcPr>
            <w:tcW w:w="0" w:type="auto"/>
            <w:shd w:val="clear" w:color="auto" w:fill="auto"/>
            <w:vAlign w:val="center"/>
          </w:tcPr>
          <w:p w14:paraId="17FA8ED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D67495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38B49D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6F3BF54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B6D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5808537">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33</w:t>
            </w:r>
          </w:p>
        </w:tc>
        <w:tc>
          <w:tcPr>
            <w:tcW w:w="0" w:type="auto"/>
            <w:shd w:val="clear" w:color="auto" w:fill="auto"/>
            <w:vAlign w:val="center"/>
          </w:tcPr>
          <w:p w14:paraId="72E213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1,2-二氯乙烷*</w:t>
            </w:r>
          </w:p>
        </w:tc>
        <w:tc>
          <w:tcPr>
            <w:tcW w:w="0" w:type="auto"/>
            <w:shd w:val="clear" w:color="auto" w:fill="auto"/>
            <w:vAlign w:val="center"/>
          </w:tcPr>
          <w:p w14:paraId="53F7A1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4CDFBF4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0" w:type="auto"/>
            <w:shd w:val="clear" w:color="auto" w:fill="auto"/>
            <w:vAlign w:val="center"/>
          </w:tcPr>
          <w:p w14:paraId="006BE4A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803040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48C9B3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7C8A550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9C1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A09FBB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34</w:t>
            </w:r>
          </w:p>
        </w:tc>
        <w:tc>
          <w:tcPr>
            <w:tcW w:w="0" w:type="auto"/>
            <w:shd w:val="clear" w:color="auto" w:fill="auto"/>
            <w:vAlign w:val="center"/>
          </w:tcPr>
          <w:p w14:paraId="3D30B2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三氯乙烯*</w:t>
            </w:r>
          </w:p>
        </w:tc>
        <w:tc>
          <w:tcPr>
            <w:tcW w:w="0" w:type="auto"/>
            <w:shd w:val="clear" w:color="auto" w:fill="auto"/>
            <w:vAlign w:val="center"/>
          </w:tcPr>
          <w:p w14:paraId="105A63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3B84B4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1A45E24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30A2F7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E071F0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47A7040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8C0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B830188">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35</w:t>
            </w:r>
          </w:p>
        </w:tc>
        <w:tc>
          <w:tcPr>
            <w:tcW w:w="0" w:type="auto"/>
            <w:shd w:val="clear" w:color="auto" w:fill="auto"/>
            <w:vAlign w:val="center"/>
          </w:tcPr>
          <w:p w14:paraId="43DC18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1,2-二氯丙烷*</w:t>
            </w:r>
          </w:p>
        </w:tc>
        <w:tc>
          <w:tcPr>
            <w:tcW w:w="0" w:type="auto"/>
            <w:shd w:val="clear" w:color="auto" w:fill="auto"/>
            <w:vAlign w:val="center"/>
          </w:tcPr>
          <w:p w14:paraId="20B8F8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B0444D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0" w:type="auto"/>
            <w:shd w:val="clear" w:color="auto" w:fill="auto"/>
            <w:vAlign w:val="center"/>
          </w:tcPr>
          <w:p w14:paraId="2E0F7FF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37C02A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83F31A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1A0619E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CE6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FE2556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36</w:t>
            </w:r>
          </w:p>
        </w:tc>
        <w:tc>
          <w:tcPr>
            <w:tcW w:w="0" w:type="auto"/>
            <w:shd w:val="clear" w:color="auto" w:fill="auto"/>
            <w:vAlign w:val="center"/>
          </w:tcPr>
          <w:p w14:paraId="5C0320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甲苯*</w:t>
            </w:r>
          </w:p>
        </w:tc>
        <w:tc>
          <w:tcPr>
            <w:tcW w:w="0" w:type="auto"/>
            <w:shd w:val="clear" w:color="auto" w:fill="auto"/>
            <w:vAlign w:val="center"/>
          </w:tcPr>
          <w:p w14:paraId="401F72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44E7F6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1200000</w:t>
            </w:r>
          </w:p>
        </w:tc>
        <w:tc>
          <w:tcPr>
            <w:tcW w:w="0" w:type="auto"/>
            <w:shd w:val="clear" w:color="auto" w:fill="auto"/>
            <w:vAlign w:val="center"/>
          </w:tcPr>
          <w:p w14:paraId="0857933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8E8062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A48411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64EBF04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B46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73C10B4">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37</w:t>
            </w:r>
          </w:p>
        </w:tc>
        <w:tc>
          <w:tcPr>
            <w:tcW w:w="0" w:type="auto"/>
            <w:shd w:val="clear" w:color="auto" w:fill="auto"/>
            <w:vAlign w:val="center"/>
          </w:tcPr>
          <w:p w14:paraId="543967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0" w:type="auto"/>
            <w:shd w:val="clear" w:color="auto" w:fill="auto"/>
            <w:vAlign w:val="center"/>
          </w:tcPr>
          <w:p w14:paraId="1553D9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7E77C0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11F8F7B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DB76E7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7D6D95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4CC917E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623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1C377F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38</w:t>
            </w:r>
          </w:p>
        </w:tc>
        <w:tc>
          <w:tcPr>
            <w:tcW w:w="0" w:type="auto"/>
            <w:shd w:val="clear" w:color="auto" w:fill="auto"/>
            <w:vAlign w:val="center"/>
          </w:tcPr>
          <w:p w14:paraId="604DEC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四氯乙烯*</w:t>
            </w:r>
          </w:p>
        </w:tc>
        <w:tc>
          <w:tcPr>
            <w:tcW w:w="0" w:type="auto"/>
            <w:shd w:val="clear" w:color="auto" w:fill="auto"/>
            <w:vAlign w:val="center"/>
          </w:tcPr>
          <w:p w14:paraId="7990C3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0" w:type="auto"/>
            <w:shd w:val="clear" w:color="auto" w:fill="auto"/>
            <w:vAlign w:val="center"/>
          </w:tcPr>
          <w:p w14:paraId="364A079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53000</w:t>
            </w:r>
          </w:p>
        </w:tc>
        <w:tc>
          <w:tcPr>
            <w:tcW w:w="0" w:type="auto"/>
            <w:shd w:val="clear" w:color="auto" w:fill="auto"/>
            <w:vAlign w:val="center"/>
          </w:tcPr>
          <w:p w14:paraId="48516D5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7E62C8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0EAFB9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6AF6F06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23F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B4A54A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39</w:t>
            </w:r>
          </w:p>
        </w:tc>
        <w:tc>
          <w:tcPr>
            <w:tcW w:w="0" w:type="auto"/>
            <w:shd w:val="clear" w:color="auto" w:fill="auto"/>
            <w:vAlign w:val="center"/>
          </w:tcPr>
          <w:p w14:paraId="500B2C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氯苯*</w:t>
            </w:r>
          </w:p>
        </w:tc>
        <w:tc>
          <w:tcPr>
            <w:tcW w:w="0" w:type="auto"/>
            <w:shd w:val="clear" w:color="auto" w:fill="auto"/>
            <w:vAlign w:val="center"/>
          </w:tcPr>
          <w:p w14:paraId="453A47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4FD138E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270000</w:t>
            </w:r>
          </w:p>
        </w:tc>
        <w:tc>
          <w:tcPr>
            <w:tcW w:w="0" w:type="auto"/>
            <w:shd w:val="clear" w:color="auto" w:fill="auto"/>
            <w:vAlign w:val="center"/>
          </w:tcPr>
          <w:p w14:paraId="0A22D84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73B57F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15D926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10FCFC6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368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DA968B6">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40</w:t>
            </w:r>
          </w:p>
        </w:tc>
        <w:tc>
          <w:tcPr>
            <w:tcW w:w="0" w:type="auto"/>
            <w:shd w:val="clear" w:color="auto" w:fill="auto"/>
            <w:vAlign w:val="center"/>
          </w:tcPr>
          <w:p w14:paraId="251757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0" w:type="auto"/>
            <w:shd w:val="clear" w:color="auto" w:fill="auto"/>
            <w:vAlign w:val="center"/>
          </w:tcPr>
          <w:p w14:paraId="280D40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A28B80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10000</w:t>
            </w:r>
          </w:p>
        </w:tc>
        <w:tc>
          <w:tcPr>
            <w:tcW w:w="0" w:type="auto"/>
            <w:shd w:val="clear" w:color="auto" w:fill="auto"/>
            <w:vAlign w:val="center"/>
          </w:tcPr>
          <w:p w14:paraId="6CE4476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731272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E1B73F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5F258F4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821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AD1B74B">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41</w:t>
            </w:r>
          </w:p>
        </w:tc>
        <w:tc>
          <w:tcPr>
            <w:tcW w:w="0" w:type="auto"/>
            <w:shd w:val="clear" w:color="auto" w:fill="auto"/>
            <w:vAlign w:val="center"/>
          </w:tcPr>
          <w:p w14:paraId="020AEB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乙苯*</w:t>
            </w:r>
          </w:p>
        </w:tc>
        <w:tc>
          <w:tcPr>
            <w:tcW w:w="0" w:type="auto"/>
            <w:shd w:val="clear" w:color="auto" w:fill="auto"/>
            <w:vAlign w:val="center"/>
          </w:tcPr>
          <w:p w14:paraId="6D06A5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1411CE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28000</w:t>
            </w:r>
          </w:p>
        </w:tc>
        <w:tc>
          <w:tcPr>
            <w:tcW w:w="0" w:type="auto"/>
            <w:shd w:val="clear" w:color="auto" w:fill="auto"/>
            <w:vAlign w:val="center"/>
          </w:tcPr>
          <w:p w14:paraId="1AF495D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0384D8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13EE51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09621BF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1AE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4D86894">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42</w:t>
            </w:r>
          </w:p>
        </w:tc>
        <w:tc>
          <w:tcPr>
            <w:tcW w:w="0" w:type="auto"/>
            <w:shd w:val="clear" w:color="auto" w:fill="auto"/>
            <w:vAlign w:val="center"/>
          </w:tcPr>
          <w:p w14:paraId="5A1D6A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间,对-二甲苯*</w:t>
            </w:r>
          </w:p>
        </w:tc>
        <w:tc>
          <w:tcPr>
            <w:tcW w:w="0" w:type="auto"/>
            <w:shd w:val="clear" w:color="auto" w:fill="auto"/>
            <w:vAlign w:val="center"/>
          </w:tcPr>
          <w:p w14:paraId="7B96DC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3F4014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570000</w:t>
            </w:r>
          </w:p>
        </w:tc>
        <w:tc>
          <w:tcPr>
            <w:tcW w:w="0" w:type="auto"/>
            <w:shd w:val="clear" w:color="auto" w:fill="auto"/>
            <w:vAlign w:val="center"/>
          </w:tcPr>
          <w:p w14:paraId="66761BA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5AC316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57FCDD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25D088F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344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8DF0E7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43</w:t>
            </w:r>
          </w:p>
        </w:tc>
        <w:tc>
          <w:tcPr>
            <w:tcW w:w="0" w:type="auto"/>
            <w:shd w:val="clear" w:color="auto" w:fill="auto"/>
            <w:vAlign w:val="center"/>
          </w:tcPr>
          <w:p w14:paraId="3C4D7C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邻二甲苯*</w:t>
            </w:r>
          </w:p>
        </w:tc>
        <w:tc>
          <w:tcPr>
            <w:tcW w:w="0" w:type="auto"/>
            <w:shd w:val="clear" w:color="auto" w:fill="auto"/>
            <w:vAlign w:val="center"/>
          </w:tcPr>
          <w:p w14:paraId="1D7124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CCA9FD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640000</w:t>
            </w:r>
          </w:p>
        </w:tc>
        <w:tc>
          <w:tcPr>
            <w:tcW w:w="0" w:type="auto"/>
            <w:shd w:val="clear" w:color="auto" w:fill="auto"/>
            <w:vAlign w:val="center"/>
          </w:tcPr>
          <w:p w14:paraId="36C5891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BA2111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F724C3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6BFA473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799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9C4F67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44</w:t>
            </w:r>
          </w:p>
        </w:tc>
        <w:tc>
          <w:tcPr>
            <w:tcW w:w="0" w:type="auto"/>
            <w:shd w:val="clear" w:color="auto" w:fill="auto"/>
            <w:vAlign w:val="center"/>
          </w:tcPr>
          <w:p w14:paraId="0BC6CF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苯乙烯*</w:t>
            </w:r>
          </w:p>
        </w:tc>
        <w:tc>
          <w:tcPr>
            <w:tcW w:w="0" w:type="auto"/>
            <w:shd w:val="clear" w:color="auto" w:fill="auto"/>
            <w:vAlign w:val="center"/>
          </w:tcPr>
          <w:p w14:paraId="5A41F7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7F8763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1290000</w:t>
            </w:r>
          </w:p>
        </w:tc>
        <w:tc>
          <w:tcPr>
            <w:tcW w:w="0" w:type="auto"/>
            <w:shd w:val="clear" w:color="auto" w:fill="auto"/>
            <w:vAlign w:val="center"/>
          </w:tcPr>
          <w:p w14:paraId="389FDC7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3CC04F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62C3FF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6711A94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B28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FF0BACD">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45</w:t>
            </w:r>
          </w:p>
        </w:tc>
        <w:tc>
          <w:tcPr>
            <w:tcW w:w="0" w:type="auto"/>
            <w:shd w:val="clear" w:color="auto" w:fill="auto"/>
            <w:vAlign w:val="center"/>
          </w:tcPr>
          <w:p w14:paraId="3612E0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1,1,2,2-四氯乙烷*</w:t>
            </w:r>
          </w:p>
        </w:tc>
        <w:tc>
          <w:tcPr>
            <w:tcW w:w="0" w:type="auto"/>
            <w:shd w:val="clear" w:color="auto" w:fill="auto"/>
            <w:vAlign w:val="center"/>
          </w:tcPr>
          <w:p w14:paraId="41FC30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892991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6800</w:t>
            </w:r>
          </w:p>
        </w:tc>
        <w:tc>
          <w:tcPr>
            <w:tcW w:w="0" w:type="auto"/>
            <w:shd w:val="clear" w:color="auto" w:fill="auto"/>
            <w:vAlign w:val="center"/>
          </w:tcPr>
          <w:p w14:paraId="26FD1B1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493826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C38E30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12A688F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BD4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E55C04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46</w:t>
            </w:r>
          </w:p>
        </w:tc>
        <w:tc>
          <w:tcPr>
            <w:tcW w:w="0" w:type="auto"/>
            <w:shd w:val="clear" w:color="auto" w:fill="auto"/>
            <w:vAlign w:val="center"/>
          </w:tcPr>
          <w:p w14:paraId="4B3165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1,2,3-三氯丙烷*</w:t>
            </w:r>
          </w:p>
        </w:tc>
        <w:tc>
          <w:tcPr>
            <w:tcW w:w="0" w:type="auto"/>
            <w:shd w:val="clear" w:color="auto" w:fill="auto"/>
            <w:vAlign w:val="center"/>
          </w:tcPr>
          <w:p w14:paraId="3B725F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B509C1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21175ED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9D41A8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A898ED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64C664E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1E3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27A8E54">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47</w:t>
            </w:r>
          </w:p>
        </w:tc>
        <w:tc>
          <w:tcPr>
            <w:tcW w:w="0" w:type="auto"/>
            <w:shd w:val="clear" w:color="auto" w:fill="auto"/>
            <w:vAlign w:val="center"/>
          </w:tcPr>
          <w:p w14:paraId="792EF6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1,4-二氯苯*</w:t>
            </w:r>
          </w:p>
        </w:tc>
        <w:tc>
          <w:tcPr>
            <w:tcW w:w="0" w:type="auto"/>
            <w:shd w:val="clear" w:color="auto" w:fill="auto"/>
            <w:vAlign w:val="center"/>
          </w:tcPr>
          <w:p w14:paraId="533FE2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22B43D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20000</w:t>
            </w:r>
          </w:p>
        </w:tc>
        <w:tc>
          <w:tcPr>
            <w:tcW w:w="0" w:type="auto"/>
            <w:shd w:val="clear" w:color="auto" w:fill="auto"/>
            <w:vAlign w:val="center"/>
          </w:tcPr>
          <w:p w14:paraId="39C80B5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470DEC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2D0581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2E07A7C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2BF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1C162A1F">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48</w:t>
            </w:r>
          </w:p>
        </w:tc>
        <w:tc>
          <w:tcPr>
            <w:tcW w:w="0" w:type="auto"/>
            <w:shd w:val="clear" w:color="auto" w:fill="auto"/>
            <w:vAlign w:val="center"/>
          </w:tcPr>
          <w:p w14:paraId="1BB078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1,2-二氯苯*</w:t>
            </w:r>
          </w:p>
        </w:tc>
        <w:tc>
          <w:tcPr>
            <w:tcW w:w="0" w:type="auto"/>
            <w:shd w:val="clear" w:color="auto" w:fill="auto"/>
            <w:vAlign w:val="center"/>
          </w:tcPr>
          <w:p w14:paraId="697FE2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top"/>
          </w:tcPr>
          <w:p w14:paraId="6FE39B8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560000</w:t>
            </w:r>
          </w:p>
        </w:tc>
        <w:tc>
          <w:tcPr>
            <w:tcW w:w="0" w:type="auto"/>
            <w:shd w:val="clear" w:color="auto" w:fill="auto"/>
            <w:vAlign w:val="center"/>
          </w:tcPr>
          <w:p w14:paraId="5F2D38B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F0DF3E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C72F03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tcPr>
          <w:p w14:paraId="45A915A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339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54568700">
            <w:pPr>
              <w:jc w:val="center"/>
              <w:rPr>
                <w:rFonts w:hint="default"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49</w:t>
            </w:r>
          </w:p>
        </w:tc>
        <w:tc>
          <w:tcPr>
            <w:tcW w:w="0" w:type="auto"/>
            <w:shd w:val="clear" w:color="auto" w:fill="auto"/>
            <w:vAlign w:val="center"/>
          </w:tcPr>
          <w:p w14:paraId="1843C02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bCs w:val="0"/>
                <w:color w:val="auto"/>
                <w:szCs w:val="21"/>
                <w:lang w:val="en-US" w:eastAsia="zh-CN"/>
              </w:rPr>
              <w:t>水分</w:t>
            </w:r>
          </w:p>
        </w:tc>
        <w:tc>
          <w:tcPr>
            <w:tcW w:w="0" w:type="auto"/>
            <w:shd w:val="clear" w:color="auto" w:fill="auto"/>
            <w:vAlign w:val="center"/>
          </w:tcPr>
          <w:p w14:paraId="30AC5D0C">
            <w:pPr>
              <w:keepNext w:val="0"/>
              <w:keepLines w:val="0"/>
              <w:suppressLineNumbers w:val="0"/>
              <w:snapToGrid w:val="0"/>
              <w:spacing w:before="0" w:beforeAutospacing="0" w:after="0" w:afterAutospacing="0"/>
              <w:ind w:left="72" w:leftChars="0" w:right="0" w:rightChars="0"/>
              <w:jc w:val="center"/>
              <w:rPr>
                <w:rFonts w:hint="default" w:ascii="宋体" w:hAnsi="宋体" w:eastAsia="宋体" w:cs="宋体"/>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w:t>
            </w:r>
          </w:p>
        </w:tc>
        <w:tc>
          <w:tcPr>
            <w:tcW w:w="0" w:type="auto"/>
          </w:tcPr>
          <w:p w14:paraId="51465F2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3631A82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4.1</w:t>
            </w:r>
          </w:p>
        </w:tc>
        <w:tc>
          <w:tcPr>
            <w:tcW w:w="0" w:type="auto"/>
            <w:shd w:val="clear" w:color="auto" w:fill="auto"/>
            <w:vAlign w:val="center"/>
          </w:tcPr>
          <w:p w14:paraId="185445B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3.0</w:t>
            </w:r>
          </w:p>
        </w:tc>
        <w:tc>
          <w:tcPr>
            <w:tcW w:w="0" w:type="auto"/>
            <w:shd w:val="clear" w:color="auto" w:fill="auto"/>
            <w:vAlign w:val="center"/>
          </w:tcPr>
          <w:p w14:paraId="3A06C6F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4.8</w:t>
            </w:r>
          </w:p>
        </w:tc>
        <w:tc>
          <w:tcPr>
            <w:tcW w:w="0" w:type="auto"/>
          </w:tcPr>
          <w:p w14:paraId="6DF3E26A">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r w14:paraId="06CE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0CC652F7">
            <w:pPr>
              <w:jc w:val="center"/>
              <w:rPr>
                <w:rFonts w:hint="default"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50</w:t>
            </w:r>
          </w:p>
        </w:tc>
        <w:tc>
          <w:tcPr>
            <w:tcW w:w="0" w:type="auto"/>
            <w:shd w:val="clear" w:color="auto" w:fill="auto"/>
            <w:vAlign w:val="center"/>
          </w:tcPr>
          <w:p w14:paraId="103436B9">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bCs w:val="0"/>
                <w:color w:val="auto"/>
                <w:szCs w:val="21"/>
                <w:lang w:val="en-US" w:eastAsia="zh-CN"/>
              </w:rPr>
              <w:t>干物质</w:t>
            </w:r>
          </w:p>
        </w:tc>
        <w:tc>
          <w:tcPr>
            <w:tcW w:w="0" w:type="auto"/>
            <w:shd w:val="clear" w:color="auto" w:fill="auto"/>
            <w:vAlign w:val="center"/>
          </w:tcPr>
          <w:p w14:paraId="3661D970">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w:t>
            </w:r>
          </w:p>
        </w:tc>
        <w:tc>
          <w:tcPr>
            <w:tcW w:w="0" w:type="auto"/>
          </w:tcPr>
          <w:p w14:paraId="5CC6D3F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0295EE3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96.1</w:t>
            </w:r>
          </w:p>
        </w:tc>
        <w:tc>
          <w:tcPr>
            <w:tcW w:w="0" w:type="auto"/>
            <w:shd w:val="clear" w:color="auto" w:fill="auto"/>
            <w:vAlign w:val="center"/>
          </w:tcPr>
          <w:p w14:paraId="595296E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97.1</w:t>
            </w:r>
          </w:p>
        </w:tc>
        <w:tc>
          <w:tcPr>
            <w:tcW w:w="0" w:type="auto"/>
            <w:shd w:val="clear" w:color="auto" w:fill="auto"/>
            <w:vAlign w:val="center"/>
          </w:tcPr>
          <w:p w14:paraId="3CD2500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95.5</w:t>
            </w:r>
          </w:p>
        </w:tc>
        <w:tc>
          <w:tcPr>
            <w:tcW w:w="0" w:type="auto"/>
          </w:tcPr>
          <w:p w14:paraId="242080EE">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bl>
    <w:p w14:paraId="2A4439BC">
      <w:pPr>
        <w:pStyle w:val="32"/>
        <w:bidi w:val="0"/>
        <w:rPr>
          <w:rFonts w:hint="default"/>
          <w:color w:val="auto"/>
          <w:lang w:val="en-US" w:eastAsia="zh-CN"/>
        </w:rPr>
      </w:pPr>
      <w:r>
        <w:rPr>
          <w:rFonts w:hint="eastAsia"/>
          <w:color w:val="auto"/>
          <w:lang w:val="en-US" w:eastAsia="zh-CN"/>
        </w:rPr>
        <w:t>表4.2-14（c）  土壤监测结果一览表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584"/>
        <w:gridCol w:w="1247"/>
        <w:gridCol w:w="1655"/>
        <w:gridCol w:w="1797"/>
        <w:gridCol w:w="1797"/>
        <w:gridCol w:w="1799"/>
        <w:gridCol w:w="1867"/>
      </w:tblGrid>
      <w:tr w14:paraId="715A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restart"/>
            <w:noWrap w:val="0"/>
            <w:vAlign w:val="center"/>
          </w:tcPr>
          <w:p w14:paraId="57B4EC63">
            <w:pPr>
              <w:jc w:val="center"/>
              <w:rPr>
                <w:rFonts w:hint="eastAsia" w:eastAsia="宋体"/>
                <w:b/>
                <w:bCs/>
                <w:color w:val="auto"/>
                <w:szCs w:val="21"/>
                <w:lang w:val="en-US" w:eastAsia="zh-CN"/>
              </w:rPr>
            </w:pPr>
            <w:r>
              <w:rPr>
                <w:rFonts w:hint="eastAsia"/>
                <w:b/>
                <w:bCs/>
                <w:color w:val="auto"/>
                <w:szCs w:val="21"/>
                <w:lang w:val="en-US" w:eastAsia="zh-CN"/>
              </w:rPr>
              <w:t>序号</w:t>
            </w:r>
          </w:p>
        </w:tc>
        <w:tc>
          <w:tcPr>
            <w:tcW w:w="912" w:type="pct"/>
            <w:vMerge w:val="restart"/>
            <w:noWrap w:val="0"/>
            <w:vAlign w:val="center"/>
          </w:tcPr>
          <w:p w14:paraId="51338991">
            <w:pPr>
              <w:jc w:val="center"/>
              <w:rPr>
                <w:b/>
                <w:bCs/>
                <w:color w:val="auto"/>
                <w:szCs w:val="21"/>
              </w:rPr>
            </w:pPr>
            <w:r>
              <w:rPr>
                <w:b/>
                <w:bCs/>
                <w:color w:val="auto"/>
                <w:szCs w:val="21"/>
              </w:rPr>
              <w:t>检测项目</w:t>
            </w:r>
          </w:p>
        </w:tc>
        <w:tc>
          <w:tcPr>
            <w:tcW w:w="440" w:type="pct"/>
            <w:vMerge w:val="restart"/>
            <w:noWrap w:val="0"/>
            <w:vAlign w:val="center"/>
          </w:tcPr>
          <w:p w14:paraId="781F42A2">
            <w:pPr>
              <w:jc w:val="center"/>
              <w:rPr>
                <w:b/>
                <w:bCs/>
                <w:color w:val="auto"/>
                <w:szCs w:val="21"/>
              </w:rPr>
            </w:pPr>
            <w:r>
              <w:rPr>
                <w:b/>
                <w:bCs/>
                <w:color w:val="auto"/>
                <w:szCs w:val="21"/>
              </w:rPr>
              <w:t>单位</w:t>
            </w:r>
          </w:p>
        </w:tc>
        <w:tc>
          <w:tcPr>
            <w:tcW w:w="584" w:type="pct"/>
            <w:vMerge w:val="restart"/>
            <w:noWrap w:val="0"/>
            <w:vAlign w:val="center"/>
          </w:tcPr>
          <w:p w14:paraId="398D1760">
            <w:pPr>
              <w:jc w:val="center"/>
              <w:rPr>
                <w:rFonts w:hint="eastAsia" w:ascii="Times New Roman" w:hAnsi="Times New Roman" w:eastAsia="宋体" w:cs="Times New Roman"/>
                <w:b/>
                <w:bCs/>
                <w:color w:val="auto"/>
                <w:kern w:val="2"/>
                <w:sz w:val="21"/>
                <w:szCs w:val="21"/>
                <w:lang w:val="en-US" w:eastAsia="zh-CN" w:bidi="ar-SA"/>
              </w:rPr>
            </w:pPr>
            <w:r>
              <w:rPr>
                <w:b/>
                <w:bCs/>
                <w:color w:val="auto"/>
                <w:szCs w:val="21"/>
              </w:rPr>
              <w:t>标准限值</w:t>
            </w:r>
            <w:r>
              <w:rPr>
                <w:rFonts w:hint="eastAsia"/>
                <w:b/>
                <w:bCs/>
                <w:color w:val="auto"/>
                <w:szCs w:val="21"/>
                <w:lang w:eastAsia="zh-CN"/>
              </w:rPr>
              <w:t>（</w:t>
            </w:r>
            <w:r>
              <w:rPr>
                <w:rFonts w:hint="eastAsia"/>
                <w:b/>
                <w:bCs/>
                <w:color w:val="auto"/>
                <w:szCs w:val="21"/>
                <w:lang w:val="en-US" w:eastAsia="zh-CN"/>
              </w:rPr>
              <w:t>第二类用地筛选值</w:t>
            </w:r>
            <w:r>
              <w:rPr>
                <w:rFonts w:hint="eastAsia"/>
                <w:b/>
                <w:bCs/>
                <w:color w:val="auto"/>
                <w:szCs w:val="21"/>
                <w:lang w:eastAsia="zh-CN"/>
              </w:rPr>
              <w:t>）</w:t>
            </w:r>
          </w:p>
        </w:tc>
        <w:tc>
          <w:tcPr>
            <w:tcW w:w="1903" w:type="pct"/>
            <w:gridSpan w:val="3"/>
            <w:noWrap w:val="0"/>
            <w:vAlign w:val="center"/>
          </w:tcPr>
          <w:p w14:paraId="1D0CFC31">
            <w:pPr>
              <w:jc w:val="center"/>
              <w:rPr>
                <w:rFonts w:hint="default" w:eastAsia="宋体"/>
                <w:b/>
                <w:bCs/>
                <w:color w:val="auto"/>
                <w:szCs w:val="21"/>
                <w:lang w:val="en-US" w:eastAsia="zh-CN"/>
              </w:rPr>
            </w:pPr>
            <w:r>
              <w:rPr>
                <w:rFonts w:hint="eastAsia"/>
                <w:b/>
                <w:bCs/>
                <w:color w:val="auto"/>
                <w:szCs w:val="21"/>
                <w:lang w:val="en-US" w:eastAsia="zh-CN"/>
              </w:rPr>
              <w:t>T3柱状样监测结果（占地范围内）</w:t>
            </w:r>
          </w:p>
        </w:tc>
        <w:tc>
          <w:tcPr>
            <w:tcW w:w="659" w:type="pct"/>
            <w:vMerge w:val="restart"/>
            <w:noWrap w:val="0"/>
            <w:vAlign w:val="center"/>
          </w:tcPr>
          <w:p w14:paraId="39B962E2">
            <w:pPr>
              <w:jc w:val="center"/>
              <w:rPr>
                <w:rFonts w:hint="eastAsia" w:eastAsia="宋体"/>
                <w:color w:val="auto"/>
                <w:szCs w:val="21"/>
                <w:lang w:val="en-US" w:eastAsia="zh-CN"/>
              </w:rPr>
            </w:pPr>
            <w:r>
              <w:rPr>
                <w:rFonts w:hint="eastAsia"/>
                <w:b/>
                <w:bCs/>
                <w:color w:val="auto"/>
                <w:szCs w:val="21"/>
                <w:lang w:val="en-US" w:eastAsia="zh-CN"/>
              </w:rPr>
              <w:t>达标情况</w:t>
            </w:r>
          </w:p>
        </w:tc>
      </w:tr>
      <w:tr w14:paraId="2BEE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continue"/>
            <w:noWrap w:val="0"/>
            <w:vAlign w:val="center"/>
          </w:tcPr>
          <w:p w14:paraId="396305CA">
            <w:pPr>
              <w:jc w:val="center"/>
              <w:rPr>
                <w:b/>
                <w:bCs/>
                <w:color w:val="auto"/>
                <w:szCs w:val="21"/>
              </w:rPr>
            </w:pPr>
          </w:p>
        </w:tc>
        <w:tc>
          <w:tcPr>
            <w:tcW w:w="912" w:type="pct"/>
            <w:vMerge w:val="continue"/>
            <w:noWrap w:val="0"/>
            <w:vAlign w:val="center"/>
          </w:tcPr>
          <w:p w14:paraId="6C17EC5F">
            <w:pPr>
              <w:jc w:val="center"/>
              <w:rPr>
                <w:b/>
                <w:bCs/>
                <w:color w:val="auto"/>
                <w:szCs w:val="21"/>
              </w:rPr>
            </w:pPr>
          </w:p>
        </w:tc>
        <w:tc>
          <w:tcPr>
            <w:tcW w:w="440" w:type="pct"/>
            <w:vMerge w:val="continue"/>
            <w:noWrap w:val="0"/>
            <w:vAlign w:val="center"/>
          </w:tcPr>
          <w:p w14:paraId="0F2F241C">
            <w:pPr>
              <w:jc w:val="center"/>
              <w:rPr>
                <w:b/>
                <w:bCs/>
                <w:color w:val="auto"/>
                <w:szCs w:val="21"/>
              </w:rPr>
            </w:pPr>
          </w:p>
        </w:tc>
        <w:tc>
          <w:tcPr>
            <w:tcW w:w="584" w:type="pct"/>
            <w:vMerge w:val="continue"/>
            <w:noWrap w:val="0"/>
            <w:vAlign w:val="center"/>
          </w:tcPr>
          <w:p w14:paraId="1B92718A">
            <w:pPr>
              <w:jc w:val="center"/>
              <w:rPr>
                <w:rFonts w:ascii="Times New Roman" w:hAnsi="Times New Roman" w:eastAsia="宋体" w:cs="Times New Roman"/>
                <w:b/>
                <w:bCs/>
                <w:color w:val="auto"/>
                <w:kern w:val="2"/>
                <w:sz w:val="21"/>
                <w:szCs w:val="21"/>
                <w:lang w:val="en-US" w:eastAsia="zh-CN" w:bidi="ar-SA"/>
              </w:rPr>
            </w:pPr>
          </w:p>
        </w:tc>
        <w:tc>
          <w:tcPr>
            <w:tcW w:w="634" w:type="pct"/>
            <w:noWrap w:val="0"/>
            <w:vAlign w:val="center"/>
          </w:tcPr>
          <w:p w14:paraId="1F1F79FE">
            <w:pPr>
              <w:jc w:val="center"/>
              <w:rPr>
                <w:b/>
                <w:bCs/>
                <w:color w:val="auto"/>
                <w:szCs w:val="21"/>
              </w:rPr>
            </w:pPr>
            <w:r>
              <w:rPr>
                <w:rFonts w:hint="eastAsia"/>
                <w:b/>
                <w:bCs/>
                <w:color w:val="auto"/>
                <w:szCs w:val="21"/>
                <w:lang w:val="en-US" w:eastAsia="zh-CN"/>
              </w:rPr>
              <w:t>T3-1</w:t>
            </w:r>
            <w:r>
              <w:rPr>
                <w:b/>
                <w:bCs/>
                <w:color w:val="auto"/>
                <w:szCs w:val="21"/>
              </w:rPr>
              <w:t>监测结果</w:t>
            </w:r>
          </w:p>
        </w:tc>
        <w:tc>
          <w:tcPr>
            <w:tcW w:w="634" w:type="pct"/>
            <w:noWrap w:val="0"/>
            <w:vAlign w:val="center"/>
          </w:tcPr>
          <w:p w14:paraId="1740193E">
            <w:pPr>
              <w:jc w:val="center"/>
              <w:rPr>
                <w:b/>
                <w:bCs/>
                <w:color w:val="auto"/>
                <w:szCs w:val="21"/>
              </w:rPr>
            </w:pPr>
            <w:r>
              <w:rPr>
                <w:rFonts w:hint="eastAsia"/>
                <w:b/>
                <w:bCs/>
                <w:color w:val="auto"/>
                <w:szCs w:val="21"/>
                <w:lang w:val="en-US" w:eastAsia="zh-CN"/>
              </w:rPr>
              <w:t>T3-2</w:t>
            </w:r>
            <w:r>
              <w:rPr>
                <w:b/>
                <w:bCs/>
                <w:color w:val="auto"/>
                <w:szCs w:val="21"/>
              </w:rPr>
              <w:t>监测结果</w:t>
            </w:r>
          </w:p>
        </w:tc>
        <w:tc>
          <w:tcPr>
            <w:tcW w:w="635" w:type="pct"/>
            <w:noWrap w:val="0"/>
            <w:vAlign w:val="center"/>
          </w:tcPr>
          <w:p w14:paraId="5591E2C3">
            <w:pPr>
              <w:jc w:val="center"/>
              <w:rPr>
                <w:rFonts w:hint="eastAsia"/>
                <w:b/>
                <w:bCs/>
                <w:color w:val="auto"/>
                <w:szCs w:val="21"/>
              </w:rPr>
            </w:pPr>
            <w:r>
              <w:rPr>
                <w:rFonts w:hint="eastAsia"/>
                <w:b/>
                <w:bCs/>
                <w:color w:val="auto"/>
                <w:szCs w:val="21"/>
                <w:lang w:val="en-US" w:eastAsia="zh-CN"/>
              </w:rPr>
              <w:t>T3-3</w:t>
            </w:r>
            <w:r>
              <w:rPr>
                <w:b/>
                <w:bCs/>
                <w:color w:val="auto"/>
                <w:szCs w:val="21"/>
              </w:rPr>
              <w:t>监测结果</w:t>
            </w:r>
          </w:p>
        </w:tc>
        <w:tc>
          <w:tcPr>
            <w:tcW w:w="659" w:type="pct"/>
            <w:vMerge w:val="continue"/>
            <w:noWrap w:val="0"/>
            <w:vAlign w:val="center"/>
          </w:tcPr>
          <w:p w14:paraId="69857733">
            <w:pPr>
              <w:jc w:val="center"/>
              <w:rPr>
                <w:rFonts w:hint="eastAsia" w:eastAsia="宋体"/>
                <w:color w:val="auto"/>
                <w:szCs w:val="21"/>
                <w:lang w:val="en-US" w:eastAsia="zh-CN"/>
              </w:rPr>
            </w:pPr>
          </w:p>
        </w:tc>
      </w:tr>
      <w:tr w14:paraId="0D86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329EE971">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w:t>
            </w:r>
          </w:p>
        </w:tc>
        <w:tc>
          <w:tcPr>
            <w:tcW w:w="912" w:type="pct"/>
            <w:shd w:val="clear" w:color="auto" w:fill="auto"/>
            <w:noWrap w:val="0"/>
            <w:vAlign w:val="center"/>
          </w:tcPr>
          <w:p w14:paraId="4161869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440" w:type="pct"/>
            <w:shd w:val="clear" w:color="auto" w:fill="auto"/>
            <w:noWrap w:val="0"/>
            <w:vAlign w:val="center"/>
          </w:tcPr>
          <w:p w14:paraId="52593936">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无量纲</w:t>
            </w:r>
          </w:p>
        </w:tc>
        <w:tc>
          <w:tcPr>
            <w:tcW w:w="584" w:type="pct"/>
            <w:noWrap w:val="0"/>
            <w:vAlign w:val="center"/>
          </w:tcPr>
          <w:p w14:paraId="1F81CB2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shd w:val="clear" w:color="auto" w:fill="auto"/>
            <w:noWrap w:val="0"/>
            <w:vAlign w:val="center"/>
          </w:tcPr>
          <w:p w14:paraId="212F7A4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8.45</w:t>
            </w:r>
          </w:p>
        </w:tc>
        <w:tc>
          <w:tcPr>
            <w:tcW w:w="634" w:type="pct"/>
            <w:shd w:val="clear" w:color="auto" w:fill="auto"/>
            <w:noWrap w:val="0"/>
            <w:vAlign w:val="center"/>
          </w:tcPr>
          <w:p w14:paraId="7B4AF73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8.46</w:t>
            </w:r>
          </w:p>
        </w:tc>
        <w:tc>
          <w:tcPr>
            <w:tcW w:w="635" w:type="pct"/>
            <w:shd w:val="clear" w:color="auto" w:fill="auto"/>
            <w:noWrap w:val="0"/>
            <w:vAlign w:val="center"/>
          </w:tcPr>
          <w:p w14:paraId="2725708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8.43</w:t>
            </w:r>
          </w:p>
        </w:tc>
        <w:tc>
          <w:tcPr>
            <w:tcW w:w="1867" w:type="dxa"/>
            <w:noWrap w:val="0"/>
            <w:vAlign w:val="top"/>
          </w:tcPr>
          <w:p w14:paraId="7DD3AABC">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r w14:paraId="4994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4E9FFE9E">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w:t>
            </w:r>
          </w:p>
        </w:tc>
        <w:tc>
          <w:tcPr>
            <w:tcW w:w="912" w:type="pct"/>
            <w:shd w:val="clear" w:color="auto" w:fill="auto"/>
            <w:noWrap w:val="0"/>
            <w:vAlign w:val="center"/>
          </w:tcPr>
          <w:p w14:paraId="4F6D2028">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石油烃</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10</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40</w:t>
            </w:r>
            <w:r>
              <w:rPr>
                <w:rFonts w:hint="default" w:ascii="Times New Roman" w:hAnsi="Times New Roman" w:eastAsia="宋体" w:cs="Times New Roman"/>
                <w:color w:val="auto"/>
                <w:kern w:val="0"/>
                <w:sz w:val="21"/>
                <w:szCs w:val="21"/>
                <w:lang w:val="en-US" w:eastAsia="zh-CN" w:bidi="ar"/>
              </w:rPr>
              <w:t>)</w:t>
            </w:r>
          </w:p>
        </w:tc>
        <w:tc>
          <w:tcPr>
            <w:tcW w:w="440" w:type="pct"/>
            <w:shd w:val="clear" w:color="auto" w:fill="auto"/>
            <w:noWrap w:val="0"/>
            <w:vAlign w:val="center"/>
          </w:tcPr>
          <w:p w14:paraId="7F65F0EF">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2A6AE89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4500</w:t>
            </w:r>
          </w:p>
        </w:tc>
        <w:tc>
          <w:tcPr>
            <w:tcW w:w="634" w:type="pct"/>
            <w:shd w:val="clear" w:color="auto" w:fill="auto"/>
            <w:noWrap w:val="0"/>
            <w:vAlign w:val="center"/>
          </w:tcPr>
          <w:p w14:paraId="6C7D051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35.4</w:t>
            </w:r>
          </w:p>
        </w:tc>
        <w:tc>
          <w:tcPr>
            <w:tcW w:w="634" w:type="pct"/>
            <w:shd w:val="clear" w:color="auto" w:fill="auto"/>
            <w:noWrap w:val="0"/>
            <w:vAlign w:val="center"/>
          </w:tcPr>
          <w:p w14:paraId="469841E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32.6</w:t>
            </w:r>
          </w:p>
        </w:tc>
        <w:tc>
          <w:tcPr>
            <w:tcW w:w="635" w:type="pct"/>
            <w:shd w:val="clear" w:color="auto" w:fill="auto"/>
            <w:noWrap w:val="0"/>
            <w:vAlign w:val="center"/>
          </w:tcPr>
          <w:p w14:paraId="19B24AC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31.7</w:t>
            </w:r>
          </w:p>
        </w:tc>
        <w:tc>
          <w:tcPr>
            <w:tcW w:w="1867" w:type="dxa"/>
            <w:noWrap w:val="0"/>
            <w:vAlign w:val="top"/>
          </w:tcPr>
          <w:p w14:paraId="7CEF242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334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0EDA15D0">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w:t>
            </w:r>
          </w:p>
        </w:tc>
        <w:tc>
          <w:tcPr>
            <w:tcW w:w="912" w:type="pct"/>
            <w:shd w:val="clear" w:color="auto" w:fill="auto"/>
            <w:noWrap w:val="0"/>
            <w:vAlign w:val="center"/>
          </w:tcPr>
          <w:p w14:paraId="5033D8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水溶性总盐量</w:t>
            </w:r>
          </w:p>
        </w:tc>
        <w:tc>
          <w:tcPr>
            <w:tcW w:w="440" w:type="pct"/>
            <w:shd w:val="clear" w:color="auto" w:fill="auto"/>
            <w:noWrap w:val="0"/>
            <w:vAlign w:val="center"/>
          </w:tcPr>
          <w:p w14:paraId="1FB994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b w:val="0"/>
                <w:bCs w:val="0"/>
                <w:color w:val="auto"/>
                <w:szCs w:val="21"/>
                <w:lang w:val="en-US" w:eastAsia="zh-CN"/>
              </w:rPr>
              <w:t>g/kg</w:t>
            </w:r>
          </w:p>
        </w:tc>
        <w:tc>
          <w:tcPr>
            <w:tcW w:w="584" w:type="pct"/>
            <w:noWrap w:val="0"/>
            <w:vAlign w:val="center"/>
          </w:tcPr>
          <w:p w14:paraId="7DEE0B6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shd w:val="clear" w:color="auto" w:fill="auto"/>
            <w:noWrap w:val="0"/>
            <w:vAlign w:val="center"/>
          </w:tcPr>
          <w:p w14:paraId="28E3A5A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2.7</w:t>
            </w:r>
          </w:p>
        </w:tc>
        <w:tc>
          <w:tcPr>
            <w:tcW w:w="634" w:type="pct"/>
            <w:shd w:val="clear" w:color="auto" w:fill="auto"/>
            <w:noWrap w:val="0"/>
            <w:vAlign w:val="center"/>
          </w:tcPr>
          <w:p w14:paraId="30FEA64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3.4</w:t>
            </w:r>
          </w:p>
        </w:tc>
        <w:tc>
          <w:tcPr>
            <w:tcW w:w="635" w:type="pct"/>
            <w:shd w:val="clear" w:color="auto" w:fill="auto"/>
            <w:noWrap w:val="0"/>
            <w:vAlign w:val="center"/>
          </w:tcPr>
          <w:p w14:paraId="0C678E6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3.5</w:t>
            </w:r>
          </w:p>
        </w:tc>
        <w:tc>
          <w:tcPr>
            <w:tcW w:w="659" w:type="pct"/>
            <w:noWrap w:val="0"/>
            <w:vAlign w:val="top"/>
          </w:tcPr>
          <w:p w14:paraId="4BF6B7AD">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r w14:paraId="531F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11F5DD34">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w:t>
            </w:r>
          </w:p>
        </w:tc>
        <w:tc>
          <w:tcPr>
            <w:tcW w:w="912" w:type="pct"/>
            <w:shd w:val="clear" w:color="auto" w:fill="auto"/>
            <w:noWrap w:val="0"/>
            <w:vAlign w:val="center"/>
          </w:tcPr>
          <w:p w14:paraId="47C02C5F">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汞*</w:t>
            </w:r>
          </w:p>
        </w:tc>
        <w:tc>
          <w:tcPr>
            <w:tcW w:w="440" w:type="pct"/>
            <w:shd w:val="clear" w:color="auto" w:fill="auto"/>
            <w:noWrap w:val="0"/>
            <w:vAlign w:val="center"/>
          </w:tcPr>
          <w:p w14:paraId="14EB8FE9">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5F34C0A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38</w:t>
            </w:r>
          </w:p>
        </w:tc>
        <w:tc>
          <w:tcPr>
            <w:tcW w:w="634" w:type="pct"/>
            <w:shd w:val="clear" w:color="auto" w:fill="auto"/>
            <w:noWrap w:val="0"/>
            <w:vAlign w:val="center"/>
          </w:tcPr>
          <w:p w14:paraId="3DF8617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0.006</w:t>
            </w:r>
          </w:p>
        </w:tc>
        <w:tc>
          <w:tcPr>
            <w:tcW w:w="634" w:type="pct"/>
            <w:shd w:val="clear" w:color="auto" w:fill="auto"/>
            <w:noWrap w:val="0"/>
            <w:vAlign w:val="center"/>
          </w:tcPr>
          <w:p w14:paraId="5E5CE00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0.005</w:t>
            </w:r>
          </w:p>
        </w:tc>
        <w:tc>
          <w:tcPr>
            <w:tcW w:w="635" w:type="pct"/>
            <w:shd w:val="clear" w:color="auto" w:fill="auto"/>
            <w:noWrap w:val="0"/>
            <w:vAlign w:val="center"/>
          </w:tcPr>
          <w:p w14:paraId="727413E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0.006</w:t>
            </w:r>
          </w:p>
        </w:tc>
        <w:tc>
          <w:tcPr>
            <w:tcW w:w="659" w:type="pct"/>
            <w:noWrap w:val="0"/>
            <w:vAlign w:val="top"/>
          </w:tcPr>
          <w:p w14:paraId="0DD4650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21D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279AA267">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5</w:t>
            </w:r>
          </w:p>
        </w:tc>
        <w:tc>
          <w:tcPr>
            <w:tcW w:w="912" w:type="pct"/>
            <w:shd w:val="clear" w:color="auto" w:fill="auto"/>
            <w:noWrap w:val="0"/>
            <w:vAlign w:val="center"/>
          </w:tcPr>
          <w:p w14:paraId="20604BED">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砷*</w:t>
            </w:r>
          </w:p>
        </w:tc>
        <w:tc>
          <w:tcPr>
            <w:tcW w:w="440" w:type="pct"/>
            <w:shd w:val="clear" w:color="auto" w:fill="auto"/>
            <w:noWrap w:val="0"/>
            <w:vAlign w:val="center"/>
          </w:tcPr>
          <w:p w14:paraId="7B174037">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1CCCB83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60</w:t>
            </w:r>
          </w:p>
        </w:tc>
        <w:tc>
          <w:tcPr>
            <w:tcW w:w="634" w:type="pct"/>
            <w:shd w:val="clear" w:color="auto" w:fill="auto"/>
            <w:noWrap w:val="0"/>
            <w:vAlign w:val="center"/>
          </w:tcPr>
          <w:p w14:paraId="5E51743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7.63</w:t>
            </w:r>
          </w:p>
        </w:tc>
        <w:tc>
          <w:tcPr>
            <w:tcW w:w="634" w:type="pct"/>
            <w:shd w:val="clear" w:color="auto" w:fill="auto"/>
            <w:noWrap w:val="0"/>
            <w:vAlign w:val="center"/>
          </w:tcPr>
          <w:p w14:paraId="1C47677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7.41</w:t>
            </w:r>
          </w:p>
        </w:tc>
        <w:tc>
          <w:tcPr>
            <w:tcW w:w="635" w:type="pct"/>
            <w:shd w:val="clear" w:color="auto" w:fill="auto"/>
            <w:noWrap w:val="0"/>
            <w:vAlign w:val="center"/>
          </w:tcPr>
          <w:p w14:paraId="642FA22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7.33</w:t>
            </w:r>
          </w:p>
        </w:tc>
        <w:tc>
          <w:tcPr>
            <w:tcW w:w="659" w:type="pct"/>
            <w:noWrap w:val="0"/>
            <w:vAlign w:val="top"/>
          </w:tcPr>
          <w:p w14:paraId="6A531EE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6F1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227F2AFA">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6</w:t>
            </w:r>
          </w:p>
        </w:tc>
        <w:tc>
          <w:tcPr>
            <w:tcW w:w="912" w:type="pct"/>
            <w:shd w:val="clear" w:color="auto" w:fill="auto"/>
            <w:noWrap w:val="0"/>
            <w:vAlign w:val="center"/>
          </w:tcPr>
          <w:p w14:paraId="26FE112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铜*</w:t>
            </w:r>
          </w:p>
        </w:tc>
        <w:tc>
          <w:tcPr>
            <w:tcW w:w="440" w:type="pct"/>
            <w:shd w:val="clear" w:color="auto" w:fill="auto"/>
            <w:noWrap w:val="0"/>
            <w:vAlign w:val="center"/>
          </w:tcPr>
          <w:p w14:paraId="5B69BDE9">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01F6570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18000</w:t>
            </w:r>
          </w:p>
        </w:tc>
        <w:tc>
          <w:tcPr>
            <w:tcW w:w="634" w:type="pct"/>
            <w:shd w:val="clear" w:color="auto" w:fill="auto"/>
            <w:noWrap w:val="0"/>
            <w:vAlign w:val="center"/>
          </w:tcPr>
          <w:p w14:paraId="570AF49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24</w:t>
            </w:r>
          </w:p>
        </w:tc>
        <w:tc>
          <w:tcPr>
            <w:tcW w:w="634" w:type="pct"/>
            <w:shd w:val="clear" w:color="auto" w:fill="auto"/>
            <w:noWrap w:val="0"/>
            <w:vAlign w:val="center"/>
          </w:tcPr>
          <w:p w14:paraId="2A453EF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22</w:t>
            </w:r>
          </w:p>
        </w:tc>
        <w:tc>
          <w:tcPr>
            <w:tcW w:w="635" w:type="pct"/>
            <w:shd w:val="clear" w:color="auto" w:fill="auto"/>
            <w:noWrap w:val="0"/>
            <w:vAlign w:val="center"/>
          </w:tcPr>
          <w:p w14:paraId="07F525D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22</w:t>
            </w:r>
          </w:p>
        </w:tc>
        <w:tc>
          <w:tcPr>
            <w:tcW w:w="659" w:type="pct"/>
            <w:noWrap w:val="0"/>
            <w:vAlign w:val="top"/>
          </w:tcPr>
          <w:p w14:paraId="040D467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099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538BD83">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7</w:t>
            </w:r>
          </w:p>
        </w:tc>
        <w:tc>
          <w:tcPr>
            <w:tcW w:w="0" w:type="auto"/>
            <w:shd w:val="clear" w:color="auto" w:fill="auto"/>
            <w:vAlign w:val="center"/>
          </w:tcPr>
          <w:p w14:paraId="3B0C69B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镍*</w:t>
            </w:r>
          </w:p>
        </w:tc>
        <w:tc>
          <w:tcPr>
            <w:tcW w:w="0" w:type="auto"/>
            <w:shd w:val="clear" w:color="auto" w:fill="auto"/>
            <w:vAlign w:val="center"/>
          </w:tcPr>
          <w:p w14:paraId="7DAC7BA9">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0" w:type="auto"/>
            <w:shd w:val="clear" w:color="auto" w:fill="auto"/>
            <w:vAlign w:val="center"/>
          </w:tcPr>
          <w:p w14:paraId="4BA199F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0" w:type="auto"/>
            <w:shd w:val="clear" w:color="auto" w:fill="auto"/>
            <w:vAlign w:val="center"/>
          </w:tcPr>
          <w:p w14:paraId="7825B68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w:t>
            </w:r>
          </w:p>
        </w:tc>
        <w:tc>
          <w:tcPr>
            <w:tcW w:w="0" w:type="auto"/>
            <w:shd w:val="clear" w:color="auto" w:fill="auto"/>
            <w:vAlign w:val="center"/>
          </w:tcPr>
          <w:p w14:paraId="24BDE00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31</w:t>
            </w:r>
          </w:p>
        </w:tc>
        <w:tc>
          <w:tcPr>
            <w:tcW w:w="0" w:type="auto"/>
            <w:shd w:val="clear" w:color="auto" w:fill="auto"/>
            <w:vAlign w:val="center"/>
          </w:tcPr>
          <w:p w14:paraId="4CBC42C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25</w:t>
            </w:r>
          </w:p>
        </w:tc>
        <w:tc>
          <w:tcPr>
            <w:tcW w:w="659" w:type="pct"/>
            <w:vAlign w:val="top"/>
          </w:tcPr>
          <w:p w14:paraId="2B21161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B0F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FAB5214">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8</w:t>
            </w:r>
          </w:p>
        </w:tc>
        <w:tc>
          <w:tcPr>
            <w:tcW w:w="0" w:type="auto"/>
            <w:shd w:val="clear" w:color="auto" w:fill="auto"/>
            <w:vAlign w:val="center"/>
          </w:tcPr>
          <w:p w14:paraId="1417F1A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铅*</w:t>
            </w:r>
          </w:p>
        </w:tc>
        <w:tc>
          <w:tcPr>
            <w:tcW w:w="0" w:type="auto"/>
            <w:shd w:val="clear" w:color="auto" w:fill="auto"/>
            <w:vAlign w:val="center"/>
          </w:tcPr>
          <w:p w14:paraId="02F83F13">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0" w:type="auto"/>
            <w:shd w:val="clear" w:color="auto" w:fill="auto"/>
            <w:vAlign w:val="center"/>
          </w:tcPr>
          <w:p w14:paraId="3E0B677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800</w:t>
            </w:r>
          </w:p>
        </w:tc>
        <w:tc>
          <w:tcPr>
            <w:tcW w:w="0" w:type="auto"/>
            <w:shd w:val="clear" w:color="auto" w:fill="auto"/>
            <w:vAlign w:val="center"/>
          </w:tcPr>
          <w:p w14:paraId="288F62E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14.9</w:t>
            </w:r>
          </w:p>
        </w:tc>
        <w:tc>
          <w:tcPr>
            <w:tcW w:w="0" w:type="auto"/>
            <w:shd w:val="clear" w:color="auto" w:fill="auto"/>
            <w:vAlign w:val="center"/>
          </w:tcPr>
          <w:p w14:paraId="00AF42C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14.6</w:t>
            </w:r>
          </w:p>
        </w:tc>
        <w:tc>
          <w:tcPr>
            <w:tcW w:w="0" w:type="auto"/>
            <w:shd w:val="clear" w:color="auto" w:fill="auto"/>
            <w:vAlign w:val="center"/>
          </w:tcPr>
          <w:p w14:paraId="389E1C4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14.7</w:t>
            </w:r>
          </w:p>
        </w:tc>
        <w:tc>
          <w:tcPr>
            <w:tcW w:w="659" w:type="pct"/>
            <w:vAlign w:val="top"/>
          </w:tcPr>
          <w:p w14:paraId="4581626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0EA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ED73669">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9</w:t>
            </w:r>
          </w:p>
        </w:tc>
        <w:tc>
          <w:tcPr>
            <w:tcW w:w="0" w:type="auto"/>
            <w:shd w:val="clear" w:color="auto" w:fill="auto"/>
            <w:vAlign w:val="center"/>
          </w:tcPr>
          <w:p w14:paraId="5947043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镉*</w:t>
            </w:r>
          </w:p>
        </w:tc>
        <w:tc>
          <w:tcPr>
            <w:tcW w:w="0" w:type="auto"/>
            <w:shd w:val="clear" w:color="auto" w:fill="auto"/>
            <w:vAlign w:val="center"/>
          </w:tcPr>
          <w:p w14:paraId="472B74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796AB3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65</w:t>
            </w:r>
          </w:p>
        </w:tc>
        <w:tc>
          <w:tcPr>
            <w:tcW w:w="0" w:type="auto"/>
            <w:shd w:val="clear" w:color="auto" w:fill="auto"/>
            <w:vAlign w:val="center"/>
          </w:tcPr>
          <w:p w14:paraId="0AAAFB4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0.06</w:t>
            </w:r>
          </w:p>
        </w:tc>
        <w:tc>
          <w:tcPr>
            <w:tcW w:w="0" w:type="auto"/>
            <w:shd w:val="clear" w:color="auto" w:fill="auto"/>
            <w:vAlign w:val="center"/>
          </w:tcPr>
          <w:p w14:paraId="4970910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0.06</w:t>
            </w:r>
          </w:p>
        </w:tc>
        <w:tc>
          <w:tcPr>
            <w:tcW w:w="0" w:type="auto"/>
            <w:shd w:val="clear" w:color="auto" w:fill="auto"/>
            <w:vAlign w:val="center"/>
          </w:tcPr>
          <w:p w14:paraId="3B05031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0.07</w:t>
            </w:r>
          </w:p>
        </w:tc>
        <w:tc>
          <w:tcPr>
            <w:tcW w:w="659" w:type="pct"/>
            <w:vAlign w:val="top"/>
          </w:tcPr>
          <w:p w14:paraId="5F55AC7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99B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DA81632">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10</w:t>
            </w:r>
          </w:p>
        </w:tc>
        <w:tc>
          <w:tcPr>
            <w:tcW w:w="0" w:type="auto"/>
            <w:shd w:val="clear" w:color="auto" w:fill="auto"/>
            <w:vAlign w:val="center"/>
          </w:tcPr>
          <w:p w14:paraId="3059862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铬（六价）*</w:t>
            </w:r>
          </w:p>
        </w:tc>
        <w:tc>
          <w:tcPr>
            <w:tcW w:w="0" w:type="auto"/>
            <w:shd w:val="clear" w:color="auto" w:fill="auto"/>
            <w:vAlign w:val="center"/>
          </w:tcPr>
          <w:p w14:paraId="332105F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14F34C6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w:t>
            </w:r>
          </w:p>
        </w:tc>
        <w:tc>
          <w:tcPr>
            <w:tcW w:w="0" w:type="auto"/>
            <w:shd w:val="clear" w:color="auto" w:fill="auto"/>
            <w:vAlign w:val="center"/>
          </w:tcPr>
          <w:p w14:paraId="2D00B04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19A09F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3240E0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75CF69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E15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AB402CD">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11</w:t>
            </w:r>
          </w:p>
        </w:tc>
        <w:tc>
          <w:tcPr>
            <w:tcW w:w="0" w:type="auto"/>
            <w:shd w:val="clear" w:color="auto" w:fill="auto"/>
            <w:vAlign w:val="center"/>
          </w:tcPr>
          <w:p w14:paraId="28A2955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苯胺*</w:t>
            </w:r>
          </w:p>
        </w:tc>
        <w:tc>
          <w:tcPr>
            <w:tcW w:w="0" w:type="auto"/>
            <w:shd w:val="clear" w:color="auto" w:fill="auto"/>
            <w:vAlign w:val="center"/>
          </w:tcPr>
          <w:p w14:paraId="7FE3EE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58C4FAF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260</w:t>
            </w:r>
          </w:p>
        </w:tc>
        <w:tc>
          <w:tcPr>
            <w:tcW w:w="0" w:type="auto"/>
            <w:shd w:val="clear" w:color="auto" w:fill="auto"/>
            <w:vAlign w:val="center"/>
          </w:tcPr>
          <w:p w14:paraId="1687687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FDCB59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0AB088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082573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FBB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D30A1E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12</w:t>
            </w:r>
          </w:p>
        </w:tc>
        <w:tc>
          <w:tcPr>
            <w:tcW w:w="0" w:type="auto"/>
            <w:shd w:val="clear" w:color="auto" w:fill="auto"/>
            <w:vAlign w:val="center"/>
          </w:tcPr>
          <w:p w14:paraId="2AE1B3B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2-氯酚*</w:t>
            </w:r>
          </w:p>
        </w:tc>
        <w:tc>
          <w:tcPr>
            <w:tcW w:w="0" w:type="auto"/>
            <w:shd w:val="clear" w:color="auto" w:fill="auto"/>
            <w:vAlign w:val="center"/>
          </w:tcPr>
          <w:p w14:paraId="012E56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6618422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2256</w:t>
            </w:r>
          </w:p>
        </w:tc>
        <w:tc>
          <w:tcPr>
            <w:tcW w:w="0" w:type="auto"/>
            <w:shd w:val="clear" w:color="auto" w:fill="auto"/>
            <w:vAlign w:val="center"/>
          </w:tcPr>
          <w:p w14:paraId="50833C2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D621A4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0CE3D2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AA84BE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24E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75B2C1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13</w:t>
            </w:r>
          </w:p>
        </w:tc>
        <w:tc>
          <w:tcPr>
            <w:tcW w:w="0" w:type="auto"/>
            <w:shd w:val="clear" w:color="auto" w:fill="auto"/>
            <w:vAlign w:val="center"/>
          </w:tcPr>
          <w:p w14:paraId="6292C2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硝基苯*</w:t>
            </w:r>
          </w:p>
        </w:tc>
        <w:tc>
          <w:tcPr>
            <w:tcW w:w="0" w:type="auto"/>
            <w:shd w:val="clear" w:color="auto" w:fill="auto"/>
            <w:vAlign w:val="center"/>
          </w:tcPr>
          <w:p w14:paraId="406F8D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0483B21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76</w:t>
            </w:r>
          </w:p>
        </w:tc>
        <w:tc>
          <w:tcPr>
            <w:tcW w:w="0" w:type="auto"/>
            <w:shd w:val="clear" w:color="auto" w:fill="auto"/>
            <w:vAlign w:val="center"/>
          </w:tcPr>
          <w:p w14:paraId="52E5064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F2F421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8FEDAA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7243A1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2DD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7A87076">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14</w:t>
            </w:r>
          </w:p>
        </w:tc>
        <w:tc>
          <w:tcPr>
            <w:tcW w:w="0" w:type="auto"/>
            <w:shd w:val="clear" w:color="auto" w:fill="auto"/>
            <w:vAlign w:val="center"/>
          </w:tcPr>
          <w:p w14:paraId="3847E1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萘*</w:t>
            </w:r>
          </w:p>
        </w:tc>
        <w:tc>
          <w:tcPr>
            <w:tcW w:w="0" w:type="auto"/>
            <w:shd w:val="clear" w:color="auto" w:fill="auto"/>
            <w:vAlign w:val="center"/>
          </w:tcPr>
          <w:p w14:paraId="32B675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5689760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70</w:t>
            </w:r>
          </w:p>
        </w:tc>
        <w:tc>
          <w:tcPr>
            <w:tcW w:w="0" w:type="auto"/>
            <w:shd w:val="clear" w:color="auto" w:fill="auto"/>
            <w:vAlign w:val="center"/>
          </w:tcPr>
          <w:p w14:paraId="226DBEF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62D4FD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329F36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CFA25F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A64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2D997DC">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15</w:t>
            </w:r>
          </w:p>
        </w:tc>
        <w:tc>
          <w:tcPr>
            <w:tcW w:w="0" w:type="auto"/>
            <w:shd w:val="clear" w:color="auto" w:fill="auto"/>
            <w:vAlign w:val="center"/>
          </w:tcPr>
          <w:p w14:paraId="5F79FE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苯并(a)蒽*</w:t>
            </w:r>
          </w:p>
        </w:tc>
        <w:tc>
          <w:tcPr>
            <w:tcW w:w="0" w:type="auto"/>
            <w:shd w:val="clear" w:color="auto" w:fill="auto"/>
            <w:vAlign w:val="center"/>
          </w:tcPr>
          <w:p w14:paraId="42113A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649E58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6192A76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4D34C3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3B7A89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A7F987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7AD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ADD1AE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16</w:t>
            </w:r>
          </w:p>
        </w:tc>
        <w:tc>
          <w:tcPr>
            <w:tcW w:w="0" w:type="auto"/>
            <w:shd w:val="clear" w:color="auto" w:fill="auto"/>
            <w:vAlign w:val="center"/>
          </w:tcPr>
          <w:p w14:paraId="3B2288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䓛*</w:t>
            </w:r>
          </w:p>
        </w:tc>
        <w:tc>
          <w:tcPr>
            <w:tcW w:w="0" w:type="auto"/>
            <w:shd w:val="clear" w:color="auto" w:fill="auto"/>
            <w:vAlign w:val="center"/>
          </w:tcPr>
          <w:p w14:paraId="18812E4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403335B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1293</w:t>
            </w:r>
          </w:p>
        </w:tc>
        <w:tc>
          <w:tcPr>
            <w:tcW w:w="0" w:type="auto"/>
            <w:shd w:val="clear" w:color="auto" w:fill="auto"/>
            <w:vAlign w:val="center"/>
          </w:tcPr>
          <w:p w14:paraId="488421B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1690A5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202DC1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B602D8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0A6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5D14DD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17</w:t>
            </w:r>
          </w:p>
        </w:tc>
        <w:tc>
          <w:tcPr>
            <w:tcW w:w="0" w:type="auto"/>
            <w:shd w:val="clear" w:color="auto" w:fill="auto"/>
            <w:vAlign w:val="center"/>
          </w:tcPr>
          <w:p w14:paraId="6C89C4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苯并(b)荧蒽*</w:t>
            </w:r>
          </w:p>
        </w:tc>
        <w:tc>
          <w:tcPr>
            <w:tcW w:w="0" w:type="auto"/>
            <w:shd w:val="clear" w:color="auto" w:fill="auto"/>
            <w:vAlign w:val="center"/>
          </w:tcPr>
          <w:p w14:paraId="5323E5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78FFB4E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5DD6F46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6C132C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F99AD3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E46A36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41E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7FAD7D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18</w:t>
            </w:r>
          </w:p>
        </w:tc>
        <w:tc>
          <w:tcPr>
            <w:tcW w:w="0" w:type="auto"/>
            <w:shd w:val="clear" w:color="auto" w:fill="auto"/>
            <w:vAlign w:val="center"/>
          </w:tcPr>
          <w:p w14:paraId="1C1B46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苯并(k)荧蒽*</w:t>
            </w:r>
          </w:p>
        </w:tc>
        <w:tc>
          <w:tcPr>
            <w:tcW w:w="0" w:type="auto"/>
            <w:shd w:val="clear" w:color="auto" w:fill="auto"/>
            <w:vAlign w:val="center"/>
          </w:tcPr>
          <w:p w14:paraId="17C3A5D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6B4DD68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151</w:t>
            </w:r>
          </w:p>
        </w:tc>
        <w:tc>
          <w:tcPr>
            <w:tcW w:w="0" w:type="auto"/>
            <w:shd w:val="clear" w:color="auto" w:fill="auto"/>
            <w:vAlign w:val="center"/>
          </w:tcPr>
          <w:p w14:paraId="6E9CD00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859736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9D5C482">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63EC14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B76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FED8FB6">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19</w:t>
            </w:r>
          </w:p>
        </w:tc>
        <w:tc>
          <w:tcPr>
            <w:tcW w:w="0" w:type="auto"/>
            <w:shd w:val="clear" w:color="auto" w:fill="auto"/>
            <w:vAlign w:val="center"/>
          </w:tcPr>
          <w:p w14:paraId="0812639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苯并(a)芘*</w:t>
            </w:r>
          </w:p>
        </w:tc>
        <w:tc>
          <w:tcPr>
            <w:tcW w:w="0" w:type="auto"/>
            <w:shd w:val="clear" w:color="auto" w:fill="auto"/>
            <w:vAlign w:val="center"/>
          </w:tcPr>
          <w:p w14:paraId="64F288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692F58B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75096C6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5C10E1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5EBB9C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8EC1DD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802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0D0975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20</w:t>
            </w:r>
          </w:p>
        </w:tc>
        <w:tc>
          <w:tcPr>
            <w:tcW w:w="0" w:type="auto"/>
            <w:shd w:val="clear" w:color="auto" w:fill="auto"/>
            <w:vAlign w:val="center"/>
          </w:tcPr>
          <w:p w14:paraId="07647C0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0" w:type="auto"/>
            <w:shd w:val="clear" w:color="auto" w:fill="auto"/>
            <w:vAlign w:val="center"/>
          </w:tcPr>
          <w:p w14:paraId="39968B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4B8E379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1B698A0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F22E43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3AA899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0581D5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163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5F8AAF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21</w:t>
            </w:r>
          </w:p>
        </w:tc>
        <w:tc>
          <w:tcPr>
            <w:tcW w:w="0" w:type="auto"/>
            <w:shd w:val="clear" w:color="auto" w:fill="auto"/>
            <w:vAlign w:val="center"/>
          </w:tcPr>
          <w:p w14:paraId="585C75C5">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二苯并(a,h)蒽*</w:t>
            </w:r>
          </w:p>
        </w:tc>
        <w:tc>
          <w:tcPr>
            <w:tcW w:w="0" w:type="auto"/>
            <w:shd w:val="clear" w:color="auto" w:fill="auto"/>
            <w:vAlign w:val="center"/>
          </w:tcPr>
          <w:p w14:paraId="59A238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58EF546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1A7005A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24DD7A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36565C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71BC8B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FF3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D924B37">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22</w:t>
            </w:r>
          </w:p>
        </w:tc>
        <w:tc>
          <w:tcPr>
            <w:tcW w:w="0" w:type="auto"/>
            <w:shd w:val="clear" w:color="auto" w:fill="auto"/>
            <w:vAlign w:val="center"/>
          </w:tcPr>
          <w:p w14:paraId="03E0A62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氯甲烷*</w:t>
            </w:r>
          </w:p>
        </w:tc>
        <w:tc>
          <w:tcPr>
            <w:tcW w:w="0" w:type="auto"/>
            <w:shd w:val="clear" w:color="auto" w:fill="auto"/>
            <w:vAlign w:val="center"/>
          </w:tcPr>
          <w:p w14:paraId="6D5BF0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A82D64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37000</w:t>
            </w:r>
          </w:p>
        </w:tc>
        <w:tc>
          <w:tcPr>
            <w:tcW w:w="0" w:type="auto"/>
            <w:shd w:val="clear" w:color="auto" w:fill="auto"/>
            <w:vAlign w:val="center"/>
          </w:tcPr>
          <w:p w14:paraId="0CC73A1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D97B52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08E0BB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2F9D4A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1C3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EA07F7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23</w:t>
            </w:r>
          </w:p>
        </w:tc>
        <w:tc>
          <w:tcPr>
            <w:tcW w:w="0" w:type="auto"/>
            <w:shd w:val="clear" w:color="auto" w:fill="auto"/>
            <w:vAlign w:val="center"/>
          </w:tcPr>
          <w:p w14:paraId="2EA25F8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氯乙烯*</w:t>
            </w:r>
          </w:p>
        </w:tc>
        <w:tc>
          <w:tcPr>
            <w:tcW w:w="0" w:type="auto"/>
            <w:shd w:val="clear" w:color="auto" w:fill="auto"/>
            <w:vAlign w:val="center"/>
          </w:tcPr>
          <w:p w14:paraId="3F1484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57D6A8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430</w:t>
            </w:r>
          </w:p>
        </w:tc>
        <w:tc>
          <w:tcPr>
            <w:tcW w:w="0" w:type="auto"/>
            <w:shd w:val="clear" w:color="auto" w:fill="auto"/>
            <w:vAlign w:val="center"/>
          </w:tcPr>
          <w:p w14:paraId="5D3C0D5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E0C979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17EF91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BD00A8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8A6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304448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24</w:t>
            </w:r>
          </w:p>
        </w:tc>
        <w:tc>
          <w:tcPr>
            <w:tcW w:w="0" w:type="auto"/>
            <w:shd w:val="clear" w:color="auto" w:fill="auto"/>
            <w:vAlign w:val="center"/>
          </w:tcPr>
          <w:p w14:paraId="4544DCC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1,1-二氯乙烯*</w:t>
            </w:r>
          </w:p>
        </w:tc>
        <w:tc>
          <w:tcPr>
            <w:tcW w:w="0" w:type="auto"/>
            <w:shd w:val="clear" w:color="auto" w:fill="auto"/>
            <w:vAlign w:val="center"/>
          </w:tcPr>
          <w:p w14:paraId="1D2838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4073D97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66000</w:t>
            </w:r>
          </w:p>
        </w:tc>
        <w:tc>
          <w:tcPr>
            <w:tcW w:w="0" w:type="auto"/>
            <w:shd w:val="clear" w:color="auto" w:fill="auto"/>
            <w:vAlign w:val="center"/>
          </w:tcPr>
          <w:p w14:paraId="74EA240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1E1A05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16C146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259DF8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833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380EF04">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25</w:t>
            </w:r>
          </w:p>
        </w:tc>
        <w:tc>
          <w:tcPr>
            <w:tcW w:w="0" w:type="auto"/>
            <w:shd w:val="clear" w:color="auto" w:fill="auto"/>
            <w:vAlign w:val="center"/>
          </w:tcPr>
          <w:p w14:paraId="404D2DC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二氯甲烷*</w:t>
            </w:r>
          </w:p>
        </w:tc>
        <w:tc>
          <w:tcPr>
            <w:tcW w:w="0" w:type="auto"/>
            <w:shd w:val="clear" w:color="auto" w:fill="auto"/>
            <w:vAlign w:val="center"/>
          </w:tcPr>
          <w:p w14:paraId="3B69E7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943419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616000</w:t>
            </w:r>
          </w:p>
        </w:tc>
        <w:tc>
          <w:tcPr>
            <w:tcW w:w="0" w:type="auto"/>
            <w:shd w:val="clear" w:color="auto" w:fill="auto"/>
            <w:vAlign w:val="center"/>
          </w:tcPr>
          <w:p w14:paraId="665D5AB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3C4381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F14F53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934E93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676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1E255AD">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26</w:t>
            </w:r>
          </w:p>
        </w:tc>
        <w:tc>
          <w:tcPr>
            <w:tcW w:w="0" w:type="auto"/>
            <w:shd w:val="clear" w:color="auto" w:fill="auto"/>
            <w:vAlign w:val="center"/>
          </w:tcPr>
          <w:p w14:paraId="71A6AF6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反-1,2-二氯乙烯*</w:t>
            </w:r>
          </w:p>
        </w:tc>
        <w:tc>
          <w:tcPr>
            <w:tcW w:w="0" w:type="auto"/>
            <w:shd w:val="clear" w:color="auto" w:fill="auto"/>
            <w:vAlign w:val="center"/>
          </w:tcPr>
          <w:p w14:paraId="545563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DA9D14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54000</w:t>
            </w:r>
          </w:p>
        </w:tc>
        <w:tc>
          <w:tcPr>
            <w:tcW w:w="0" w:type="auto"/>
            <w:shd w:val="clear" w:color="auto" w:fill="auto"/>
            <w:vAlign w:val="center"/>
          </w:tcPr>
          <w:p w14:paraId="6F7BAB4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3A2647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9BEA7C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1DA474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9FD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E9F1BB7">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27</w:t>
            </w:r>
          </w:p>
        </w:tc>
        <w:tc>
          <w:tcPr>
            <w:tcW w:w="0" w:type="auto"/>
            <w:shd w:val="clear" w:color="auto" w:fill="auto"/>
            <w:vAlign w:val="center"/>
          </w:tcPr>
          <w:p w14:paraId="0135C0A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0" w:type="auto"/>
            <w:shd w:val="clear" w:color="auto" w:fill="auto"/>
            <w:vAlign w:val="center"/>
          </w:tcPr>
          <w:p w14:paraId="30C33A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39E9FF4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9000</w:t>
            </w:r>
          </w:p>
        </w:tc>
        <w:tc>
          <w:tcPr>
            <w:tcW w:w="0" w:type="auto"/>
            <w:shd w:val="clear" w:color="auto" w:fill="auto"/>
            <w:vAlign w:val="center"/>
          </w:tcPr>
          <w:p w14:paraId="54271D7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526316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F8603F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E07B16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099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CEA4CE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28</w:t>
            </w:r>
          </w:p>
        </w:tc>
        <w:tc>
          <w:tcPr>
            <w:tcW w:w="0" w:type="auto"/>
            <w:shd w:val="clear" w:color="auto" w:fill="auto"/>
            <w:vAlign w:val="center"/>
          </w:tcPr>
          <w:p w14:paraId="213C5E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顺-1,2-二氯乙烯*</w:t>
            </w:r>
          </w:p>
        </w:tc>
        <w:tc>
          <w:tcPr>
            <w:tcW w:w="0" w:type="auto"/>
            <w:shd w:val="clear" w:color="auto" w:fill="auto"/>
            <w:vAlign w:val="center"/>
          </w:tcPr>
          <w:p w14:paraId="0EBBD4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3841FD5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596000</w:t>
            </w:r>
          </w:p>
        </w:tc>
        <w:tc>
          <w:tcPr>
            <w:tcW w:w="0" w:type="auto"/>
            <w:shd w:val="clear" w:color="auto" w:fill="auto"/>
            <w:vAlign w:val="center"/>
          </w:tcPr>
          <w:p w14:paraId="7F2C7B5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4710BB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C13C32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A13009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8D9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14C3F6C">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29</w:t>
            </w:r>
          </w:p>
        </w:tc>
        <w:tc>
          <w:tcPr>
            <w:tcW w:w="0" w:type="auto"/>
            <w:shd w:val="clear" w:color="auto" w:fill="auto"/>
            <w:vAlign w:val="center"/>
          </w:tcPr>
          <w:p w14:paraId="27386A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氯仿*</w:t>
            </w:r>
          </w:p>
        </w:tc>
        <w:tc>
          <w:tcPr>
            <w:tcW w:w="0" w:type="auto"/>
            <w:shd w:val="clear" w:color="auto" w:fill="auto"/>
            <w:vAlign w:val="center"/>
          </w:tcPr>
          <w:p w14:paraId="2DD4B1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DC1F5A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0" w:type="auto"/>
            <w:shd w:val="clear" w:color="auto" w:fill="auto"/>
            <w:vAlign w:val="center"/>
          </w:tcPr>
          <w:p w14:paraId="72B9463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60AA28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75E679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798BDA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442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6266EF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30</w:t>
            </w:r>
          </w:p>
        </w:tc>
        <w:tc>
          <w:tcPr>
            <w:tcW w:w="0" w:type="auto"/>
            <w:shd w:val="clear" w:color="auto" w:fill="auto"/>
            <w:vAlign w:val="center"/>
          </w:tcPr>
          <w:p w14:paraId="574211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1,1,1-三氯乙烷*</w:t>
            </w:r>
          </w:p>
        </w:tc>
        <w:tc>
          <w:tcPr>
            <w:tcW w:w="0" w:type="auto"/>
            <w:shd w:val="clear" w:color="auto" w:fill="auto"/>
            <w:vAlign w:val="center"/>
          </w:tcPr>
          <w:p w14:paraId="054C89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A67A74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840000</w:t>
            </w:r>
          </w:p>
        </w:tc>
        <w:tc>
          <w:tcPr>
            <w:tcW w:w="0" w:type="auto"/>
            <w:shd w:val="clear" w:color="auto" w:fill="auto"/>
            <w:vAlign w:val="center"/>
          </w:tcPr>
          <w:p w14:paraId="7D2D572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1C80D7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A34189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104E0F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2C2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297EA7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31</w:t>
            </w:r>
          </w:p>
        </w:tc>
        <w:tc>
          <w:tcPr>
            <w:tcW w:w="0" w:type="auto"/>
            <w:shd w:val="clear" w:color="auto" w:fill="auto"/>
            <w:vAlign w:val="center"/>
          </w:tcPr>
          <w:p w14:paraId="2E56AA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四氯化碳*</w:t>
            </w:r>
          </w:p>
        </w:tc>
        <w:tc>
          <w:tcPr>
            <w:tcW w:w="0" w:type="auto"/>
            <w:shd w:val="clear" w:color="auto" w:fill="auto"/>
            <w:vAlign w:val="center"/>
          </w:tcPr>
          <w:p w14:paraId="16734E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F6BBAA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69A382C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7C3442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A8162F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25CF43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B7C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5764DE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32</w:t>
            </w:r>
          </w:p>
        </w:tc>
        <w:tc>
          <w:tcPr>
            <w:tcW w:w="0" w:type="auto"/>
            <w:shd w:val="clear" w:color="auto" w:fill="auto"/>
            <w:vAlign w:val="center"/>
          </w:tcPr>
          <w:p w14:paraId="00F857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w:t>
            </w:r>
          </w:p>
        </w:tc>
        <w:tc>
          <w:tcPr>
            <w:tcW w:w="0" w:type="auto"/>
            <w:shd w:val="clear" w:color="auto" w:fill="auto"/>
            <w:vAlign w:val="center"/>
          </w:tcPr>
          <w:p w14:paraId="4D20F6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04C59E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4000</w:t>
            </w:r>
          </w:p>
        </w:tc>
        <w:tc>
          <w:tcPr>
            <w:tcW w:w="0" w:type="auto"/>
            <w:shd w:val="clear" w:color="auto" w:fill="auto"/>
            <w:vAlign w:val="center"/>
          </w:tcPr>
          <w:p w14:paraId="058F33D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7AF08B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4962E0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91C3CD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085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F6356D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33</w:t>
            </w:r>
          </w:p>
        </w:tc>
        <w:tc>
          <w:tcPr>
            <w:tcW w:w="0" w:type="auto"/>
            <w:shd w:val="clear" w:color="auto" w:fill="auto"/>
            <w:vAlign w:val="center"/>
          </w:tcPr>
          <w:p w14:paraId="2DA176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1,2-二氯乙烷*</w:t>
            </w:r>
          </w:p>
        </w:tc>
        <w:tc>
          <w:tcPr>
            <w:tcW w:w="0" w:type="auto"/>
            <w:shd w:val="clear" w:color="auto" w:fill="auto"/>
            <w:vAlign w:val="center"/>
          </w:tcPr>
          <w:p w14:paraId="0DF1310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44F915B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0" w:type="auto"/>
            <w:shd w:val="clear" w:color="auto" w:fill="auto"/>
            <w:vAlign w:val="center"/>
          </w:tcPr>
          <w:p w14:paraId="252C9F7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756D05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F83F62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00CED4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23B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42B38B4">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34</w:t>
            </w:r>
          </w:p>
        </w:tc>
        <w:tc>
          <w:tcPr>
            <w:tcW w:w="0" w:type="auto"/>
            <w:shd w:val="clear" w:color="auto" w:fill="auto"/>
            <w:vAlign w:val="center"/>
          </w:tcPr>
          <w:p w14:paraId="102914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三氯乙烯*</w:t>
            </w:r>
          </w:p>
        </w:tc>
        <w:tc>
          <w:tcPr>
            <w:tcW w:w="0" w:type="auto"/>
            <w:shd w:val="clear" w:color="auto" w:fill="auto"/>
            <w:vAlign w:val="center"/>
          </w:tcPr>
          <w:p w14:paraId="18E2B6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74A55D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41DF324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F62251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074094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F26E59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050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127E08C">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35</w:t>
            </w:r>
          </w:p>
        </w:tc>
        <w:tc>
          <w:tcPr>
            <w:tcW w:w="0" w:type="auto"/>
            <w:shd w:val="clear" w:color="auto" w:fill="auto"/>
            <w:vAlign w:val="center"/>
          </w:tcPr>
          <w:p w14:paraId="3B917A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1,2-二氯丙烷*</w:t>
            </w:r>
          </w:p>
        </w:tc>
        <w:tc>
          <w:tcPr>
            <w:tcW w:w="0" w:type="auto"/>
            <w:shd w:val="clear" w:color="auto" w:fill="auto"/>
            <w:vAlign w:val="center"/>
          </w:tcPr>
          <w:p w14:paraId="7E07C7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E311A8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0" w:type="auto"/>
            <w:shd w:val="clear" w:color="auto" w:fill="auto"/>
            <w:vAlign w:val="center"/>
          </w:tcPr>
          <w:p w14:paraId="4F5268F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79FBAC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FC0CD5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CBBF45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5A0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9FA188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36</w:t>
            </w:r>
          </w:p>
        </w:tc>
        <w:tc>
          <w:tcPr>
            <w:tcW w:w="0" w:type="auto"/>
            <w:shd w:val="clear" w:color="auto" w:fill="auto"/>
            <w:vAlign w:val="center"/>
          </w:tcPr>
          <w:p w14:paraId="47571D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甲苯*</w:t>
            </w:r>
          </w:p>
        </w:tc>
        <w:tc>
          <w:tcPr>
            <w:tcW w:w="0" w:type="auto"/>
            <w:shd w:val="clear" w:color="auto" w:fill="auto"/>
            <w:vAlign w:val="center"/>
          </w:tcPr>
          <w:p w14:paraId="4AFAE5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453569B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1200000</w:t>
            </w:r>
          </w:p>
        </w:tc>
        <w:tc>
          <w:tcPr>
            <w:tcW w:w="0" w:type="auto"/>
            <w:shd w:val="clear" w:color="auto" w:fill="auto"/>
            <w:vAlign w:val="center"/>
          </w:tcPr>
          <w:p w14:paraId="3A13E6B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B0C682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FAA15D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485EE6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319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7FE7E8D">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37</w:t>
            </w:r>
          </w:p>
        </w:tc>
        <w:tc>
          <w:tcPr>
            <w:tcW w:w="0" w:type="auto"/>
            <w:shd w:val="clear" w:color="auto" w:fill="auto"/>
            <w:vAlign w:val="center"/>
          </w:tcPr>
          <w:p w14:paraId="6FA26B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0" w:type="auto"/>
            <w:shd w:val="clear" w:color="auto" w:fill="auto"/>
            <w:vAlign w:val="center"/>
          </w:tcPr>
          <w:p w14:paraId="4F01C4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4984DF3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23C9FC9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AD3C50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7974A7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B828DB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2E8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4DAF24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38</w:t>
            </w:r>
          </w:p>
        </w:tc>
        <w:tc>
          <w:tcPr>
            <w:tcW w:w="0" w:type="auto"/>
            <w:shd w:val="clear" w:color="auto" w:fill="auto"/>
            <w:vAlign w:val="center"/>
          </w:tcPr>
          <w:p w14:paraId="570575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四氯乙烯*</w:t>
            </w:r>
          </w:p>
        </w:tc>
        <w:tc>
          <w:tcPr>
            <w:tcW w:w="0" w:type="auto"/>
            <w:shd w:val="clear" w:color="auto" w:fill="auto"/>
            <w:vAlign w:val="center"/>
          </w:tcPr>
          <w:p w14:paraId="249BD9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0" w:type="auto"/>
            <w:shd w:val="clear" w:color="auto" w:fill="auto"/>
            <w:vAlign w:val="center"/>
          </w:tcPr>
          <w:p w14:paraId="6202D5F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53000</w:t>
            </w:r>
          </w:p>
        </w:tc>
        <w:tc>
          <w:tcPr>
            <w:tcW w:w="0" w:type="auto"/>
            <w:shd w:val="clear" w:color="auto" w:fill="auto"/>
            <w:vAlign w:val="center"/>
          </w:tcPr>
          <w:p w14:paraId="13C7779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6FA0F3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2CB04B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16114C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0DB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92C30D6">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39</w:t>
            </w:r>
          </w:p>
        </w:tc>
        <w:tc>
          <w:tcPr>
            <w:tcW w:w="0" w:type="auto"/>
            <w:shd w:val="clear" w:color="auto" w:fill="auto"/>
            <w:vAlign w:val="center"/>
          </w:tcPr>
          <w:p w14:paraId="38ABCE0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氯苯*</w:t>
            </w:r>
          </w:p>
        </w:tc>
        <w:tc>
          <w:tcPr>
            <w:tcW w:w="0" w:type="auto"/>
            <w:shd w:val="clear" w:color="auto" w:fill="auto"/>
            <w:vAlign w:val="center"/>
          </w:tcPr>
          <w:p w14:paraId="590989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B87814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270000</w:t>
            </w:r>
          </w:p>
        </w:tc>
        <w:tc>
          <w:tcPr>
            <w:tcW w:w="0" w:type="auto"/>
            <w:shd w:val="clear" w:color="auto" w:fill="auto"/>
            <w:vAlign w:val="center"/>
          </w:tcPr>
          <w:p w14:paraId="6CC6607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08AF63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124195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6F9618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69F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944F96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40</w:t>
            </w:r>
          </w:p>
        </w:tc>
        <w:tc>
          <w:tcPr>
            <w:tcW w:w="0" w:type="auto"/>
            <w:shd w:val="clear" w:color="auto" w:fill="auto"/>
            <w:vAlign w:val="center"/>
          </w:tcPr>
          <w:p w14:paraId="320FA2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0" w:type="auto"/>
            <w:shd w:val="clear" w:color="auto" w:fill="auto"/>
            <w:vAlign w:val="center"/>
          </w:tcPr>
          <w:p w14:paraId="757018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905E68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10000</w:t>
            </w:r>
          </w:p>
        </w:tc>
        <w:tc>
          <w:tcPr>
            <w:tcW w:w="0" w:type="auto"/>
            <w:shd w:val="clear" w:color="auto" w:fill="auto"/>
            <w:vAlign w:val="center"/>
          </w:tcPr>
          <w:p w14:paraId="45B2715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4C0B5A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CD5E18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3D8DDB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5E9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289756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41</w:t>
            </w:r>
          </w:p>
        </w:tc>
        <w:tc>
          <w:tcPr>
            <w:tcW w:w="0" w:type="auto"/>
            <w:shd w:val="clear" w:color="auto" w:fill="auto"/>
            <w:vAlign w:val="center"/>
          </w:tcPr>
          <w:p w14:paraId="0443D9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乙苯*</w:t>
            </w:r>
          </w:p>
        </w:tc>
        <w:tc>
          <w:tcPr>
            <w:tcW w:w="0" w:type="auto"/>
            <w:shd w:val="clear" w:color="auto" w:fill="auto"/>
            <w:vAlign w:val="center"/>
          </w:tcPr>
          <w:p w14:paraId="2F6A5A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F3588D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28000</w:t>
            </w:r>
          </w:p>
        </w:tc>
        <w:tc>
          <w:tcPr>
            <w:tcW w:w="0" w:type="auto"/>
            <w:shd w:val="clear" w:color="auto" w:fill="auto"/>
            <w:vAlign w:val="center"/>
          </w:tcPr>
          <w:p w14:paraId="371FDB8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598A56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F0A327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2C1AA7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7A8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B5D257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42</w:t>
            </w:r>
          </w:p>
        </w:tc>
        <w:tc>
          <w:tcPr>
            <w:tcW w:w="0" w:type="auto"/>
            <w:shd w:val="clear" w:color="auto" w:fill="auto"/>
            <w:vAlign w:val="center"/>
          </w:tcPr>
          <w:p w14:paraId="3796D1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间,对-二甲苯*</w:t>
            </w:r>
          </w:p>
        </w:tc>
        <w:tc>
          <w:tcPr>
            <w:tcW w:w="0" w:type="auto"/>
            <w:shd w:val="clear" w:color="auto" w:fill="auto"/>
            <w:vAlign w:val="center"/>
          </w:tcPr>
          <w:p w14:paraId="6DBCE0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5EDDF8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570000</w:t>
            </w:r>
          </w:p>
        </w:tc>
        <w:tc>
          <w:tcPr>
            <w:tcW w:w="0" w:type="auto"/>
            <w:shd w:val="clear" w:color="auto" w:fill="auto"/>
            <w:vAlign w:val="center"/>
          </w:tcPr>
          <w:p w14:paraId="0FF9546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EC72E6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9A25E7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E9BE6F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040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61B76B4">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43</w:t>
            </w:r>
          </w:p>
        </w:tc>
        <w:tc>
          <w:tcPr>
            <w:tcW w:w="0" w:type="auto"/>
            <w:shd w:val="clear" w:color="auto" w:fill="auto"/>
            <w:vAlign w:val="center"/>
          </w:tcPr>
          <w:p w14:paraId="3D6571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邻二甲苯*</w:t>
            </w:r>
          </w:p>
        </w:tc>
        <w:tc>
          <w:tcPr>
            <w:tcW w:w="0" w:type="auto"/>
            <w:shd w:val="clear" w:color="auto" w:fill="auto"/>
            <w:vAlign w:val="center"/>
          </w:tcPr>
          <w:p w14:paraId="5F57BA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1BC0A0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640000</w:t>
            </w:r>
          </w:p>
        </w:tc>
        <w:tc>
          <w:tcPr>
            <w:tcW w:w="0" w:type="auto"/>
            <w:shd w:val="clear" w:color="auto" w:fill="auto"/>
            <w:vAlign w:val="center"/>
          </w:tcPr>
          <w:p w14:paraId="6D903F4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7B29D5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E5BFEA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0FA998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6A2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62813A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44</w:t>
            </w:r>
          </w:p>
        </w:tc>
        <w:tc>
          <w:tcPr>
            <w:tcW w:w="0" w:type="auto"/>
            <w:shd w:val="clear" w:color="auto" w:fill="auto"/>
            <w:vAlign w:val="center"/>
          </w:tcPr>
          <w:p w14:paraId="668EA0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苯乙烯*</w:t>
            </w:r>
          </w:p>
        </w:tc>
        <w:tc>
          <w:tcPr>
            <w:tcW w:w="0" w:type="auto"/>
            <w:shd w:val="clear" w:color="auto" w:fill="auto"/>
            <w:vAlign w:val="center"/>
          </w:tcPr>
          <w:p w14:paraId="485E35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ED34D8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1290000</w:t>
            </w:r>
          </w:p>
        </w:tc>
        <w:tc>
          <w:tcPr>
            <w:tcW w:w="0" w:type="auto"/>
            <w:shd w:val="clear" w:color="auto" w:fill="auto"/>
            <w:vAlign w:val="center"/>
          </w:tcPr>
          <w:p w14:paraId="3D602C8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50B56D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E1C98B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D55DD8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B67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488163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45</w:t>
            </w:r>
          </w:p>
        </w:tc>
        <w:tc>
          <w:tcPr>
            <w:tcW w:w="0" w:type="auto"/>
            <w:shd w:val="clear" w:color="auto" w:fill="auto"/>
            <w:vAlign w:val="center"/>
          </w:tcPr>
          <w:p w14:paraId="59D6EC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1,1,2,2-四氯乙烷*</w:t>
            </w:r>
          </w:p>
        </w:tc>
        <w:tc>
          <w:tcPr>
            <w:tcW w:w="0" w:type="auto"/>
            <w:shd w:val="clear" w:color="auto" w:fill="auto"/>
            <w:vAlign w:val="center"/>
          </w:tcPr>
          <w:p w14:paraId="7AACED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009F2B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6800</w:t>
            </w:r>
          </w:p>
        </w:tc>
        <w:tc>
          <w:tcPr>
            <w:tcW w:w="0" w:type="auto"/>
            <w:shd w:val="clear" w:color="auto" w:fill="auto"/>
            <w:vAlign w:val="center"/>
          </w:tcPr>
          <w:p w14:paraId="7267D62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64490E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0C85F0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415569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0C4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B7C2A5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46</w:t>
            </w:r>
          </w:p>
        </w:tc>
        <w:tc>
          <w:tcPr>
            <w:tcW w:w="0" w:type="auto"/>
            <w:shd w:val="clear" w:color="auto" w:fill="auto"/>
            <w:vAlign w:val="center"/>
          </w:tcPr>
          <w:p w14:paraId="480444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1,2,3-三氯丙烷*</w:t>
            </w:r>
          </w:p>
        </w:tc>
        <w:tc>
          <w:tcPr>
            <w:tcW w:w="0" w:type="auto"/>
            <w:shd w:val="clear" w:color="auto" w:fill="auto"/>
            <w:vAlign w:val="center"/>
          </w:tcPr>
          <w:p w14:paraId="13E30C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3114439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0E3EB57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CA4B31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DC9410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32AA16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B58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BC60544">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47</w:t>
            </w:r>
          </w:p>
        </w:tc>
        <w:tc>
          <w:tcPr>
            <w:tcW w:w="0" w:type="auto"/>
            <w:shd w:val="clear" w:color="auto" w:fill="auto"/>
            <w:vAlign w:val="center"/>
          </w:tcPr>
          <w:p w14:paraId="3A6AA1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1,4-二氯苯*</w:t>
            </w:r>
          </w:p>
        </w:tc>
        <w:tc>
          <w:tcPr>
            <w:tcW w:w="0" w:type="auto"/>
            <w:shd w:val="clear" w:color="auto" w:fill="auto"/>
            <w:vAlign w:val="center"/>
          </w:tcPr>
          <w:p w14:paraId="62448D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C050D2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20000</w:t>
            </w:r>
          </w:p>
        </w:tc>
        <w:tc>
          <w:tcPr>
            <w:tcW w:w="0" w:type="auto"/>
            <w:shd w:val="clear" w:color="auto" w:fill="auto"/>
            <w:vAlign w:val="center"/>
          </w:tcPr>
          <w:p w14:paraId="2601030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136309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169575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31458B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673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1945EB63">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48</w:t>
            </w:r>
          </w:p>
        </w:tc>
        <w:tc>
          <w:tcPr>
            <w:tcW w:w="0" w:type="auto"/>
            <w:shd w:val="clear" w:color="auto" w:fill="auto"/>
            <w:vAlign w:val="center"/>
          </w:tcPr>
          <w:p w14:paraId="1D6698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1,2-二氯苯*</w:t>
            </w:r>
          </w:p>
        </w:tc>
        <w:tc>
          <w:tcPr>
            <w:tcW w:w="0" w:type="auto"/>
            <w:shd w:val="clear" w:color="auto" w:fill="auto"/>
            <w:vAlign w:val="center"/>
          </w:tcPr>
          <w:p w14:paraId="1B4BCA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top"/>
          </w:tcPr>
          <w:p w14:paraId="470B92F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560000</w:t>
            </w:r>
          </w:p>
        </w:tc>
        <w:tc>
          <w:tcPr>
            <w:tcW w:w="0" w:type="auto"/>
            <w:shd w:val="clear" w:color="auto" w:fill="auto"/>
            <w:vAlign w:val="center"/>
          </w:tcPr>
          <w:p w14:paraId="77F0975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84781A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694660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8E2724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22C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1A337370">
            <w:pPr>
              <w:jc w:val="center"/>
              <w:rPr>
                <w:rFonts w:hint="default"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49</w:t>
            </w:r>
          </w:p>
        </w:tc>
        <w:tc>
          <w:tcPr>
            <w:tcW w:w="2584" w:type="dxa"/>
            <w:shd w:val="clear" w:color="auto" w:fill="auto"/>
            <w:vAlign w:val="center"/>
          </w:tcPr>
          <w:p w14:paraId="05E1EC8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bCs w:val="0"/>
                <w:color w:val="auto"/>
                <w:szCs w:val="21"/>
                <w:lang w:val="en-US" w:eastAsia="zh-CN"/>
              </w:rPr>
              <w:t>水分</w:t>
            </w:r>
          </w:p>
        </w:tc>
        <w:tc>
          <w:tcPr>
            <w:tcW w:w="1247" w:type="dxa"/>
            <w:shd w:val="clear" w:color="auto" w:fill="auto"/>
            <w:vAlign w:val="center"/>
          </w:tcPr>
          <w:p w14:paraId="3C07D0C0">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w:t>
            </w:r>
          </w:p>
        </w:tc>
        <w:tc>
          <w:tcPr>
            <w:tcW w:w="0" w:type="auto"/>
          </w:tcPr>
          <w:p w14:paraId="1663CBD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1797" w:type="dxa"/>
            <w:shd w:val="clear" w:color="auto" w:fill="auto"/>
            <w:vAlign w:val="center"/>
          </w:tcPr>
          <w:p w14:paraId="413238C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w:t>
            </w:r>
          </w:p>
        </w:tc>
        <w:tc>
          <w:tcPr>
            <w:tcW w:w="1797" w:type="dxa"/>
            <w:shd w:val="clear" w:color="auto" w:fill="auto"/>
            <w:vAlign w:val="center"/>
          </w:tcPr>
          <w:p w14:paraId="44ABCF1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3.2</w:t>
            </w:r>
          </w:p>
        </w:tc>
        <w:tc>
          <w:tcPr>
            <w:tcW w:w="1799" w:type="dxa"/>
            <w:shd w:val="clear" w:color="auto" w:fill="auto"/>
            <w:vAlign w:val="center"/>
          </w:tcPr>
          <w:p w14:paraId="5B26A4F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2.1</w:t>
            </w:r>
          </w:p>
        </w:tc>
        <w:tc>
          <w:tcPr>
            <w:tcW w:w="659" w:type="pct"/>
            <w:vAlign w:val="top"/>
          </w:tcPr>
          <w:p w14:paraId="79013B49">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r w14:paraId="08C1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21A2788F">
            <w:pPr>
              <w:jc w:val="center"/>
              <w:rPr>
                <w:rFonts w:hint="default"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50</w:t>
            </w:r>
          </w:p>
        </w:tc>
        <w:tc>
          <w:tcPr>
            <w:tcW w:w="2584" w:type="dxa"/>
            <w:shd w:val="clear" w:color="auto" w:fill="auto"/>
            <w:vAlign w:val="center"/>
          </w:tcPr>
          <w:p w14:paraId="2A5735F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干物质</w:t>
            </w:r>
          </w:p>
        </w:tc>
        <w:tc>
          <w:tcPr>
            <w:tcW w:w="1247" w:type="dxa"/>
            <w:shd w:val="clear" w:color="auto" w:fill="auto"/>
            <w:vAlign w:val="center"/>
          </w:tcPr>
          <w:p w14:paraId="7C37948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w:t>
            </w:r>
          </w:p>
        </w:tc>
        <w:tc>
          <w:tcPr>
            <w:tcW w:w="0" w:type="auto"/>
          </w:tcPr>
          <w:p w14:paraId="71668AF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1797" w:type="dxa"/>
            <w:shd w:val="clear" w:color="auto" w:fill="auto"/>
            <w:vAlign w:val="center"/>
          </w:tcPr>
          <w:p w14:paraId="35B52B7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96.3</w:t>
            </w:r>
          </w:p>
        </w:tc>
        <w:tc>
          <w:tcPr>
            <w:tcW w:w="1797" w:type="dxa"/>
            <w:shd w:val="clear" w:color="auto" w:fill="auto"/>
            <w:vAlign w:val="center"/>
          </w:tcPr>
          <w:p w14:paraId="1B199FF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96.9</w:t>
            </w:r>
          </w:p>
        </w:tc>
        <w:tc>
          <w:tcPr>
            <w:tcW w:w="1799" w:type="dxa"/>
            <w:shd w:val="clear" w:color="auto" w:fill="auto"/>
            <w:vAlign w:val="center"/>
          </w:tcPr>
          <w:p w14:paraId="312B28B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98</w:t>
            </w:r>
            <w:r>
              <w:rPr>
                <w:rFonts w:hint="eastAsia" w:cs="Times New Roman"/>
                <w:b w:val="0"/>
                <w:bCs/>
                <w:color w:val="auto"/>
                <w:kern w:val="0"/>
                <w:sz w:val="21"/>
                <w:szCs w:val="21"/>
                <w:lang w:val="en-US" w:eastAsia="zh-CN" w:bidi="ar"/>
              </w:rPr>
              <w:t>.</w:t>
            </w:r>
            <w:r>
              <w:rPr>
                <w:rFonts w:hint="eastAsia" w:eastAsia="宋体" w:cs="Times New Roman"/>
                <w:b w:val="0"/>
                <w:bCs/>
                <w:color w:val="auto"/>
                <w:kern w:val="0"/>
                <w:sz w:val="21"/>
                <w:szCs w:val="21"/>
                <w:lang w:val="en-US" w:eastAsia="zh-CN" w:bidi="ar"/>
              </w:rPr>
              <w:t>0</w:t>
            </w:r>
          </w:p>
        </w:tc>
        <w:tc>
          <w:tcPr>
            <w:tcW w:w="659" w:type="pct"/>
            <w:vAlign w:val="top"/>
          </w:tcPr>
          <w:p w14:paraId="052258D7">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bl>
    <w:p w14:paraId="54EDC670">
      <w:pPr>
        <w:pStyle w:val="32"/>
        <w:bidi w:val="0"/>
        <w:rPr>
          <w:rFonts w:hint="default"/>
          <w:color w:val="auto"/>
          <w:lang w:val="en-US" w:eastAsia="zh-CN"/>
        </w:rPr>
      </w:pPr>
      <w:r>
        <w:rPr>
          <w:rFonts w:hint="eastAsia"/>
          <w:color w:val="auto"/>
          <w:lang w:val="en-US" w:eastAsia="zh-CN"/>
        </w:rPr>
        <w:t>表4.2-14（d）  土壤监测结果一览表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584"/>
        <w:gridCol w:w="1247"/>
        <w:gridCol w:w="1655"/>
        <w:gridCol w:w="1797"/>
        <w:gridCol w:w="1797"/>
        <w:gridCol w:w="1799"/>
        <w:gridCol w:w="1867"/>
      </w:tblGrid>
      <w:tr w14:paraId="154C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restart"/>
            <w:noWrap w:val="0"/>
            <w:vAlign w:val="center"/>
          </w:tcPr>
          <w:p w14:paraId="5F3B4B0A">
            <w:pPr>
              <w:jc w:val="center"/>
              <w:rPr>
                <w:rFonts w:hint="eastAsia" w:eastAsia="宋体"/>
                <w:b/>
                <w:bCs/>
                <w:color w:val="auto"/>
                <w:szCs w:val="21"/>
                <w:lang w:val="en-US" w:eastAsia="zh-CN"/>
              </w:rPr>
            </w:pPr>
            <w:r>
              <w:rPr>
                <w:rFonts w:hint="eastAsia"/>
                <w:b/>
                <w:bCs/>
                <w:color w:val="auto"/>
                <w:szCs w:val="21"/>
                <w:lang w:val="en-US" w:eastAsia="zh-CN"/>
              </w:rPr>
              <w:t>序号</w:t>
            </w:r>
          </w:p>
        </w:tc>
        <w:tc>
          <w:tcPr>
            <w:tcW w:w="912" w:type="pct"/>
            <w:vMerge w:val="restart"/>
            <w:noWrap w:val="0"/>
            <w:vAlign w:val="center"/>
          </w:tcPr>
          <w:p w14:paraId="56CEA813">
            <w:pPr>
              <w:jc w:val="center"/>
              <w:rPr>
                <w:b/>
                <w:bCs/>
                <w:color w:val="auto"/>
                <w:szCs w:val="21"/>
              </w:rPr>
            </w:pPr>
            <w:r>
              <w:rPr>
                <w:b/>
                <w:bCs/>
                <w:color w:val="auto"/>
                <w:szCs w:val="21"/>
              </w:rPr>
              <w:t>检测项目</w:t>
            </w:r>
          </w:p>
        </w:tc>
        <w:tc>
          <w:tcPr>
            <w:tcW w:w="440" w:type="pct"/>
            <w:vMerge w:val="restart"/>
            <w:noWrap w:val="0"/>
            <w:vAlign w:val="center"/>
          </w:tcPr>
          <w:p w14:paraId="3F8B3887">
            <w:pPr>
              <w:jc w:val="center"/>
              <w:rPr>
                <w:b/>
                <w:bCs/>
                <w:color w:val="auto"/>
                <w:szCs w:val="21"/>
              </w:rPr>
            </w:pPr>
            <w:r>
              <w:rPr>
                <w:b/>
                <w:bCs/>
                <w:color w:val="auto"/>
                <w:szCs w:val="21"/>
              </w:rPr>
              <w:t>单位</w:t>
            </w:r>
          </w:p>
        </w:tc>
        <w:tc>
          <w:tcPr>
            <w:tcW w:w="584" w:type="pct"/>
            <w:vMerge w:val="restart"/>
            <w:noWrap w:val="0"/>
            <w:vAlign w:val="center"/>
          </w:tcPr>
          <w:p w14:paraId="31852782">
            <w:pPr>
              <w:jc w:val="center"/>
              <w:rPr>
                <w:rFonts w:hint="eastAsia" w:ascii="Times New Roman" w:hAnsi="Times New Roman" w:eastAsia="宋体" w:cs="Times New Roman"/>
                <w:b/>
                <w:bCs/>
                <w:color w:val="auto"/>
                <w:kern w:val="2"/>
                <w:sz w:val="21"/>
                <w:szCs w:val="21"/>
                <w:lang w:val="en-US" w:eastAsia="zh-CN" w:bidi="ar-SA"/>
              </w:rPr>
            </w:pPr>
            <w:r>
              <w:rPr>
                <w:b/>
                <w:bCs/>
                <w:color w:val="auto"/>
                <w:szCs w:val="21"/>
              </w:rPr>
              <w:t>标准限值</w:t>
            </w:r>
            <w:r>
              <w:rPr>
                <w:rFonts w:hint="eastAsia"/>
                <w:b/>
                <w:bCs/>
                <w:color w:val="auto"/>
                <w:szCs w:val="21"/>
                <w:lang w:eastAsia="zh-CN"/>
              </w:rPr>
              <w:t>（</w:t>
            </w:r>
            <w:r>
              <w:rPr>
                <w:rFonts w:hint="eastAsia"/>
                <w:b/>
                <w:bCs/>
                <w:color w:val="auto"/>
                <w:szCs w:val="21"/>
                <w:lang w:val="en-US" w:eastAsia="zh-CN"/>
              </w:rPr>
              <w:t>第二类用地筛选值</w:t>
            </w:r>
            <w:r>
              <w:rPr>
                <w:rFonts w:hint="eastAsia"/>
                <w:b/>
                <w:bCs/>
                <w:color w:val="auto"/>
                <w:szCs w:val="21"/>
                <w:lang w:eastAsia="zh-CN"/>
              </w:rPr>
              <w:t>）</w:t>
            </w:r>
          </w:p>
        </w:tc>
        <w:tc>
          <w:tcPr>
            <w:tcW w:w="1903" w:type="pct"/>
            <w:gridSpan w:val="3"/>
            <w:noWrap w:val="0"/>
            <w:vAlign w:val="center"/>
          </w:tcPr>
          <w:p w14:paraId="39120CBF">
            <w:pPr>
              <w:jc w:val="center"/>
              <w:rPr>
                <w:rFonts w:hint="default" w:eastAsia="宋体"/>
                <w:b/>
                <w:bCs/>
                <w:color w:val="auto"/>
                <w:szCs w:val="21"/>
                <w:lang w:val="en-US" w:eastAsia="zh-CN"/>
              </w:rPr>
            </w:pPr>
            <w:r>
              <w:rPr>
                <w:rFonts w:hint="eastAsia"/>
                <w:b/>
                <w:bCs/>
                <w:color w:val="auto"/>
                <w:szCs w:val="21"/>
                <w:lang w:val="en-US" w:eastAsia="zh-CN"/>
              </w:rPr>
              <w:t>T4柱状样监测结果（占地范围内）</w:t>
            </w:r>
          </w:p>
        </w:tc>
        <w:tc>
          <w:tcPr>
            <w:tcW w:w="659" w:type="pct"/>
            <w:vMerge w:val="restart"/>
            <w:noWrap w:val="0"/>
            <w:vAlign w:val="center"/>
          </w:tcPr>
          <w:p w14:paraId="596FE958">
            <w:pPr>
              <w:jc w:val="center"/>
              <w:rPr>
                <w:rFonts w:hint="eastAsia" w:eastAsia="宋体"/>
                <w:color w:val="auto"/>
                <w:szCs w:val="21"/>
                <w:lang w:val="en-US" w:eastAsia="zh-CN"/>
              </w:rPr>
            </w:pPr>
            <w:r>
              <w:rPr>
                <w:rFonts w:hint="eastAsia"/>
                <w:b/>
                <w:bCs/>
                <w:color w:val="auto"/>
                <w:szCs w:val="21"/>
                <w:lang w:val="en-US" w:eastAsia="zh-CN"/>
              </w:rPr>
              <w:t>达标情况</w:t>
            </w:r>
          </w:p>
        </w:tc>
      </w:tr>
      <w:tr w14:paraId="3113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continue"/>
            <w:noWrap w:val="0"/>
            <w:vAlign w:val="center"/>
          </w:tcPr>
          <w:p w14:paraId="3F075C03">
            <w:pPr>
              <w:jc w:val="center"/>
              <w:rPr>
                <w:b/>
                <w:bCs/>
                <w:color w:val="auto"/>
                <w:szCs w:val="21"/>
              </w:rPr>
            </w:pPr>
          </w:p>
        </w:tc>
        <w:tc>
          <w:tcPr>
            <w:tcW w:w="912" w:type="pct"/>
            <w:vMerge w:val="continue"/>
            <w:noWrap w:val="0"/>
            <w:vAlign w:val="center"/>
          </w:tcPr>
          <w:p w14:paraId="29475862">
            <w:pPr>
              <w:jc w:val="center"/>
              <w:rPr>
                <w:b/>
                <w:bCs/>
                <w:color w:val="auto"/>
                <w:szCs w:val="21"/>
              </w:rPr>
            </w:pPr>
          </w:p>
        </w:tc>
        <w:tc>
          <w:tcPr>
            <w:tcW w:w="440" w:type="pct"/>
            <w:vMerge w:val="continue"/>
            <w:noWrap w:val="0"/>
            <w:vAlign w:val="center"/>
          </w:tcPr>
          <w:p w14:paraId="05BE8A81">
            <w:pPr>
              <w:jc w:val="center"/>
              <w:rPr>
                <w:b/>
                <w:bCs/>
                <w:color w:val="auto"/>
                <w:szCs w:val="21"/>
              </w:rPr>
            </w:pPr>
          </w:p>
        </w:tc>
        <w:tc>
          <w:tcPr>
            <w:tcW w:w="584" w:type="pct"/>
            <w:vMerge w:val="continue"/>
            <w:noWrap w:val="0"/>
            <w:vAlign w:val="center"/>
          </w:tcPr>
          <w:p w14:paraId="1FCAD7D9">
            <w:pPr>
              <w:jc w:val="center"/>
              <w:rPr>
                <w:rFonts w:ascii="Times New Roman" w:hAnsi="Times New Roman" w:eastAsia="宋体" w:cs="Times New Roman"/>
                <w:b/>
                <w:bCs/>
                <w:color w:val="auto"/>
                <w:kern w:val="2"/>
                <w:sz w:val="21"/>
                <w:szCs w:val="21"/>
                <w:lang w:val="en-US" w:eastAsia="zh-CN" w:bidi="ar-SA"/>
              </w:rPr>
            </w:pPr>
          </w:p>
        </w:tc>
        <w:tc>
          <w:tcPr>
            <w:tcW w:w="634" w:type="pct"/>
            <w:noWrap w:val="0"/>
            <w:vAlign w:val="center"/>
          </w:tcPr>
          <w:p w14:paraId="24104B3C">
            <w:pPr>
              <w:jc w:val="center"/>
              <w:rPr>
                <w:b/>
                <w:bCs/>
                <w:color w:val="auto"/>
                <w:szCs w:val="21"/>
              </w:rPr>
            </w:pPr>
            <w:r>
              <w:rPr>
                <w:rFonts w:hint="eastAsia"/>
                <w:b/>
                <w:bCs/>
                <w:color w:val="auto"/>
                <w:szCs w:val="21"/>
                <w:lang w:val="en-US" w:eastAsia="zh-CN"/>
              </w:rPr>
              <w:t>T4-1</w:t>
            </w:r>
            <w:r>
              <w:rPr>
                <w:b/>
                <w:bCs/>
                <w:color w:val="auto"/>
                <w:szCs w:val="21"/>
              </w:rPr>
              <w:t>监测结果</w:t>
            </w:r>
          </w:p>
        </w:tc>
        <w:tc>
          <w:tcPr>
            <w:tcW w:w="634" w:type="pct"/>
            <w:noWrap w:val="0"/>
            <w:vAlign w:val="center"/>
          </w:tcPr>
          <w:p w14:paraId="7B6DCAC3">
            <w:pPr>
              <w:jc w:val="center"/>
              <w:rPr>
                <w:b/>
                <w:bCs/>
                <w:color w:val="auto"/>
                <w:szCs w:val="21"/>
              </w:rPr>
            </w:pPr>
            <w:r>
              <w:rPr>
                <w:rFonts w:hint="eastAsia"/>
                <w:b/>
                <w:bCs/>
                <w:color w:val="auto"/>
                <w:szCs w:val="21"/>
                <w:lang w:val="en-US" w:eastAsia="zh-CN"/>
              </w:rPr>
              <w:t>T4-2</w:t>
            </w:r>
            <w:r>
              <w:rPr>
                <w:b/>
                <w:bCs/>
                <w:color w:val="auto"/>
                <w:szCs w:val="21"/>
              </w:rPr>
              <w:t>监测结果</w:t>
            </w:r>
          </w:p>
        </w:tc>
        <w:tc>
          <w:tcPr>
            <w:tcW w:w="635" w:type="pct"/>
            <w:noWrap w:val="0"/>
            <w:vAlign w:val="center"/>
          </w:tcPr>
          <w:p w14:paraId="667C854E">
            <w:pPr>
              <w:jc w:val="center"/>
              <w:rPr>
                <w:rFonts w:hint="eastAsia"/>
                <w:b/>
                <w:bCs/>
                <w:color w:val="auto"/>
                <w:szCs w:val="21"/>
              </w:rPr>
            </w:pPr>
            <w:r>
              <w:rPr>
                <w:rFonts w:hint="eastAsia"/>
                <w:b/>
                <w:bCs/>
                <w:color w:val="auto"/>
                <w:szCs w:val="21"/>
                <w:lang w:val="en-US" w:eastAsia="zh-CN"/>
              </w:rPr>
              <w:t>T4-3</w:t>
            </w:r>
            <w:r>
              <w:rPr>
                <w:b/>
                <w:bCs/>
                <w:color w:val="auto"/>
                <w:szCs w:val="21"/>
              </w:rPr>
              <w:t>监测结果</w:t>
            </w:r>
          </w:p>
        </w:tc>
        <w:tc>
          <w:tcPr>
            <w:tcW w:w="659" w:type="pct"/>
            <w:vMerge w:val="continue"/>
            <w:noWrap w:val="0"/>
            <w:vAlign w:val="center"/>
          </w:tcPr>
          <w:p w14:paraId="3A63DC27">
            <w:pPr>
              <w:jc w:val="center"/>
              <w:rPr>
                <w:rFonts w:hint="eastAsia" w:eastAsia="宋体"/>
                <w:color w:val="auto"/>
                <w:szCs w:val="21"/>
                <w:lang w:val="en-US" w:eastAsia="zh-CN"/>
              </w:rPr>
            </w:pPr>
          </w:p>
        </w:tc>
      </w:tr>
      <w:tr w14:paraId="7293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2799A40B">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w:t>
            </w:r>
          </w:p>
        </w:tc>
        <w:tc>
          <w:tcPr>
            <w:tcW w:w="912" w:type="pct"/>
            <w:shd w:val="clear" w:color="auto" w:fill="auto"/>
            <w:noWrap w:val="0"/>
            <w:vAlign w:val="center"/>
          </w:tcPr>
          <w:p w14:paraId="663E3EF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440" w:type="pct"/>
            <w:shd w:val="clear" w:color="auto" w:fill="auto"/>
            <w:noWrap w:val="0"/>
            <w:vAlign w:val="center"/>
          </w:tcPr>
          <w:p w14:paraId="099B2D3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无量纲</w:t>
            </w:r>
          </w:p>
        </w:tc>
        <w:tc>
          <w:tcPr>
            <w:tcW w:w="584" w:type="pct"/>
            <w:noWrap w:val="0"/>
            <w:vAlign w:val="center"/>
          </w:tcPr>
          <w:p w14:paraId="49D3EEB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shd w:val="clear" w:color="auto" w:fill="auto"/>
            <w:noWrap w:val="0"/>
            <w:vAlign w:val="center"/>
          </w:tcPr>
          <w:p w14:paraId="320C57E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8.87</w:t>
            </w:r>
          </w:p>
        </w:tc>
        <w:tc>
          <w:tcPr>
            <w:tcW w:w="634" w:type="pct"/>
            <w:shd w:val="clear" w:color="auto" w:fill="auto"/>
            <w:noWrap w:val="0"/>
            <w:vAlign w:val="center"/>
          </w:tcPr>
          <w:p w14:paraId="299C6C7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8.78</w:t>
            </w:r>
          </w:p>
        </w:tc>
        <w:tc>
          <w:tcPr>
            <w:tcW w:w="635" w:type="pct"/>
            <w:shd w:val="clear" w:color="auto" w:fill="auto"/>
            <w:noWrap w:val="0"/>
            <w:vAlign w:val="center"/>
          </w:tcPr>
          <w:p w14:paraId="0095CAF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8.84</w:t>
            </w:r>
          </w:p>
        </w:tc>
        <w:tc>
          <w:tcPr>
            <w:tcW w:w="659" w:type="pct"/>
            <w:noWrap w:val="0"/>
            <w:vAlign w:val="center"/>
          </w:tcPr>
          <w:p w14:paraId="541EF2F9">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5461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4703A5AF">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w:t>
            </w:r>
          </w:p>
        </w:tc>
        <w:tc>
          <w:tcPr>
            <w:tcW w:w="912" w:type="pct"/>
            <w:shd w:val="clear" w:color="auto" w:fill="auto"/>
            <w:noWrap w:val="0"/>
            <w:vAlign w:val="center"/>
          </w:tcPr>
          <w:p w14:paraId="0498F9B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石油烃</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10</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40</w:t>
            </w:r>
            <w:r>
              <w:rPr>
                <w:rFonts w:hint="default" w:ascii="Times New Roman" w:hAnsi="Times New Roman" w:eastAsia="宋体" w:cs="Times New Roman"/>
                <w:color w:val="auto"/>
                <w:kern w:val="0"/>
                <w:sz w:val="21"/>
                <w:szCs w:val="21"/>
                <w:lang w:val="en-US" w:eastAsia="zh-CN" w:bidi="ar"/>
              </w:rPr>
              <w:t>)</w:t>
            </w:r>
          </w:p>
        </w:tc>
        <w:tc>
          <w:tcPr>
            <w:tcW w:w="440" w:type="pct"/>
            <w:shd w:val="clear" w:color="auto" w:fill="auto"/>
            <w:noWrap w:val="0"/>
            <w:vAlign w:val="center"/>
          </w:tcPr>
          <w:p w14:paraId="38763F5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5907AD9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4500</w:t>
            </w:r>
          </w:p>
        </w:tc>
        <w:tc>
          <w:tcPr>
            <w:tcW w:w="634" w:type="pct"/>
            <w:shd w:val="clear" w:color="auto" w:fill="auto"/>
            <w:noWrap w:val="0"/>
            <w:vAlign w:val="center"/>
          </w:tcPr>
          <w:p w14:paraId="781B8D7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28.2</w:t>
            </w:r>
          </w:p>
        </w:tc>
        <w:tc>
          <w:tcPr>
            <w:tcW w:w="634" w:type="pct"/>
            <w:shd w:val="clear" w:color="auto" w:fill="auto"/>
            <w:noWrap w:val="0"/>
            <w:vAlign w:val="center"/>
          </w:tcPr>
          <w:p w14:paraId="4A06F4B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26.8</w:t>
            </w:r>
          </w:p>
        </w:tc>
        <w:tc>
          <w:tcPr>
            <w:tcW w:w="635" w:type="pct"/>
            <w:shd w:val="clear" w:color="auto" w:fill="auto"/>
            <w:noWrap w:val="0"/>
            <w:vAlign w:val="center"/>
          </w:tcPr>
          <w:p w14:paraId="32C37AB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30.3</w:t>
            </w:r>
          </w:p>
        </w:tc>
        <w:tc>
          <w:tcPr>
            <w:tcW w:w="659" w:type="pct"/>
            <w:noWrap w:val="0"/>
            <w:vAlign w:val="center"/>
          </w:tcPr>
          <w:p w14:paraId="5D8E8B84">
            <w:pPr>
              <w:jc w:val="center"/>
              <w:rPr>
                <w:rFonts w:hint="default" w:eastAsia="宋体"/>
                <w:b w:val="0"/>
                <w:bCs w:val="0"/>
                <w:color w:val="auto"/>
                <w:szCs w:val="21"/>
                <w:lang w:val="en-US" w:eastAsia="zh-CN"/>
              </w:rPr>
            </w:pPr>
            <w:r>
              <w:rPr>
                <w:rFonts w:hint="eastAsia"/>
                <w:b w:val="0"/>
                <w:bCs w:val="0"/>
                <w:color w:val="auto"/>
                <w:szCs w:val="21"/>
                <w:lang w:val="en-US" w:eastAsia="zh-CN"/>
              </w:rPr>
              <w:t>达标</w:t>
            </w:r>
          </w:p>
        </w:tc>
      </w:tr>
      <w:tr w14:paraId="5E36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7974B7F0">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w:t>
            </w:r>
          </w:p>
        </w:tc>
        <w:tc>
          <w:tcPr>
            <w:tcW w:w="912" w:type="pct"/>
            <w:shd w:val="clear" w:color="auto" w:fill="auto"/>
            <w:noWrap w:val="0"/>
            <w:vAlign w:val="center"/>
          </w:tcPr>
          <w:p w14:paraId="6DADB6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水溶性总盐量</w:t>
            </w:r>
          </w:p>
        </w:tc>
        <w:tc>
          <w:tcPr>
            <w:tcW w:w="440" w:type="pct"/>
            <w:shd w:val="clear" w:color="auto" w:fill="auto"/>
            <w:noWrap w:val="0"/>
            <w:vAlign w:val="center"/>
          </w:tcPr>
          <w:p w14:paraId="3AE83E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b w:val="0"/>
                <w:bCs w:val="0"/>
                <w:color w:val="auto"/>
                <w:szCs w:val="21"/>
                <w:lang w:val="en-US" w:eastAsia="zh-CN"/>
              </w:rPr>
              <w:t>g/kg</w:t>
            </w:r>
          </w:p>
        </w:tc>
        <w:tc>
          <w:tcPr>
            <w:tcW w:w="584" w:type="pct"/>
            <w:noWrap w:val="0"/>
            <w:vAlign w:val="center"/>
          </w:tcPr>
          <w:p w14:paraId="1BB635F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shd w:val="clear" w:color="auto" w:fill="auto"/>
            <w:noWrap w:val="0"/>
            <w:vAlign w:val="center"/>
          </w:tcPr>
          <w:p w14:paraId="793CF8B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2.6</w:t>
            </w:r>
          </w:p>
        </w:tc>
        <w:tc>
          <w:tcPr>
            <w:tcW w:w="634" w:type="pct"/>
            <w:shd w:val="clear" w:color="auto" w:fill="auto"/>
            <w:noWrap w:val="0"/>
            <w:vAlign w:val="center"/>
          </w:tcPr>
          <w:p w14:paraId="4B3DCB9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2.7</w:t>
            </w:r>
          </w:p>
        </w:tc>
        <w:tc>
          <w:tcPr>
            <w:tcW w:w="635" w:type="pct"/>
            <w:shd w:val="clear" w:color="auto" w:fill="auto"/>
            <w:noWrap w:val="0"/>
            <w:vAlign w:val="center"/>
          </w:tcPr>
          <w:p w14:paraId="1FB37BE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3.6</w:t>
            </w:r>
          </w:p>
        </w:tc>
        <w:tc>
          <w:tcPr>
            <w:tcW w:w="659" w:type="pct"/>
            <w:noWrap w:val="0"/>
            <w:vAlign w:val="center"/>
          </w:tcPr>
          <w:p w14:paraId="6951DA4A">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2B0E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4A71C1A9">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w:t>
            </w:r>
          </w:p>
        </w:tc>
        <w:tc>
          <w:tcPr>
            <w:tcW w:w="912" w:type="pct"/>
            <w:shd w:val="clear" w:color="auto" w:fill="auto"/>
            <w:noWrap w:val="0"/>
            <w:vAlign w:val="center"/>
          </w:tcPr>
          <w:p w14:paraId="5D5BF132">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汞*</w:t>
            </w:r>
          </w:p>
        </w:tc>
        <w:tc>
          <w:tcPr>
            <w:tcW w:w="440" w:type="pct"/>
            <w:shd w:val="clear" w:color="auto" w:fill="auto"/>
            <w:noWrap w:val="0"/>
            <w:vAlign w:val="center"/>
          </w:tcPr>
          <w:p w14:paraId="0FC205E6">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0B78A9D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38</w:t>
            </w:r>
          </w:p>
        </w:tc>
        <w:tc>
          <w:tcPr>
            <w:tcW w:w="634" w:type="pct"/>
            <w:shd w:val="clear" w:color="auto" w:fill="auto"/>
            <w:noWrap w:val="0"/>
            <w:vAlign w:val="center"/>
          </w:tcPr>
          <w:p w14:paraId="2BE0174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0.007</w:t>
            </w:r>
          </w:p>
        </w:tc>
        <w:tc>
          <w:tcPr>
            <w:tcW w:w="634" w:type="pct"/>
            <w:shd w:val="clear" w:color="auto" w:fill="auto"/>
            <w:noWrap w:val="0"/>
            <w:vAlign w:val="center"/>
          </w:tcPr>
          <w:p w14:paraId="06B1EA9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0.07</w:t>
            </w:r>
          </w:p>
        </w:tc>
        <w:tc>
          <w:tcPr>
            <w:tcW w:w="635" w:type="pct"/>
            <w:shd w:val="clear" w:color="auto" w:fill="auto"/>
            <w:noWrap w:val="0"/>
            <w:vAlign w:val="center"/>
          </w:tcPr>
          <w:p w14:paraId="1B5EBE7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0.006</w:t>
            </w:r>
          </w:p>
        </w:tc>
        <w:tc>
          <w:tcPr>
            <w:tcW w:w="659" w:type="pct"/>
            <w:noWrap w:val="0"/>
            <w:vAlign w:val="top"/>
          </w:tcPr>
          <w:p w14:paraId="0787A4D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91D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2C86727F">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5</w:t>
            </w:r>
          </w:p>
        </w:tc>
        <w:tc>
          <w:tcPr>
            <w:tcW w:w="912" w:type="pct"/>
            <w:shd w:val="clear" w:color="auto" w:fill="auto"/>
            <w:noWrap w:val="0"/>
            <w:vAlign w:val="center"/>
          </w:tcPr>
          <w:p w14:paraId="41D3B29C">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砷*</w:t>
            </w:r>
          </w:p>
        </w:tc>
        <w:tc>
          <w:tcPr>
            <w:tcW w:w="440" w:type="pct"/>
            <w:shd w:val="clear" w:color="auto" w:fill="auto"/>
            <w:noWrap w:val="0"/>
            <w:vAlign w:val="center"/>
          </w:tcPr>
          <w:p w14:paraId="04AF8DAC">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761C891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60</w:t>
            </w:r>
          </w:p>
        </w:tc>
        <w:tc>
          <w:tcPr>
            <w:tcW w:w="634" w:type="pct"/>
            <w:shd w:val="clear" w:color="auto" w:fill="auto"/>
            <w:noWrap w:val="0"/>
            <w:vAlign w:val="center"/>
          </w:tcPr>
          <w:p w14:paraId="2350855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7.57</w:t>
            </w:r>
          </w:p>
        </w:tc>
        <w:tc>
          <w:tcPr>
            <w:tcW w:w="634" w:type="pct"/>
            <w:shd w:val="clear" w:color="auto" w:fill="auto"/>
            <w:noWrap w:val="0"/>
            <w:vAlign w:val="center"/>
          </w:tcPr>
          <w:p w14:paraId="09E91D8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7.12</w:t>
            </w:r>
          </w:p>
        </w:tc>
        <w:tc>
          <w:tcPr>
            <w:tcW w:w="635" w:type="pct"/>
            <w:shd w:val="clear" w:color="auto" w:fill="auto"/>
            <w:noWrap w:val="0"/>
            <w:vAlign w:val="center"/>
          </w:tcPr>
          <w:p w14:paraId="41E3CCB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6.88</w:t>
            </w:r>
          </w:p>
        </w:tc>
        <w:tc>
          <w:tcPr>
            <w:tcW w:w="659" w:type="pct"/>
            <w:noWrap w:val="0"/>
            <w:vAlign w:val="top"/>
          </w:tcPr>
          <w:p w14:paraId="021D6D9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461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63A8D686">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6</w:t>
            </w:r>
          </w:p>
        </w:tc>
        <w:tc>
          <w:tcPr>
            <w:tcW w:w="912" w:type="pct"/>
            <w:shd w:val="clear" w:color="auto" w:fill="auto"/>
            <w:noWrap w:val="0"/>
            <w:vAlign w:val="center"/>
          </w:tcPr>
          <w:p w14:paraId="63225DE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铜*</w:t>
            </w:r>
          </w:p>
        </w:tc>
        <w:tc>
          <w:tcPr>
            <w:tcW w:w="440" w:type="pct"/>
            <w:shd w:val="clear" w:color="auto" w:fill="auto"/>
            <w:noWrap w:val="0"/>
            <w:vAlign w:val="center"/>
          </w:tcPr>
          <w:p w14:paraId="3E28EE46">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5FA24C1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18000</w:t>
            </w:r>
          </w:p>
        </w:tc>
        <w:tc>
          <w:tcPr>
            <w:tcW w:w="634" w:type="pct"/>
            <w:shd w:val="clear" w:color="auto" w:fill="auto"/>
            <w:noWrap w:val="0"/>
            <w:vAlign w:val="center"/>
          </w:tcPr>
          <w:p w14:paraId="67B3659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26</w:t>
            </w:r>
          </w:p>
        </w:tc>
        <w:tc>
          <w:tcPr>
            <w:tcW w:w="634" w:type="pct"/>
            <w:shd w:val="clear" w:color="auto" w:fill="auto"/>
            <w:noWrap w:val="0"/>
            <w:vAlign w:val="center"/>
          </w:tcPr>
          <w:p w14:paraId="1EA19C6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22</w:t>
            </w:r>
          </w:p>
        </w:tc>
        <w:tc>
          <w:tcPr>
            <w:tcW w:w="635" w:type="pct"/>
            <w:shd w:val="clear" w:color="auto" w:fill="auto"/>
            <w:noWrap w:val="0"/>
            <w:vAlign w:val="center"/>
          </w:tcPr>
          <w:p w14:paraId="46246E5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22</w:t>
            </w:r>
          </w:p>
        </w:tc>
        <w:tc>
          <w:tcPr>
            <w:tcW w:w="659" w:type="pct"/>
            <w:noWrap w:val="0"/>
            <w:vAlign w:val="top"/>
          </w:tcPr>
          <w:p w14:paraId="30CCC3C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8C8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B9B6E4C">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7</w:t>
            </w:r>
          </w:p>
        </w:tc>
        <w:tc>
          <w:tcPr>
            <w:tcW w:w="0" w:type="auto"/>
            <w:shd w:val="clear" w:color="auto" w:fill="auto"/>
            <w:vAlign w:val="center"/>
          </w:tcPr>
          <w:p w14:paraId="50C91E3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镍*</w:t>
            </w:r>
          </w:p>
        </w:tc>
        <w:tc>
          <w:tcPr>
            <w:tcW w:w="0" w:type="auto"/>
            <w:shd w:val="clear" w:color="auto" w:fill="auto"/>
            <w:vAlign w:val="center"/>
          </w:tcPr>
          <w:p w14:paraId="3D7EB33D">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0" w:type="auto"/>
            <w:shd w:val="clear" w:color="auto" w:fill="auto"/>
            <w:vAlign w:val="center"/>
          </w:tcPr>
          <w:p w14:paraId="020110F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0" w:type="auto"/>
            <w:shd w:val="clear" w:color="auto" w:fill="auto"/>
            <w:vAlign w:val="center"/>
          </w:tcPr>
          <w:p w14:paraId="370B727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30</w:t>
            </w:r>
          </w:p>
        </w:tc>
        <w:tc>
          <w:tcPr>
            <w:tcW w:w="0" w:type="auto"/>
            <w:shd w:val="clear" w:color="auto" w:fill="auto"/>
            <w:vAlign w:val="center"/>
          </w:tcPr>
          <w:p w14:paraId="1DF9093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27</w:t>
            </w:r>
          </w:p>
        </w:tc>
        <w:tc>
          <w:tcPr>
            <w:tcW w:w="0" w:type="auto"/>
            <w:shd w:val="clear" w:color="auto" w:fill="auto"/>
            <w:vAlign w:val="center"/>
          </w:tcPr>
          <w:p w14:paraId="1981FFF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27</w:t>
            </w:r>
          </w:p>
        </w:tc>
        <w:tc>
          <w:tcPr>
            <w:tcW w:w="659" w:type="pct"/>
            <w:vAlign w:val="top"/>
          </w:tcPr>
          <w:p w14:paraId="6C12FA3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824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D614F42">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8</w:t>
            </w:r>
          </w:p>
        </w:tc>
        <w:tc>
          <w:tcPr>
            <w:tcW w:w="0" w:type="auto"/>
            <w:shd w:val="clear" w:color="auto" w:fill="auto"/>
            <w:vAlign w:val="center"/>
          </w:tcPr>
          <w:p w14:paraId="2EB7A43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铅*</w:t>
            </w:r>
          </w:p>
        </w:tc>
        <w:tc>
          <w:tcPr>
            <w:tcW w:w="0" w:type="auto"/>
            <w:shd w:val="clear" w:color="auto" w:fill="auto"/>
            <w:vAlign w:val="center"/>
          </w:tcPr>
          <w:p w14:paraId="5927EFC3">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0" w:type="auto"/>
            <w:shd w:val="clear" w:color="auto" w:fill="auto"/>
            <w:vAlign w:val="center"/>
          </w:tcPr>
          <w:p w14:paraId="61A6315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800</w:t>
            </w:r>
          </w:p>
        </w:tc>
        <w:tc>
          <w:tcPr>
            <w:tcW w:w="0" w:type="auto"/>
            <w:shd w:val="clear" w:color="auto" w:fill="auto"/>
            <w:vAlign w:val="center"/>
          </w:tcPr>
          <w:p w14:paraId="463F50E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17.7</w:t>
            </w:r>
          </w:p>
        </w:tc>
        <w:tc>
          <w:tcPr>
            <w:tcW w:w="0" w:type="auto"/>
            <w:shd w:val="clear" w:color="auto" w:fill="auto"/>
            <w:vAlign w:val="center"/>
          </w:tcPr>
          <w:p w14:paraId="72462CF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14.1</w:t>
            </w:r>
          </w:p>
        </w:tc>
        <w:tc>
          <w:tcPr>
            <w:tcW w:w="0" w:type="auto"/>
            <w:shd w:val="clear" w:color="auto" w:fill="auto"/>
            <w:vAlign w:val="center"/>
          </w:tcPr>
          <w:p w14:paraId="0CADAD1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15.8</w:t>
            </w:r>
          </w:p>
        </w:tc>
        <w:tc>
          <w:tcPr>
            <w:tcW w:w="659" w:type="pct"/>
            <w:vAlign w:val="top"/>
          </w:tcPr>
          <w:p w14:paraId="5810FBB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42D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4708C17">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9</w:t>
            </w:r>
          </w:p>
        </w:tc>
        <w:tc>
          <w:tcPr>
            <w:tcW w:w="0" w:type="auto"/>
            <w:shd w:val="clear" w:color="auto" w:fill="auto"/>
            <w:vAlign w:val="center"/>
          </w:tcPr>
          <w:p w14:paraId="3706096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镉*</w:t>
            </w:r>
          </w:p>
        </w:tc>
        <w:tc>
          <w:tcPr>
            <w:tcW w:w="0" w:type="auto"/>
            <w:shd w:val="clear" w:color="auto" w:fill="auto"/>
            <w:vAlign w:val="center"/>
          </w:tcPr>
          <w:p w14:paraId="6BF1AB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6F4A24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65</w:t>
            </w:r>
          </w:p>
        </w:tc>
        <w:tc>
          <w:tcPr>
            <w:tcW w:w="0" w:type="auto"/>
            <w:shd w:val="clear" w:color="auto" w:fill="auto"/>
            <w:vAlign w:val="center"/>
          </w:tcPr>
          <w:p w14:paraId="5438DCE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0.06</w:t>
            </w:r>
          </w:p>
        </w:tc>
        <w:tc>
          <w:tcPr>
            <w:tcW w:w="0" w:type="auto"/>
            <w:shd w:val="clear" w:color="auto" w:fill="auto"/>
            <w:vAlign w:val="center"/>
          </w:tcPr>
          <w:p w14:paraId="34FB3A8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0.05</w:t>
            </w:r>
          </w:p>
        </w:tc>
        <w:tc>
          <w:tcPr>
            <w:tcW w:w="0" w:type="auto"/>
            <w:shd w:val="clear" w:color="auto" w:fill="auto"/>
            <w:vAlign w:val="center"/>
          </w:tcPr>
          <w:p w14:paraId="32218C7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0.07</w:t>
            </w:r>
          </w:p>
        </w:tc>
        <w:tc>
          <w:tcPr>
            <w:tcW w:w="659" w:type="pct"/>
            <w:vAlign w:val="top"/>
          </w:tcPr>
          <w:p w14:paraId="240C6DB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C7A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1D8C44B">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10</w:t>
            </w:r>
          </w:p>
        </w:tc>
        <w:tc>
          <w:tcPr>
            <w:tcW w:w="0" w:type="auto"/>
            <w:shd w:val="clear" w:color="auto" w:fill="auto"/>
            <w:vAlign w:val="center"/>
          </w:tcPr>
          <w:p w14:paraId="56A4E6E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铬（六价）*</w:t>
            </w:r>
          </w:p>
        </w:tc>
        <w:tc>
          <w:tcPr>
            <w:tcW w:w="0" w:type="auto"/>
            <w:shd w:val="clear" w:color="auto" w:fill="auto"/>
            <w:vAlign w:val="center"/>
          </w:tcPr>
          <w:p w14:paraId="669936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0F4DCEB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w:t>
            </w:r>
          </w:p>
        </w:tc>
        <w:tc>
          <w:tcPr>
            <w:tcW w:w="0" w:type="auto"/>
            <w:shd w:val="clear" w:color="auto" w:fill="auto"/>
            <w:vAlign w:val="center"/>
          </w:tcPr>
          <w:p w14:paraId="162D1D1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D992D2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95A1FE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CBB75C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38F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9E1ABBC">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11</w:t>
            </w:r>
          </w:p>
        </w:tc>
        <w:tc>
          <w:tcPr>
            <w:tcW w:w="0" w:type="auto"/>
            <w:shd w:val="clear" w:color="auto" w:fill="auto"/>
            <w:vAlign w:val="center"/>
          </w:tcPr>
          <w:p w14:paraId="40C1E59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苯胺*</w:t>
            </w:r>
          </w:p>
        </w:tc>
        <w:tc>
          <w:tcPr>
            <w:tcW w:w="0" w:type="auto"/>
            <w:shd w:val="clear" w:color="auto" w:fill="auto"/>
            <w:vAlign w:val="center"/>
          </w:tcPr>
          <w:p w14:paraId="697B57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4388CF9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260</w:t>
            </w:r>
          </w:p>
        </w:tc>
        <w:tc>
          <w:tcPr>
            <w:tcW w:w="0" w:type="auto"/>
            <w:shd w:val="clear" w:color="auto" w:fill="auto"/>
            <w:vAlign w:val="center"/>
          </w:tcPr>
          <w:p w14:paraId="705422C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D4B2BF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AC23BD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E3EB31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EAC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1EAE8C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12</w:t>
            </w:r>
          </w:p>
        </w:tc>
        <w:tc>
          <w:tcPr>
            <w:tcW w:w="0" w:type="auto"/>
            <w:shd w:val="clear" w:color="auto" w:fill="auto"/>
            <w:vAlign w:val="center"/>
          </w:tcPr>
          <w:p w14:paraId="2180C2B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2-氯酚*</w:t>
            </w:r>
          </w:p>
        </w:tc>
        <w:tc>
          <w:tcPr>
            <w:tcW w:w="0" w:type="auto"/>
            <w:shd w:val="clear" w:color="auto" w:fill="auto"/>
            <w:vAlign w:val="center"/>
          </w:tcPr>
          <w:p w14:paraId="1D3CA9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7A13377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2256</w:t>
            </w:r>
          </w:p>
        </w:tc>
        <w:tc>
          <w:tcPr>
            <w:tcW w:w="0" w:type="auto"/>
            <w:shd w:val="clear" w:color="auto" w:fill="auto"/>
            <w:vAlign w:val="center"/>
          </w:tcPr>
          <w:p w14:paraId="253A519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7FA2A6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F8BD10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4AC356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7F9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C0E398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13</w:t>
            </w:r>
          </w:p>
        </w:tc>
        <w:tc>
          <w:tcPr>
            <w:tcW w:w="0" w:type="auto"/>
            <w:shd w:val="clear" w:color="auto" w:fill="auto"/>
            <w:vAlign w:val="center"/>
          </w:tcPr>
          <w:p w14:paraId="3D3349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硝基苯*</w:t>
            </w:r>
          </w:p>
        </w:tc>
        <w:tc>
          <w:tcPr>
            <w:tcW w:w="0" w:type="auto"/>
            <w:shd w:val="clear" w:color="auto" w:fill="auto"/>
            <w:vAlign w:val="center"/>
          </w:tcPr>
          <w:p w14:paraId="6F8C9B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22F92C4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76</w:t>
            </w:r>
          </w:p>
        </w:tc>
        <w:tc>
          <w:tcPr>
            <w:tcW w:w="0" w:type="auto"/>
            <w:shd w:val="clear" w:color="auto" w:fill="auto"/>
            <w:vAlign w:val="center"/>
          </w:tcPr>
          <w:p w14:paraId="22DC272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10DA92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EB4726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4A161B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EE0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912C012">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14</w:t>
            </w:r>
          </w:p>
        </w:tc>
        <w:tc>
          <w:tcPr>
            <w:tcW w:w="0" w:type="auto"/>
            <w:shd w:val="clear" w:color="auto" w:fill="auto"/>
            <w:vAlign w:val="center"/>
          </w:tcPr>
          <w:p w14:paraId="0BFF82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萘*</w:t>
            </w:r>
          </w:p>
        </w:tc>
        <w:tc>
          <w:tcPr>
            <w:tcW w:w="0" w:type="auto"/>
            <w:shd w:val="clear" w:color="auto" w:fill="auto"/>
            <w:vAlign w:val="center"/>
          </w:tcPr>
          <w:p w14:paraId="210DFB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2AB39A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70</w:t>
            </w:r>
          </w:p>
        </w:tc>
        <w:tc>
          <w:tcPr>
            <w:tcW w:w="0" w:type="auto"/>
            <w:shd w:val="clear" w:color="auto" w:fill="auto"/>
            <w:vAlign w:val="center"/>
          </w:tcPr>
          <w:p w14:paraId="41473C6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4CB142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A7B605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EBBA6A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948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E03D3F7">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15</w:t>
            </w:r>
          </w:p>
        </w:tc>
        <w:tc>
          <w:tcPr>
            <w:tcW w:w="0" w:type="auto"/>
            <w:shd w:val="clear" w:color="auto" w:fill="auto"/>
            <w:vAlign w:val="center"/>
          </w:tcPr>
          <w:p w14:paraId="721AB7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苯并(a)蒽*</w:t>
            </w:r>
          </w:p>
        </w:tc>
        <w:tc>
          <w:tcPr>
            <w:tcW w:w="0" w:type="auto"/>
            <w:shd w:val="clear" w:color="auto" w:fill="auto"/>
            <w:vAlign w:val="center"/>
          </w:tcPr>
          <w:p w14:paraId="4841F7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E1062C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6760628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F1CE33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F0F4FC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9C2C61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6E3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7AFC29B">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16</w:t>
            </w:r>
          </w:p>
        </w:tc>
        <w:tc>
          <w:tcPr>
            <w:tcW w:w="0" w:type="auto"/>
            <w:shd w:val="clear" w:color="auto" w:fill="auto"/>
            <w:vAlign w:val="center"/>
          </w:tcPr>
          <w:p w14:paraId="2A4BA2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䓛*</w:t>
            </w:r>
          </w:p>
        </w:tc>
        <w:tc>
          <w:tcPr>
            <w:tcW w:w="0" w:type="auto"/>
            <w:shd w:val="clear" w:color="auto" w:fill="auto"/>
            <w:vAlign w:val="center"/>
          </w:tcPr>
          <w:p w14:paraId="72A0E16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2241C09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1293</w:t>
            </w:r>
          </w:p>
        </w:tc>
        <w:tc>
          <w:tcPr>
            <w:tcW w:w="0" w:type="auto"/>
            <w:shd w:val="clear" w:color="auto" w:fill="auto"/>
            <w:vAlign w:val="center"/>
          </w:tcPr>
          <w:p w14:paraId="446A82D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295616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A0292F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D312E3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31E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701F972">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17</w:t>
            </w:r>
          </w:p>
        </w:tc>
        <w:tc>
          <w:tcPr>
            <w:tcW w:w="0" w:type="auto"/>
            <w:shd w:val="clear" w:color="auto" w:fill="auto"/>
            <w:vAlign w:val="center"/>
          </w:tcPr>
          <w:p w14:paraId="15DB875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苯并(b)荧蒽*</w:t>
            </w:r>
          </w:p>
        </w:tc>
        <w:tc>
          <w:tcPr>
            <w:tcW w:w="0" w:type="auto"/>
            <w:shd w:val="clear" w:color="auto" w:fill="auto"/>
            <w:vAlign w:val="center"/>
          </w:tcPr>
          <w:p w14:paraId="6159CE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63956FE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11ACCBD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B7100B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7989F1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64136C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BDA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DA2A882">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18</w:t>
            </w:r>
          </w:p>
        </w:tc>
        <w:tc>
          <w:tcPr>
            <w:tcW w:w="0" w:type="auto"/>
            <w:shd w:val="clear" w:color="auto" w:fill="auto"/>
            <w:vAlign w:val="center"/>
          </w:tcPr>
          <w:p w14:paraId="68C9C2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苯并(k)荧蒽*</w:t>
            </w:r>
          </w:p>
        </w:tc>
        <w:tc>
          <w:tcPr>
            <w:tcW w:w="0" w:type="auto"/>
            <w:shd w:val="clear" w:color="auto" w:fill="auto"/>
            <w:vAlign w:val="center"/>
          </w:tcPr>
          <w:p w14:paraId="68DB5FD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370C58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151</w:t>
            </w:r>
          </w:p>
        </w:tc>
        <w:tc>
          <w:tcPr>
            <w:tcW w:w="0" w:type="auto"/>
            <w:shd w:val="clear" w:color="auto" w:fill="auto"/>
            <w:vAlign w:val="center"/>
          </w:tcPr>
          <w:p w14:paraId="53C6679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1CEDCC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055B34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4E7D9B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485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2DF652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19</w:t>
            </w:r>
          </w:p>
        </w:tc>
        <w:tc>
          <w:tcPr>
            <w:tcW w:w="0" w:type="auto"/>
            <w:shd w:val="clear" w:color="auto" w:fill="auto"/>
            <w:vAlign w:val="center"/>
          </w:tcPr>
          <w:p w14:paraId="2AA3B35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苯并(a)芘*</w:t>
            </w:r>
          </w:p>
        </w:tc>
        <w:tc>
          <w:tcPr>
            <w:tcW w:w="0" w:type="auto"/>
            <w:shd w:val="clear" w:color="auto" w:fill="auto"/>
            <w:vAlign w:val="center"/>
          </w:tcPr>
          <w:p w14:paraId="2E6E73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7512EE3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0CECB93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A175E7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D7BBFB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A1EDA5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0B2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1434FAD">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20</w:t>
            </w:r>
          </w:p>
        </w:tc>
        <w:tc>
          <w:tcPr>
            <w:tcW w:w="0" w:type="auto"/>
            <w:shd w:val="clear" w:color="auto" w:fill="auto"/>
            <w:vAlign w:val="center"/>
          </w:tcPr>
          <w:p w14:paraId="05A007A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0" w:type="auto"/>
            <w:shd w:val="clear" w:color="auto" w:fill="auto"/>
            <w:vAlign w:val="center"/>
          </w:tcPr>
          <w:p w14:paraId="1A914B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4911D38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399AB67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06A2A1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2B130C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CF7E09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21C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9B0EB48">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21</w:t>
            </w:r>
          </w:p>
        </w:tc>
        <w:tc>
          <w:tcPr>
            <w:tcW w:w="0" w:type="auto"/>
            <w:shd w:val="clear" w:color="auto" w:fill="auto"/>
            <w:vAlign w:val="center"/>
          </w:tcPr>
          <w:p w14:paraId="7778AE1B">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二苯并(a,h)蒽*</w:t>
            </w:r>
          </w:p>
        </w:tc>
        <w:tc>
          <w:tcPr>
            <w:tcW w:w="0" w:type="auto"/>
            <w:shd w:val="clear" w:color="auto" w:fill="auto"/>
            <w:vAlign w:val="center"/>
          </w:tcPr>
          <w:p w14:paraId="37600DB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1602FC0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1E3DA64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55F9D7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C30B25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D350DD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992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CA2F51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22</w:t>
            </w:r>
          </w:p>
        </w:tc>
        <w:tc>
          <w:tcPr>
            <w:tcW w:w="0" w:type="auto"/>
            <w:shd w:val="clear" w:color="auto" w:fill="auto"/>
            <w:vAlign w:val="center"/>
          </w:tcPr>
          <w:p w14:paraId="3C2E462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氯甲烷*</w:t>
            </w:r>
          </w:p>
        </w:tc>
        <w:tc>
          <w:tcPr>
            <w:tcW w:w="0" w:type="auto"/>
            <w:shd w:val="clear" w:color="auto" w:fill="auto"/>
            <w:vAlign w:val="center"/>
          </w:tcPr>
          <w:p w14:paraId="558B47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B0D3FA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37000</w:t>
            </w:r>
          </w:p>
        </w:tc>
        <w:tc>
          <w:tcPr>
            <w:tcW w:w="0" w:type="auto"/>
            <w:shd w:val="clear" w:color="auto" w:fill="auto"/>
            <w:vAlign w:val="center"/>
          </w:tcPr>
          <w:p w14:paraId="2D51340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744106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9B0166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386EE9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CDA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985EAC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23</w:t>
            </w:r>
          </w:p>
        </w:tc>
        <w:tc>
          <w:tcPr>
            <w:tcW w:w="0" w:type="auto"/>
            <w:shd w:val="clear" w:color="auto" w:fill="auto"/>
            <w:vAlign w:val="center"/>
          </w:tcPr>
          <w:p w14:paraId="768C680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氯乙烯*</w:t>
            </w:r>
          </w:p>
        </w:tc>
        <w:tc>
          <w:tcPr>
            <w:tcW w:w="0" w:type="auto"/>
            <w:shd w:val="clear" w:color="auto" w:fill="auto"/>
            <w:vAlign w:val="center"/>
          </w:tcPr>
          <w:p w14:paraId="6BA904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77D1AD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430</w:t>
            </w:r>
          </w:p>
        </w:tc>
        <w:tc>
          <w:tcPr>
            <w:tcW w:w="0" w:type="auto"/>
            <w:shd w:val="clear" w:color="auto" w:fill="auto"/>
            <w:vAlign w:val="center"/>
          </w:tcPr>
          <w:p w14:paraId="3BB68C7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772090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AECBF3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CB7614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EC2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4B22B14">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24</w:t>
            </w:r>
          </w:p>
        </w:tc>
        <w:tc>
          <w:tcPr>
            <w:tcW w:w="0" w:type="auto"/>
            <w:shd w:val="clear" w:color="auto" w:fill="auto"/>
            <w:vAlign w:val="center"/>
          </w:tcPr>
          <w:p w14:paraId="353620C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1,1-二氯乙烯*</w:t>
            </w:r>
          </w:p>
        </w:tc>
        <w:tc>
          <w:tcPr>
            <w:tcW w:w="0" w:type="auto"/>
            <w:shd w:val="clear" w:color="auto" w:fill="auto"/>
            <w:vAlign w:val="center"/>
          </w:tcPr>
          <w:p w14:paraId="620633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FC0B68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66000</w:t>
            </w:r>
          </w:p>
        </w:tc>
        <w:tc>
          <w:tcPr>
            <w:tcW w:w="0" w:type="auto"/>
            <w:shd w:val="clear" w:color="auto" w:fill="auto"/>
            <w:vAlign w:val="center"/>
          </w:tcPr>
          <w:p w14:paraId="29B42B8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CCE708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E8D534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BAC5F4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CD6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11D1DC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25</w:t>
            </w:r>
          </w:p>
        </w:tc>
        <w:tc>
          <w:tcPr>
            <w:tcW w:w="0" w:type="auto"/>
            <w:shd w:val="clear" w:color="auto" w:fill="auto"/>
            <w:vAlign w:val="center"/>
          </w:tcPr>
          <w:p w14:paraId="6468C20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二氯甲烷*</w:t>
            </w:r>
          </w:p>
        </w:tc>
        <w:tc>
          <w:tcPr>
            <w:tcW w:w="0" w:type="auto"/>
            <w:shd w:val="clear" w:color="auto" w:fill="auto"/>
            <w:vAlign w:val="center"/>
          </w:tcPr>
          <w:p w14:paraId="7134D2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9A5E7C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616000</w:t>
            </w:r>
          </w:p>
        </w:tc>
        <w:tc>
          <w:tcPr>
            <w:tcW w:w="0" w:type="auto"/>
            <w:shd w:val="clear" w:color="auto" w:fill="auto"/>
            <w:vAlign w:val="center"/>
          </w:tcPr>
          <w:p w14:paraId="096D350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EDB4A8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4565B4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154756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B01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D8974A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26</w:t>
            </w:r>
          </w:p>
        </w:tc>
        <w:tc>
          <w:tcPr>
            <w:tcW w:w="0" w:type="auto"/>
            <w:shd w:val="clear" w:color="auto" w:fill="auto"/>
            <w:vAlign w:val="center"/>
          </w:tcPr>
          <w:p w14:paraId="68BECED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反-1,2-二氯乙烯*</w:t>
            </w:r>
          </w:p>
        </w:tc>
        <w:tc>
          <w:tcPr>
            <w:tcW w:w="0" w:type="auto"/>
            <w:shd w:val="clear" w:color="auto" w:fill="auto"/>
            <w:vAlign w:val="center"/>
          </w:tcPr>
          <w:p w14:paraId="2EC48F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122C9E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54000</w:t>
            </w:r>
          </w:p>
        </w:tc>
        <w:tc>
          <w:tcPr>
            <w:tcW w:w="0" w:type="auto"/>
            <w:shd w:val="clear" w:color="auto" w:fill="auto"/>
            <w:vAlign w:val="center"/>
          </w:tcPr>
          <w:p w14:paraId="1E0DD12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34BDEB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94828D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6687C0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658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E833EC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27</w:t>
            </w:r>
          </w:p>
        </w:tc>
        <w:tc>
          <w:tcPr>
            <w:tcW w:w="0" w:type="auto"/>
            <w:shd w:val="clear" w:color="auto" w:fill="auto"/>
            <w:vAlign w:val="center"/>
          </w:tcPr>
          <w:p w14:paraId="0ECD61B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0" w:type="auto"/>
            <w:shd w:val="clear" w:color="auto" w:fill="auto"/>
            <w:vAlign w:val="center"/>
          </w:tcPr>
          <w:p w14:paraId="09A3BC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5082E1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9000</w:t>
            </w:r>
          </w:p>
        </w:tc>
        <w:tc>
          <w:tcPr>
            <w:tcW w:w="0" w:type="auto"/>
            <w:shd w:val="clear" w:color="auto" w:fill="auto"/>
            <w:vAlign w:val="center"/>
          </w:tcPr>
          <w:p w14:paraId="32FDA86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876FB7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EAF6FD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27978B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976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B1E79A6">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28</w:t>
            </w:r>
          </w:p>
        </w:tc>
        <w:tc>
          <w:tcPr>
            <w:tcW w:w="0" w:type="auto"/>
            <w:shd w:val="clear" w:color="auto" w:fill="auto"/>
            <w:vAlign w:val="center"/>
          </w:tcPr>
          <w:p w14:paraId="2F1924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顺-1,2-二氯乙烯*</w:t>
            </w:r>
          </w:p>
        </w:tc>
        <w:tc>
          <w:tcPr>
            <w:tcW w:w="0" w:type="auto"/>
            <w:shd w:val="clear" w:color="auto" w:fill="auto"/>
            <w:vAlign w:val="center"/>
          </w:tcPr>
          <w:p w14:paraId="7B4757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EBA4E7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596000</w:t>
            </w:r>
          </w:p>
        </w:tc>
        <w:tc>
          <w:tcPr>
            <w:tcW w:w="0" w:type="auto"/>
            <w:shd w:val="clear" w:color="auto" w:fill="auto"/>
            <w:vAlign w:val="center"/>
          </w:tcPr>
          <w:p w14:paraId="2F88E67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2DC5F6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C98F9E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C7C6C2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C54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EDC5B4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29</w:t>
            </w:r>
          </w:p>
        </w:tc>
        <w:tc>
          <w:tcPr>
            <w:tcW w:w="0" w:type="auto"/>
            <w:shd w:val="clear" w:color="auto" w:fill="auto"/>
            <w:vAlign w:val="center"/>
          </w:tcPr>
          <w:p w14:paraId="0A5B12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氯仿*</w:t>
            </w:r>
          </w:p>
        </w:tc>
        <w:tc>
          <w:tcPr>
            <w:tcW w:w="0" w:type="auto"/>
            <w:shd w:val="clear" w:color="auto" w:fill="auto"/>
            <w:vAlign w:val="center"/>
          </w:tcPr>
          <w:p w14:paraId="2C0B95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7BF6F5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0" w:type="auto"/>
            <w:shd w:val="clear" w:color="auto" w:fill="auto"/>
            <w:vAlign w:val="center"/>
          </w:tcPr>
          <w:p w14:paraId="7761954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103A18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E334BF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489031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11A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0A85CC8">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30</w:t>
            </w:r>
          </w:p>
        </w:tc>
        <w:tc>
          <w:tcPr>
            <w:tcW w:w="0" w:type="auto"/>
            <w:shd w:val="clear" w:color="auto" w:fill="auto"/>
            <w:vAlign w:val="center"/>
          </w:tcPr>
          <w:p w14:paraId="4EE58E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1,1,1-三氯乙烷*</w:t>
            </w:r>
          </w:p>
        </w:tc>
        <w:tc>
          <w:tcPr>
            <w:tcW w:w="0" w:type="auto"/>
            <w:shd w:val="clear" w:color="auto" w:fill="auto"/>
            <w:vAlign w:val="center"/>
          </w:tcPr>
          <w:p w14:paraId="23FC62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1B7065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840000</w:t>
            </w:r>
          </w:p>
        </w:tc>
        <w:tc>
          <w:tcPr>
            <w:tcW w:w="0" w:type="auto"/>
            <w:shd w:val="clear" w:color="auto" w:fill="auto"/>
            <w:vAlign w:val="center"/>
          </w:tcPr>
          <w:p w14:paraId="2154558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A1129D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F63F3E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F3248A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E58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E9093CD">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31</w:t>
            </w:r>
          </w:p>
        </w:tc>
        <w:tc>
          <w:tcPr>
            <w:tcW w:w="0" w:type="auto"/>
            <w:shd w:val="clear" w:color="auto" w:fill="auto"/>
            <w:vAlign w:val="center"/>
          </w:tcPr>
          <w:p w14:paraId="73EA70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四氯化碳*</w:t>
            </w:r>
          </w:p>
        </w:tc>
        <w:tc>
          <w:tcPr>
            <w:tcW w:w="0" w:type="auto"/>
            <w:shd w:val="clear" w:color="auto" w:fill="auto"/>
            <w:vAlign w:val="center"/>
          </w:tcPr>
          <w:p w14:paraId="039A37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0CEE33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6409FD2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D7D37E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FF781E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F66618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4DB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9DED4A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32</w:t>
            </w:r>
          </w:p>
        </w:tc>
        <w:tc>
          <w:tcPr>
            <w:tcW w:w="0" w:type="auto"/>
            <w:shd w:val="clear" w:color="auto" w:fill="auto"/>
            <w:vAlign w:val="center"/>
          </w:tcPr>
          <w:p w14:paraId="454F1B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w:t>
            </w:r>
          </w:p>
        </w:tc>
        <w:tc>
          <w:tcPr>
            <w:tcW w:w="0" w:type="auto"/>
            <w:shd w:val="clear" w:color="auto" w:fill="auto"/>
            <w:vAlign w:val="center"/>
          </w:tcPr>
          <w:p w14:paraId="17A071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CA66AB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4000</w:t>
            </w:r>
          </w:p>
        </w:tc>
        <w:tc>
          <w:tcPr>
            <w:tcW w:w="0" w:type="auto"/>
            <w:shd w:val="clear" w:color="auto" w:fill="auto"/>
            <w:vAlign w:val="center"/>
          </w:tcPr>
          <w:p w14:paraId="0FA9562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43A2C9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F87E93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FEAA15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E04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9A6CD62">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33</w:t>
            </w:r>
          </w:p>
        </w:tc>
        <w:tc>
          <w:tcPr>
            <w:tcW w:w="0" w:type="auto"/>
            <w:shd w:val="clear" w:color="auto" w:fill="auto"/>
            <w:vAlign w:val="center"/>
          </w:tcPr>
          <w:p w14:paraId="0BD921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1,2-二氯乙烷*</w:t>
            </w:r>
          </w:p>
        </w:tc>
        <w:tc>
          <w:tcPr>
            <w:tcW w:w="0" w:type="auto"/>
            <w:shd w:val="clear" w:color="auto" w:fill="auto"/>
            <w:vAlign w:val="center"/>
          </w:tcPr>
          <w:p w14:paraId="20B996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EAE92A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0" w:type="auto"/>
            <w:shd w:val="clear" w:color="auto" w:fill="auto"/>
            <w:vAlign w:val="center"/>
          </w:tcPr>
          <w:p w14:paraId="3F91373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F32550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61280C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3D49F9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1D0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AA8D6E2">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34</w:t>
            </w:r>
          </w:p>
        </w:tc>
        <w:tc>
          <w:tcPr>
            <w:tcW w:w="0" w:type="auto"/>
            <w:shd w:val="clear" w:color="auto" w:fill="auto"/>
            <w:vAlign w:val="center"/>
          </w:tcPr>
          <w:p w14:paraId="30921E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三氯乙烯*</w:t>
            </w:r>
          </w:p>
        </w:tc>
        <w:tc>
          <w:tcPr>
            <w:tcW w:w="0" w:type="auto"/>
            <w:shd w:val="clear" w:color="auto" w:fill="auto"/>
            <w:vAlign w:val="center"/>
          </w:tcPr>
          <w:p w14:paraId="5DE32A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869F5D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1D28F14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4556BD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B004AC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FFDC9D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1EC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CB438F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35</w:t>
            </w:r>
          </w:p>
        </w:tc>
        <w:tc>
          <w:tcPr>
            <w:tcW w:w="0" w:type="auto"/>
            <w:shd w:val="clear" w:color="auto" w:fill="auto"/>
            <w:vAlign w:val="center"/>
          </w:tcPr>
          <w:p w14:paraId="6FC44F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1,2-二氯丙烷*</w:t>
            </w:r>
          </w:p>
        </w:tc>
        <w:tc>
          <w:tcPr>
            <w:tcW w:w="0" w:type="auto"/>
            <w:shd w:val="clear" w:color="auto" w:fill="auto"/>
            <w:vAlign w:val="center"/>
          </w:tcPr>
          <w:p w14:paraId="458ACE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213C88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0" w:type="auto"/>
            <w:shd w:val="clear" w:color="auto" w:fill="auto"/>
            <w:vAlign w:val="center"/>
          </w:tcPr>
          <w:p w14:paraId="5E62BCE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FE9060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83995A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F16133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5AD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D7A437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36</w:t>
            </w:r>
          </w:p>
        </w:tc>
        <w:tc>
          <w:tcPr>
            <w:tcW w:w="0" w:type="auto"/>
            <w:shd w:val="clear" w:color="auto" w:fill="auto"/>
            <w:vAlign w:val="center"/>
          </w:tcPr>
          <w:p w14:paraId="68A569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甲苯*</w:t>
            </w:r>
          </w:p>
        </w:tc>
        <w:tc>
          <w:tcPr>
            <w:tcW w:w="0" w:type="auto"/>
            <w:shd w:val="clear" w:color="auto" w:fill="auto"/>
            <w:vAlign w:val="center"/>
          </w:tcPr>
          <w:p w14:paraId="6DFB11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CC3BD9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1200000</w:t>
            </w:r>
          </w:p>
        </w:tc>
        <w:tc>
          <w:tcPr>
            <w:tcW w:w="0" w:type="auto"/>
            <w:shd w:val="clear" w:color="auto" w:fill="auto"/>
            <w:vAlign w:val="center"/>
          </w:tcPr>
          <w:p w14:paraId="66D1E7A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72F5DF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3EC96F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BA3171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C95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215616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37</w:t>
            </w:r>
          </w:p>
        </w:tc>
        <w:tc>
          <w:tcPr>
            <w:tcW w:w="0" w:type="auto"/>
            <w:shd w:val="clear" w:color="auto" w:fill="auto"/>
            <w:vAlign w:val="center"/>
          </w:tcPr>
          <w:p w14:paraId="2FED92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0" w:type="auto"/>
            <w:shd w:val="clear" w:color="auto" w:fill="auto"/>
            <w:vAlign w:val="center"/>
          </w:tcPr>
          <w:p w14:paraId="2F2C6D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211CAB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698B7AF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43B545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870390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D247DA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CCB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1F7C83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38</w:t>
            </w:r>
          </w:p>
        </w:tc>
        <w:tc>
          <w:tcPr>
            <w:tcW w:w="0" w:type="auto"/>
            <w:shd w:val="clear" w:color="auto" w:fill="auto"/>
            <w:vAlign w:val="center"/>
          </w:tcPr>
          <w:p w14:paraId="043755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四氯乙烯*</w:t>
            </w:r>
          </w:p>
        </w:tc>
        <w:tc>
          <w:tcPr>
            <w:tcW w:w="0" w:type="auto"/>
            <w:shd w:val="clear" w:color="auto" w:fill="auto"/>
            <w:vAlign w:val="center"/>
          </w:tcPr>
          <w:p w14:paraId="0899E4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0" w:type="auto"/>
            <w:shd w:val="clear" w:color="auto" w:fill="auto"/>
            <w:vAlign w:val="center"/>
          </w:tcPr>
          <w:p w14:paraId="124FF41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53000</w:t>
            </w:r>
          </w:p>
        </w:tc>
        <w:tc>
          <w:tcPr>
            <w:tcW w:w="0" w:type="auto"/>
            <w:shd w:val="clear" w:color="auto" w:fill="auto"/>
            <w:vAlign w:val="center"/>
          </w:tcPr>
          <w:p w14:paraId="506BA28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23AA9A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06F8CA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D65705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CFD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344F4F7">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39</w:t>
            </w:r>
          </w:p>
        </w:tc>
        <w:tc>
          <w:tcPr>
            <w:tcW w:w="0" w:type="auto"/>
            <w:shd w:val="clear" w:color="auto" w:fill="auto"/>
            <w:vAlign w:val="center"/>
          </w:tcPr>
          <w:p w14:paraId="15989E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氯苯*</w:t>
            </w:r>
          </w:p>
        </w:tc>
        <w:tc>
          <w:tcPr>
            <w:tcW w:w="0" w:type="auto"/>
            <w:shd w:val="clear" w:color="auto" w:fill="auto"/>
            <w:vAlign w:val="center"/>
          </w:tcPr>
          <w:p w14:paraId="50CD45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DFA013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270000</w:t>
            </w:r>
          </w:p>
        </w:tc>
        <w:tc>
          <w:tcPr>
            <w:tcW w:w="0" w:type="auto"/>
            <w:shd w:val="clear" w:color="auto" w:fill="auto"/>
            <w:vAlign w:val="center"/>
          </w:tcPr>
          <w:p w14:paraId="66AE8C3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45488A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529F87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4F79CA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48A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64BEC9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40</w:t>
            </w:r>
          </w:p>
        </w:tc>
        <w:tc>
          <w:tcPr>
            <w:tcW w:w="0" w:type="auto"/>
            <w:shd w:val="clear" w:color="auto" w:fill="auto"/>
            <w:vAlign w:val="center"/>
          </w:tcPr>
          <w:p w14:paraId="78AF4D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0" w:type="auto"/>
            <w:shd w:val="clear" w:color="auto" w:fill="auto"/>
            <w:vAlign w:val="center"/>
          </w:tcPr>
          <w:p w14:paraId="5FA7E2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345028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10000</w:t>
            </w:r>
          </w:p>
        </w:tc>
        <w:tc>
          <w:tcPr>
            <w:tcW w:w="0" w:type="auto"/>
            <w:shd w:val="clear" w:color="auto" w:fill="auto"/>
            <w:vAlign w:val="center"/>
          </w:tcPr>
          <w:p w14:paraId="1003EBF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0B6134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C49633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189B1E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0C4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876245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41</w:t>
            </w:r>
          </w:p>
        </w:tc>
        <w:tc>
          <w:tcPr>
            <w:tcW w:w="0" w:type="auto"/>
            <w:shd w:val="clear" w:color="auto" w:fill="auto"/>
            <w:vAlign w:val="center"/>
          </w:tcPr>
          <w:p w14:paraId="692760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乙苯*</w:t>
            </w:r>
          </w:p>
        </w:tc>
        <w:tc>
          <w:tcPr>
            <w:tcW w:w="0" w:type="auto"/>
            <w:shd w:val="clear" w:color="auto" w:fill="auto"/>
            <w:vAlign w:val="center"/>
          </w:tcPr>
          <w:p w14:paraId="7DFCFE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3480016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28000</w:t>
            </w:r>
          </w:p>
        </w:tc>
        <w:tc>
          <w:tcPr>
            <w:tcW w:w="0" w:type="auto"/>
            <w:shd w:val="clear" w:color="auto" w:fill="auto"/>
            <w:vAlign w:val="center"/>
          </w:tcPr>
          <w:p w14:paraId="1420430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5C23C3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7407D4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7B6024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818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911431C">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42</w:t>
            </w:r>
          </w:p>
        </w:tc>
        <w:tc>
          <w:tcPr>
            <w:tcW w:w="0" w:type="auto"/>
            <w:shd w:val="clear" w:color="auto" w:fill="auto"/>
            <w:vAlign w:val="center"/>
          </w:tcPr>
          <w:p w14:paraId="1A9E05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间,对-二甲苯*</w:t>
            </w:r>
          </w:p>
        </w:tc>
        <w:tc>
          <w:tcPr>
            <w:tcW w:w="0" w:type="auto"/>
            <w:shd w:val="clear" w:color="auto" w:fill="auto"/>
            <w:vAlign w:val="center"/>
          </w:tcPr>
          <w:p w14:paraId="588B83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68FD2E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570000</w:t>
            </w:r>
          </w:p>
        </w:tc>
        <w:tc>
          <w:tcPr>
            <w:tcW w:w="0" w:type="auto"/>
            <w:shd w:val="clear" w:color="auto" w:fill="auto"/>
            <w:vAlign w:val="center"/>
          </w:tcPr>
          <w:p w14:paraId="59F7C5F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1FAAF0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25C8AE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99449F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C1E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E15E158">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43</w:t>
            </w:r>
          </w:p>
        </w:tc>
        <w:tc>
          <w:tcPr>
            <w:tcW w:w="0" w:type="auto"/>
            <w:shd w:val="clear" w:color="auto" w:fill="auto"/>
            <w:vAlign w:val="center"/>
          </w:tcPr>
          <w:p w14:paraId="7DDB45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邻二甲苯*</w:t>
            </w:r>
          </w:p>
        </w:tc>
        <w:tc>
          <w:tcPr>
            <w:tcW w:w="0" w:type="auto"/>
            <w:shd w:val="clear" w:color="auto" w:fill="auto"/>
            <w:vAlign w:val="center"/>
          </w:tcPr>
          <w:p w14:paraId="3DA64EE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C05D8D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640000</w:t>
            </w:r>
          </w:p>
        </w:tc>
        <w:tc>
          <w:tcPr>
            <w:tcW w:w="0" w:type="auto"/>
            <w:shd w:val="clear" w:color="auto" w:fill="auto"/>
            <w:vAlign w:val="center"/>
          </w:tcPr>
          <w:p w14:paraId="3B65FC3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029F2E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6F6622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A3DD2A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CDF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2394C9B">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44</w:t>
            </w:r>
          </w:p>
        </w:tc>
        <w:tc>
          <w:tcPr>
            <w:tcW w:w="0" w:type="auto"/>
            <w:shd w:val="clear" w:color="auto" w:fill="auto"/>
            <w:vAlign w:val="center"/>
          </w:tcPr>
          <w:p w14:paraId="0F1B1F0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苯乙烯*</w:t>
            </w:r>
          </w:p>
        </w:tc>
        <w:tc>
          <w:tcPr>
            <w:tcW w:w="0" w:type="auto"/>
            <w:shd w:val="clear" w:color="auto" w:fill="auto"/>
            <w:vAlign w:val="center"/>
          </w:tcPr>
          <w:p w14:paraId="4F4703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0A0517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1290000</w:t>
            </w:r>
          </w:p>
        </w:tc>
        <w:tc>
          <w:tcPr>
            <w:tcW w:w="0" w:type="auto"/>
            <w:shd w:val="clear" w:color="auto" w:fill="auto"/>
            <w:vAlign w:val="center"/>
          </w:tcPr>
          <w:p w14:paraId="748A20A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C614C0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38D40A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FB6565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1C7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EDDA36C">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45</w:t>
            </w:r>
          </w:p>
        </w:tc>
        <w:tc>
          <w:tcPr>
            <w:tcW w:w="0" w:type="auto"/>
            <w:shd w:val="clear" w:color="auto" w:fill="auto"/>
            <w:vAlign w:val="center"/>
          </w:tcPr>
          <w:p w14:paraId="723732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1,1,2,2-四氯乙烷*</w:t>
            </w:r>
          </w:p>
        </w:tc>
        <w:tc>
          <w:tcPr>
            <w:tcW w:w="0" w:type="auto"/>
            <w:shd w:val="clear" w:color="auto" w:fill="auto"/>
            <w:vAlign w:val="center"/>
          </w:tcPr>
          <w:p w14:paraId="579639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E6F306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6800</w:t>
            </w:r>
          </w:p>
        </w:tc>
        <w:tc>
          <w:tcPr>
            <w:tcW w:w="0" w:type="auto"/>
            <w:shd w:val="clear" w:color="auto" w:fill="auto"/>
            <w:vAlign w:val="center"/>
          </w:tcPr>
          <w:p w14:paraId="1377AAF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22088B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E6ED8C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24DB94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C5C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016D59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46</w:t>
            </w:r>
          </w:p>
        </w:tc>
        <w:tc>
          <w:tcPr>
            <w:tcW w:w="0" w:type="auto"/>
            <w:shd w:val="clear" w:color="auto" w:fill="auto"/>
            <w:vAlign w:val="center"/>
          </w:tcPr>
          <w:p w14:paraId="1676D8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1,2,3-三氯丙烷*</w:t>
            </w:r>
          </w:p>
        </w:tc>
        <w:tc>
          <w:tcPr>
            <w:tcW w:w="0" w:type="auto"/>
            <w:shd w:val="clear" w:color="auto" w:fill="auto"/>
            <w:vAlign w:val="center"/>
          </w:tcPr>
          <w:p w14:paraId="148AA37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F344C1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4C966CC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16EA7B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09FEE8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F73467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A4E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F43AB5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47</w:t>
            </w:r>
          </w:p>
        </w:tc>
        <w:tc>
          <w:tcPr>
            <w:tcW w:w="0" w:type="auto"/>
            <w:shd w:val="clear" w:color="auto" w:fill="auto"/>
            <w:vAlign w:val="center"/>
          </w:tcPr>
          <w:p w14:paraId="7AF694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1,4-二氯苯*</w:t>
            </w:r>
          </w:p>
        </w:tc>
        <w:tc>
          <w:tcPr>
            <w:tcW w:w="0" w:type="auto"/>
            <w:shd w:val="clear" w:color="auto" w:fill="auto"/>
            <w:vAlign w:val="center"/>
          </w:tcPr>
          <w:p w14:paraId="4FA733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997E30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20000</w:t>
            </w:r>
          </w:p>
        </w:tc>
        <w:tc>
          <w:tcPr>
            <w:tcW w:w="0" w:type="auto"/>
            <w:shd w:val="clear" w:color="auto" w:fill="auto"/>
            <w:vAlign w:val="center"/>
          </w:tcPr>
          <w:p w14:paraId="4CFACB3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89107E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ACFE50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3FF0E0A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028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42C5A80E">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48</w:t>
            </w:r>
          </w:p>
        </w:tc>
        <w:tc>
          <w:tcPr>
            <w:tcW w:w="0" w:type="auto"/>
            <w:shd w:val="clear" w:color="auto" w:fill="auto"/>
            <w:vAlign w:val="center"/>
          </w:tcPr>
          <w:p w14:paraId="0733766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1,2-二氯苯*</w:t>
            </w:r>
          </w:p>
        </w:tc>
        <w:tc>
          <w:tcPr>
            <w:tcW w:w="0" w:type="auto"/>
            <w:shd w:val="clear" w:color="auto" w:fill="auto"/>
            <w:vAlign w:val="center"/>
          </w:tcPr>
          <w:p w14:paraId="6815AF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top"/>
          </w:tcPr>
          <w:p w14:paraId="368CFFD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560000</w:t>
            </w:r>
          </w:p>
        </w:tc>
        <w:tc>
          <w:tcPr>
            <w:tcW w:w="0" w:type="auto"/>
            <w:shd w:val="clear" w:color="auto" w:fill="auto"/>
            <w:vAlign w:val="center"/>
          </w:tcPr>
          <w:p w14:paraId="660DCE6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3185DD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A14BFA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74AD7B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938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28198F99">
            <w:pPr>
              <w:jc w:val="center"/>
              <w:rPr>
                <w:rFonts w:hint="default"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49</w:t>
            </w:r>
          </w:p>
        </w:tc>
        <w:tc>
          <w:tcPr>
            <w:tcW w:w="0" w:type="auto"/>
            <w:shd w:val="clear" w:color="auto" w:fill="auto"/>
            <w:vAlign w:val="center"/>
          </w:tcPr>
          <w:p w14:paraId="3F4F039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bCs w:val="0"/>
                <w:color w:val="auto"/>
                <w:szCs w:val="21"/>
                <w:lang w:val="en-US" w:eastAsia="zh-CN"/>
              </w:rPr>
              <w:t>水分</w:t>
            </w:r>
          </w:p>
        </w:tc>
        <w:tc>
          <w:tcPr>
            <w:tcW w:w="0" w:type="auto"/>
            <w:shd w:val="clear" w:color="auto" w:fill="auto"/>
            <w:vAlign w:val="center"/>
          </w:tcPr>
          <w:p w14:paraId="488123B5">
            <w:pPr>
              <w:keepNext w:val="0"/>
              <w:keepLines w:val="0"/>
              <w:suppressLineNumbers w:val="0"/>
              <w:snapToGrid w:val="0"/>
              <w:spacing w:before="0" w:beforeAutospacing="0" w:after="0" w:afterAutospacing="0"/>
              <w:ind w:left="72" w:leftChars="0" w:right="0" w:rightChars="0"/>
              <w:jc w:val="center"/>
              <w:rPr>
                <w:rFonts w:hint="default" w:ascii="宋体" w:hAnsi="宋体" w:eastAsia="宋体" w:cs="宋体"/>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w:t>
            </w:r>
          </w:p>
        </w:tc>
        <w:tc>
          <w:tcPr>
            <w:tcW w:w="0" w:type="auto"/>
          </w:tcPr>
          <w:p w14:paraId="5B8FDDE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21A0FAD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2.6</w:t>
            </w:r>
          </w:p>
        </w:tc>
        <w:tc>
          <w:tcPr>
            <w:tcW w:w="0" w:type="auto"/>
            <w:shd w:val="clear" w:color="auto" w:fill="auto"/>
            <w:vAlign w:val="center"/>
          </w:tcPr>
          <w:p w14:paraId="01549D0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3.6</w:t>
            </w:r>
          </w:p>
        </w:tc>
        <w:tc>
          <w:tcPr>
            <w:tcW w:w="0" w:type="auto"/>
            <w:shd w:val="clear" w:color="auto" w:fill="auto"/>
            <w:vAlign w:val="center"/>
          </w:tcPr>
          <w:p w14:paraId="16875C8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5.9</w:t>
            </w:r>
          </w:p>
        </w:tc>
        <w:tc>
          <w:tcPr>
            <w:tcW w:w="659" w:type="pct"/>
            <w:vAlign w:val="top"/>
          </w:tcPr>
          <w:p w14:paraId="55DBD7E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090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46656FAA">
            <w:pPr>
              <w:jc w:val="center"/>
              <w:rPr>
                <w:rFonts w:hint="default"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50</w:t>
            </w:r>
          </w:p>
        </w:tc>
        <w:tc>
          <w:tcPr>
            <w:tcW w:w="0" w:type="auto"/>
            <w:shd w:val="clear" w:color="auto" w:fill="auto"/>
            <w:vAlign w:val="center"/>
          </w:tcPr>
          <w:p w14:paraId="6074CBAC">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bCs w:val="0"/>
                <w:color w:val="auto"/>
                <w:szCs w:val="21"/>
                <w:lang w:val="en-US" w:eastAsia="zh-CN"/>
              </w:rPr>
              <w:t>干物质</w:t>
            </w:r>
          </w:p>
        </w:tc>
        <w:tc>
          <w:tcPr>
            <w:tcW w:w="0" w:type="auto"/>
            <w:shd w:val="clear" w:color="auto" w:fill="auto"/>
            <w:vAlign w:val="center"/>
          </w:tcPr>
          <w:p w14:paraId="20609C77">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w:t>
            </w:r>
          </w:p>
        </w:tc>
        <w:tc>
          <w:tcPr>
            <w:tcW w:w="0" w:type="auto"/>
          </w:tcPr>
          <w:p w14:paraId="6963073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3E089DE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97.5</w:t>
            </w:r>
          </w:p>
        </w:tc>
        <w:tc>
          <w:tcPr>
            <w:tcW w:w="0" w:type="auto"/>
            <w:shd w:val="clear" w:color="auto" w:fill="auto"/>
            <w:vAlign w:val="center"/>
          </w:tcPr>
          <w:p w14:paraId="7A9B2A0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96.5</w:t>
            </w:r>
          </w:p>
        </w:tc>
        <w:tc>
          <w:tcPr>
            <w:tcW w:w="0" w:type="auto"/>
            <w:shd w:val="clear" w:color="auto" w:fill="auto"/>
            <w:vAlign w:val="center"/>
          </w:tcPr>
          <w:p w14:paraId="299DA3D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94.4</w:t>
            </w:r>
          </w:p>
        </w:tc>
        <w:tc>
          <w:tcPr>
            <w:tcW w:w="659" w:type="pct"/>
            <w:vAlign w:val="top"/>
          </w:tcPr>
          <w:p w14:paraId="4E108D2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bl>
    <w:p w14:paraId="2C4AEFDF">
      <w:pPr>
        <w:pStyle w:val="32"/>
        <w:bidi w:val="0"/>
        <w:rPr>
          <w:rFonts w:hint="default"/>
          <w:color w:val="auto"/>
          <w:lang w:val="en-US" w:eastAsia="zh-CN"/>
        </w:rPr>
      </w:pPr>
      <w:r>
        <w:rPr>
          <w:rFonts w:hint="eastAsia"/>
          <w:color w:val="auto"/>
          <w:lang w:val="en-US" w:eastAsia="zh-CN"/>
        </w:rPr>
        <w:t>表4.2-14（e）  土壤监测结果一览表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584"/>
        <w:gridCol w:w="1247"/>
        <w:gridCol w:w="1655"/>
        <w:gridCol w:w="1797"/>
        <w:gridCol w:w="1797"/>
        <w:gridCol w:w="1799"/>
        <w:gridCol w:w="1867"/>
      </w:tblGrid>
      <w:tr w14:paraId="688C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restart"/>
            <w:noWrap w:val="0"/>
            <w:vAlign w:val="center"/>
          </w:tcPr>
          <w:p w14:paraId="2BB87885">
            <w:pPr>
              <w:jc w:val="center"/>
              <w:rPr>
                <w:rFonts w:hint="eastAsia" w:eastAsia="宋体"/>
                <w:b/>
                <w:bCs/>
                <w:color w:val="auto"/>
                <w:szCs w:val="21"/>
                <w:lang w:val="en-US" w:eastAsia="zh-CN"/>
              </w:rPr>
            </w:pPr>
            <w:r>
              <w:rPr>
                <w:rFonts w:hint="eastAsia"/>
                <w:b/>
                <w:bCs/>
                <w:color w:val="auto"/>
                <w:szCs w:val="21"/>
                <w:lang w:val="en-US" w:eastAsia="zh-CN"/>
              </w:rPr>
              <w:t>序号</w:t>
            </w:r>
          </w:p>
        </w:tc>
        <w:tc>
          <w:tcPr>
            <w:tcW w:w="912" w:type="pct"/>
            <w:vMerge w:val="restart"/>
            <w:noWrap w:val="0"/>
            <w:vAlign w:val="center"/>
          </w:tcPr>
          <w:p w14:paraId="333A70D0">
            <w:pPr>
              <w:jc w:val="center"/>
              <w:rPr>
                <w:b/>
                <w:bCs/>
                <w:color w:val="auto"/>
                <w:szCs w:val="21"/>
              </w:rPr>
            </w:pPr>
            <w:r>
              <w:rPr>
                <w:b/>
                <w:bCs/>
                <w:color w:val="auto"/>
                <w:szCs w:val="21"/>
              </w:rPr>
              <w:t>检测项目</w:t>
            </w:r>
          </w:p>
        </w:tc>
        <w:tc>
          <w:tcPr>
            <w:tcW w:w="440" w:type="pct"/>
            <w:vMerge w:val="restart"/>
            <w:noWrap w:val="0"/>
            <w:vAlign w:val="center"/>
          </w:tcPr>
          <w:p w14:paraId="6646749B">
            <w:pPr>
              <w:jc w:val="center"/>
              <w:rPr>
                <w:b/>
                <w:bCs/>
                <w:color w:val="auto"/>
                <w:szCs w:val="21"/>
              </w:rPr>
            </w:pPr>
            <w:r>
              <w:rPr>
                <w:b/>
                <w:bCs/>
                <w:color w:val="auto"/>
                <w:szCs w:val="21"/>
              </w:rPr>
              <w:t>单位</w:t>
            </w:r>
          </w:p>
        </w:tc>
        <w:tc>
          <w:tcPr>
            <w:tcW w:w="584" w:type="pct"/>
            <w:vMerge w:val="restart"/>
            <w:noWrap w:val="0"/>
            <w:vAlign w:val="center"/>
          </w:tcPr>
          <w:p w14:paraId="36CC6485">
            <w:pPr>
              <w:jc w:val="center"/>
              <w:rPr>
                <w:rFonts w:hint="eastAsia" w:ascii="Times New Roman" w:hAnsi="Times New Roman" w:eastAsia="宋体" w:cs="Times New Roman"/>
                <w:b/>
                <w:bCs/>
                <w:color w:val="auto"/>
                <w:kern w:val="2"/>
                <w:sz w:val="21"/>
                <w:szCs w:val="21"/>
                <w:lang w:val="en-US" w:eastAsia="zh-CN" w:bidi="ar-SA"/>
              </w:rPr>
            </w:pPr>
            <w:r>
              <w:rPr>
                <w:b/>
                <w:bCs/>
                <w:color w:val="auto"/>
                <w:szCs w:val="21"/>
              </w:rPr>
              <w:t>标准限值</w:t>
            </w:r>
            <w:r>
              <w:rPr>
                <w:rFonts w:hint="eastAsia"/>
                <w:b/>
                <w:bCs/>
                <w:color w:val="auto"/>
                <w:szCs w:val="21"/>
                <w:lang w:eastAsia="zh-CN"/>
              </w:rPr>
              <w:t>（</w:t>
            </w:r>
            <w:r>
              <w:rPr>
                <w:rFonts w:hint="eastAsia"/>
                <w:b/>
                <w:bCs/>
                <w:color w:val="auto"/>
                <w:szCs w:val="21"/>
                <w:lang w:val="en-US" w:eastAsia="zh-CN"/>
              </w:rPr>
              <w:t>第二类用地筛选值</w:t>
            </w:r>
            <w:r>
              <w:rPr>
                <w:rFonts w:hint="eastAsia"/>
                <w:b/>
                <w:bCs/>
                <w:color w:val="auto"/>
                <w:szCs w:val="21"/>
                <w:lang w:eastAsia="zh-CN"/>
              </w:rPr>
              <w:t>）</w:t>
            </w:r>
          </w:p>
        </w:tc>
        <w:tc>
          <w:tcPr>
            <w:tcW w:w="1903" w:type="pct"/>
            <w:gridSpan w:val="3"/>
            <w:noWrap w:val="0"/>
            <w:vAlign w:val="center"/>
          </w:tcPr>
          <w:p w14:paraId="695E1CE2">
            <w:pPr>
              <w:jc w:val="center"/>
              <w:rPr>
                <w:rFonts w:hint="default" w:eastAsia="宋体"/>
                <w:b/>
                <w:bCs/>
                <w:color w:val="auto"/>
                <w:szCs w:val="21"/>
                <w:lang w:val="en-US" w:eastAsia="zh-CN"/>
              </w:rPr>
            </w:pPr>
            <w:r>
              <w:rPr>
                <w:rFonts w:hint="eastAsia"/>
                <w:b/>
                <w:bCs/>
                <w:color w:val="auto"/>
                <w:szCs w:val="21"/>
                <w:lang w:val="en-US" w:eastAsia="zh-CN"/>
              </w:rPr>
              <w:t>T5柱状样监测结果（占地范围内）</w:t>
            </w:r>
          </w:p>
        </w:tc>
        <w:tc>
          <w:tcPr>
            <w:tcW w:w="659" w:type="pct"/>
            <w:vMerge w:val="restart"/>
            <w:noWrap w:val="0"/>
            <w:vAlign w:val="center"/>
          </w:tcPr>
          <w:p w14:paraId="744904DF">
            <w:pPr>
              <w:jc w:val="center"/>
              <w:rPr>
                <w:rFonts w:hint="eastAsia" w:eastAsia="宋体"/>
                <w:color w:val="auto"/>
                <w:szCs w:val="21"/>
                <w:lang w:val="en-US" w:eastAsia="zh-CN"/>
              </w:rPr>
            </w:pPr>
            <w:r>
              <w:rPr>
                <w:rFonts w:hint="eastAsia"/>
                <w:b/>
                <w:bCs/>
                <w:color w:val="auto"/>
                <w:szCs w:val="21"/>
                <w:lang w:val="en-US" w:eastAsia="zh-CN"/>
              </w:rPr>
              <w:t>达标情况</w:t>
            </w:r>
          </w:p>
        </w:tc>
      </w:tr>
      <w:tr w14:paraId="43CC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vMerge w:val="continue"/>
            <w:noWrap w:val="0"/>
            <w:vAlign w:val="center"/>
          </w:tcPr>
          <w:p w14:paraId="37B37F4F">
            <w:pPr>
              <w:jc w:val="center"/>
              <w:rPr>
                <w:b/>
                <w:bCs/>
                <w:color w:val="auto"/>
                <w:szCs w:val="21"/>
              </w:rPr>
            </w:pPr>
          </w:p>
        </w:tc>
        <w:tc>
          <w:tcPr>
            <w:tcW w:w="912" w:type="pct"/>
            <w:vMerge w:val="continue"/>
            <w:noWrap w:val="0"/>
            <w:vAlign w:val="center"/>
          </w:tcPr>
          <w:p w14:paraId="424BB8BF">
            <w:pPr>
              <w:jc w:val="center"/>
              <w:rPr>
                <w:b/>
                <w:bCs/>
                <w:color w:val="auto"/>
                <w:szCs w:val="21"/>
              </w:rPr>
            </w:pPr>
          </w:p>
        </w:tc>
        <w:tc>
          <w:tcPr>
            <w:tcW w:w="440" w:type="pct"/>
            <w:vMerge w:val="continue"/>
            <w:noWrap w:val="0"/>
            <w:vAlign w:val="center"/>
          </w:tcPr>
          <w:p w14:paraId="4C0ABD38">
            <w:pPr>
              <w:jc w:val="center"/>
              <w:rPr>
                <w:b/>
                <w:bCs/>
                <w:color w:val="auto"/>
                <w:szCs w:val="21"/>
              </w:rPr>
            </w:pPr>
          </w:p>
        </w:tc>
        <w:tc>
          <w:tcPr>
            <w:tcW w:w="584" w:type="pct"/>
            <w:vMerge w:val="continue"/>
            <w:noWrap w:val="0"/>
            <w:vAlign w:val="center"/>
          </w:tcPr>
          <w:p w14:paraId="4145C414">
            <w:pPr>
              <w:jc w:val="center"/>
              <w:rPr>
                <w:rFonts w:ascii="Times New Roman" w:hAnsi="Times New Roman" w:eastAsia="宋体" w:cs="Times New Roman"/>
                <w:b/>
                <w:bCs/>
                <w:color w:val="auto"/>
                <w:kern w:val="2"/>
                <w:sz w:val="21"/>
                <w:szCs w:val="21"/>
                <w:lang w:val="en-US" w:eastAsia="zh-CN" w:bidi="ar-SA"/>
              </w:rPr>
            </w:pPr>
          </w:p>
        </w:tc>
        <w:tc>
          <w:tcPr>
            <w:tcW w:w="634" w:type="pct"/>
            <w:noWrap w:val="0"/>
            <w:vAlign w:val="center"/>
          </w:tcPr>
          <w:p w14:paraId="648E9AFA">
            <w:pPr>
              <w:jc w:val="center"/>
              <w:rPr>
                <w:b/>
                <w:bCs/>
                <w:color w:val="auto"/>
                <w:szCs w:val="21"/>
              </w:rPr>
            </w:pPr>
            <w:r>
              <w:rPr>
                <w:rFonts w:hint="eastAsia"/>
                <w:b/>
                <w:bCs/>
                <w:color w:val="auto"/>
                <w:szCs w:val="21"/>
                <w:lang w:val="en-US" w:eastAsia="zh-CN"/>
              </w:rPr>
              <w:t>T5-1</w:t>
            </w:r>
            <w:r>
              <w:rPr>
                <w:b/>
                <w:bCs/>
                <w:color w:val="auto"/>
                <w:szCs w:val="21"/>
              </w:rPr>
              <w:t>监测结果</w:t>
            </w:r>
          </w:p>
        </w:tc>
        <w:tc>
          <w:tcPr>
            <w:tcW w:w="634" w:type="pct"/>
            <w:noWrap w:val="0"/>
            <w:vAlign w:val="center"/>
          </w:tcPr>
          <w:p w14:paraId="3524230A">
            <w:pPr>
              <w:jc w:val="center"/>
              <w:rPr>
                <w:b/>
                <w:bCs/>
                <w:color w:val="auto"/>
                <w:szCs w:val="21"/>
              </w:rPr>
            </w:pPr>
            <w:r>
              <w:rPr>
                <w:rFonts w:hint="eastAsia"/>
                <w:b/>
                <w:bCs/>
                <w:color w:val="auto"/>
                <w:szCs w:val="21"/>
                <w:lang w:val="en-US" w:eastAsia="zh-CN"/>
              </w:rPr>
              <w:t>T5-2</w:t>
            </w:r>
            <w:r>
              <w:rPr>
                <w:b/>
                <w:bCs/>
                <w:color w:val="auto"/>
                <w:szCs w:val="21"/>
              </w:rPr>
              <w:t>监测结果</w:t>
            </w:r>
          </w:p>
        </w:tc>
        <w:tc>
          <w:tcPr>
            <w:tcW w:w="635" w:type="pct"/>
            <w:noWrap w:val="0"/>
            <w:vAlign w:val="center"/>
          </w:tcPr>
          <w:p w14:paraId="7435E52A">
            <w:pPr>
              <w:jc w:val="center"/>
              <w:rPr>
                <w:rFonts w:hint="eastAsia"/>
                <w:b/>
                <w:bCs/>
                <w:color w:val="auto"/>
                <w:szCs w:val="21"/>
              </w:rPr>
            </w:pPr>
            <w:r>
              <w:rPr>
                <w:rFonts w:hint="eastAsia"/>
                <w:b/>
                <w:bCs/>
                <w:color w:val="auto"/>
                <w:szCs w:val="21"/>
                <w:lang w:val="en-US" w:eastAsia="zh-CN"/>
              </w:rPr>
              <w:t>T5-3</w:t>
            </w:r>
            <w:r>
              <w:rPr>
                <w:b/>
                <w:bCs/>
                <w:color w:val="auto"/>
                <w:szCs w:val="21"/>
              </w:rPr>
              <w:t>监测结果</w:t>
            </w:r>
          </w:p>
        </w:tc>
        <w:tc>
          <w:tcPr>
            <w:tcW w:w="659" w:type="pct"/>
            <w:vMerge w:val="continue"/>
            <w:noWrap w:val="0"/>
            <w:vAlign w:val="center"/>
          </w:tcPr>
          <w:p w14:paraId="32E5C8A2">
            <w:pPr>
              <w:jc w:val="center"/>
              <w:rPr>
                <w:rFonts w:hint="eastAsia" w:eastAsia="宋体"/>
                <w:color w:val="auto"/>
                <w:szCs w:val="21"/>
                <w:lang w:val="en-US" w:eastAsia="zh-CN"/>
              </w:rPr>
            </w:pPr>
          </w:p>
        </w:tc>
      </w:tr>
      <w:tr w14:paraId="75A2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777C26E1">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w:t>
            </w:r>
          </w:p>
        </w:tc>
        <w:tc>
          <w:tcPr>
            <w:tcW w:w="912" w:type="pct"/>
            <w:shd w:val="clear" w:color="auto" w:fill="auto"/>
            <w:noWrap w:val="0"/>
            <w:vAlign w:val="center"/>
          </w:tcPr>
          <w:p w14:paraId="5A3653A4">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440" w:type="pct"/>
            <w:shd w:val="clear" w:color="auto" w:fill="auto"/>
            <w:noWrap w:val="0"/>
            <w:vAlign w:val="center"/>
          </w:tcPr>
          <w:p w14:paraId="0958F0F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无量纲</w:t>
            </w:r>
          </w:p>
        </w:tc>
        <w:tc>
          <w:tcPr>
            <w:tcW w:w="584" w:type="pct"/>
            <w:noWrap w:val="0"/>
            <w:vAlign w:val="center"/>
          </w:tcPr>
          <w:p w14:paraId="5C73320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shd w:val="clear" w:color="auto" w:fill="auto"/>
            <w:noWrap w:val="0"/>
            <w:vAlign w:val="center"/>
          </w:tcPr>
          <w:p w14:paraId="478FA11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8.84</w:t>
            </w:r>
          </w:p>
        </w:tc>
        <w:tc>
          <w:tcPr>
            <w:tcW w:w="634" w:type="pct"/>
            <w:shd w:val="clear" w:color="auto" w:fill="auto"/>
            <w:noWrap w:val="0"/>
            <w:vAlign w:val="center"/>
          </w:tcPr>
          <w:p w14:paraId="4B00641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8.78</w:t>
            </w:r>
          </w:p>
        </w:tc>
        <w:tc>
          <w:tcPr>
            <w:tcW w:w="635" w:type="pct"/>
            <w:shd w:val="clear" w:color="auto" w:fill="auto"/>
            <w:noWrap w:val="0"/>
            <w:vAlign w:val="center"/>
          </w:tcPr>
          <w:p w14:paraId="01D1872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8.80</w:t>
            </w:r>
          </w:p>
        </w:tc>
        <w:tc>
          <w:tcPr>
            <w:tcW w:w="659" w:type="pct"/>
            <w:noWrap w:val="0"/>
            <w:vAlign w:val="center"/>
          </w:tcPr>
          <w:p w14:paraId="51DBEC3A">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r w14:paraId="7061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2CEF7CD6">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w:t>
            </w:r>
          </w:p>
        </w:tc>
        <w:tc>
          <w:tcPr>
            <w:tcW w:w="912" w:type="pct"/>
            <w:shd w:val="clear" w:color="auto" w:fill="auto"/>
            <w:noWrap w:val="0"/>
            <w:vAlign w:val="center"/>
          </w:tcPr>
          <w:p w14:paraId="10910F01">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石油烃</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10-</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40</w:t>
            </w:r>
            <w:r>
              <w:rPr>
                <w:rFonts w:hint="default" w:ascii="Times New Roman" w:hAnsi="Times New Roman" w:eastAsia="宋体" w:cs="Times New Roman"/>
                <w:color w:val="auto"/>
                <w:kern w:val="0"/>
                <w:sz w:val="21"/>
                <w:szCs w:val="21"/>
                <w:lang w:val="en-US" w:eastAsia="zh-CN" w:bidi="ar"/>
              </w:rPr>
              <w:t>)</w:t>
            </w:r>
          </w:p>
        </w:tc>
        <w:tc>
          <w:tcPr>
            <w:tcW w:w="440" w:type="pct"/>
            <w:shd w:val="clear" w:color="auto" w:fill="auto"/>
            <w:noWrap w:val="0"/>
            <w:vAlign w:val="center"/>
          </w:tcPr>
          <w:p w14:paraId="3603268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noWrap w:val="0"/>
            <w:vAlign w:val="center"/>
          </w:tcPr>
          <w:p w14:paraId="2FC58E8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4500</w:t>
            </w:r>
          </w:p>
        </w:tc>
        <w:tc>
          <w:tcPr>
            <w:tcW w:w="634" w:type="pct"/>
            <w:shd w:val="clear" w:color="auto" w:fill="auto"/>
            <w:noWrap w:val="0"/>
            <w:vAlign w:val="center"/>
          </w:tcPr>
          <w:p w14:paraId="41C11EC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29.3</w:t>
            </w:r>
          </w:p>
        </w:tc>
        <w:tc>
          <w:tcPr>
            <w:tcW w:w="634" w:type="pct"/>
            <w:shd w:val="clear" w:color="auto" w:fill="auto"/>
            <w:noWrap w:val="0"/>
            <w:vAlign w:val="center"/>
          </w:tcPr>
          <w:p w14:paraId="5F6B88A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color w:val="auto"/>
                <w:kern w:val="0"/>
                <w:sz w:val="21"/>
                <w:szCs w:val="21"/>
                <w:lang w:val="en-US" w:eastAsia="zh-CN" w:bidi="ar"/>
              </w:rPr>
              <w:t>29.5</w:t>
            </w:r>
          </w:p>
        </w:tc>
        <w:tc>
          <w:tcPr>
            <w:tcW w:w="635" w:type="pct"/>
            <w:shd w:val="clear" w:color="auto" w:fill="auto"/>
            <w:noWrap w:val="0"/>
            <w:vAlign w:val="center"/>
          </w:tcPr>
          <w:p w14:paraId="3200ADA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color w:val="auto"/>
                <w:kern w:val="0"/>
                <w:sz w:val="21"/>
                <w:szCs w:val="21"/>
                <w:lang w:val="en-US" w:eastAsia="zh-CN" w:bidi="ar"/>
              </w:rPr>
              <w:t>30.0</w:t>
            </w:r>
          </w:p>
        </w:tc>
        <w:tc>
          <w:tcPr>
            <w:tcW w:w="659" w:type="pct"/>
            <w:noWrap w:val="0"/>
            <w:vAlign w:val="center"/>
          </w:tcPr>
          <w:p w14:paraId="2C3C735C">
            <w:pPr>
              <w:jc w:val="center"/>
              <w:rPr>
                <w:rFonts w:hint="default" w:eastAsia="宋体"/>
                <w:b w:val="0"/>
                <w:bCs w:val="0"/>
                <w:color w:val="auto"/>
                <w:szCs w:val="21"/>
                <w:lang w:val="en-US" w:eastAsia="zh-CN"/>
              </w:rPr>
            </w:pPr>
            <w:r>
              <w:rPr>
                <w:rFonts w:hint="eastAsia"/>
                <w:b w:val="0"/>
                <w:bCs w:val="0"/>
                <w:color w:val="auto"/>
                <w:szCs w:val="21"/>
                <w:lang w:val="en-US" w:eastAsia="zh-CN"/>
              </w:rPr>
              <w:t>达标</w:t>
            </w:r>
          </w:p>
        </w:tc>
      </w:tr>
      <w:tr w14:paraId="2A7E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5BA0976F">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w:t>
            </w:r>
          </w:p>
        </w:tc>
        <w:tc>
          <w:tcPr>
            <w:tcW w:w="912" w:type="pct"/>
            <w:shd w:val="clear" w:color="auto" w:fill="auto"/>
            <w:noWrap w:val="0"/>
            <w:vAlign w:val="center"/>
          </w:tcPr>
          <w:p w14:paraId="49633A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水溶性总盐量</w:t>
            </w:r>
          </w:p>
        </w:tc>
        <w:tc>
          <w:tcPr>
            <w:tcW w:w="440" w:type="pct"/>
            <w:shd w:val="clear" w:color="auto" w:fill="auto"/>
            <w:noWrap w:val="0"/>
            <w:vAlign w:val="center"/>
          </w:tcPr>
          <w:p w14:paraId="250EDE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b w:val="0"/>
                <w:bCs w:val="0"/>
                <w:color w:val="auto"/>
                <w:szCs w:val="21"/>
                <w:lang w:val="en-US" w:eastAsia="zh-CN"/>
              </w:rPr>
              <w:t>g/kg</w:t>
            </w:r>
          </w:p>
        </w:tc>
        <w:tc>
          <w:tcPr>
            <w:tcW w:w="584" w:type="pct"/>
            <w:noWrap w:val="0"/>
            <w:vAlign w:val="center"/>
          </w:tcPr>
          <w:p w14:paraId="74308BE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34" w:type="pct"/>
            <w:shd w:val="clear" w:color="auto" w:fill="auto"/>
            <w:noWrap w:val="0"/>
            <w:vAlign w:val="center"/>
          </w:tcPr>
          <w:p w14:paraId="3CC933A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2.2</w:t>
            </w:r>
          </w:p>
        </w:tc>
        <w:tc>
          <w:tcPr>
            <w:tcW w:w="634" w:type="pct"/>
            <w:shd w:val="clear" w:color="auto" w:fill="auto"/>
            <w:noWrap w:val="0"/>
            <w:vAlign w:val="center"/>
          </w:tcPr>
          <w:p w14:paraId="2BF9C70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color w:val="auto"/>
                <w:kern w:val="0"/>
                <w:sz w:val="21"/>
                <w:szCs w:val="21"/>
                <w:lang w:val="en-US" w:eastAsia="zh-CN" w:bidi="ar"/>
              </w:rPr>
              <w:t>3.6</w:t>
            </w:r>
          </w:p>
        </w:tc>
        <w:tc>
          <w:tcPr>
            <w:tcW w:w="635" w:type="pct"/>
            <w:shd w:val="clear" w:color="auto" w:fill="auto"/>
            <w:noWrap w:val="0"/>
            <w:vAlign w:val="center"/>
          </w:tcPr>
          <w:p w14:paraId="347823B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color w:val="auto"/>
                <w:kern w:val="0"/>
                <w:sz w:val="21"/>
                <w:szCs w:val="21"/>
                <w:lang w:val="en-US" w:eastAsia="zh-CN" w:bidi="ar"/>
              </w:rPr>
              <w:t>2.5</w:t>
            </w:r>
          </w:p>
        </w:tc>
        <w:tc>
          <w:tcPr>
            <w:tcW w:w="659" w:type="pct"/>
            <w:noWrap w:val="0"/>
            <w:vAlign w:val="center"/>
          </w:tcPr>
          <w:p w14:paraId="4A4B2B1D">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4F3B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646A11AB">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w:t>
            </w:r>
          </w:p>
        </w:tc>
        <w:tc>
          <w:tcPr>
            <w:tcW w:w="912" w:type="pct"/>
            <w:shd w:val="clear" w:color="auto" w:fill="auto"/>
            <w:noWrap w:val="0"/>
            <w:vAlign w:val="center"/>
          </w:tcPr>
          <w:p w14:paraId="24903A60">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汞*</w:t>
            </w:r>
          </w:p>
        </w:tc>
        <w:tc>
          <w:tcPr>
            <w:tcW w:w="440" w:type="pct"/>
            <w:shd w:val="clear" w:color="auto" w:fill="auto"/>
            <w:noWrap w:val="0"/>
            <w:vAlign w:val="center"/>
          </w:tcPr>
          <w:p w14:paraId="2AA082E8">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59AC4E2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38</w:t>
            </w:r>
          </w:p>
        </w:tc>
        <w:tc>
          <w:tcPr>
            <w:tcW w:w="634" w:type="pct"/>
            <w:shd w:val="clear" w:color="auto" w:fill="auto"/>
            <w:noWrap w:val="0"/>
            <w:vAlign w:val="center"/>
          </w:tcPr>
          <w:p w14:paraId="6FD4427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0.005</w:t>
            </w:r>
          </w:p>
        </w:tc>
        <w:tc>
          <w:tcPr>
            <w:tcW w:w="634" w:type="pct"/>
            <w:shd w:val="clear" w:color="auto" w:fill="auto"/>
            <w:noWrap w:val="0"/>
            <w:vAlign w:val="center"/>
          </w:tcPr>
          <w:p w14:paraId="1C471C1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0.008</w:t>
            </w:r>
          </w:p>
        </w:tc>
        <w:tc>
          <w:tcPr>
            <w:tcW w:w="635" w:type="pct"/>
            <w:shd w:val="clear" w:color="auto" w:fill="auto"/>
            <w:noWrap w:val="0"/>
            <w:vAlign w:val="center"/>
          </w:tcPr>
          <w:p w14:paraId="2F7E90B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0.012</w:t>
            </w:r>
          </w:p>
        </w:tc>
        <w:tc>
          <w:tcPr>
            <w:tcW w:w="659" w:type="pct"/>
            <w:noWrap w:val="0"/>
            <w:vAlign w:val="top"/>
          </w:tcPr>
          <w:p w14:paraId="593D3B7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13C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39955D3D">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5</w:t>
            </w:r>
          </w:p>
        </w:tc>
        <w:tc>
          <w:tcPr>
            <w:tcW w:w="912" w:type="pct"/>
            <w:shd w:val="clear" w:color="auto" w:fill="auto"/>
            <w:noWrap w:val="0"/>
            <w:vAlign w:val="center"/>
          </w:tcPr>
          <w:p w14:paraId="481D85EF">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砷*</w:t>
            </w:r>
          </w:p>
        </w:tc>
        <w:tc>
          <w:tcPr>
            <w:tcW w:w="440" w:type="pct"/>
            <w:shd w:val="clear" w:color="auto" w:fill="auto"/>
            <w:noWrap w:val="0"/>
            <w:vAlign w:val="center"/>
          </w:tcPr>
          <w:p w14:paraId="0EC70B0B">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59FD0E7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60</w:t>
            </w:r>
          </w:p>
        </w:tc>
        <w:tc>
          <w:tcPr>
            <w:tcW w:w="634" w:type="pct"/>
            <w:shd w:val="clear" w:color="auto" w:fill="auto"/>
            <w:noWrap w:val="0"/>
            <w:vAlign w:val="center"/>
          </w:tcPr>
          <w:p w14:paraId="0183E69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8.56</w:t>
            </w:r>
          </w:p>
        </w:tc>
        <w:tc>
          <w:tcPr>
            <w:tcW w:w="634" w:type="pct"/>
            <w:shd w:val="clear" w:color="auto" w:fill="auto"/>
            <w:noWrap w:val="0"/>
            <w:vAlign w:val="center"/>
          </w:tcPr>
          <w:p w14:paraId="3536459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b w:val="0"/>
                <w:bCs/>
                <w:color w:val="auto"/>
                <w:kern w:val="0"/>
                <w:sz w:val="21"/>
                <w:szCs w:val="21"/>
                <w:lang w:val="en-US" w:eastAsia="zh-CN" w:bidi="ar"/>
              </w:rPr>
              <w:t>8.42</w:t>
            </w:r>
          </w:p>
        </w:tc>
        <w:tc>
          <w:tcPr>
            <w:tcW w:w="635" w:type="pct"/>
            <w:shd w:val="clear" w:color="auto" w:fill="auto"/>
            <w:noWrap w:val="0"/>
            <w:vAlign w:val="center"/>
          </w:tcPr>
          <w:p w14:paraId="45E5142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b w:val="0"/>
                <w:bCs/>
                <w:color w:val="auto"/>
                <w:kern w:val="0"/>
                <w:sz w:val="21"/>
                <w:szCs w:val="21"/>
                <w:lang w:val="en-US" w:eastAsia="zh-CN" w:bidi="ar"/>
              </w:rPr>
              <w:t>9.32</w:t>
            </w:r>
          </w:p>
        </w:tc>
        <w:tc>
          <w:tcPr>
            <w:tcW w:w="659" w:type="pct"/>
            <w:noWrap w:val="0"/>
            <w:vAlign w:val="top"/>
          </w:tcPr>
          <w:p w14:paraId="587C221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A2B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shd w:val="clear" w:color="auto" w:fill="auto"/>
            <w:noWrap w:val="0"/>
            <w:vAlign w:val="center"/>
          </w:tcPr>
          <w:p w14:paraId="3B876A29">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6</w:t>
            </w:r>
          </w:p>
        </w:tc>
        <w:tc>
          <w:tcPr>
            <w:tcW w:w="912" w:type="pct"/>
            <w:shd w:val="clear" w:color="auto" w:fill="auto"/>
            <w:noWrap w:val="0"/>
            <w:vAlign w:val="center"/>
          </w:tcPr>
          <w:p w14:paraId="083194C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铜*</w:t>
            </w:r>
          </w:p>
        </w:tc>
        <w:tc>
          <w:tcPr>
            <w:tcW w:w="440" w:type="pct"/>
            <w:shd w:val="clear" w:color="auto" w:fill="auto"/>
            <w:noWrap w:val="0"/>
            <w:vAlign w:val="center"/>
          </w:tcPr>
          <w:p w14:paraId="7C20BFB1">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584" w:type="pct"/>
            <w:shd w:val="clear" w:color="auto" w:fill="auto"/>
            <w:noWrap w:val="0"/>
            <w:vAlign w:val="center"/>
          </w:tcPr>
          <w:p w14:paraId="53106D5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18000</w:t>
            </w:r>
          </w:p>
        </w:tc>
        <w:tc>
          <w:tcPr>
            <w:tcW w:w="634" w:type="pct"/>
            <w:shd w:val="clear" w:color="auto" w:fill="auto"/>
            <w:noWrap w:val="0"/>
            <w:vAlign w:val="center"/>
          </w:tcPr>
          <w:p w14:paraId="683F450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24</w:t>
            </w:r>
          </w:p>
        </w:tc>
        <w:tc>
          <w:tcPr>
            <w:tcW w:w="634" w:type="pct"/>
            <w:shd w:val="clear" w:color="auto" w:fill="auto"/>
            <w:noWrap w:val="0"/>
            <w:vAlign w:val="center"/>
          </w:tcPr>
          <w:p w14:paraId="323A6BB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b w:val="0"/>
                <w:bCs/>
                <w:color w:val="auto"/>
                <w:kern w:val="0"/>
                <w:sz w:val="21"/>
                <w:szCs w:val="21"/>
                <w:lang w:val="en-US" w:eastAsia="zh-CN" w:bidi="ar"/>
              </w:rPr>
              <w:t>24</w:t>
            </w:r>
          </w:p>
        </w:tc>
        <w:tc>
          <w:tcPr>
            <w:tcW w:w="635" w:type="pct"/>
            <w:shd w:val="clear" w:color="auto" w:fill="auto"/>
            <w:noWrap w:val="0"/>
            <w:vAlign w:val="center"/>
          </w:tcPr>
          <w:p w14:paraId="783BC45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b w:val="0"/>
                <w:bCs/>
                <w:color w:val="auto"/>
                <w:kern w:val="0"/>
                <w:sz w:val="21"/>
                <w:szCs w:val="21"/>
                <w:lang w:val="en-US" w:eastAsia="zh-CN" w:bidi="ar"/>
              </w:rPr>
              <w:t>24</w:t>
            </w:r>
          </w:p>
        </w:tc>
        <w:tc>
          <w:tcPr>
            <w:tcW w:w="659" w:type="pct"/>
            <w:noWrap w:val="0"/>
            <w:vAlign w:val="top"/>
          </w:tcPr>
          <w:p w14:paraId="4870DC8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C76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302E06E">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7</w:t>
            </w:r>
          </w:p>
        </w:tc>
        <w:tc>
          <w:tcPr>
            <w:tcW w:w="0" w:type="auto"/>
            <w:shd w:val="clear" w:color="auto" w:fill="auto"/>
            <w:vAlign w:val="center"/>
          </w:tcPr>
          <w:p w14:paraId="4B64162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镍*</w:t>
            </w:r>
          </w:p>
        </w:tc>
        <w:tc>
          <w:tcPr>
            <w:tcW w:w="0" w:type="auto"/>
            <w:shd w:val="clear" w:color="auto" w:fill="auto"/>
            <w:vAlign w:val="center"/>
          </w:tcPr>
          <w:p w14:paraId="30406141">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0" w:type="auto"/>
            <w:shd w:val="clear" w:color="auto" w:fill="auto"/>
            <w:vAlign w:val="center"/>
          </w:tcPr>
          <w:p w14:paraId="71A57A4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0" w:type="auto"/>
            <w:shd w:val="clear" w:color="auto" w:fill="auto"/>
            <w:vAlign w:val="center"/>
          </w:tcPr>
          <w:p w14:paraId="2405AA8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28</w:t>
            </w:r>
          </w:p>
        </w:tc>
        <w:tc>
          <w:tcPr>
            <w:tcW w:w="0" w:type="auto"/>
            <w:shd w:val="clear" w:color="auto" w:fill="auto"/>
            <w:vAlign w:val="center"/>
          </w:tcPr>
          <w:p w14:paraId="02A610F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b w:val="0"/>
                <w:bCs/>
                <w:color w:val="auto"/>
                <w:kern w:val="0"/>
                <w:sz w:val="21"/>
                <w:szCs w:val="21"/>
                <w:lang w:val="en-US" w:eastAsia="zh-CN" w:bidi="ar"/>
              </w:rPr>
              <w:t>25</w:t>
            </w:r>
          </w:p>
        </w:tc>
        <w:tc>
          <w:tcPr>
            <w:tcW w:w="0" w:type="auto"/>
            <w:shd w:val="clear" w:color="auto" w:fill="auto"/>
            <w:vAlign w:val="center"/>
          </w:tcPr>
          <w:p w14:paraId="3B48971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b w:val="0"/>
                <w:bCs/>
                <w:color w:val="auto"/>
                <w:kern w:val="0"/>
                <w:sz w:val="21"/>
                <w:szCs w:val="21"/>
                <w:lang w:val="en-US" w:eastAsia="zh-CN" w:bidi="ar"/>
              </w:rPr>
              <w:t>27</w:t>
            </w:r>
          </w:p>
        </w:tc>
        <w:tc>
          <w:tcPr>
            <w:tcW w:w="659" w:type="pct"/>
            <w:vAlign w:val="top"/>
          </w:tcPr>
          <w:p w14:paraId="57DDD71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FCD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D6A21E5">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8</w:t>
            </w:r>
          </w:p>
        </w:tc>
        <w:tc>
          <w:tcPr>
            <w:tcW w:w="0" w:type="auto"/>
            <w:shd w:val="clear" w:color="auto" w:fill="auto"/>
            <w:vAlign w:val="center"/>
          </w:tcPr>
          <w:p w14:paraId="4733480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铅*</w:t>
            </w:r>
          </w:p>
        </w:tc>
        <w:tc>
          <w:tcPr>
            <w:tcW w:w="0" w:type="auto"/>
            <w:shd w:val="clear" w:color="auto" w:fill="auto"/>
            <w:vAlign w:val="center"/>
          </w:tcPr>
          <w:p w14:paraId="1AA85C69">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mg/kg</w:t>
            </w:r>
          </w:p>
        </w:tc>
        <w:tc>
          <w:tcPr>
            <w:tcW w:w="0" w:type="auto"/>
            <w:shd w:val="clear" w:color="auto" w:fill="auto"/>
            <w:vAlign w:val="center"/>
          </w:tcPr>
          <w:p w14:paraId="705705A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800</w:t>
            </w:r>
          </w:p>
        </w:tc>
        <w:tc>
          <w:tcPr>
            <w:tcW w:w="0" w:type="auto"/>
            <w:shd w:val="clear" w:color="auto" w:fill="auto"/>
            <w:vAlign w:val="center"/>
          </w:tcPr>
          <w:p w14:paraId="269FB7A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13.8</w:t>
            </w:r>
          </w:p>
        </w:tc>
        <w:tc>
          <w:tcPr>
            <w:tcW w:w="0" w:type="auto"/>
            <w:shd w:val="clear" w:color="auto" w:fill="auto"/>
            <w:vAlign w:val="center"/>
          </w:tcPr>
          <w:p w14:paraId="77A7DB0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12.7</w:t>
            </w:r>
          </w:p>
        </w:tc>
        <w:tc>
          <w:tcPr>
            <w:tcW w:w="0" w:type="auto"/>
            <w:shd w:val="clear" w:color="auto" w:fill="auto"/>
            <w:vAlign w:val="center"/>
          </w:tcPr>
          <w:p w14:paraId="2FE2DE2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15.3</w:t>
            </w:r>
          </w:p>
        </w:tc>
        <w:tc>
          <w:tcPr>
            <w:tcW w:w="659" w:type="pct"/>
            <w:vAlign w:val="top"/>
          </w:tcPr>
          <w:p w14:paraId="53F5AA5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776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AF65F77">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9</w:t>
            </w:r>
          </w:p>
        </w:tc>
        <w:tc>
          <w:tcPr>
            <w:tcW w:w="0" w:type="auto"/>
            <w:shd w:val="clear" w:color="auto" w:fill="auto"/>
            <w:vAlign w:val="center"/>
          </w:tcPr>
          <w:p w14:paraId="10894AB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镉*</w:t>
            </w:r>
          </w:p>
        </w:tc>
        <w:tc>
          <w:tcPr>
            <w:tcW w:w="0" w:type="auto"/>
            <w:shd w:val="clear" w:color="auto" w:fill="auto"/>
            <w:vAlign w:val="center"/>
          </w:tcPr>
          <w:p w14:paraId="2F874A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50A26C5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65</w:t>
            </w:r>
          </w:p>
        </w:tc>
        <w:tc>
          <w:tcPr>
            <w:tcW w:w="0" w:type="auto"/>
            <w:shd w:val="clear" w:color="auto" w:fill="auto"/>
            <w:vAlign w:val="center"/>
          </w:tcPr>
          <w:p w14:paraId="0F14581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0.07</w:t>
            </w:r>
          </w:p>
        </w:tc>
        <w:tc>
          <w:tcPr>
            <w:tcW w:w="0" w:type="auto"/>
            <w:shd w:val="clear" w:color="auto" w:fill="auto"/>
            <w:vAlign w:val="center"/>
          </w:tcPr>
          <w:p w14:paraId="7C7B27C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0.07</w:t>
            </w:r>
          </w:p>
        </w:tc>
        <w:tc>
          <w:tcPr>
            <w:tcW w:w="0" w:type="auto"/>
            <w:shd w:val="clear" w:color="auto" w:fill="auto"/>
            <w:vAlign w:val="center"/>
          </w:tcPr>
          <w:p w14:paraId="72F2A8A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0.06</w:t>
            </w:r>
          </w:p>
        </w:tc>
        <w:tc>
          <w:tcPr>
            <w:tcW w:w="659" w:type="pct"/>
            <w:vAlign w:val="top"/>
          </w:tcPr>
          <w:p w14:paraId="3EA5A96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C4B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5A2F26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10</w:t>
            </w:r>
          </w:p>
        </w:tc>
        <w:tc>
          <w:tcPr>
            <w:tcW w:w="0" w:type="auto"/>
            <w:shd w:val="clear" w:color="auto" w:fill="auto"/>
            <w:vAlign w:val="center"/>
          </w:tcPr>
          <w:p w14:paraId="44983E1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铬（六价）*</w:t>
            </w:r>
          </w:p>
        </w:tc>
        <w:tc>
          <w:tcPr>
            <w:tcW w:w="0" w:type="auto"/>
            <w:shd w:val="clear" w:color="auto" w:fill="auto"/>
            <w:vAlign w:val="center"/>
          </w:tcPr>
          <w:p w14:paraId="4DD692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1EEBBEA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w:t>
            </w:r>
          </w:p>
        </w:tc>
        <w:tc>
          <w:tcPr>
            <w:tcW w:w="0" w:type="auto"/>
            <w:shd w:val="clear" w:color="auto" w:fill="auto"/>
            <w:vAlign w:val="center"/>
          </w:tcPr>
          <w:p w14:paraId="33B5034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B70259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27A348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CA0D8E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C4A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38DAA1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11</w:t>
            </w:r>
          </w:p>
        </w:tc>
        <w:tc>
          <w:tcPr>
            <w:tcW w:w="0" w:type="auto"/>
            <w:shd w:val="clear" w:color="auto" w:fill="auto"/>
            <w:vAlign w:val="center"/>
          </w:tcPr>
          <w:p w14:paraId="2AEFF3A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苯胺*</w:t>
            </w:r>
          </w:p>
        </w:tc>
        <w:tc>
          <w:tcPr>
            <w:tcW w:w="0" w:type="auto"/>
            <w:shd w:val="clear" w:color="auto" w:fill="auto"/>
            <w:vAlign w:val="center"/>
          </w:tcPr>
          <w:p w14:paraId="7D8821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13B6C38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260</w:t>
            </w:r>
          </w:p>
        </w:tc>
        <w:tc>
          <w:tcPr>
            <w:tcW w:w="0" w:type="auto"/>
            <w:shd w:val="clear" w:color="auto" w:fill="auto"/>
            <w:vAlign w:val="center"/>
          </w:tcPr>
          <w:p w14:paraId="46D7931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97B325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E53F67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C75FAB1">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B43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45D371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12</w:t>
            </w:r>
          </w:p>
        </w:tc>
        <w:tc>
          <w:tcPr>
            <w:tcW w:w="0" w:type="auto"/>
            <w:shd w:val="clear" w:color="auto" w:fill="auto"/>
            <w:vAlign w:val="center"/>
          </w:tcPr>
          <w:p w14:paraId="3D19BE4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2-氯酚*</w:t>
            </w:r>
          </w:p>
        </w:tc>
        <w:tc>
          <w:tcPr>
            <w:tcW w:w="0" w:type="auto"/>
            <w:shd w:val="clear" w:color="auto" w:fill="auto"/>
            <w:vAlign w:val="center"/>
          </w:tcPr>
          <w:p w14:paraId="6CAFE15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5A7648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2256</w:t>
            </w:r>
          </w:p>
        </w:tc>
        <w:tc>
          <w:tcPr>
            <w:tcW w:w="0" w:type="auto"/>
            <w:shd w:val="clear" w:color="auto" w:fill="auto"/>
            <w:vAlign w:val="center"/>
          </w:tcPr>
          <w:p w14:paraId="59428F4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DE9DE7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EA6AE4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F98BDA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601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0B348E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13</w:t>
            </w:r>
          </w:p>
        </w:tc>
        <w:tc>
          <w:tcPr>
            <w:tcW w:w="0" w:type="auto"/>
            <w:shd w:val="clear" w:color="auto" w:fill="auto"/>
            <w:vAlign w:val="center"/>
          </w:tcPr>
          <w:p w14:paraId="474157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硝基苯*</w:t>
            </w:r>
          </w:p>
        </w:tc>
        <w:tc>
          <w:tcPr>
            <w:tcW w:w="0" w:type="auto"/>
            <w:shd w:val="clear" w:color="auto" w:fill="auto"/>
            <w:vAlign w:val="center"/>
          </w:tcPr>
          <w:p w14:paraId="259DF6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024F55D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76</w:t>
            </w:r>
          </w:p>
        </w:tc>
        <w:tc>
          <w:tcPr>
            <w:tcW w:w="0" w:type="auto"/>
            <w:shd w:val="clear" w:color="auto" w:fill="auto"/>
            <w:vAlign w:val="center"/>
          </w:tcPr>
          <w:p w14:paraId="2B68F69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B99FD3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109F95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BFACF0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24D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D35E0A4">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14</w:t>
            </w:r>
          </w:p>
        </w:tc>
        <w:tc>
          <w:tcPr>
            <w:tcW w:w="0" w:type="auto"/>
            <w:shd w:val="clear" w:color="auto" w:fill="auto"/>
            <w:vAlign w:val="center"/>
          </w:tcPr>
          <w:p w14:paraId="0C519B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萘*</w:t>
            </w:r>
          </w:p>
        </w:tc>
        <w:tc>
          <w:tcPr>
            <w:tcW w:w="0" w:type="auto"/>
            <w:shd w:val="clear" w:color="auto" w:fill="auto"/>
            <w:vAlign w:val="center"/>
          </w:tcPr>
          <w:p w14:paraId="450F3A1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D268C7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70</w:t>
            </w:r>
          </w:p>
        </w:tc>
        <w:tc>
          <w:tcPr>
            <w:tcW w:w="0" w:type="auto"/>
            <w:shd w:val="clear" w:color="auto" w:fill="auto"/>
            <w:vAlign w:val="center"/>
          </w:tcPr>
          <w:p w14:paraId="58D1A55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F880FF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412818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0CC02D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88F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DFC8B48">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15</w:t>
            </w:r>
          </w:p>
        </w:tc>
        <w:tc>
          <w:tcPr>
            <w:tcW w:w="0" w:type="auto"/>
            <w:shd w:val="clear" w:color="auto" w:fill="auto"/>
            <w:vAlign w:val="center"/>
          </w:tcPr>
          <w:p w14:paraId="0982D70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苯并(a)蒽*</w:t>
            </w:r>
          </w:p>
        </w:tc>
        <w:tc>
          <w:tcPr>
            <w:tcW w:w="0" w:type="auto"/>
            <w:shd w:val="clear" w:color="auto" w:fill="auto"/>
            <w:vAlign w:val="center"/>
          </w:tcPr>
          <w:p w14:paraId="723573D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482A50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1FB8055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11171F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C65856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BFF43B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419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CEDBB2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16</w:t>
            </w:r>
          </w:p>
        </w:tc>
        <w:tc>
          <w:tcPr>
            <w:tcW w:w="0" w:type="auto"/>
            <w:shd w:val="clear" w:color="auto" w:fill="auto"/>
            <w:vAlign w:val="center"/>
          </w:tcPr>
          <w:p w14:paraId="4D40FC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䓛*</w:t>
            </w:r>
          </w:p>
        </w:tc>
        <w:tc>
          <w:tcPr>
            <w:tcW w:w="0" w:type="auto"/>
            <w:shd w:val="clear" w:color="auto" w:fill="auto"/>
            <w:vAlign w:val="center"/>
          </w:tcPr>
          <w:p w14:paraId="3D4D8978">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32F3571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1293</w:t>
            </w:r>
          </w:p>
        </w:tc>
        <w:tc>
          <w:tcPr>
            <w:tcW w:w="0" w:type="auto"/>
            <w:shd w:val="clear" w:color="auto" w:fill="auto"/>
            <w:vAlign w:val="center"/>
          </w:tcPr>
          <w:p w14:paraId="38C0BF7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349E88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9ADE6A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9DB04D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BDB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0A4F8F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17</w:t>
            </w:r>
          </w:p>
        </w:tc>
        <w:tc>
          <w:tcPr>
            <w:tcW w:w="0" w:type="auto"/>
            <w:shd w:val="clear" w:color="auto" w:fill="auto"/>
            <w:vAlign w:val="center"/>
          </w:tcPr>
          <w:p w14:paraId="682071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苯并(b)荧蒽*</w:t>
            </w:r>
          </w:p>
        </w:tc>
        <w:tc>
          <w:tcPr>
            <w:tcW w:w="0" w:type="auto"/>
            <w:shd w:val="clear" w:color="auto" w:fill="auto"/>
            <w:vAlign w:val="center"/>
          </w:tcPr>
          <w:p w14:paraId="450771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6B45B4E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029E4A4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530C20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5825B3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6B7576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85A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9DF17E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18</w:t>
            </w:r>
          </w:p>
        </w:tc>
        <w:tc>
          <w:tcPr>
            <w:tcW w:w="0" w:type="auto"/>
            <w:shd w:val="clear" w:color="auto" w:fill="auto"/>
            <w:vAlign w:val="center"/>
          </w:tcPr>
          <w:p w14:paraId="5F5FAC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苯并(k)荧蒽*</w:t>
            </w:r>
          </w:p>
        </w:tc>
        <w:tc>
          <w:tcPr>
            <w:tcW w:w="0" w:type="auto"/>
            <w:shd w:val="clear" w:color="auto" w:fill="auto"/>
            <w:vAlign w:val="center"/>
          </w:tcPr>
          <w:p w14:paraId="1191710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515ED95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151</w:t>
            </w:r>
          </w:p>
        </w:tc>
        <w:tc>
          <w:tcPr>
            <w:tcW w:w="0" w:type="auto"/>
            <w:shd w:val="clear" w:color="auto" w:fill="auto"/>
            <w:vAlign w:val="center"/>
          </w:tcPr>
          <w:p w14:paraId="4DAE4B56">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E8E8AF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6E3AE5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089EB0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54B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C127637">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19</w:t>
            </w:r>
          </w:p>
        </w:tc>
        <w:tc>
          <w:tcPr>
            <w:tcW w:w="0" w:type="auto"/>
            <w:shd w:val="clear" w:color="auto" w:fill="auto"/>
            <w:vAlign w:val="center"/>
          </w:tcPr>
          <w:p w14:paraId="136A22A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苯并(a)芘*</w:t>
            </w:r>
          </w:p>
        </w:tc>
        <w:tc>
          <w:tcPr>
            <w:tcW w:w="0" w:type="auto"/>
            <w:shd w:val="clear" w:color="auto" w:fill="auto"/>
            <w:vAlign w:val="center"/>
          </w:tcPr>
          <w:p w14:paraId="7839D3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2BD3875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35119DB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0B0A44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6EDE44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9162B6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39F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30CE0A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20</w:t>
            </w:r>
          </w:p>
        </w:tc>
        <w:tc>
          <w:tcPr>
            <w:tcW w:w="0" w:type="auto"/>
            <w:shd w:val="clear" w:color="auto" w:fill="auto"/>
            <w:vAlign w:val="center"/>
          </w:tcPr>
          <w:p w14:paraId="0CC4A6B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0" w:type="auto"/>
            <w:shd w:val="clear" w:color="auto" w:fill="auto"/>
            <w:vAlign w:val="center"/>
          </w:tcPr>
          <w:p w14:paraId="3B17B6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51B6119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11768BF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59D7C0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F8B5E1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DB8C19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6AB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E598AAB">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21</w:t>
            </w:r>
          </w:p>
        </w:tc>
        <w:tc>
          <w:tcPr>
            <w:tcW w:w="0" w:type="auto"/>
            <w:shd w:val="clear" w:color="auto" w:fill="auto"/>
            <w:vAlign w:val="center"/>
          </w:tcPr>
          <w:p w14:paraId="7D0839B4">
            <w:pPr>
              <w:keepNext w:val="0"/>
              <w:keepLines w:val="0"/>
              <w:widowControl w:val="0"/>
              <w:suppressLineNumbers w:val="0"/>
              <w:adjustRightInd/>
              <w:snapToGrid/>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二苯并(a,h)蒽*</w:t>
            </w:r>
          </w:p>
        </w:tc>
        <w:tc>
          <w:tcPr>
            <w:tcW w:w="0" w:type="auto"/>
            <w:shd w:val="clear" w:color="auto" w:fill="auto"/>
            <w:vAlign w:val="center"/>
          </w:tcPr>
          <w:p w14:paraId="6AF7AD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mg/kg</w:t>
            </w:r>
          </w:p>
        </w:tc>
        <w:tc>
          <w:tcPr>
            <w:tcW w:w="0" w:type="auto"/>
            <w:shd w:val="clear" w:color="auto" w:fill="auto"/>
            <w:vAlign w:val="center"/>
          </w:tcPr>
          <w:p w14:paraId="2052C8A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0" w:type="auto"/>
            <w:shd w:val="clear" w:color="auto" w:fill="auto"/>
            <w:vAlign w:val="center"/>
          </w:tcPr>
          <w:p w14:paraId="4A65693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D30FF9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1C1580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C2D74C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B25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B265BB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22</w:t>
            </w:r>
          </w:p>
        </w:tc>
        <w:tc>
          <w:tcPr>
            <w:tcW w:w="0" w:type="auto"/>
            <w:shd w:val="clear" w:color="auto" w:fill="auto"/>
            <w:vAlign w:val="center"/>
          </w:tcPr>
          <w:p w14:paraId="267BDBE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氯甲烷*</w:t>
            </w:r>
          </w:p>
        </w:tc>
        <w:tc>
          <w:tcPr>
            <w:tcW w:w="0" w:type="auto"/>
            <w:shd w:val="clear" w:color="auto" w:fill="auto"/>
            <w:vAlign w:val="center"/>
          </w:tcPr>
          <w:p w14:paraId="28D89C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451522E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37000</w:t>
            </w:r>
          </w:p>
        </w:tc>
        <w:tc>
          <w:tcPr>
            <w:tcW w:w="0" w:type="auto"/>
            <w:shd w:val="clear" w:color="auto" w:fill="auto"/>
            <w:vAlign w:val="center"/>
          </w:tcPr>
          <w:p w14:paraId="5725C16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5270D1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0E5D90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F00D4C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318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DA0A55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23</w:t>
            </w:r>
          </w:p>
        </w:tc>
        <w:tc>
          <w:tcPr>
            <w:tcW w:w="0" w:type="auto"/>
            <w:shd w:val="clear" w:color="auto" w:fill="auto"/>
            <w:vAlign w:val="center"/>
          </w:tcPr>
          <w:p w14:paraId="53BDDD7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氯乙烯*</w:t>
            </w:r>
          </w:p>
        </w:tc>
        <w:tc>
          <w:tcPr>
            <w:tcW w:w="0" w:type="auto"/>
            <w:shd w:val="clear" w:color="auto" w:fill="auto"/>
            <w:vAlign w:val="center"/>
          </w:tcPr>
          <w:p w14:paraId="2FE376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E3DBB2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430</w:t>
            </w:r>
          </w:p>
        </w:tc>
        <w:tc>
          <w:tcPr>
            <w:tcW w:w="0" w:type="auto"/>
            <w:shd w:val="clear" w:color="auto" w:fill="auto"/>
            <w:vAlign w:val="center"/>
          </w:tcPr>
          <w:p w14:paraId="2F67D51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EC7B49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AA4B09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8A75DF5">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A63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F89DA1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24</w:t>
            </w:r>
          </w:p>
        </w:tc>
        <w:tc>
          <w:tcPr>
            <w:tcW w:w="0" w:type="auto"/>
            <w:shd w:val="clear" w:color="auto" w:fill="auto"/>
            <w:vAlign w:val="center"/>
          </w:tcPr>
          <w:p w14:paraId="24293C6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1,1-二氯乙烯*</w:t>
            </w:r>
          </w:p>
        </w:tc>
        <w:tc>
          <w:tcPr>
            <w:tcW w:w="0" w:type="auto"/>
            <w:shd w:val="clear" w:color="auto" w:fill="auto"/>
            <w:vAlign w:val="center"/>
          </w:tcPr>
          <w:p w14:paraId="529B077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2A662D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66000</w:t>
            </w:r>
          </w:p>
        </w:tc>
        <w:tc>
          <w:tcPr>
            <w:tcW w:w="0" w:type="auto"/>
            <w:shd w:val="clear" w:color="auto" w:fill="auto"/>
            <w:vAlign w:val="center"/>
          </w:tcPr>
          <w:p w14:paraId="54EF2A7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BCCA35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31FC75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3AE267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67C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4759C5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25</w:t>
            </w:r>
          </w:p>
        </w:tc>
        <w:tc>
          <w:tcPr>
            <w:tcW w:w="0" w:type="auto"/>
            <w:shd w:val="clear" w:color="auto" w:fill="auto"/>
            <w:vAlign w:val="center"/>
          </w:tcPr>
          <w:p w14:paraId="0C290BC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二氯甲烷*</w:t>
            </w:r>
          </w:p>
        </w:tc>
        <w:tc>
          <w:tcPr>
            <w:tcW w:w="0" w:type="auto"/>
            <w:shd w:val="clear" w:color="auto" w:fill="auto"/>
            <w:vAlign w:val="center"/>
          </w:tcPr>
          <w:p w14:paraId="09FD26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945DD4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616000</w:t>
            </w:r>
          </w:p>
        </w:tc>
        <w:tc>
          <w:tcPr>
            <w:tcW w:w="0" w:type="auto"/>
            <w:shd w:val="clear" w:color="auto" w:fill="auto"/>
            <w:vAlign w:val="center"/>
          </w:tcPr>
          <w:p w14:paraId="0D8FE3F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DC8294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E904DF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33A2B1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9AE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3D07C27">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26</w:t>
            </w:r>
          </w:p>
        </w:tc>
        <w:tc>
          <w:tcPr>
            <w:tcW w:w="0" w:type="auto"/>
            <w:shd w:val="clear" w:color="auto" w:fill="auto"/>
            <w:vAlign w:val="center"/>
          </w:tcPr>
          <w:p w14:paraId="72326CE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反-1,2-二氯乙烯*</w:t>
            </w:r>
          </w:p>
        </w:tc>
        <w:tc>
          <w:tcPr>
            <w:tcW w:w="0" w:type="auto"/>
            <w:shd w:val="clear" w:color="auto" w:fill="auto"/>
            <w:vAlign w:val="center"/>
          </w:tcPr>
          <w:p w14:paraId="1A95C7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B00354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54000</w:t>
            </w:r>
          </w:p>
        </w:tc>
        <w:tc>
          <w:tcPr>
            <w:tcW w:w="0" w:type="auto"/>
            <w:shd w:val="clear" w:color="auto" w:fill="auto"/>
            <w:vAlign w:val="center"/>
          </w:tcPr>
          <w:p w14:paraId="15BD56E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5A6DC2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566669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80C10C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361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A2C5F4D">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27</w:t>
            </w:r>
          </w:p>
        </w:tc>
        <w:tc>
          <w:tcPr>
            <w:tcW w:w="0" w:type="auto"/>
            <w:shd w:val="clear" w:color="auto" w:fill="auto"/>
            <w:vAlign w:val="center"/>
          </w:tcPr>
          <w:p w14:paraId="7BAF877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0" w:type="auto"/>
            <w:shd w:val="clear" w:color="auto" w:fill="auto"/>
            <w:vAlign w:val="center"/>
          </w:tcPr>
          <w:p w14:paraId="00331A5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31C5144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9000</w:t>
            </w:r>
          </w:p>
        </w:tc>
        <w:tc>
          <w:tcPr>
            <w:tcW w:w="0" w:type="auto"/>
            <w:shd w:val="clear" w:color="auto" w:fill="auto"/>
            <w:vAlign w:val="center"/>
          </w:tcPr>
          <w:p w14:paraId="2584803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3965C6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CA931F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9357AF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5A7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2C27642">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28</w:t>
            </w:r>
          </w:p>
        </w:tc>
        <w:tc>
          <w:tcPr>
            <w:tcW w:w="0" w:type="auto"/>
            <w:shd w:val="clear" w:color="auto" w:fill="auto"/>
            <w:vAlign w:val="center"/>
          </w:tcPr>
          <w:p w14:paraId="7C5095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顺-1,2-二氯乙烯*</w:t>
            </w:r>
          </w:p>
        </w:tc>
        <w:tc>
          <w:tcPr>
            <w:tcW w:w="0" w:type="auto"/>
            <w:shd w:val="clear" w:color="auto" w:fill="auto"/>
            <w:vAlign w:val="center"/>
          </w:tcPr>
          <w:p w14:paraId="6A70A6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9B0DB6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596000</w:t>
            </w:r>
          </w:p>
        </w:tc>
        <w:tc>
          <w:tcPr>
            <w:tcW w:w="0" w:type="auto"/>
            <w:shd w:val="clear" w:color="auto" w:fill="auto"/>
            <w:vAlign w:val="center"/>
          </w:tcPr>
          <w:p w14:paraId="01CEF0F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671286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D2DA65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44E7F8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0B8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0E8D26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29</w:t>
            </w:r>
          </w:p>
        </w:tc>
        <w:tc>
          <w:tcPr>
            <w:tcW w:w="0" w:type="auto"/>
            <w:shd w:val="clear" w:color="auto" w:fill="auto"/>
            <w:vAlign w:val="center"/>
          </w:tcPr>
          <w:p w14:paraId="290EAF0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氯仿*</w:t>
            </w:r>
          </w:p>
        </w:tc>
        <w:tc>
          <w:tcPr>
            <w:tcW w:w="0" w:type="auto"/>
            <w:shd w:val="clear" w:color="auto" w:fill="auto"/>
            <w:vAlign w:val="center"/>
          </w:tcPr>
          <w:p w14:paraId="1EBC36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4B2DD03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0" w:type="auto"/>
            <w:shd w:val="clear" w:color="auto" w:fill="auto"/>
            <w:vAlign w:val="center"/>
          </w:tcPr>
          <w:p w14:paraId="755D8AD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DA147F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28FC6E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884030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7D0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D19814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30</w:t>
            </w:r>
          </w:p>
        </w:tc>
        <w:tc>
          <w:tcPr>
            <w:tcW w:w="0" w:type="auto"/>
            <w:shd w:val="clear" w:color="auto" w:fill="auto"/>
            <w:vAlign w:val="center"/>
          </w:tcPr>
          <w:p w14:paraId="3D0675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1,1,1-三氯乙烷*</w:t>
            </w:r>
          </w:p>
        </w:tc>
        <w:tc>
          <w:tcPr>
            <w:tcW w:w="0" w:type="auto"/>
            <w:shd w:val="clear" w:color="auto" w:fill="auto"/>
            <w:vAlign w:val="center"/>
          </w:tcPr>
          <w:p w14:paraId="542FCAF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1EF312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840000</w:t>
            </w:r>
          </w:p>
        </w:tc>
        <w:tc>
          <w:tcPr>
            <w:tcW w:w="0" w:type="auto"/>
            <w:shd w:val="clear" w:color="auto" w:fill="auto"/>
            <w:vAlign w:val="center"/>
          </w:tcPr>
          <w:p w14:paraId="6201425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9ECF20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30354B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5DFC6A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194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5B443A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31</w:t>
            </w:r>
          </w:p>
        </w:tc>
        <w:tc>
          <w:tcPr>
            <w:tcW w:w="0" w:type="auto"/>
            <w:shd w:val="clear" w:color="auto" w:fill="auto"/>
            <w:vAlign w:val="center"/>
          </w:tcPr>
          <w:p w14:paraId="63D989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四氯化碳*</w:t>
            </w:r>
          </w:p>
        </w:tc>
        <w:tc>
          <w:tcPr>
            <w:tcW w:w="0" w:type="auto"/>
            <w:shd w:val="clear" w:color="auto" w:fill="auto"/>
            <w:vAlign w:val="center"/>
          </w:tcPr>
          <w:p w14:paraId="4CF7B1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2FE95F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2B5BBF5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EA0FAA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0BF4BF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37DEFC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781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526775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32</w:t>
            </w:r>
          </w:p>
        </w:tc>
        <w:tc>
          <w:tcPr>
            <w:tcW w:w="0" w:type="auto"/>
            <w:shd w:val="clear" w:color="auto" w:fill="auto"/>
            <w:vAlign w:val="center"/>
          </w:tcPr>
          <w:p w14:paraId="37D5E6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w:t>
            </w:r>
          </w:p>
        </w:tc>
        <w:tc>
          <w:tcPr>
            <w:tcW w:w="0" w:type="auto"/>
            <w:shd w:val="clear" w:color="auto" w:fill="auto"/>
            <w:vAlign w:val="center"/>
          </w:tcPr>
          <w:p w14:paraId="1FEA8F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37D9DC3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4000</w:t>
            </w:r>
          </w:p>
        </w:tc>
        <w:tc>
          <w:tcPr>
            <w:tcW w:w="0" w:type="auto"/>
            <w:shd w:val="clear" w:color="auto" w:fill="auto"/>
            <w:vAlign w:val="center"/>
          </w:tcPr>
          <w:p w14:paraId="4158CEF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20CF67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ADB3DE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6F610DE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E41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B2DABE3">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33</w:t>
            </w:r>
          </w:p>
        </w:tc>
        <w:tc>
          <w:tcPr>
            <w:tcW w:w="0" w:type="auto"/>
            <w:shd w:val="clear" w:color="auto" w:fill="auto"/>
            <w:vAlign w:val="center"/>
          </w:tcPr>
          <w:p w14:paraId="440FA4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1,2-二氯乙烷*</w:t>
            </w:r>
          </w:p>
        </w:tc>
        <w:tc>
          <w:tcPr>
            <w:tcW w:w="0" w:type="auto"/>
            <w:shd w:val="clear" w:color="auto" w:fill="auto"/>
            <w:vAlign w:val="center"/>
          </w:tcPr>
          <w:p w14:paraId="4BE806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10FCE7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0" w:type="auto"/>
            <w:shd w:val="clear" w:color="auto" w:fill="auto"/>
            <w:vAlign w:val="center"/>
          </w:tcPr>
          <w:p w14:paraId="7AF9162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9D7B51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14F6D0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3FAEB1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339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51FA6F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34</w:t>
            </w:r>
          </w:p>
        </w:tc>
        <w:tc>
          <w:tcPr>
            <w:tcW w:w="0" w:type="auto"/>
            <w:shd w:val="clear" w:color="auto" w:fill="auto"/>
            <w:vAlign w:val="center"/>
          </w:tcPr>
          <w:p w14:paraId="3E682F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三氯乙烯*</w:t>
            </w:r>
          </w:p>
        </w:tc>
        <w:tc>
          <w:tcPr>
            <w:tcW w:w="0" w:type="auto"/>
            <w:shd w:val="clear" w:color="auto" w:fill="auto"/>
            <w:vAlign w:val="center"/>
          </w:tcPr>
          <w:p w14:paraId="51A823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4EEF91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65936B6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10C416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8C27E1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C10F3E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BFF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7425B7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35</w:t>
            </w:r>
          </w:p>
        </w:tc>
        <w:tc>
          <w:tcPr>
            <w:tcW w:w="0" w:type="auto"/>
            <w:shd w:val="clear" w:color="auto" w:fill="auto"/>
            <w:vAlign w:val="center"/>
          </w:tcPr>
          <w:p w14:paraId="527730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1,2-二氯丙烷*</w:t>
            </w:r>
          </w:p>
        </w:tc>
        <w:tc>
          <w:tcPr>
            <w:tcW w:w="0" w:type="auto"/>
            <w:shd w:val="clear" w:color="auto" w:fill="auto"/>
            <w:vAlign w:val="center"/>
          </w:tcPr>
          <w:p w14:paraId="13FE1F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FF0678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5000</w:t>
            </w:r>
          </w:p>
        </w:tc>
        <w:tc>
          <w:tcPr>
            <w:tcW w:w="0" w:type="auto"/>
            <w:shd w:val="clear" w:color="auto" w:fill="auto"/>
            <w:vAlign w:val="center"/>
          </w:tcPr>
          <w:p w14:paraId="0C8C968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1BD6DA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2E55A1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0F07DA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AE3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6BC98A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36</w:t>
            </w:r>
          </w:p>
        </w:tc>
        <w:tc>
          <w:tcPr>
            <w:tcW w:w="0" w:type="auto"/>
            <w:shd w:val="clear" w:color="auto" w:fill="auto"/>
            <w:vAlign w:val="center"/>
          </w:tcPr>
          <w:p w14:paraId="03D7C1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甲苯*</w:t>
            </w:r>
          </w:p>
        </w:tc>
        <w:tc>
          <w:tcPr>
            <w:tcW w:w="0" w:type="auto"/>
            <w:shd w:val="clear" w:color="auto" w:fill="auto"/>
            <w:vAlign w:val="center"/>
          </w:tcPr>
          <w:p w14:paraId="296F8E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58CFBF8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1200000</w:t>
            </w:r>
          </w:p>
        </w:tc>
        <w:tc>
          <w:tcPr>
            <w:tcW w:w="0" w:type="auto"/>
            <w:shd w:val="clear" w:color="auto" w:fill="auto"/>
            <w:vAlign w:val="center"/>
          </w:tcPr>
          <w:p w14:paraId="1E6250C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3DB51C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5274465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881A9D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FD0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84B654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37</w:t>
            </w:r>
          </w:p>
        </w:tc>
        <w:tc>
          <w:tcPr>
            <w:tcW w:w="0" w:type="auto"/>
            <w:shd w:val="clear" w:color="auto" w:fill="auto"/>
            <w:vAlign w:val="center"/>
          </w:tcPr>
          <w:p w14:paraId="6DEA2B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0" w:type="auto"/>
            <w:shd w:val="clear" w:color="auto" w:fill="auto"/>
            <w:vAlign w:val="center"/>
          </w:tcPr>
          <w:p w14:paraId="21AEEC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323DE6D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772DA61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53373A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80FB25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44D8DB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7DE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193B681">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38</w:t>
            </w:r>
          </w:p>
        </w:tc>
        <w:tc>
          <w:tcPr>
            <w:tcW w:w="0" w:type="auto"/>
            <w:shd w:val="clear" w:color="auto" w:fill="auto"/>
            <w:vAlign w:val="center"/>
          </w:tcPr>
          <w:p w14:paraId="319508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四氯乙烯*</w:t>
            </w:r>
          </w:p>
        </w:tc>
        <w:tc>
          <w:tcPr>
            <w:tcW w:w="0" w:type="auto"/>
            <w:shd w:val="clear" w:color="auto" w:fill="auto"/>
            <w:vAlign w:val="center"/>
          </w:tcPr>
          <w:p w14:paraId="5A84B3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0" w:type="auto"/>
            <w:shd w:val="clear" w:color="auto" w:fill="auto"/>
            <w:vAlign w:val="center"/>
          </w:tcPr>
          <w:p w14:paraId="679B399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53000</w:t>
            </w:r>
          </w:p>
        </w:tc>
        <w:tc>
          <w:tcPr>
            <w:tcW w:w="0" w:type="auto"/>
            <w:shd w:val="clear" w:color="auto" w:fill="auto"/>
            <w:vAlign w:val="center"/>
          </w:tcPr>
          <w:p w14:paraId="6AEB230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CCB7BA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B9610E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7D4F87B9">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782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1A87D8B">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39</w:t>
            </w:r>
          </w:p>
        </w:tc>
        <w:tc>
          <w:tcPr>
            <w:tcW w:w="0" w:type="auto"/>
            <w:shd w:val="clear" w:color="auto" w:fill="auto"/>
            <w:vAlign w:val="center"/>
          </w:tcPr>
          <w:p w14:paraId="5B5FA1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氯苯*</w:t>
            </w:r>
          </w:p>
        </w:tc>
        <w:tc>
          <w:tcPr>
            <w:tcW w:w="0" w:type="auto"/>
            <w:shd w:val="clear" w:color="auto" w:fill="auto"/>
            <w:vAlign w:val="center"/>
          </w:tcPr>
          <w:p w14:paraId="617672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04C8F2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270000</w:t>
            </w:r>
          </w:p>
        </w:tc>
        <w:tc>
          <w:tcPr>
            <w:tcW w:w="0" w:type="auto"/>
            <w:shd w:val="clear" w:color="auto" w:fill="auto"/>
            <w:vAlign w:val="center"/>
          </w:tcPr>
          <w:p w14:paraId="47F89FC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B7E2BF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2076DB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763576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C13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DA8061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40</w:t>
            </w:r>
          </w:p>
        </w:tc>
        <w:tc>
          <w:tcPr>
            <w:tcW w:w="0" w:type="auto"/>
            <w:shd w:val="clear" w:color="auto" w:fill="auto"/>
            <w:vAlign w:val="center"/>
          </w:tcPr>
          <w:p w14:paraId="3B4D70F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0" w:type="auto"/>
            <w:shd w:val="clear" w:color="auto" w:fill="auto"/>
            <w:vAlign w:val="center"/>
          </w:tcPr>
          <w:p w14:paraId="07FA38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0F8E74D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10000</w:t>
            </w:r>
          </w:p>
        </w:tc>
        <w:tc>
          <w:tcPr>
            <w:tcW w:w="0" w:type="auto"/>
            <w:shd w:val="clear" w:color="auto" w:fill="auto"/>
            <w:vAlign w:val="center"/>
          </w:tcPr>
          <w:p w14:paraId="6AD3059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BD04F8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834016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B35DA8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D5F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3663AE8">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41</w:t>
            </w:r>
          </w:p>
        </w:tc>
        <w:tc>
          <w:tcPr>
            <w:tcW w:w="0" w:type="auto"/>
            <w:shd w:val="clear" w:color="auto" w:fill="auto"/>
            <w:vAlign w:val="center"/>
          </w:tcPr>
          <w:p w14:paraId="7F75C1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乙苯*</w:t>
            </w:r>
          </w:p>
        </w:tc>
        <w:tc>
          <w:tcPr>
            <w:tcW w:w="0" w:type="auto"/>
            <w:shd w:val="clear" w:color="auto" w:fill="auto"/>
            <w:vAlign w:val="center"/>
          </w:tcPr>
          <w:p w14:paraId="589466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246EE57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28000</w:t>
            </w:r>
          </w:p>
        </w:tc>
        <w:tc>
          <w:tcPr>
            <w:tcW w:w="0" w:type="auto"/>
            <w:shd w:val="clear" w:color="auto" w:fill="auto"/>
            <w:vAlign w:val="center"/>
          </w:tcPr>
          <w:p w14:paraId="146D46B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354311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2CB272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E2CA55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692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D2E65CF">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42</w:t>
            </w:r>
          </w:p>
        </w:tc>
        <w:tc>
          <w:tcPr>
            <w:tcW w:w="0" w:type="auto"/>
            <w:shd w:val="clear" w:color="auto" w:fill="auto"/>
            <w:vAlign w:val="center"/>
          </w:tcPr>
          <w:p w14:paraId="117EDB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间,对-二甲苯*</w:t>
            </w:r>
          </w:p>
        </w:tc>
        <w:tc>
          <w:tcPr>
            <w:tcW w:w="0" w:type="auto"/>
            <w:shd w:val="clear" w:color="auto" w:fill="auto"/>
            <w:vAlign w:val="center"/>
          </w:tcPr>
          <w:p w14:paraId="74BE1F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8EC2DF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570000</w:t>
            </w:r>
          </w:p>
        </w:tc>
        <w:tc>
          <w:tcPr>
            <w:tcW w:w="0" w:type="auto"/>
            <w:shd w:val="clear" w:color="auto" w:fill="auto"/>
            <w:vAlign w:val="center"/>
          </w:tcPr>
          <w:p w14:paraId="3516B49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28338C3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5CB92A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2509D6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D52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582AFE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43</w:t>
            </w:r>
          </w:p>
        </w:tc>
        <w:tc>
          <w:tcPr>
            <w:tcW w:w="0" w:type="auto"/>
            <w:shd w:val="clear" w:color="auto" w:fill="auto"/>
            <w:vAlign w:val="center"/>
          </w:tcPr>
          <w:p w14:paraId="3B47147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邻二甲苯*</w:t>
            </w:r>
          </w:p>
        </w:tc>
        <w:tc>
          <w:tcPr>
            <w:tcW w:w="0" w:type="auto"/>
            <w:shd w:val="clear" w:color="auto" w:fill="auto"/>
            <w:vAlign w:val="center"/>
          </w:tcPr>
          <w:p w14:paraId="6F70F8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71318A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640000</w:t>
            </w:r>
          </w:p>
        </w:tc>
        <w:tc>
          <w:tcPr>
            <w:tcW w:w="0" w:type="auto"/>
            <w:shd w:val="clear" w:color="auto" w:fill="auto"/>
            <w:vAlign w:val="center"/>
          </w:tcPr>
          <w:p w14:paraId="3FF334E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4E24956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EF8B79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BC2F42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473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B9B4FD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44</w:t>
            </w:r>
          </w:p>
        </w:tc>
        <w:tc>
          <w:tcPr>
            <w:tcW w:w="0" w:type="auto"/>
            <w:shd w:val="clear" w:color="auto" w:fill="auto"/>
            <w:vAlign w:val="center"/>
          </w:tcPr>
          <w:p w14:paraId="64BF9B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苯乙烯*</w:t>
            </w:r>
          </w:p>
        </w:tc>
        <w:tc>
          <w:tcPr>
            <w:tcW w:w="0" w:type="auto"/>
            <w:shd w:val="clear" w:color="auto" w:fill="auto"/>
            <w:vAlign w:val="center"/>
          </w:tcPr>
          <w:p w14:paraId="5EAA66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61A08CF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1290000</w:t>
            </w:r>
          </w:p>
        </w:tc>
        <w:tc>
          <w:tcPr>
            <w:tcW w:w="0" w:type="auto"/>
            <w:shd w:val="clear" w:color="auto" w:fill="auto"/>
            <w:vAlign w:val="center"/>
          </w:tcPr>
          <w:p w14:paraId="4D7DFC3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1F67BCB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1BEA45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48F4FD5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B10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B9845BA">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45</w:t>
            </w:r>
          </w:p>
        </w:tc>
        <w:tc>
          <w:tcPr>
            <w:tcW w:w="0" w:type="auto"/>
            <w:shd w:val="clear" w:color="auto" w:fill="auto"/>
            <w:vAlign w:val="center"/>
          </w:tcPr>
          <w:p w14:paraId="52E40E5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1,1,2,2-四氯乙烷*</w:t>
            </w:r>
          </w:p>
        </w:tc>
        <w:tc>
          <w:tcPr>
            <w:tcW w:w="0" w:type="auto"/>
            <w:shd w:val="clear" w:color="auto" w:fill="auto"/>
            <w:vAlign w:val="center"/>
          </w:tcPr>
          <w:p w14:paraId="131413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85E955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6800</w:t>
            </w:r>
          </w:p>
        </w:tc>
        <w:tc>
          <w:tcPr>
            <w:tcW w:w="0" w:type="auto"/>
            <w:shd w:val="clear" w:color="auto" w:fill="auto"/>
            <w:vAlign w:val="center"/>
          </w:tcPr>
          <w:p w14:paraId="100E242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042B5C3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8223F0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1D5F859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C19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E4EF0E9">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46</w:t>
            </w:r>
          </w:p>
        </w:tc>
        <w:tc>
          <w:tcPr>
            <w:tcW w:w="0" w:type="auto"/>
            <w:shd w:val="clear" w:color="auto" w:fill="auto"/>
            <w:vAlign w:val="center"/>
          </w:tcPr>
          <w:p w14:paraId="568FDA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1,2,3-三氯丙烷*</w:t>
            </w:r>
          </w:p>
        </w:tc>
        <w:tc>
          <w:tcPr>
            <w:tcW w:w="0" w:type="auto"/>
            <w:shd w:val="clear" w:color="auto" w:fill="auto"/>
            <w:vAlign w:val="center"/>
          </w:tcPr>
          <w:p w14:paraId="5DAE74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1DDCF4E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2800</w:t>
            </w:r>
          </w:p>
        </w:tc>
        <w:tc>
          <w:tcPr>
            <w:tcW w:w="0" w:type="auto"/>
            <w:shd w:val="clear" w:color="auto" w:fill="auto"/>
            <w:vAlign w:val="center"/>
          </w:tcPr>
          <w:p w14:paraId="3D800BB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4EF11A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AA2A5E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55C4B336">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D1D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3DF387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47</w:t>
            </w:r>
          </w:p>
        </w:tc>
        <w:tc>
          <w:tcPr>
            <w:tcW w:w="0" w:type="auto"/>
            <w:shd w:val="clear" w:color="auto" w:fill="auto"/>
            <w:vAlign w:val="center"/>
          </w:tcPr>
          <w:p w14:paraId="294CED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1,4-二氯苯*</w:t>
            </w:r>
          </w:p>
        </w:tc>
        <w:tc>
          <w:tcPr>
            <w:tcW w:w="0" w:type="auto"/>
            <w:shd w:val="clear" w:color="auto" w:fill="auto"/>
            <w:vAlign w:val="center"/>
          </w:tcPr>
          <w:p w14:paraId="2035F4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center"/>
          </w:tcPr>
          <w:p w14:paraId="7180C56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20000</w:t>
            </w:r>
          </w:p>
        </w:tc>
        <w:tc>
          <w:tcPr>
            <w:tcW w:w="0" w:type="auto"/>
            <w:shd w:val="clear" w:color="auto" w:fill="auto"/>
            <w:vAlign w:val="center"/>
          </w:tcPr>
          <w:p w14:paraId="215929D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7CC9755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A73D27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28C0CAA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ECC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40A697FE">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48</w:t>
            </w:r>
          </w:p>
        </w:tc>
        <w:tc>
          <w:tcPr>
            <w:tcW w:w="0" w:type="auto"/>
            <w:shd w:val="clear" w:color="auto" w:fill="auto"/>
            <w:vAlign w:val="center"/>
          </w:tcPr>
          <w:p w14:paraId="18677FF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1,2-二氯苯*</w:t>
            </w:r>
          </w:p>
        </w:tc>
        <w:tc>
          <w:tcPr>
            <w:tcW w:w="0" w:type="auto"/>
            <w:shd w:val="clear" w:color="auto" w:fill="auto"/>
            <w:vAlign w:val="center"/>
          </w:tcPr>
          <w:p w14:paraId="40EA67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μg/kg</w:t>
            </w:r>
          </w:p>
        </w:tc>
        <w:tc>
          <w:tcPr>
            <w:tcW w:w="0" w:type="auto"/>
            <w:shd w:val="clear" w:color="auto" w:fill="auto"/>
            <w:vAlign w:val="top"/>
          </w:tcPr>
          <w:p w14:paraId="2BA66E0D">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560000</w:t>
            </w:r>
          </w:p>
        </w:tc>
        <w:tc>
          <w:tcPr>
            <w:tcW w:w="0" w:type="auto"/>
            <w:shd w:val="clear" w:color="auto" w:fill="auto"/>
            <w:vAlign w:val="center"/>
          </w:tcPr>
          <w:p w14:paraId="57BA705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6D2B8CA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0" w:type="auto"/>
            <w:shd w:val="clear" w:color="auto" w:fill="auto"/>
            <w:vAlign w:val="center"/>
          </w:tcPr>
          <w:p w14:paraId="36FAD3C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59" w:type="pct"/>
            <w:vAlign w:val="top"/>
          </w:tcPr>
          <w:p w14:paraId="00C54E5B">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2E9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032F4039">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49</w:t>
            </w:r>
          </w:p>
        </w:tc>
        <w:tc>
          <w:tcPr>
            <w:tcW w:w="0" w:type="auto"/>
            <w:shd w:val="clear" w:color="auto" w:fill="auto"/>
            <w:vAlign w:val="center"/>
          </w:tcPr>
          <w:p w14:paraId="774A65D9">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bCs w:val="0"/>
                <w:color w:val="auto"/>
                <w:szCs w:val="21"/>
                <w:lang w:val="en-US" w:eastAsia="zh-CN"/>
              </w:rPr>
              <w:t>水分</w:t>
            </w:r>
          </w:p>
        </w:tc>
        <w:tc>
          <w:tcPr>
            <w:tcW w:w="0" w:type="auto"/>
            <w:shd w:val="clear" w:color="auto" w:fill="auto"/>
            <w:vAlign w:val="center"/>
          </w:tcPr>
          <w:p w14:paraId="40903DD9">
            <w:pPr>
              <w:keepNext w:val="0"/>
              <w:keepLines w:val="0"/>
              <w:suppressLineNumbers w:val="0"/>
              <w:snapToGrid w:val="0"/>
              <w:spacing w:before="0" w:beforeAutospacing="0" w:after="0" w:afterAutospacing="0"/>
              <w:ind w:left="72" w:leftChars="0" w:right="0" w:rightChars="0"/>
              <w:jc w:val="center"/>
              <w:rPr>
                <w:rFonts w:hint="default" w:ascii="宋体" w:hAnsi="宋体" w:eastAsia="宋体" w:cs="宋体"/>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w:t>
            </w:r>
          </w:p>
        </w:tc>
        <w:tc>
          <w:tcPr>
            <w:tcW w:w="0" w:type="auto"/>
          </w:tcPr>
          <w:p w14:paraId="17F99C7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5C37839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8.71</w:t>
            </w:r>
          </w:p>
        </w:tc>
        <w:tc>
          <w:tcPr>
            <w:tcW w:w="0" w:type="auto"/>
            <w:shd w:val="clear" w:color="auto" w:fill="auto"/>
            <w:vAlign w:val="center"/>
          </w:tcPr>
          <w:p w14:paraId="39C7B05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8.66</w:t>
            </w:r>
          </w:p>
        </w:tc>
        <w:tc>
          <w:tcPr>
            <w:tcW w:w="0" w:type="auto"/>
            <w:shd w:val="clear" w:color="auto" w:fill="auto"/>
            <w:vAlign w:val="center"/>
          </w:tcPr>
          <w:p w14:paraId="6AFA193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8.81</w:t>
            </w:r>
          </w:p>
        </w:tc>
        <w:tc>
          <w:tcPr>
            <w:tcW w:w="659" w:type="pct"/>
            <w:vAlign w:val="top"/>
          </w:tcPr>
          <w:p w14:paraId="3AEA74F7">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r w14:paraId="7813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08323B47">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50</w:t>
            </w:r>
          </w:p>
        </w:tc>
        <w:tc>
          <w:tcPr>
            <w:tcW w:w="0" w:type="auto"/>
            <w:shd w:val="clear" w:color="auto" w:fill="auto"/>
            <w:vAlign w:val="center"/>
          </w:tcPr>
          <w:p w14:paraId="4C28949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bCs w:val="0"/>
                <w:color w:val="auto"/>
                <w:szCs w:val="21"/>
                <w:lang w:val="en-US" w:eastAsia="zh-CN"/>
              </w:rPr>
              <w:t>干物质</w:t>
            </w:r>
          </w:p>
        </w:tc>
        <w:tc>
          <w:tcPr>
            <w:tcW w:w="0" w:type="auto"/>
            <w:shd w:val="clear" w:color="auto" w:fill="auto"/>
            <w:vAlign w:val="center"/>
          </w:tcPr>
          <w:p w14:paraId="202348C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w:t>
            </w:r>
          </w:p>
        </w:tc>
        <w:tc>
          <w:tcPr>
            <w:tcW w:w="0" w:type="auto"/>
          </w:tcPr>
          <w:p w14:paraId="1B285A0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05F0E3E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94.0</w:t>
            </w:r>
          </w:p>
        </w:tc>
        <w:tc>
          <w:tcPr>
            <w:tcW w:w="0" w:type="auto"/>
            <w:shd w:val="clear" w:color="auto" w:fill="auto"/>
            <w:vAlign w:val="center"/>
          </w:tcPr>
          <w:p w14:paraId="133DF6D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color w:val="auto"/>
                <w:kern w:val="0"/>
                <w:sz w:val="21"/>
                <w:szCs w:val="21"/>
                <w:lang w:val="en-US" w:eastAsia="zh-CN" w:bidi="ar"/>
              </w:rPr>
              <w:t>92.5</w:t>
            </w:r>
          </w:p>
        </w:tc>
        <w:tc>
          <w:tcPr>
            <w:tcW w:w="0" w:type="auto"/>
            <w:shd w:val="clear" w:color="auto" w:fill="auto"/>
            <w:vAlign w:val="center"/>
          </w:tcPr>
          <w:p w14:paraId="5B77565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lang w:val="en-US" w:eastAsia="zh-CN" w:bidi="ar"/>
              </w:rPr>
            </w:pPr>
            <w:r>
              <w:rPr>
                <w:rFonts w:hint="eastAsia" w:eastAsia="宋体" w:cs="Times New Roman"/>
                <w:color w:val="auto"/>
                <w:kern w:val="0"/>
                <w:sz w:val="21"/>
                <w:szCs w:val="21"/>
                <w:lang w:val="en-US" w:eastAsia="zh-CN" w:bidi="ar"/>
              </w:rPr>
              <w:t>93.2</w:t>
            </w:r>
          </w:p>
        </w:tc>
        <w:tc>
          <w:tcPr>
            <w:tcW w:w="659" w:type="pct"/>
            <w:vAlign w:val="top"/>
          </w:tcPr>
          <w:p w14:paraId="7F143931">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bl>
    <w:p w14:paraId="5551BC25">
      <w:pPr>
        <w:pStyle w:val="32"/>
        <w:bidi w:val="0"/>
        <w:rPr>
          <w:rFonts w:hint="default"/>
          <w:color w:val="auto"/>
          <w:lang w:val="en-US" w:eastAsia="zh-CN"/>
        </w:rPr>
      </w:pPr>
      <w:r>
        <w:rPr>
          <w:rFonts w:hint="eastAsia"/>
          <w:color w:val="auto"/>
          <w:lang w:val="en-US" w:eastAsia="zh-CN"/>
        </w:rPr>
        <w:t>表4.2-14（f）  土壤监测结果一览表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746"/>
        <w:gridCol w:w="1312"/>
        <w:gridCol w:w="1785"/>
        <w:gridCol w:w="1587"/>
        <w:gridCol w:w="1649"/>
        <w:gridCol w:w="1590"/>
        <w:gridCol w:w="1604"/>
        <w:gridCol w:w="1649"/>
      </w:tblGrid>
      <w:tr w14:paraId="6E01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vMerge w:val="restart"/>
            <w:noWrap w:val="0"/>
            <w:vAlign w:val="center"/>
          </w:tcPr>
          <w:p w14:paraId="4AEC53D0">
            <w:pPr>
              <w:jc w:val="center"/>
              <w:rPr>
                <w:rFonts w:hint="eastAsia" w:eastAsia="宋体"/>
                <w:b/>
                <w:bCs/>
                <w:color w:val="auto"/>
                <w:szCs w:val="21"/>
                <w:lang w:val="en-US" w:eastAsia="zh-CN"/>
              </w:rPr>
            </w:pPr>
            <w:r>
              <w:rPr>
                <w:rFonts w:hint="eastAsia"/>
                <w:b/>
                <w:bCs/>
                <w:color w:val="auto"/>
                <w:szCs w:val="21"/>
                <w:lang w:val="en-US" w:eastAsia="zh-CN"/>
              </w:rPr>
              <w:t>序号</w:t>
            </w:r>
          </w:p>
        </w:tc>
        <w:tc>
          <w:tcPr>
            <w:tcW w:w="616" w:type="pct"/>
            <w:vMerge w:val="restart"/>
            <w:noWrap w:val="0"/>
            <w:vAlign w:val="center"/>
          </w:tcPr>
          <w:p w14:paraId="6D4F1F66">
            <w:pPr>
              <w:jc w:val="center"/>
              <w:rPr>
                <w:b/>
                <w:bCs/>
                <w:color w:val="auto"/>
                <w:szCs w:val="21"/>
              </w:rPr>
            </w:pPr>
            <w:r>
              <w:rPr>
                <w:b/>
                <w:bCs/>
                <w:color w:val="auto"/>
                <w:szCs w:val="21"/>
              </w:rPr>
              <w:t>检测项目</w:t>
            </w:r>
          </w:p>
        </w:tc>
        <w:tc>
          <w:tcPr>
            <w:tcW w:w="463" w:type="pct"/>
            <w:vMerge w:val="restart"/>
            <w:noWrap w:val="0"/>
            <w:vAlign w:val="center"/>
          </w:tcPr>
          <w:p w14:paraId="265F6D17">
            <w:pPr>
              <w:jc w:val="center"/>
              <w:rPr>
                <w:b/>
                <w:bCs/>
                <w:color w:val="auto"/>
                <w:szCs w:val="21"/>
              </w:rPr>
            </w:pPr>
            <w:r>
              <w:rPr>
                <w:b/>
                <w:bCs/>
                <w:color w:val="auto"/>
                <w:szCs w:val="21"/>
              </w:rPr>
              <w:t>单位</w:t>
            </w:r>
          </w:p>
        </w:tc>
        <w:tc>
          <w:tcPr>
            <w:tcW w:w="630" w:type="pct"/>
            <w:vMerge w:val="restart"/>
            <w:noWrap w:val="0"/>
            <w:vAlign w:val="center"/>
          </w:tcPr>
          <w:p w14:paraId="706F327B">
            <w:pPr>
              <w:jc w:val="center"/>
              <w:rPr>
                <w:rFonts w:hint="eastAsia" w:ascii="Times New Roman" w:hAnsi="Times New Roman" w:eastAsia="宋体" w:cs="Times New Roman"/>
                <w:b/>
                <w:bCs/>
                <w:color w:val="auto"/>
                <w:kern w:val="2"/>
                <w:sz w:val="21"/>
                <w:szCs w:val="21"/>
                <w:lang w:val="en-US" w:eastAsia="zh-CN" w:bidi="ar-SA"/>
              </w:rPr>
            </w:pPr>
            <w:r>
              <w:rPr>
                <w:b/>
                <w:bCs/>
                <w:color w:val="auto"/>
                <w:szCs w:val="21"/>
              </w:rPr>
              <w:t>标准限值</w:t>
            </w:r>
            <w:r>
              <w:rPr>
                <w:rFonts w:hint="eastAsia"/>
                <w:b/>
                <w:bCs/>
                <w:color w:val="auto"/>
                <w:szCs w:val="21"/>
                <w:lang w:eastAsia="zh-CN"/>
              </w:rPr>
              <w:t>（</w:t>
            </w:r>
            <w:r>
              <w:rPr>
                <w:rFonts w:hint="eastAsia"/>
                <w:b/>
                <w:bCs/>
                <w:color w:val="auto"/>
                <w:szCs w:val="21"/>
                <w:lang w:val="en-US" w:eastAsia="zh-CN"/>
              </w:rPr>
              <w:t>第二类用地筛选值</w:t>
            </w:r>
            <w:r>
              <w:rPr>
                <w:rFonts w:hint="eastAsia"/>
                <w:b/>
                <w:bCs/>
                <w:color w:val="auto"/>
                <w:szCs w:val="21"/>
                <w:lang w:eastAsia="zh-CN"/>
              </w:rPr>
              <w:t>）</w:t>
            </w:r>
          </w:p>
        </w:tc>
        <w:tc>
          <w:tcPr>
            <w:tcW w:w="2269" w:type="pct"/>
            <w:gridSpan w:val="4"/>
            <w:noWrap w:val="0"/>
            <w:vAlign w:val="center"/>
          </w:tcPr>
          <w:p w14:paraId="55BF6A7D">
            <w:pPr>
              <w:jc w:val="center"/>
              <w:rPr>
                <w:rFonts w:hint="eastAsia"/>
                <w:b/>
                <w:bCs/>
                <w:color w:val="auto"/>
                <w:szCs w:val="21"/>
                <w:lang w:val="en-US" w:eastAsia="zh-CN"/>
              </w:rPr>
            </w:pPr>
            <w:r>
              <w:rPr>
                <w:rFonts w:hint="eastAsia"/>
                <w:b/>
                <w:bCs/>
                <w:color w:val="auto"/>
                <w:szCs w:val="21"/>
                <w:lang w:val="en-US" w:eastAsia="zh-CN"/>
              </w:rPr>
              <w:t>表层样监测结果（占地范围内）</w:t>
            </w:r>
          </w:p>
        </w:tc>
        <w:tc>
          <w:tcPr>
            <w:tcW w:w="582" w:type="pct"/>
            <w:vMerge w:val="restart"/>
            <w:noWrap w:val="0"/>
            <w:vAlign w:val="center"/>
          </w:tcPr>
          <w:p w14:paraId="3F92E5C6">
            <w:pPr>
              <w:jc w:val="center"/>
              <w:rPr>
                <w:rFonts w:hint="eastAsia" w:eastAsia="宋体"/>
                <w:color w:val="auto"/>
                <w:szCs w:val="21"/>
                <w:lang w:val="en-US" w:eastAsia="zh-CN"/>
              </w:rPr>
            </w:pPr>
            <w:r>
              <w:rPr>
                <w:rFonts w:hint="eastAsia"/>
                <w:b/>
                <w:bCs/>
                <w:color w:val="auto"/>
                <w:szCs w:val="21"/>
                <w:lang w:val="en-US" w:eastAsia="zh-CN"/>
              </w:rPr>
              <w:t>达标情况</w:t>
            </w:r>
          </w:p>
        </w:tc>
      </w:tr>
      <w:tr w14:paraId="2C71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vMerge w:val="continue"/>
            <w:noWrap w:val="0"/>
            <w:vAlign w:val="center"/>
          </w:tcPr>
          <w:p w14:paraId="3F5F2581">
            <w:pPr>
              <w:jc w:val="center"/>
              <w:rPr>
                <w:b/>
                <w:bCs/>
                <w:color w:val="auto"/>
                <w:szCs w:val="21"/>
              </w:rPr>
            </w:pPr>
          </w:p>
        </w:tc>
        <w:tc>
          <w:tcPr>
            <w:tcW w:w="616" w:type="pct"/>
            <w:vMerge w:val="continue"/>
            <w:noWrap w:val="0"/>
            <w:vAlign w:val="center"/>
          </w:tcPr>
          <w:p w14:paraId="226CACC3">
            <w:pPr>
              <w:jc w:val="center"/>
              <w:rPr>
                <w:b/>
                <w:bCs/>
                <w:color w:val="auto"/>
                <w:szCs w:val="21"/>
              </w:rPr>
            </w:pPr>
          </w:p>
        </w:tc>
        <w:tc>
          <w:tcPr>
            <w:tcW w:w="463" w:type="pct"/>
            <w:vMerge w:val="continue"/>
            <w:noWrap w:val="0"/>
            <w:vAlign w:val="center"/>
          </w:tcPr>
          <w:p w14:paraId="4C6CD2F7">
            <w:pPr>
              <w:jc w:val="center"/>
              <w:rPr>
                <w:b/>
                <w:bCs/>
                <w:color w:val="auto"/>
                <w:szCs w:val="21"/>
              </w:rPr>
            </w:pPr>
          </w:p>
        </w:tc>
        <w:tc>
          <w:tcPr>
            <w:tcW w:w="630" w:type="pct"/>
            <w:vMerge w:val="continue"/>
            <w:noWrap w:val="0"/>
            <w:vAlign w:val="center"/>
          </w:tcPr>
          <w:p w14:paraId="7515E682">
            <w:pPr>
              <w:jc w:val="center"/>
              <w:rPr>
                <w:rFonts w:ascii="Times New Roman" w:hAnsi="Times New Roman" w:eastAsia="宋体" w:cs="Times New Roman"/>
                <w:b/>
                <w:bCs/>
                <w:color w:val="auto"/>
                <w:kern w:val="2"/>
                <w:sz w:val="21"/>
                <w:szCs w:val="21"/>
                <w:lang w:val="en-US" w:eastAsia="zh-CN" w:bidi="ar-SA"/>
              </w:rPr>
            </w:pPr>
          </w:p>
        </w:tc>
        <w:tc>
          <w:tcPr>
            <w:tcW w:w="560" w:type="pct"/>
            <w:noWrap w:val="0"/>
            <w:vAlign w:val="center"/>
          </w:tcPr>
          <w:p w14:paraId="278A42A0">
            <w:pPr>
              <w:jc w:val="center"/>
              <w:rPr>
                <w:b/>
                <w:bCs/>
                <w:color w:val="auto"/>
                <w:szCs w:val="21"/>
              </w:rPr>
            </w:pPr>
            <w:r>
              <w:rPr>
                <w:rFonts w:hint="eastAsia"/>
                <w:b/>
                <w:bCs/>
                <w:color w:val="auto"/>
                <w:szCs w:val="21"/>
                <w:lang w:val="en-US" w:eastAsia="zh-CN"/>
              </w:rPr>
              <w:t>T6</w:t>
            </w:r>
            <w:r>
              <w:rPr>
                <w:b/>
                <w:bCs/>
                <w:color w:val="auto"/>
                <w:szCs w:val="21"/>
              </w:rPr>
              <w:t>监测结果</w:t>
            </w:r>
          </w:p>
        </w:tc>
        <w:tc>
          <w:tcPr>
            <w:tcW w:w="582" w:type="pct"/>
            <w:shd w:val="clear" w:color="auto" w:fill="auto"/>
            <w:noWrap w:val="0"/>
            <w:vAlign w:val="center"/>
          </w:tcPr>
          <w:p w14:paraId="665FE693">
            <w:pPr>
              <w:jc w:val="center"/>
              <w:rPr>
                <w:rFonts w:hint="eastAsia" w:ascii="Times New Roman" w:hAnsi="Times New Roman" w:eastAsia="宋体" w:cs="Times New Roman"/>
                <w:b/>
                <w:bCs/>
                <w:color w:val="auto"/>
                <w:sz w:val="21"/>
                <w:szCs w:val="21"/>
                <w:lang w:val="en-US" w:eastAsia="zh-CN" w:bidi="ar-SA"/>
              </w:rPr>
            </w:pPr>
            <w:r>
              <w:rPr>
                <w:rFonts w:hint="eastAsia"/>
                <w:b/>
                <w:bCs/>
                <w:color w:val="auto"/>
                <w:szCs w:val="21"/>
                <w:lang w:val="en-US" w:eastAsia="zh-CN"/>
              </w:rPr>
              <w:t>T7</w:t>
            </w:r>
            <w:r>
              <w:rPr>
                <w:b/>
                <w:bCs/>
                <w:color w:val="auto"/>
                <w:szCs w:val="21"/>
              </w:rPr>
              <w:t>监测结果</w:t>
            </w:r>
          </w:p>
        </w:tc>
        <w:tc>
          <w:tcPr>
            <w:tcW w:w="561" w:type="pct"/>
            <w:shd w:val="clear" w:color="auto" w:fill="auto"/>
            <w:noWrap w:val="0"/>
            <w:vAlign w:val="center"/>
          </w:tcPr>
          <w:p w14:paraId="0B73542B">
            <w:pPr>
              <w:jc w:val="center"/>
              <w:rPr>
                <w:rFonts w:hint="eastAsia" w:ascii="Times New Roman" w:hAnsi="Times New Roman" w:eastAsia="宋体" w:cs="Times New Roman"/>
                <w:b/>
                <w:bCs/>
                <w:color w:val="auto"/>
                <w:sz w:val="21"/>
                <w:szCs w:val="21"/>
                <w:lang w:val="en-US" w:eastAsia="zh-CN" w:bidi="ar-SA"/>
              </w:rPr>
            </w:pPr>
            <w:r>
              <w:rPr>
                <w:rFonts w:hint="eastAsia"/>
                <w:b/>
                <w:bCs/>
                <w:color w:val="auto"/>
                <w:szCs w:val="21"/>
                <w:lang w:val="en-US" w:eastAsia="zh-CN"/>
              </w:rPr>
              <w:t>T8</w:t>
            </w:r>
            <w:r>
              <w:rPr>
                <w:b/>
                <w:bCs/>
                <w:color w:val="auto"/>
                <w:szCs w:val="21"/>
              </w:rPr>
              <w:t>监测结果</w:t>
            </w:r>
          </w:p>
        </w:tc>
        <w:tc>
          <w:tcPr>
            <w:tcW w:w="566" w:type="pct"/>
            <w:noWrap w:val="0"/>
            <w:vAlign w:val="center"/>
          </w:tcPr>
          <w:p w14:paraId="792D562F">
            <w:pPr>
              <w:jc w:val="center"/>
              <w:rPr>
                <w:rFonts w:hint="eastAsia"/>
                <w:b/>
                <w:bCs/>
                <w:color w:val="auto"/>
                <w:szCs w:val="21"/>
              </w:rPr>
            </w:pPr>
            <w:r>
              <w:rPr>
                <w:rFonts w:hint="eastAsia"/>
                <w:b/>
                <w:bCs/>
                <w:color w:val="auto"/>
                <w:szCs w:val="21"/>
                <w:lang w:val="en-US" w:eastAsia="zh-CN"/>
              </w:rPr>
              <w:t>T9</w:t>
            </w:r>
            <w:r>
              <w:rPr>
                <w:b/>
                <w:bCs/>
                <w:color w:val="auto"/>
                <w:szCs w:val="21"/>
              </w:rPr>
              <w:t>监测结果</w:t>
            </w:r>
          </w:p>
        </w:tc>
        <w:tc>
          <w:tcPr>
            <w:tcW w:w="582" w:type="pct"/>
            <w:vMerge w:val="continue"/>
            <w:noWrap w:val="0"/>
            <w:vAlign w:val="center"/>
          </w:tcPr>
          <w:p w14:paraId="27A8FC6F">
            <w:pPr>
              <w:jc w:val="center"/>
              <w:rPr>
                <w:rFonts w:hint="eastAsia" w:eastAsia="宋体"/>
                <w:color w:val="auto"/>
                <w:szCs w:val="21"/>
                <w:lang w:val="en-US" w:eastAsia="zh-CN"/>
              </w:rPr>
            </w:pPr>
          </w:p>
        </w:tc>
      </w:tr>
      <w:tr w14:paraId="473A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0C3DA728">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w:t>
            </w:r>
          </w:p>
        </w:tc>
        <w:tc>
          <w:tcPr>
            <w:tcW w:w="616" w:type="pct"/>
            <w:shd w:val="clear" w:color="auto" w:fill="auto"/>
            <w:noWrap w:val="0"/>
            <w:vAlign w:val="center"/>
          </w:tcPr>
          <w:p w14:paraId="6D95AD57">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463" w:type="pct"/>
            <w:shd w:val="clear" w:color="auto" w:fill="auto"/>
            <w:noWrap w:val="0"/>
            <w:vAlign w:val="center"/>
          </w:tcPr>
          <w:p w14:paraId="077FE8F7">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无量纲</w:t>
            </w:r>
          </w:p>
        </w:tc>
        <w:tc>
          <w:tcPr>
            <w:tcW w:w="630" w:type="pct"/>
            <w:noWrap w:val="0"/>
            <w:vAlign w:val="center"/>
          </w:tcPr>
          <w:p w14:paraId="1762B1C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560" w:type="pct"/>
            <w:shd w:val="clear" w:color="auto" w:fill="auto"/>
            <w:noWrap w:val="0"/>
            <w:vAlign w:val="center"/>
          </w:tcPr>
          <w:p w14:paraId="6EA4E2DF">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8.64</w:t>
            </w:r>
          </w:p>
        </w:tc>
        <w:tc>
          <w:tcPr>
            <w:tcW w:w="582" w:type="pct"/>
            <w:shd w:val="clear" w:color="auto" w:fill="auto"/>
            <w:noWrap w:val="0"/>
            <w:vAlign w:val="center"/>
          </w:tcPr>
          <w:p w14:paraId="35B6164B">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8.60</w:t>
            </w:r>
          </w:p>
        </w:tc>
        <w:tc>
          <w:tcPr>
            <w:tcW w:w="561" w:type="pct"/>
            <w:shd w:val="clear" w:color="auto" w:fill="auto"/>
            <w:noWrap w:val="0"/>
            <w:vAlign w:val="center"/>
          </w:tcPr>
          <w:p w14:paraId="0D3EE10D">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8.48</w:t>
            </w:r>
          </w:p>
        </w:tc>
        <w:tc>
          <w:tcPr>
            <w:tcW w:w="566" w:type="pct"/>
            <w:noWrap w:val="0"/>
            <w:vAlign w:val="center"/>
          </w:tcPr>
          <w:p w14:paraId="10BCB119">
            <w:pPr>
              <w:jc w:val="center"/>
              <w:rPr>
                <w:rFonts w:hint="default"/>
                <w:b w:val="0"/>
                <w:bCs w:val="0"/>
                <w:color w:val="auto"/>
                <w:szCs w:val="21"/>
                <w:lang w:val="en-US" w:eastAsia="zh-CN"/>
              </w:rPr>
            </w:pPr>
            <w:r>
              <w:rPr>
                <w:rFonts w:hint="eastAsia"/>
                <w:b w:val="0"/>
                <w:bCs w:val="0"/>
                <w:color w:val="auto"/>
                <w:szCs w:val="21"/>
                <w:lang w:val="en-US" w:eastAsia="zh-CN"/>
              </w:rPr>
              <w:t>8.42</w:t>
            </w:r>
          </w:p>
        </w:tc>
        <w:tc>
          <w:tcPr>
            <w:tcW w:w="582" w:type="pct"/>
            <w:noWrap w:val="0"/>
            <w:vAlign w:val="center"/>
          </w:tcPr>
          <w:p w14:paraId="0BC354DA">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291B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39426693">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w:t>
            </w:r>
          </w:p>
        </w:tc>
        <w:tc>
          <w:tcPr>
            <w:tcW w:w="616" w:type="pct"/>
            <w:shd w:val="clear" w:color="auto" w:fill="auto"/>
            <w:noWrap w:val="0"/>
            <w:vAlign w:val="center"/>
          </w:tcPr>
          <w:p w14:paraId="6E4239E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水溶性盐总量</w:t>
            </w:r>
          </w:p>
        </w:tc>
        <w:tc>
          <w:tcPr>
            <w:tcW w:w="463" w:type="pct"/>
            <w:shd w:val="clear" w:color="auto" w:fill="auto"/>
            <w:noWrap w:val="0"/>
            <w:vAlign w:val="center"/>
          </w:tcPr>
          <w:p w14:paraId="3AEA1D9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g/kg</w:t>
            </w:r>
          </w:p>
        </w:tc>
        <w:tc>
          <w:tcPr>
            <w:tcW w:w="630" w:type="pct"/>
            <w:noWrap w:val="0"/>
            <w:vAlign w:val="center"/>
          </w:tcPr>
          <w:p w14:paraId="44B02E8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560" w:type="pct"/>
            <w:shd w:val="clear" w:color="auto" w:fill="auto"/>
            <w:noWrap w:val="0"/>
            <w:vAlign w:val="center"/>
          </w:tcPr>
          <w:p w14:paraId="4E18074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2.9</w:t>
            </w:r>
          </w:p>
        </w:tc>
        <w:tc>
          <w:tcPr>
            <w:tcW w:w="582" w:type="pct"/>
            <w:shd w:val="clear" w:color="auto" w:fill="auto"/>
            <w:noWrap w:val="0"/>
            <w:vAlign w:val="center"/>
          </w:tcPr>
          <w:p w14:paraId="101BC7C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3.1</w:t>
            </w:r>
          </w:p>
        </w:tc>
        <w:tc>
          <w:tcPr>
            <w:tcW w:w="561" w:type="pct"/>
            <w:shd w:val="clear" w:color="auto" w:fill="auto"/>
            <w:noWrap w:val="0"/>
            <w:vAlign w:val="center"/>
          </w:tcPr>
          <w:p w14:paraId="02C3B4C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3.1</w:t>
            </w:r>
          </w:p>
        </w:tc>
        <w:tc>
          <w:tcPr>
            <w:tcW w:w="566" w:type="pct"/>
            <w:noWrap w:val="0"/>
            <w:vAlign w:val="center"/>
          </w:tcPr>
          <w:p w14:paraId="5BA10D15">
            <w:pPr>
              <w:jc w:val="center"/>
              <w:rPr>
                <w:rFonts w:hint="default"/>
                <w:b w:val="0"/>
                <w:bCs w:val="0"/>
                <w:color w:val="auto"/>
                <w:szCs w:val="21"/>
                <w:lang w:val="en-US" w:eastAsia="zh-CN"/>
              </w:rPr>
            </w:pPr>
            <w:r>
              <w:rPr>
                <w:rFonts w:hint="eastAsia"/>
                <w:b w:val="0"/>
                <w:bCs w:val="0"/>
                <w:color w:val="auto"/>
                <w:szCs w:val="21"/>
                <w:lang w:val="en-US" w:eastAsia="zh-CN"/>
              </w:rPr>
              <w:t>2.7</w:t>
            </w:r>
          </w:p>
        </w:tc>
        <w:tc>
          <w:tcPr>
            <w:tcW w:w="582" w:type="pct"/>
            <w:noWrap w:val="0"/>
            <w:vAlign w:val="center"/>
          </w:tcPr>
          <w:p w14:paraId="480971C2">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6BA9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09DE41B8">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w:t>
            </w:r>
          </w:p>
        </w:tc>
        <w:tc>
          <w:tcPr>
            <w:tcW w:w="616" w:type="pct"/>
            <w:shd w:val="clear" w:color="auto" w:fill="auto"/>
            <w:noWrap w:val="0"/>
            <w:vAlign w:val="center"/>
          </w:tcPr>
          <w:p w14:paraId="36CE971F">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石油烃</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10</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40</w:t>
            </w:r>
            <w:r>
              <w:rPr>
                <w:rFonts w:hint="default" w:ascii="Times New Roman" w:hAnsi="Times New Roman" w:eastAsia="宋体" w:cs="Times New Roman"/>
                <w:color w:val="auto"/>
                <w:kern w:val="0"/>
                <w:sz w:val="21"/>
                <w:szCs w:val="21"/>
                <w:lang w:val="en-US" w:eastAsia="zh-CN" w:bidi="ar"/>
              </w:rPr>
              <w:t>)</w:t>
            </w:r>
          </w:p>
        </w:tc>
        <w:tc>
          <w:tcPr>
            <w:tcW w:w="463" w:type="pct"/>
            <w:shd w:val="clear" w:color="auto" w:fill="auto"/>
            <w:noWrap w:val="0"/>
            <w:vAlign w:val="center"/>
          </w:tcPr>
          <w:p w14:paraId="07C450A8">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noWrap w:val="0"/>
            <w:vAlign w:val="center"/>
          </w:tcPr>
          <w:p w14:paraId="28F584B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4500</w:t>
            </w:r>
          </w:p>
        </w:tc>
        <w:tc>
          <w:tcPr>
            <w:tcW w:w="560" w:type="pct"/>
            <w:shd w:val="clear" w:color="auto" w:fill="auto"/>
            <w:noWrap w:val="0"/>
            <w:vAlign w:val="center"/>
          </w:tcPr>
          <w:p w14:paraId="055F8D4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29.4</w:t>
            </w:r>
          </w:p>
        </w:tc>
        <w:tc>
          <w:tcPr>
            <w:tcW w:w="582" w:type="pct"/>
            <w:shd w:val="clear" w:color="auto" w:fill="auto"/>
            <w:noWrap w:val="0"/>
            <w:vAlign w:val="center"/>
          </w:tcPr>
          <w:p w14:paraId="3F7B36D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27.3</w:t>
            </w:r>
          </w:p>
        </w:tc>
        <w:tc>
          <w:tcPr>
            <w:tcW w:w="561" w:type="pct"/>
            <w:shd w:val="clear" w:color="auto" w:fill="auto"/>
            <w:noWrap w:val="0"/>
            <w:vAlign w:val="center"/>
          </w:tcPr>
          <w:p w14:paraId="19C798E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30.5</w:t>
            </w:r>
          </w:p>
        </w:tc>
        <w:tc>
          <w:tcPr>
            <w:tcW w:w="566" w:type="pct"/>
            <w:noWrap w:val="0"/>
            <w:vAlign w:val="center"/>
          </w:tcPr>
          <w:p w14:paraId="42F0AB6A">
            <w:pPr>
              <w:jc w:val="center"/>
              <w:rPr>
                <w:rFonts w:hint="default"/>
                <w:b w:val="0"/>
                <w:bCs w:val="0"/>
                <w:color w:val="auto"/>
                <w:szCs w:val="21"/>
                <w:lang w:val="en-US" w:eastAsia="zh-CN"/>
              </w:rPr>
            </w:pPr>
            <w:r>
              <w:rPr>
                <w:rFonts w:hint="eastAsia"/>
                <w:b w:val="0"/>
                <w:bCs w:val="0"/>
                <w:color w:val="auto"/>
                <w:szCs w:val="21"/>
                <w:lang w:val="en-US" w:eastAsia="zh-CN"/>
              </w:rPr>
              <w:t>33.3</w:t>
            </w:r>
          </w:p>
        </w:tc>
        <w:tc>
          <w:tcPr>
            <w:tcW w:w="582" w:type="pct"/>
            <w:noWrap w:val="0"/>
            <w:vAlign w:val="center"/>
          </w:tcPr>
          <w:p w14:paraId="7A54897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7C6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77737D19">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w:t>
            </w:r>
          </w:p>
        </w:tc>
        <w:tc>
          <w:tcPr>
            <w:tcW w:w="616" w:type="pct"/>
            <w:shd w:val="clear" w:color="auto" w:fill="auto"/>
            <w:noWrap w:val="0"/>
            <w:vAlign w:val="center"/>
          </w:tcPr>
          <w:p w14:paraId="790C9E4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镉</w:t>
            </w:r>
          </w:p>
        </w:tc>
        <w:tc>
          <w:tcPr>
            <w:tcW w:w="463" w:type="pct"/>
            <w:shd w:val="clear" w:color="auto" w:fill="auto"/>
            <w:noWrap w:val="0"/>
            <w:vAlign w:val="center"/>
          </w:tcPr>
          <w:p w14:paraId="6A7A1E24">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mg/kg</w:t>
            </w:r>
          </w:p>
        </w:tc>
        <w:tc>
          <w:tcPr>
            <w:tcW w:w="630" w:type="pct"/>
            <w:noWrap w:val="0"/>
            <w:vAlign w:val="center"/>
          </w:tcPr>
          <w:p w14:paraId="2375F86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65</w:t>
            </w:r>
          </w:p>
        </w:tc>
        <w:tc>
          <w:tcPr>
            <w:tcW w:w="560" w:type="pct"/>
            <w:shd w:val="clear" w:color="auto" w:fill="auto"/>
            <w:noWrap w:val="0"/>
            <w:vAlign w:val="center"/>
          </w:tcPr>
          <w:p w14:paraId="0C8FE38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0.24</w:t>
            </w:r>
          </w:p>
        </w:tc>
        <w:tc>
          <w:tcPr>
            <w:tcW w:w="582" w:type="pct"/>
            <w:shd w:val="clear" w:color="auto" w:fill="auto"/>
            <w:noWrap w:val="0"/>
            <w:vAlign w:val="center"/>
          </w:tcPr>
          <w:p w14:paraId="4122FDF6">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0.20</w:t>
            </w:r>
          </w:p>
        </w:tc>
        <w:tc>
          <w:tcPr>
            <w:tcW w:w="561" w:type="pct"/>
            <w:shd w:val="clear" w:color="auto" w:fill="auto"/>
            <w:noWrap w:val="0"/>
            <w:vAlign w:val="center"/>
          </w:tcPr>
          <w:p w14:paraId="047C4C1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0.18</w:t>
            </w:r>
          </w:p>
        </w:tc>
        <w:tc>
          <w:tcPr>
            <w:tcW w:w="566" w:type="pct"/>
            <w:shd w:val="clear" w:color="auto" w:fill="auto"/>
            <w:noWrap w:val="0"/>
            <w:vAlign w:val="center"/>
          </w:tcPr>
          <w:p w14:paraId="055DA84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0.19</w:t>
            </w:r>
          </w:p>
        </w:tc>
        <w:tc>
          <w:tcPr>
            <w:tcW w:w="582" w:type="pct"/>
            <w:noWrap w:val="0"/>
            <w:vAlign w:val="center"/>
          </w:tcPr>
          <w:p w14:paraId="226DA0F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987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79A60C1A">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5</w:t>
            </w:r>
          </w:p>
        </w:tc>
        <w:tc>
          <w:tcPr>
            <w:tcW w:w="616" w:type="pct"/>
            <w:shd w:val="clear" w:color="auto" w:fill="auto"/>
            <w:noWrap w:val="0"/>
            <w:vAlign w:val="center"/>
          </w:tcPr>
          <w:p w14:paraId="6E33BE59">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汞</w:t>
            </w:r>
          </w:p>
        </w:tc>
        <w:tc>
          <w:tcPr>
            <w:tcW w:w="463" w:type="pct"/>
            <w:shd w:val="clear" w:color="auto" w:fill="auto"/>
            <w:noWrap w:val="0"/>
            <w:vAlign w:val="center"/>
          </w:tcPr>
          <w:p w14:paraId="08C63BF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noWrap w:val="0"/>
            <w:vAlign w:val="center"/>
          </w:tcPr>
          <w:p w14:paraId="2902361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38</w:t>
            </w:r>
          </w:p>
        </w:tc>
        <w:tc>
          <w:tcPr>
            <w:tcW w:w="560" w:type="pct"/>
            <w:shd w:val="clear" w:color="auto" w:fill="auto"/>
            <w:noWrap w:val="0"/>
            <w:vAlign w:val="center"/>
          </w:tcPr>
          <w:p w14:paraId="02ABFCE6">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0.016</w:t>
            </w:r>
          </w:p>
        </w:tc>
        <w:tc>
          <w:tcPr>
            <w:tcW w:w="582" w:type="pct"/>
            <w:shd w:val="clear" w:color="auto" w:fill="auto"/>
            <w:noWrap w:val="0"/>
            <w:vAlign w:val="center"/>
          </w:tcPr>
          <w:p w14:paraId="40AE343B">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0.013</w:t>
            </w:r>
          </w:p>
        </w:tc>
        <w:tc>
          <w:tcPr>
            <w:tcW w:w="561" w:type="pct"/>
            <w:shd w:val="clear" w:color="auto" w:fill="auto"/>
            <w:noWrap w:val="0"/>
            <w:vAlign w:val="center"/>
          </w:tcPr>
          <w:p w14:paraId="19473868">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0.016</w:t>
            </w:r>
          </w:p>
        </w:tc>
        <w:tc>
          <w:tcPr>
            <w:tcW w:w="566" w:type="pct"/>
            <w:shd w:val="clear" w:color="auto" w:fill="auto"/>
            <w:noWrap w:val="0"/>
            <w:vAlign w:val="center"/>
          </w:tcPr>
          <w:p w14:paraId="6E6511B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0.018</w:t>
            </w:r>
          </w:p>
        </w:tc>
        <w:tc>
          <w:tcPr>
            <w:tcW w:w="582" w:type="pct"/>
            <w:noWrap w:val="0"/>
            <w:vAlign w:val="center"/>
          </w:tcPr>
          <w:p w14:paraId="40B6613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A49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76A466B4">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6</w:t>
            </w:r>
          </w:p>
        </w:tc>
        <w:tc>
          <w:tcPr>
            <w:tcW w:w="616" w:type="pct"/>
            <w:shd w:val="clear" w:color="auto" w:fill="auto"/>
            <w:noWrap w:val="0"/>
            <w:vAlign w:val="center"/>
          </w:tcPr>
          <w:p w14:paraId="03C69DB8">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砷</w:t>
            </w:r>
          </w:p>
        </w:tc>
        <w:tc>
          <w:tcPr>
            <w:tcW w:w="463" w:type="pct"/>
            <w:shd w:val="clear" w:color="auto" w:fill="auto"/>
            <w:noWrap w:val="0"/>
            <w:vAlign w:val="center"/>
          </w:tcPr>
          <w:p w14:paraId="3CB01D46">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noWrap w:val="0"/>
            <w:vAlign w:val="center"/>
          </w:tcPr>
          <w:p w14:paraId="195ECD1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60</w:t>
            </w:r>
          </w:p>
        </w:tc>
        <w:tc>
          <w:tcPr>
            <w:tcW w:w="560" w:type="pct"/>
            <w:shd w:val="clear" w:color="auto" w:fill="auto"/>
            <w:noWrap w:val="0"/>
            <w:vAlign w:val="center"/>
          </w:tcPr>
          <w:p w14:paraId="3CD50F2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8.93</w:t>
            </w:r>
          </w:p>
        </w:tc>
        <w:tc>
          <w:tcPr>
            <w:tcW w:w="582" w:type="pct"/>
            <w:shd w:val="clear" w:color="auto" w:fill="auto"/>
            <w:noWrap w:val="0"/>
            <w:vAlign w:val="center"/>
          </w:tcPr>
          <w:p w14:paraId="0E522F6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8.72</w:t>
            </w:r>
          </w:p>
        </w:tc>
        <w:tc>
          <w:tcPr>
            <w:tcW w:w="561" w:type="pct"/>
            <w:shd w:val="clear" w:color="auto" w:fill="auto"/>
            <w:noWrap w:val="0"/>
            <w:vAlign w:val="center"/>
          </w:tcPr>
          <w:p w14:paraId="4C65DDD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8.66</w:t>
            </w:r>
          </w:p>
        </w:tc>
        <w:tc>
          <w:tcPr>
            <w:tcW w:w="566" w:type="pct"/>
            <w:shd w:val="clear" w:color="auto" w:fill="auto"/>
            <w:noWrap w:val="0"/>
            <w:vAlign w:val="center"/>
          </w:tcPr>
          <w:p w14:paraId="452D6E26">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8.84</w:t>
            </w:r>
          </w:p>
        </w:tc>
        <w:tc>
          <w:tcPr>
            <w:tcW w:w="582" w:type="pct"/>
            <w:noWrap w:val="0"/>
            <w:vAlign w:val="center"/>
          </w:tcPr>
          <w:p w14:paraId="12C620DD">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A71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24B57402">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7</w:t>
            </w:r>
          </w:p>
        </w:tc>
        <w:tc>
          <w:tcPr>
            <w:tcW w:w="616" w:type="pct"/>
            <w:shd w:val="clear" w:color="auto" w:fill="auto"/>
            <w:vAlign w:val="center"/>
          </w:tcPr>
          <w:p w14:paraId="74C8F810">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铅</w:t>
            </w:r>
          </w:p>
        </w:tc>
        <w:tc>
          <w:tcPr>
            <w:tcW w:w="463" w:type="pct"/>
            <w:shd w:val="clear" w:color="auto" w:fill="auto"/>
            <w:vAlign w:val="center"/>
          </w:tcPr>
          <w:p w14:paraId="2AE8FBA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tcPr>
          <w:p w14:paraId="7630C895">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800</w:t>
            </w:r>
          </w:p>
        </w:tc>
        <w:tc>
          <w:tcPr>
            <w:tcW w:w="560" w:type="pct"/>
            <w:shd w:val="clear" w:color="auto" w:fill="auto"/>
            <w:vAlign w:val="center"/>
          </w:tcPr>
          <w:p w14:paraId="56D7E7C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12.5</w:t>
            </w:r>
          </w:p>
        </w:tc>
        <w:tc>
          <w:tcPr>
            <w:tcW w:w="582" w:type="pct"/>
            <w:shd w:val="clear" w:color="auto" w:fill="auto"/>
            <w:vAlign w:val="center"/>
          </w:tcPr>
          <w:p w14:paraId="74A857DA">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12.9</w:t>
            </w:r>
          </w:p>
        </w:tc>
        <w:tc>
          <w:tcPr>
            <w:tcW w:w="561" w:type="pct"/>
            <w:shd w:val="clear" w:color="auto" w:fill="auto"/>
            <w:vAlign w:val="center"/>
          </w:tcPr>
          <w:p w14:paraId="16DFB71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13.3</w:t>
            </w:r>
          </w:p>
        </w:tc>
        <w:tc>
          <w:tcPr>
            <w:tcW w:w="566" w:type="pct"/>
            <w:shd w:val="clear" w:color="auto" w:fill="auto"/>
            <w:vAlign w:val="center"/>
          </w:tcPr>
          <w:p w14:paraId="1824C198">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12.1</w:t>
            </w:r>
          </w:p>
        </w:tc>
        <w:tc>
          <w:tcPr>
            <w:tcW w:w="582" w:type="pct"/>
          </w:tcPr>
          <w:p w14:paraId="2FBDE76C">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779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36A5E04D">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8</w:t>
            </w:r>
          </w:p>
        </w:tc>
        <w:tc>
          <w:tcPr>
            <w:tcW w:w="616" w:type="pct"/>
            <w:shd w:val="clear" w:color="auto" w:fill="auto"/>
            <w:vAlign w:val="center"/>
          </w:tcPr>
          <w:p w14:paraId="3D0FA2BC">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铜</w:t>
            </w:r>
          </w:p>
        </w:tc>
        <w:tc>
          <w:tcPr>
            <w:tcW w:w="463" w:type="pct"/>
            <w:shd w:val="clear" w:color="auto" w:fill="auto"/>
            <w:vAlign w:val="center"/>
          </w:tcPr>
          <w:p w14:paraId="4058FC7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tcPr>
          <w:p w14:paraId="40219EC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18000</w:t>
            </w:r>
          </w:p>
        </w:tc>
        <w:tc>
          <w:tcPr>
            <w:tcW w:w="560" w:type="pct"/>
            <w:shd w:val="clear" w:color="auto" w:fill="auto"/>
            <w:vAlign w:val="center"/>
          </w:tcPr>
          <w:p w14:paraId="2882A00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w:t>
            </w:r>
          </w:p>
        </w:tc>
        <w:tc>
          <w:tcPr>
            <w:tcW w:w="582" w:type="pct"/>
            <w:shd w:val="clear" w:color="auto" w:fill="auto"/>
            <w:vAlign w:val="center"/>
          </w:tcPr>
          <w:p w14:paraId="6E90443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561" w:type="pct"/>
            <w:shd w:val="clear" w:color="auto" w:fill="auto"/>
            <w:vAlign w:val="center"/>
          </w:tcPr>
          <w:p w14:paraId="535FDC1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35</w:t>
            </w:r>
          </w:p>
        </w:tc>
        <w:tc>
          <w:tcPr>
            <w:tcW w:w="566" w:type="pct"/>
            <w:shd w:val="clear" w:color="auto" w:fill="auto"/>
            <w:vAlign w:val="center"/>
          </w:tcPr>
          <w:p w14:paraId="3CE945DB">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w:t>
            </w:r>
          </w:p>
        </w:tc>
        <w:tc>
          <w:tcPr>
            <w:tcW w:w="582" w:type="pct"/>
          </w:tcPr>
          <w:p w14:paraId="1F4DC3B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7A0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3101027E">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9</w:t>
            </w:r>
          </w:p>
        </w:tc>
        <w:tc>
          <w:tcPr>
            <w:tcW w:w="616" w:type="pct"/>
            <w:shd w:val="clear" w:color="auto" w:fill="auto"/>
            <w:vAlign w:val="center"/>
          </w:tcPr>
          <w:p w14:paraId="4041FE3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镍</w:t>
            </w:r>
          </w:p>
        </w:tc>
        <w:tc>
          <w:tcPr>
            <w:tcW w:w="463" w:type="pct"/>
            <w:shd w:val="clear" w:color="auto" w:fill="auto"/>
            <w:vAlign w:val="center"/>
          </w:tcPr>
          <w:p w14:paraId="4C21C778">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tcPr>
          <w:p w14:paraId="7494DFD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560" w:type="pct"/>
            <w:shd w:val="clear" w:color="auto" w:fill="auto"/>
            <w:vAlign w:val="center"/>
          </w:tcPr>
          <w:p w14:paraId="1386D405">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37</w:t>
            </w:r>
          </w:p>
        </w:tc>
        <w:tc>
          <w:tcPr>
            <w:tcW w:w="582" w:type="pct"/>
            <w:shd w:val="clear" w:color="auto" w:fill="auto"/>
            <w:vAlign w:val="center"/>
          </w:tcPr>
          <w:p w14:paraId="3CE0431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w:t>
            </w:r>
          </w:p>
        </w:tc>
        <w:tc>
          <w:tcPr>
            <w:tcW w:w="561" w:type="pct"/>
            <w:shd w:val="clear" w:color="auto" w:fill="auto"/>
            <w:vAlign w:val="center"/>
          </w:tcPr>
          <w:p w14:paraId="22A8A6B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31</w:t>
            </w:r>
          </w:p>
        </w:tc>
        <w:tc>
          <w:tcPr>
            <w:tcW w:w="566" w:type="pct"/>
            <w:shd w:val="clear" w:color="auto" w:fill="auto"/>
            <w:vAlign w:val="center"/>
          </w:tcPr>
          <w:p w14:paraId="20CBD2D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33</w:t>
            </w:r>
          </w:p>
        </w:tc>
        <w:tc>
          <w:tcPr>
            <w:tcW w:w="582" w:type="pct"/>
          </w:tcPr>
          <w:p w14:paraId="04D4410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D3C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3EF497FC">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10</w:t>
            </w:r>
          </w:p>
        </w:tc>
        <w:tc>
          <w:tcPr>
            <w:tcW w:w="616" w:type="pct"/>
            <w:shd w:val="clear" w:color="auto" w:fill="auto"/>
            <w:vAlign w:val="center"/>
          </w:tcPr>
          <w:p w14:paraId="2A94D6B4">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SA"/>
              </w:rPr>
              <w:t>铬</w:t>
            </w:r>
          </w:p>
        </w:tc>
        <w:tc>
          <w:tcPr>
            <w:tcW w:w="463" w:type="pct"/>
            <w:shd w:val="clear" w:color="auto" w:fill="auto"/>
            <w:vAlign w:val="center"/>
          </w:tcPr>
          <w:p w14:paraId="14F2C7F0">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tcPr>
          <w:p w14:paraId="201DDB72">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560" w:type="pct"/>
            <w:shd w:val="clear" w:color="auto" w:fill="auto"/>
            <w:vAlign w:val="center"/>
          </w:tcPr>
          <w:p w14:paraId="2885A78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40</w:t>
            </w:r>
          </w:p>
        </w:tc>
        <w:tc>
          <w:tcPr>
            <w:tcW w:w="582" w:type="pct"/>
            <w:shd w:val="clear" w:color="auto" w:fill="auto"/>
            <w:vAlign w:val="center"/>
          </w:tcPr>
          <w:p w14:paraId="37FAC80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45</w:t>
            </w:r>
          </w:p>
        </w:tc>
        <w:tc>
          <w:tcPr>
            <w:tcW w:w="561" w:type="pct"/>
            <w:shd w:val="clear" w:color="auto" w:fill="auto"/>
            <w:vAlign w:val="center"/>
          </w:tcPr>
          <w:p w14:paraId="0A34680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40</w:t>
            </w:r>
          </w:p>
        </w:tc>
        <w:tc>
          <w:tcPr>
            <w:tcW w:w="566" w:type="pct"/>
            <w:shd w:val="clear" w:color="auto" w:fill="auto"/>
            <w:vAlign w:val="center"/>
          </w:tcPr>
          <w:p w14:paraId="34100CC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44</w:t>
            </w:r>
          </w:p>
        </w:tc>
        <w:tc>
          <w:tcPr>
            <w:tcW w:w="582" w:type="pct"/>
          </w:tcPr>
          <w:p w14:paraId="7F37E46A">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r w14:paraId="09C9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04D550EB">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11</w:t>
            </w:r>
          </w:p>
        </w:tc>
        <w:tc>
          <w:tcPr>
            <w:tcW w:w="616" w:type="pct"/>
            <w:shd w:val="clear" w:color="auto" w:fill="auto"/>
            <w:vAlign w:val="center"/>
          </w:tcPr>
          <w:p w14:paraId="6894887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kern w:val="2"/>
                <w:sz w:val="21"/>
                <w:szCs w:val="21"/>
                <w:lang w:val="en-US" w:eastAsia="zh-CN" w:bidi="ar-SA"/>
              </w:rPr>
              <w:t>锌</w:t>
            </w:r>
          </w:p>
        </w:tc>
        <w:tc>
          <w:tcPr>
            <w:tcW w:w="463" w:type="pct"/>
            <w:shd w:val="clear" w:color="auto" w:fill="auto"/>
            <w:vAlign w:val="center"/>
          </w:tcPr>
          <w:p w14:paraId="0F2A800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tcPr>
          <w:p w14:paraId="02CE718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560" w:type="pct"/>
            <w:shd w:val="clear" w:color="auto" w:fill="auto"/>
            <w:vAlign w:val="center"/>
          </w:tcPr>
          <w:p w14:paraId="0FCE13FB">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52</w:t>
            </w:r>
          </w:p>
        </w:tc>
        <w:tc>
          <w:tcPr>
            <w:tcW w:w="582" w:type="pct"/>
            <w:shd w:val="clear" w:color="auto" w:fill="auto"/>
            <w:vAlign w:val="center"/>
          </w:tcPr>
          <w:p w14:paraId="1BCEC39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56</w:t>
            </w:r>
          </w:p>
        </w:tc>
        <w:tc>
          <w:tcPr>
            <w:tcW w:w="561" w:type="pct"/>
            <w:shd w:val="clear" w:color="auto" w:fill="auto"/>
            <w:vAlign w:val="center"/>
          </w:tcPr>
          <w:p w14:paraId="29266A6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52</w:t>
            </w:r>
          </w:p>
        </w:tc>
        <w:tc>
          <w:tcPr>
            <w:tcW w:w="566" w:type="pct"/>
            <w:shd w:val="clear" w:color="auto" w:fill="auto"/>
            <w:vAlign w:val="center"/>
          </w:tcPr>
          <w:p w14:paraId="654B8B8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50</w:t>
            </w:r>
          </w:p>
        </w:tc>
        <w:tc>
          <w:tcPr>
            <w:tcW w:w="582" w:type="pct"/>
          </w:tcPr>
          <w:p w14:paraId="1F986F13">
            <w:pPr>
              <w:jc w:val="center"/>
              <w:rPr>
                <w:rFonts w:hint="eastAsia" w:eastAsia="宋体"/>
                <w:b w:val="0"/>
                <w:bCs w:val="0"/>
                <w:color w:val="auto"/>
                <w:szCs w:val="21"/>
                <w:lang w:val="en-US" w:eastAsia="zh-CN"/>
              </w:rPr>
            </w:pPr>
            <w:r>
              <w:rPr>
                <w:rFonts w:hint="eastAsia"/>
                <w:b w:val="0"/>
                <w:bCs w:val="0"/>
                <w:color w:val="auto"/>
                <w:szCs w:val="21"/>
                <w:lang w:val="en-US" w:eastAsia="zh-CN"/>
              </w:rPr>
              <w:t>/</w:t>
            </w:r>
          </w:p>
        </w:tc>
      </w:tr>
      <w:tr w14:paraId="4E75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51ED7F31">
            <w:pPr>
              <w:jc w:val="center"/>
              <w:rPr>
                <w:rFonts w:hint="default"/>
                <w:b w:val="0"/>
                <w:bCs w:val="0"/>
                <w:color w:val="auto"/>
                <w:szCs w:val="21"/>
                <w:lang w:val="en-US" w:eastAsia="zh-CN"/>
              </w:rPr>
            </w:pPr>
            <w:r>
              <w:rPr>
                <w:rFonts w:hint="eastAsia"/>
                <w:b w:val="0"/>
                <w:bCs w:val="0"/>
                <w:color w:val="auto"/>
                <w:szCs w:val="21"/>
                <w:lang w:val="en-US" w:eastAsia="zh-CN"/>
              </w:rPr>
              <w:t>12</w:t>
            </w:r>
          </w:p>
        </w:tc>
        <w:tc>
          <w:tcPr>
            <w:tcW w:w="616" w:type="pct"/>
            <w:shd w:val="clear" w:color="auto" w:fill="auto"/>
            <w:vAlign w:val="center"/>
          </w:tcPr>
          <w:p w14:paraId="2E51A7F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水分</w:t>
            </w:r>
          </w:p>
        </w:tc>
        <w:tc>
          <w:tcPr>
            <w:tcW w:w="463" w:type="pct"/>
            <w:shd w:val="clear" w:color="auto" w:fill="auto"/>
            <w:vAlign w:val="center"/>
          </w:tcPr>
          <w:p w14:paraId="32A8E5B9">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30" w:type="pct"/>
          </w:tcPr>
          <w:p w14:paraId="415299E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560" w:type="pct"/>
            <w:shd w:val="clear" w:color="auto" w:fill="auto"/>
            <w:vAlign w:val="center"/>
          </w:tcPr>
          <w:p w14:paraId="3A7617D4">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8.64</w:t>
            </w:r>
          </w:p>
        </w:tc>
        <w:tc>
          <w:tcPr>
            <w:tcW w:w="582" w:type="pct"/>
            <w:shd w:val="clear" w:color="auto" w:fill="auto"/>
            <w:vAlign w:val="center"/>
          </w:tcPr>
          <w:p w14:paraId="49891621">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8.60</w:t>
            </w:r>
          </w:p>
        </w:tc>
        <w:tc>
          <w:tcPr>
            <w:tcW w:w="561" w:type="pct"/>
            <w:shd w:val="clear" w:color="auto" w:fill="auto"/>
            <w:vAlign w:val="center"/>
          </w:tcPr>
          <w:p w14:paraId="0690BF2B">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8.48</w:t>
            </w:r>
          </w:p>
        </w:tc>
        <w:tc>
          <w:tcPr>
            <w:tcW w:w="566" w:type="pct"/>
            <w:shd w:val="clear" w:color="auto" w:fill="auto"/>
            <w:vAlign w:val="center"/>
          </w:tcPr>
          <w:p w14:paraId="20443422">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3.3</w:t>
            </w:r>
          </w:p>
        </w:tc>
        <w:tc>
          <w:tcPr>
            <w:tcW w:w="582" w:type="pct"/>
          </w:tcPr>
          <w:p w14:paraId="28768B8A">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2A88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4DAEA804">
            <w:pPr>
              <w:jc w:val="center"/>
              <w:rPr>
                <w:rFonts w:hint="default"/>
                <w:b w:val="0"/>
                <w:bCs w:val="0"/>
                <w:color w:val="auto"/>
                <w:szCs w:val="21"/>
                <w:lang w:val="en-US" w:eastAsia="zh-CN"/>
              </w:rPr>
            </w:pPr>
            <w:r>
              <w:rPr>
                <w:rFonts w:hint="eastAsia"/>
                <w:b w:val="0"/>
                <w:bCs w:val="0"/>
                <w:color w:val="auto"/>
                <w:szCs w:val="21"/>
                <w:lang w:val="en-US" w:eastAsia="zh-CN"/>
              </w:rPr>
              <w:t>13</w:t>
            </w:r>
          </w:p>
        </w:tc>
        <w:tc>
          <w:tcPr>
            <w:tcW w:w="616" w:type="pct"/>
            <w:shd w:val="clear" w:color="auto" w:fill="auto"/>
            <w:vAlign w:val="center"/>
          </w:tcPr>
          <w:p w14:paraId="0740679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干物质</w:t>
            </w:r>
          </w:p>
        </w:tc>
        <w:tc>
          <w:tcPr>
            <w:tcW w:w="463" w:type="pct"/>
            <w:shd w:val="clear" w:color="auto" w:fill="auto"/>
            <w:vAlign w:val="center"/>
          </w:tcPr>
          <w:p w14:paraId="467BD43F">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30" w:type="pct"/>
          </w:tcPr>
          <w:p w14:paraId="19BB946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560" w:type="pct"/>
            <w:shd w:val="clear" w:color="auto" w:fill="auto"/>
            <w:vAlign w:val="center"/>
          </w:tcPr>
          <w:p w14:paraId="02262C63">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3.1</w:t>
            </w:r>
          </w:p>
        </w:tc>
        <w:tc>
          <w:tcPr>
            <w:tcW w:w="582" w:type="pct"/>
            <w:shd w:val="clear" w:color="auto" w:fill="auto"/>
            <w:vAlign w:val="center"/>
          </w:tcPr>
          <w:p w14:paraId="2A8C1147">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w:t>
            </w:r>
          </w:p>
        </w:tc>
        <w:tc>
          <w:tcPr>
            <w:tcW w:w="561" w:type="pct"/>
            <w:shd w:val="clear" w:color="auto" w:fill="auto"/>
            <w:vAlign w:val="center"/>
          </w:tcPr>
          <w:p w14:paraId="28F037AB">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3.1</w:t>
            </w:r>
          </w:p>
        </w:tc>
        <w:tc>
          <w:tcPr>
            <w:tcW w:w="566" w:type="pct"/>
            <w:shd w:val="clear" w:color="auto" w:fill="auto"/>
            <w:vAlign w:val="center"/>
          </w:tcPr>
          <w:p w14:paraId="1AB8C3B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96.6</w:t>
            </w:r>
          </w:p>
        </w:tc>
        <w:tc>
          <w:tcPr>
            <w:tcW w:w="582" w:type="pct"/>
          </w:tcPr>
          <w:p w14:paraId="1B07F101">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bl>
    <w:p w14:paraId="548003F0">
      <w:pPr>
        <w:pStyle w:val="32"/>
        <w:bidi w:val="0"/>
        <w:rPr>
          <w:rFonts w:hint="default"/>
          <w:color w:val="auto"/>
          <w:lang w:val="en-US" w:eastAsia="zh-CN"/>
        </w:rPr>
      </w:pPr>
      <w:r>
        <w:rPr>
          <w:rFonts w:hint="eastAsia"/>
          <w:color w:val="auto"/>
          <w:lang w:val="en-US" w:eastAsia="zh-CN"/>
        </w:rPr>
        <w:t>表4.2-14（g）  土壤监测结果一览表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746"/>
        <w:gridCol w:w="1312"/>
        <w:gridCol w:w="1785"/>
        <w:gridCol w:w="1587"/>
        <w:gridCol w:w="1649"/>
        <w:gridCol w:w="1590"/>
        <w:gridCol w:w="1604"/>
        <w:gridCol w:w="1649"/>
      </w:tblGrid>
      <w:tr w14:paraId="4AF4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vMerge w:val="restart"/>
            <w:noWrap w:val="0"/>
            <w:vAlign w:val="center"/>
          </w:tcPr>
          <w:p w14:paraId="4271535D">
            <w:pPr>
              <w:jc w:val="center"/>
              <w:rPr>
                <w:rFonts w:hint="eastAsia" w:eastAsia="宋体"/>
                <w:b/>
                <w:bCs/>
                <w:color w:val="auto"/>
                <w:szCs w:val="21"/>
                <w:lang w:val="en-US" w:eastAsia="zh-CN"/>
              </w:rPr>
            </w:pPr>
            <w:r>
              <w:rPr>
                <w:rFonts w:hint="eastAsia"/>
                <w:b/>
                <w:bCs/>
                <w:color w:val="auto"/>
                <w:szCs w:val="21"/>
                <w:lang w:val="en-US" w:eastAsia="zh-CN"/>
              </w:rPr>
              <w:t>序号</w:t>
            </w:r>
          </w:p>
        </w:tc>
        <w:tc>
          <w:tcPr>
            <w:tcW w:w="616" w:type="pct"/>
            <w:vMerge w:val="restart"/>
            <w:noWrap w:val="0"/>
            <w:vAlign w:val="center"/>
          </w:tcPr>
          <w:p w14:paraId="7D130DDB">
            <w:pPr>
              <w:jc w:val="center"/>
              <w:rPr>
                <w:b/>
                <w:bCs/>
                <w:color w:val="auto"/>
                <w:szCs w:val="21"/>
              </w:rPr>
            </w:pPr>
            <w:r>
              <w:rPr>
                <w:b/>
                <w:bCs/>
                <w:color w:val="auto"/>
                <w:szCs w:val="21"/>
              </w:rPr>
              <w:t>检测项目</w:t>
            </w:r>
          </w:p>
        </w:tc>
        <w:tc>
          <w:tcPr>
            <w:tcW w:w="463" w:type="pct"/>
            <w:vMerge w:val="restart"/>
            <w:noWrap w:val="0"/>
            <w:vAlign w:val="center"/>
          </w:tcPr>
          <w:p w14:paraId="5736FEA6">
            <w:pPr>
              <w:jc w:val="center"/>
              <w:rPr>
                <w:b/>
                <w:bCs/>
                <w:color w:val="auto"/>
                <w:szCs w:val="21"/>
              </w:rPr>
            </w:pPr>
            <w:r>
              <w:rPr>
                <w:b/>
                <w:bCs/>
                <w:color w:val="auto"/>
                <w:szCs w:val="21"/>
              </w:rPr>
              <w:t>单位</w:t>
            </w:r>
          </w:p>
        </w:tc>
        <w:tc>
          <w:tcPr>
            <w:tcW w:w="630" w:type="pct"/>
            <w:vMerge w:val="restart"/>
            <w:noWrap w:val="0"/>
            <w:vAlign w:val="center"/>
          </w:tcPr>
          <w:p w14:paraId="4130F3D9">
            <w:pPr>
              <w:jc w:val="center"/>
              <w:rPr>
                <w:rFonts w:hint="default" w:ascii="Times New Roman" w:hAnsi="Times New Roman" w:eastAsia="宋体" w:cs="Times New Roman"/>
                <w:b/>
                <w:bCs/>
                <w:color w:val="auto"/>
                <w:kern w:val="2"/>
                <w:sz w:val="21"/>
                <w:szCs w:val="21"/>
                <w:lang w:val="en-US" w:eastAsia="zh-CN" w:bidi="ar-SA"/>
              </w:rPr>
            </w:pPr>
            <w:r>
              <w:rPr>
                <w:b/>
                <w:bCs/>
                <w:color w:val="auto"/>
                <w:szCs w:val="21"/>
              </w:rPr>
              <w:t>标准限值</w:t>
            </w:r>
            <w:r>
              <w:rPr>
                <w:rFonts w:hint="eastAsia"/>
                <w:b/>
                <w:bCs/>
                <w:color w:val="auto"/>
                <w:szCs w:val="21"/>
                <w:lang w:eastAsia="zh-CN"/>
              </w:rPr>
              <w:t>（</w:t>
            </w:r>
            <w:r>
              <w:rPr>
                <w:rFonts w:hint="eastAsia"/>
                <w:b/>
                <w:bCs/>
                <w:color w:val="auto"/>
                <w:szCs w:val="21"/>
                <w:lang w:val="en-US" w:eastAsia="zh-CN"/>
              </w:rPr>
              <w:t>第二类用地筛选值</w:t>
            </w:r>
            <w:r>
              <w:rPr>
                <w:rFonts w:hint="eastAsia"/>
                <w:b/>
                <w:bCs/>
                <w:color w:val="auto"/>
                <w:szCs w:val="21"/>
                <w:lang w:eastAsia="zh-CN"/>
              </w:rPr>
              <w:t>）</w:t>
            </w:r>
            <w:r>
              <w:rPr>
                <w:rFonts w:hint="eastAsia"/>
                <w:b/>
                <w:bCs/>
                <w:color w:val="auto"/>
                <w:szCs w:val="21"/>
                <w:lang w:val="en-US" w:eastAsia="zh-CN"/>
              </w:rPr>
              <w:t>/pH&gt;7.5</w:t>
            </w:r>
          </w:p>
        </w:tc>
        <w:tc>
          <w:tcPr>
            <w:tcW w:w="560" w:type="pct"/>
            <w:noWrap w:val="0"/>
            <w:vAlign w:val="center"/>
          </w:tcPr>
          <w:p w14:paraId="1C2AEA79">
            <w:pPr>
              <w:jc w:val="center"/>
              <w:rPr>
                <w:rFonts w:hint="default" w:eastAsia="宋体"/>
                <w:b/>
                <w:bCs/>
                <w:color w:val="auto"/>
                <w:szCs w:val="21"/>
                <w:lang w:val="en-US" w:eastAsia="zh-CN"/>
              </w:rPr>
            </w:pPr>
            <w:r>
              <w:rPr>
                <w:rFonts w:hint="eastAsia"/>
                <w:b/>
                <w:bCs/>
                <w:color w:val="auto"/>
                <w:szCs w:val="21"/>
                <w:lang w:val="en-US" w:eastAsia="zh-CN"/>
              </w:rPr>
              <w:t>占地范围内</w:t>
            </w:r>
          </w:p>
        </w:tc>
        <w:tc>
          <w:tcPr>
            <w:tcW w:w="1709" w:type="pct"/>
            <w:gridSpan w:val="3"/>
            <w:noWrap w:val="0"/>
            <w:vAlign w:val="center"/>
          </w:tcPr>
          <w:p w14:paraId="5826D3D8">
            <w:pPr>
              <w:jc w:val="center"/>
              <w:rPr>
                <w:rFonts w:hint="default"/>
                <w:b/>
                <w:bCs/>
                <w:color w:val="auto"/>
                <w:szCs w:val="21"/>
                <w:lang w:val="en-US" w:eastAsia="zh-CN"/>
              </w:rPr>
            </w:pPr>
            <w:r>
              <w:rPr>
                <w:rFonts w:hint="eastAsia"/>
                <w:b/>
                <w:bCs/>
                <w:color w:val="auto"/>
                <w:szCs w:val="21"/>
                <w:lang w:val="en-US" w:eastAsia="zh-CN"/>
              </w:rPr>
              <w:t>占地范围外</w:t>
            </w:r>
          </w:p>
        </w:tc>
        <w:tc>
          <w:tcPr>
            <w:tcW w:w="582" w:type="pct"/>
            <w:vMerge w:val="restart"/>
            <w:noWrap w:val="0"/>
            <w:vAlign w:val="center"/>
          </w:tcPr>
          <w:p w14:paraId="0039DF19">
            <w:pPr>
              <w:jc w:val="center"/>
              <w:rPr>
                <w:rFonts w:hint="eastAsia" w:eastAsia="宋体"/>
                <w:color w:val="auto"/>
                <w:szCs w:val="21"/>
                <w:lang w:val="en-US" w:eastAsia="zh-CN"/>
              </w:rPr>
            </w:pPr>
            <w:r>
              <w:rPr>
                <w:rFonts w:hint="eastAsia"/>
                <w:b/>
                <w:bCs/>
                <w:color w:val="auto"/>
                <w:szCs w:val="21"/>
                <w:lang w:val="en-US" w:eastAsia="zh-CN"/>
              </w:rPr>
              <w:t>达标情况</w:t>
            </w:r>
          </w:p>
        </w:tc>
      </w:tr>
      <w:tr w14:paraId="48C7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vMerge w:val="continue"/>
            <w:noWrap w:val="0"/>
            <w:vAlign w:val="center"/>
          </w:tcPr>
          <w:p w14:paraId="0CC8BD4D">
            <w:pPr>
              <w:jc w:val="center"/>
              <w:rPr>
                <w:b/>
                <w:bCs/>
                <w:color w:val="auto"/>
                <w:szCs w:val="21"/>
              </w:rPr>
            </w:pPr>
          </w:p>
        </w:tc>
        <w:tc>
          <w:tcPr>
            <w:tcW w:w="616" w:type="pct"/>
            <w:vMerge w:val="continue"/>
            <w:noWrap w:val="0"/>
            <w:vAlign w:val="center"/>
          </w:tcPr>
          <w:p w14:paraId="72051B8F">
            <w:pPr>
              <w:jc w:val="center"/>
              <w:rPr>
                <w:b/>
                <w:bCs/>
                <w:color w:val="auto"/>
                <w:szCs w:val="21"/>
              </w:rPr>
            </w:pPr>
          </w:p>
        </w:tc>
        <w:tc>
          <w:tcPr>
            <w:tcW w:w="463" w:type="pct"/>
            <w:vMerge w:val="continue"/>
            <w:noWrap w:val="0"/>
            <w:vAlign w:val="center"/>
          </w:tcPr>
          <w:p w14:paraId="31EB25A3">
            <w:pPr>
              <w:jc w:val="center"/>
              <w:rPr>
                <w:b/>
                <w:bCs/>
                <w:color w:val="auto"/>
                <w:szCs w:val="21"/>
              </w:rPr>
            </w:pPr>
          </w:p>
        </w:tc>
        <w:tc>
          <w:tcPr>
            <w:tcW w:w="630" w:type="pct"/>
            <w:vMerge w:val="continue"/>
            <w:noWrap w:val="0"/>
            <w:vAlign w:val="center"/>
          </w:tcPr>
          <w:p w14:paraId="2FD43565">
            <w:pPr>
              <w:jc w:val="center"/>
              <w:rPr>
                <w:rFonts w:ascii="Times New Roman" w:hAnsi="Times New Roman" w:eastAsia="宋体" w:cs="Times New Roman"/>
                <w:b/>
                <w:bCs/>
                <w:color w:val="auto"/>
                <w:kern w:val="2"/>
                <w:sz w:val="21"/>
                <w:szCs w:val="21"/>
                <w:lang w:val="en-US" w:eastAsia="zh-CN" w:bidi="ar-SA"/>
              </w:rPr>
            </w:pPr>
          </w:p>
        </w:tc>
        <w:tc>
          <w:tcPr>
            <w:tcW w:w="560" w:type="pct"/>
            <w:noWrap w:val="0"/>
            <w:vAlign w:val="center"/>
          </w:tcPr>
          <w:p w14:paraId="3E124A90">
            <w:pPr>
              <w:jc w:val="center"/>
              <w:rPr>
                <w:b/>
                <w:bCs/>
                <w:color w:val="auto"/>
                <w:szCs w:val="21"/>
              </w:rPr>
            </w:pPr>
            <w:r>
              <w:rPr>
                <w:rFonts w:hint="eastAsia"/>
                <w:b/>
                <w:bCs/>
                <w:color w:val="auto"/>
                <w:szCs w:val="21"/>
                <w:lang w:val="en-US" w:eastAsia="zh-CN"/>
              </w:rPr>
              <w:t>T10</w:t>
            </w:r>
            <w:r>
              <w:rPr>
                <w:b/>
                <w:bCs/>
                <w:color w:val="auto"/>
                <w:szCs w:val="21"/>
              </w:rPr>
              <w:t>监测结果</w:t>
            </w:r>
          </w:p>
        </w:tc>
        <w:tc>
          <w:tcPr>
            <w:tcW w:w="582" w:type="pct"/>
            <w:shd w:val="clear" w:color="auto" w:fill="auto"/>
            <w:noWrap w:val="0"/>
            <w:vAlign w:val="center"/>
          </w:tcPr>
          <w:p w14:paraId="631DD411">
            <w:pPr>
              <w:jc w:val="center"/>
              <w:rPr>
                <w:rFonts w:hint="eastAsia" w:ascii="Times New Roman" w:hAnsi="Times New Roman" w:eastAsia="宋体" w:cs="Times New Roman"/>
                <w:b/>
                <w:bCs/>
                <w:color w:val="auto"/>
                <w:sz w:val="21"/>
                <w:szCs w:val="21"/>
                <w:lang w:val="en-US" w:eastAsia="zh-CN" w:bidi="ar-SA"/>
              </w:rPr>
            </w:pPr>
            <w:r>
              <w:rPr>
                <w:rFonts w:hint="eastAsia"/>
                <w:b/>
                <w:bCs/>
                <w:color w:val="auto"/>
                <w:szCs w:val="21"/>
                <w:lang w:val="en-US" w:eastAsia="zh-CN"/>
              </w:rPr>
              <w:t>T11</w:t>
            </w:r>
            <w:r>
              <w:rPr>
                <w:b/>
                <w:bCs/>
                <w:color w:val="auto"/>
                <w:szCs w:val="21"/>
              </w:rPr>
              <w:t>监测结果</w:t>
            </w:r>
          </w:p>
        </w:tc>
        <w:tc>
          <w:tcPr>
            <w:tcW w:w="561" w:type="pct"/>
            <w:shd w:val="clear" w:color="auto" w:fill="auto"/>
            <w:noWrap w:val="0"/>
            <w:vAlign w:val="center"/>
          </w:tcPr>
          <w:p w14:paraId="3955169F">
            <w:pPr>
              <w:jc w:val="center"/>
              <w:rPr>
                <w:rFonts w:hint="eastAsia" w:ascii="Times New Roman" w:hAnsi="Times New Roman" w:eastAsia="宋体" w:cs="Times New Roman"/>
                <w:b/>
                <w:bCs/>
                <w:color w:val="auto"/>
                <w:sz w:val="21"/>
                <w:szCs w:val="21"/>
                <w:lang w:val="en-US" w:eastAsia="zh-CN" w:bidi="ar-SA"/>
              </w:rPr>
            </w:pPr>
            <w:r>
              <w:rPr>
                <w:rFonts w:hint="eastAsia"/>
                <w:b/>
                <w:bCs/>
                <w:color w:val="auto"/>
                <w:szCs w:val="21"/>
                <w:lang w:val="en-US" w:eastAsia="zh-CN"/>
              </w:rPr>
              <w:t>T12</w:t>
            </w:r>
            <w:r>
              <w:rPr>
                <w:b/>
                <w:bCs/>
                <w:color w:val="auto"/>
                <w:szCs w:val="21"/>
              </w:rPr>
              <w:t>监测结果</w:t>
            </w:r>
          </w:p>
        </w:tc>
        <w:tc>
          <w:tcPr>
            <w:tcW w:w="566" w:type="pct"/>
            <w:noWrap w:val="0"/>
            <w:vAlign w:val="center"/>
          </w:tcPr>
          <w:p w14:paraId="5D614D8C">
            <w:pPr>
              <w:jc w:val="center"/>
              <w:rPr>
                <w:rFonts w:hint="eastAsia"/>
                <w:b/>
                <w:bCs/>
                <w:color w:val="auto"/>
                <w:szCs w:val="21"/>
              </w:rPr>
            </w:pPr>
            <w:r>
              <w:rPr>
                <w:rFonts w:hint="eastAsia"/>
                <w:b/>
                <w:bCs/>
                <w:color w:val="auto"/>
                <w:szCs w:val="21"/>
                <w:lang w:val="en-US" w:eastAsia="zh-CN"/>
              </w:rPr>
              <w:t>T13</w:t>
            </w:r>
            <w:r>
              <w:rPr>
                <w:b/>
                <w:bCs/>
                <w:color w:val="auto"/>
                <w:szCs w:val="21"/>
              </w:rPr>
              <w:t>监测结果</w:t>
            </w:r>
          </w:p>
        </w:tc>
        <w:tc>
          <w:tcPr>
            <w:tcW w:w="582" w:type="pct"/>
            <w:vMerge w:val="continue"/>
            <w:noWrap w:val="0"/>
            <w:vAlign w:val="center"/>
          </w:tcPr>
          <w:p w14:paraId="76B6407A">
            <w:pPr>
              <w:jc w:val="center"/>
              <w:rPr>
                <w:rFonts w:hint="eastAsia" w:eastAsia="宋体"/>
                <w:color w:val="auto"/>
                <w:szCs w:val="21"/>
                <w:lang w:val="en-US" w:eastAsia="zh-CN"/>
              </w:rPr>
            </w:pPr>
          </w:p>
        </w:tc>
      </w:tr>
      <w:tr w14:paraId="615F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3E4D225C">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w:t>
            </w:r>
          </w:p>
        </w:tc>
        <w:tc>
          <w:tcPr>
            <w:tcW w:w="616" w:type="pct"/>
            <w:shd w:val="clear" w:color="auto" w:fill="auto"/>
            <w:noWrap w:val="0"/>
            <w:vAlign w:val="center"/>
          </w:tcPr>
          <w:p w14:paraId="0FEDAC4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463" w:type="pct"/>
            <w:shd w:val="clear" w:color="auto" w:fill="auto"/>
            <w:noWrap w:val="0"/>
            <w:vAlign w:val="center"/>
          </w:tcPr>
          <w:p w14:paraId="79CE165C">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无量纲</w:t>
            </w:r>
          </w:p>
        </w:tc>
        <w:tc>
          <w:tcPr>
            <w:tcW w:w="630" w:type="pct"/>
            <w:noWrap w:val="0"/>
            <w:vAlign w:val="center"/>
          </w:tcPr>
          <w:p w14:paraId="0C3BB52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560" w:type="pct"/>
            <w:shd w:val="clear" w:color="auto" w:fill="auto"/>
            <w:noWrap w:val="0"/>
            <w:vAlign w:val="center"/>
          </w:tcPr>
          <w:p w14:paraId="33C25511">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8.36</w:t>
            </w:r>
          </w:p>
        </w:tc>
        <w:tc>
          <w:tcPr>
            <w:tcW w:w="582" w:type="pct"/>
            <w:shd w:val="clear" w:color="auto" w:fill="auto"/>
            <w:noWrap w:val="0"/>
            <w:vAlign w:val="center"/>
          </w:tcPr>
          <w:p w14:paraId="04CC9C6C">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8.36</w:t>
            </w:r>
          </w:p>
        </w:tc>
        <w:tc>
          <w:tcPr>
            <w:tcW w:w="561" w:type="pct"/>
            <w:shd w:val="clear" w:color="auto" w:fill="auto"/>
            <w:noWrap w:val="0"/>
            <w:vAlign w:val="center"/>
          </w:tcPr>
          <w:p w14:paraId="266AB08F">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8.36</w:t>
            </w:r>
          </w:p>
        </w:tc>
        <w:tc>
          <w:tcPr>
            <w:tcW w:w="566" w:type="pct"/>
            <w:shd w:val="clear" w:color="auto" w:fill="auto"/>
            <w:noWrap w:val="0"/>
            <w:vAlign w:val="center"/>
          </w:tcPr>
          <w:p w14:paraId="2BFF4A65">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8.32</w:t>
            </w:r>
          </w:p>
        </w:tc>
        <w:tc>
          <w:tcPr>
            <w:tcW w:w="582" w:type="pct"/>
            <w:noWrap w:val="0"/>
            <w:vAlign w:val="center"/>
          </w:tcPr>
          <w:p w14:paraId="5D58D8C1">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6973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46E45AE5">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w:t>
            </w:r>
          </w:p>
        </w:tc>
        <w:tc>
          <w:tcPr>
            <w:tcW w:w="616" w:type="pct"/>
            <w:shd w:val="clear" w:color="auto" w:fill="auto"/>
            <w:noWrap w:val="0"/>
            <w:vAlign w:val="center"/>
          </w:tcPr>
          <w:p w14:paraId="7D82BB84">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水溶性盐总量</w:t>
            </w:r>
          </w:p>
        </w:tc>
        <w:tc>
          <w:tcPr>
            <w:tcW w:w="463" w:type="pct"/>
            <w:shd w:val="clear" w:color="auto" w:fill="auto"/>
            <w:noWrap w:val="0"/>
            <w:vAlign w:val="center"/>
          </w:tcPr>
          <w:p w14:paraId="36BEAE3C">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g/kg</w:t>
            </w:r>
          </w:p>
        </w:tc>
        <w:tc>
          <w:tcPr>
            <w:tcW w:w="630" w:type="pct"/>
            <w:noWrap w:val="0"/>
            <w:vAlign w:val="center"/>
          </w:tcPr>
          <w:p w14:paraId="622BBE1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560" w:type="pct"/>
            <w:shd w:val="clear" w:color="auto" w:fill="auto"/>
            <w:noWrap w:val="0"/>
            <w:vAlign w:val="center"/>
          </w:tcPr>
          <w:p w14:paraId="6E73142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3.3</w:t>
            </w:r>
          </w:p>
        </w:tc>
        <w:tc>
          <w:tcPr>
            <w:tcW w:w="582" w:type="pct"/>
            <w:shd w:val="clear" w:color="auto" w:fill="auto"/>
            <w:noWrap w:val="0"/>
            <w:vAlign w:val="center"/>
          </w:tcPr>
          <w:p w14:paraId="2C32F99B">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2.8</w:t>
            </w:r>
          </w:p>
        </w:tc>
        <w:tc>
          <w:tcPr>
            <w:tcW w:w="561" w:type="pct"/>
            <w:shd w:val="clear" w:color="auto" w:fill="auto"/>
            <w:noWrap w:val="0"/>
            <w:vAlign w:val="center"/>
          </w:tcPr>
          <w:p w14:paraId="1EEC885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3.4</w:t>
            </w:r>
          </w:p>
        </w:tc>
        <w:tc>
          <w:tcPr>
            <w:tcW w:w="566" w:type="pct"/>
            <w:shd w:val="clear" w:color="auto" w:fill="auto"/>
            <w:noWrap w:val="0"/>
            <w:vAlign w:val="center"/>
          </w:tcPr>
          <w:p w14:paraId="36049F8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3.1</w:t>
            </w:r>
          </w:p>
        </w:tc>
        <w:tc>
          <w:tcPr>
            <w:tcW w:w="582" w:type="pct"/>
            <w:noWrap w:val="0"/>
            <w:vAlign w:val="center"/>
          </w:tcPr>
          <w:p w14:paraId="3DE8359E">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3A35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3DB904FB">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w:t>
            </w:r>
          </w:p>
        </w:tc>
        <w:tc>
          <w:tcPr>
            <w:tcW w:w="616" w:type="pct"/>
            <w:shd w:val="clear" w:color="auto" w:fill="auto"/>
            <w:noWrap w:val="0"/>
            <w:vAlign w:val="center"/>
          </w:tcPr>
          <w:p w14:paraId="71041F81">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石油烃</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10</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40</w:t>
            </w:r>
            <w:r>
              <w:rPr>
                <w:rFonts w:hint="default" w:ascii="Times New Roman" w:hAnsi="Times New Roman" w:eastAsia="宋体" w:cs="Times New Roman"/>
                <w:color w:val="auto"/>
                <w:kern w:val="0"/>
                <w:sz w:val="21"/>
                <w:szCs w:val="21"/>
                <w:lang w:val="en-US" w:eastAsia="zh-CN" w:bidi="ar"/>
              </w:rPr>
              <w:t>)</w:t>
            </w:r>
          </w:p>
        </w:tc>
        <w:tc>
          <w:tcPr>
            <w:tcW w:w="463" w:type="pct"/>
            <w:shd w:val="clear" w:color="auto" w:fill="auto"/>
            <w:noWrap w:val="0"/>
            <w:vAlign w:val="center"/>
          </w:tcPr>
          <w:p w14:paraId="2E39E1D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shd w:val="clear" w:color="auto" w:fill="auto"/>
            <w:noWrap w:val="0"/>
            <w:vAlign w:val="center"/>
          </w:tcPr>
          <w:p w14:paraId="7351B1D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4500</w:t>
            </w:r>
          </w:p>
        </w:tc>
        <w:tc>
          <w:tcPr>
            <w:tcW w:w="560" w:type="pct"/>
            <w:shd w:val="clear" w:color="auto" w:fill="auto"/>
            <w:noWrap w:val="0"/>
            <w:vAlign w:val="center"/>
          </w:tcPr>
          <w:p w14:paraId="1F9B7D7E">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30.1</w:t>
            </w:r>
          </w:p>
        </w:tc>
        <w:tc>
          <w:tcPr>
            <w:tcW w:w="582" w:type="pct"/>
            <w:shd w:val="clear" w:color="auto" w:fill="auto"/>
            <w:noWrap w:val="0"/>
            <w:vAlign w:val="center"/>
          </w:tcPr>
          <w:p w14:paraId="01872BB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32.6</w:t>
            </w:r>
          </w:p>
        </w:tc>
        <w:tc>
          <w:tcPr>
            <w:tcW w:w="561" w:type="pct"/>
            <w:shd w:val="clear" w:color="auto" w:fill="auto"/>
            <w:noWrap w:val="0"/>
            <w:vAlign w:val="center"/>
          </w:tcPr>
          <w:p w14:paraId="4049355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38.6</w:t>
            </w:r>
          </w:p>
        </w:tc>
        <w:tc>
          <w:tcPr>
            <w:tcW w:w="566" w:type="pct"/>
            <w:shd w:val="clear" w:color="auto" w:fill="auto"/>
            <w:noWrap w:val="0"/>
            <w:vAlign w:val="center"/>
          </w:tcPr>
          <w:p w14:paraId="05DA444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35.8</w:t>
            </w:r>
          </w:p>
        </w:tc>
        <w:tc>
          <w:tcPr>
            <w:tcW w:w="582" w:type="pct"/>
            <w:noWrap w:val="0"/>
            <w:vAlign w:val="center"/>
          </w:tcPr>
          <w:p w14:paraId="564A2D0E">
            <w:pPr>
              <w:jc w:val="center"/>
              <w:rPr>
                <w:rFonts w:hint="default" w:eastAsia="宋体"/>
                <w:b w:val="0"/>
                <w:bCs w:val="0"/>
                <w:color w:val="auto"/>
                <w:szCs w:val="21"/>
                <w:lang w:val="en-US" w:eastAsia="zh-CN"/>
              </w:rPr>
            </w:pPr>
            <w:r>
              <w:rPr>
                <w:rFonts w:hint="eastAsia"/>
                <w:b w:val="0"/>
                <w:bCs w:val="0"/>
                <w:color w:val="auto"/>
                <w:szCs w:val="21"/>
                <w:lang w:val="en-US" w:eastAsia="zh-CN"/>
              </w:rPr>
              <w:t>达标</w:t>
            </w:r>
          </w:p>
        </w:tc>
      </w:tr>
      <w:tr w14:paraId="49CB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109FCF27">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w:t>
            </w:r>
          </w:p>
        </w:tc>
        <w:tc>
          <w:tcPr>
            <w:tcW w:w="616" w:type="pct"/>
            <w:shd w:val="clear" w:color="auto" w:fill="auto"/>
            <w:noWrap w:val="0"/>
            <w:vAlign w:val="center"/>
          </w:tcPr>
          <w:p w14:paraId="121A3B0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镉</w:t>
            </w:r>
          </w:p>
        </w:tc>
        <w:tc>
          <w:tcPr>
            <w:tcW w:w="463" w:type="pct"/>
            <w:shd w:val="clear" w:color="auto" w:fill="auto"/>
            <w:noWrap w:val="0"/>
            <w:vAlign w:val="center"/>
          </w:tcPr>
          <w:p w14:paraId="7ECD41B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mg/kg</w:t>
            </w:r>
          </w:p>
        </w:tc>
        <w:tc>
          <w:tcPr>
            <w:tcW w:w="630" w:type="pct"/>
            <w:shd w:val="clear" w:color="auto" w:fill="auto"/>
            <w:noWrap w:val="0"/>
            <w:vAlign w:val="center"/>
          </w:tcPr>
          <w:p w14:paraId="115969FA">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65/0.6</w:t>
            </w:r>
          </w:p>
        </w:tc>
        <w:tc>
          <w:tcPr>
            <w:tcW w:w="560" w:type="pct"/>
            <w:shd w:val="clear" w:color="auto" w:fill="auto"/>
            <w:noWrap w:val="0"/>
            <w:vAlign w:val="center"/>
          </w:tcPr>
          <w:p w14:paraId="52ACB64E">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0.22</w:t>
            </w:r>
          </w:p>
        </w:tc>
        <w:tc>
          <w:tcPr>
            <w:tcW w:w="582" w:type="pct"/>
            <w:shd w:val="clear" w:color="auto" w:fill="auto"/>
            <w:noWrap w:val="0"/>
            <w:vAlign w:val="center"/>
          </w:tcPr>
          <w:p w14:paraId="263A94D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0.19</w:t>
            </w:r>
          </w:p>
        </w:tc>
        <w:tc>
          <w:tcPr>
            <w:tcW w:w="561" w:type="pct"/>
            <w:shd w:val="clear" w:color="auto" w:fill="auto"/>
            <w:noWrap w:val="0"/>
            <w:vAlign w:val="center"/>
          </w:tcPr>
          <w:p w14:paraId="46742DAE">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0.16</w:t>
            </w:r>
          </w:p>
        </w:tc>
        <w:tc>
          <w:tcPr>
            <w:tcW w:w="566" w:type="pct"/>
            <w:shd w:val="clear" w:color="auto" w:fill="auto"/>
            <w:noWrap w:val="0"/>
            <w:vAlign w:val="center"/>
          </w:tcPr>
          <w:p w14:paraId="51931F9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0.19</w:t>
            </w:r>
          </w:p>
        </w:tc>
        <w:tc>
          <w:tcPr>
            <w:tcW w:w="582" w:type="pct"/>
            <w:noWrap w:val="0"/>
            <w:vAlign w:val="center"/>
          </w:tcPr>
          <w:p w14:paraId="3C72070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E62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1B26EA5D">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5</w:t>
            </w:r>
          </w:p>
        </w:tc>
        <w:tc>
          <w:tcPr>
            <w:tcW w:w="616" w:type="pct"/>
            <w:shd w:val="clear" w:color="auto" w:fill="auto"/>
            <w:noWrap w:val="0"/>
            <w:vAlign w:val="center"/>
          </w:tcPr>
          <w:p w14:paraId="4A27DDBF">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汞</w:t>
            </w:r>
          </w:p>
        </w:tc>
        <w:tc>
          <w:tcPr>
            <w:tcW w:w="463" w:type="pct"/>
            <w:shd w:val="clear" w:color="auto" w:fill="auto"/>
            <w:noWrap w:val="0"/>
            <w:vAlign w:val="center"/>
          </w:tcPr>
          <w:p w14:paraId="67319D10">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shd w:val="clear" w:color="auto" w:fill="auto"/>
            <w:noWrap w:val="0"/>
            <w:vAlign w:val="center"/>
          </w:tcPr>
          <w:p w14:paraId="5376865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38/3.4</w:t>
            </w:r>
          </w:p>
        </w:tc>
        <w:tc>
          <w:tcPr>
            <w:tcW w:w="560" w:type="pct"/>
            <w:shd w:val="clear" w:color="auto" w:fill="auto"/>
            <w:noWrap w:val="0"/>
            <w:vAlign w:val="center"/>
          </w:tcPr>
          <w:p w14:paraId="6C4895D8">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0.015</w:t>
            </w:r>
          </w:p>
        </w:tc>
        <w:tc>
          <w:tcPr>
            <w:tcW w:w="582" w:type="pct"/>
            <w:shd w:val="clear" w:color="auto" w:fill="auto"/>
            <w:noWrap w:val="0"/>
            <w:vAlign w:val="center"/>
          </w:tcPr>
          <w:p w14:paraId="02ADA76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0.016</w:t>
            </w:r>
          </w:p>
        </w:tc>
        <w:tc>
          <w:tcPr>
            <w:tcW w:w="561" w:type="pct"/>
            <w:shd w:val="clear" w:color="auto" w:fill="auto"/>
            <w:noWrap w:val="0"/>
            <w:vAlign w:val="center"/>
          </w:tcPr>
          <w:p w14:paraId="350F51D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0.019</w:t>
            </w:r>
          </w:p>
        </w:tc>
        <w:tc>
          <w:tcPr>
            <w:tcW w:w="566" w:type="pct"/>
            <w:shd w:val="clear" w:color="auto" w:fill="auto"/>
            <w:noWrap w:val="0"/>
            <w:vAlign w:val="center"/>
          </w:tcPr>
          <w:p w14:paraId="33429FA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0.016</w:t>
            </w:r>
          </w:p>
        </w:tc>
        <w:tc>
          <w:tcPr>
            <w:tcW w:w="582" w:type="pct"/>
            <w:noWrap w:val="0"/>
            <w:vAlign w:val="center"/>
          </w:tcPr>
          <w:p w14:paraId="0B9D871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9FA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noWrap w:val="0"/>
            <w:vAlign w:val="center"/>
          </w:tcPr>
          <w:p w14:paraId="216C166F">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6</w:t>
            </w:r>
          </w:p>
        </w:tc>
        <w:tc>
          <w:tcPr>
            <w:tcW w:w="616" w:type="pct"/>
            <w:shd w:val="clear" w:color="auto" w:fill="auto"/>
            <w:noWrap w:val="0"/>
            <w:vAlign w:val="center"/>
          </w:tcPr>
          <w:p w14:paraId="1B413271">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砷</w:t>
            </w:r>
          </w:p>
        </w:tc>
        <w:tc>
          <w:tcPr>
            <w:tcW w:w="463" w:type="pct"/>
            <w:shd w:val="clear" w:color="auto" w:fill="auto"/>
            <w:noWrap w:val="0"/>
            <w:vAlign w:val="center"/>
          </w:tcPr>
          <w:p w14:paraId="683854C0">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shd w:val="clear" w:color="auto" w:fill="auto"/>
            <w:noWrap w:val="0"/>
            <w:vAlign w:val="center"/>
          </w:tcPr>
          <w:p w14:paraId="23CB7D7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60/25</w:t>
            </w:r>
          </w:p>
        </w:tc>
        <w:tc>
          <w:tcPr>
            <w:tcW w:w="560" w:type="pct"/>
            <w:shd w:val="clear" w:color="auto" w:fill="auto"/>
            <w:noWrap w:val="0"/>
            <w:vAlign w:val="center"/>
          </w:tcPr>
          <w:p w14:paraId="7E616842">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8.37</w:t>
            </w:r>
          </w:p>
        </w:tc>
        <w:tc>
          <w:tcPr>
            <w:tcW w:w="582" w:type="pct"/>
            <w:shd w:val="clear" w:color="auto" w:fill="auto"/>
            <w:noWrap w:val="0"/>
            <w:vAlign w:val="center"/>
          </w:tcPr>
          <w:p w14:paraId="3238D43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8.52</w:t>
            </w:r>
          </w:p>
        </w:tc>
        <w:tc>
          <w:tcPr>
            <w:tcW w:w="561" w:type="pct"/>
            <w:shd w:val="clear" w:color="auto" w:fill="auto"/>
            <w:noWrap w:val="0"/>
            <w:vAlign w:val="center"/>
          </w:tcPr>
          <w:p w14:paraId="29BC2D72">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8.92</w:t>
            </w:r>
          </w:p>
        </w:tc>
        <w:tc>
          <w:tcPr>
            <w:tcW w:w="566" w:type="pct"/>
            <w:shd w:val="clear" w:color="auto" w:fill="auto"/>
            <w:noWrap w:val="0"/>
            <w:vAlign w:val="center"/>
          </w:tcPr>
          <w:p w14:paraId="49F5110E">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8.66</w:t>
            </w:r>
          </w:p>
        </w:tc>
        <w:tc>
          <w:tcPr>
            <w:tcW w:w="582" w:type="pct"/>
            <w:noWrap w:val="0"/>
            <w:vAlign w:val="center"/>
          </w:tcPr>
          <w:p w14:paraId="6B226B1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8B7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5A8E9941">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7</w:t>
            </w:r>
          </w:p>
        </w:tc>
        <w:tc>
          <w:tcPr>
            <w:tcW w:w="616" w:type="pct"/>
            <w:shd w:val="clear" w:color="auto" w:fill="auto"/>
            <w:vAlign w:val="center"/>
          </w:tcPr>
          <w:p w14:paraId="14A90348">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铅</w:t>
            </w:r>
          </w:p>
        </w:tc>
        <w:tc>
          <w:tcPr>
            <w:tcW w:w="463" w:type="pct"/>
            <w:shd w:val="clear" w:color="auto" w:fill="auto"/>
            <w:vAlign w:val="center"/>
          </w:tcPr>
          <w:p w14:paraId="68501080">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shd w:val="clear" w:color="auto" w:fill="auto"/>
            <w:vAlign w:val="top"/>
          </w:tcPr>
          <w:p w14:paraId="7B59057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800/170</w:t>
            </w:r>
          </w:p>
        </w:tc>
        <w:tc>
          <w:tcPr>
            <w:tcW w:w="560" w:type="pct"/>
            <w:shd w:val="clear" w:color="auto" w:fill="auto"/>
            <w:vAlign w:val="center"/>
          </w:tcPr>
          <w:p w14:paraId="6D1AD71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13.4</w:t>
            </w:r>
          </w:p>
        </w:tc>
        <w:tc>
          <w:tcPr>
            <w:tcW w:w="582" w:type="pct"/>
            <w:shd w:val="clear" w:color="auto" w:fill="auto"/>
            <w:vAlign w:val="center"/>
          </w:tcPr>
          <w:p w14:paraId="3829D61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13.9</w:t>
            </w:r>
          </w:p>
        </w:tc>
        <w:tc>
          <w:tcPr>
            <w:tcW w:w="561" w:type="pct"/>
            <w:shd w:val="clear" w:color="auto" w:fill="auto"/>
            <w:vAlign w:val="center"/>
          </w:tcPr>
          <w:p w14:paraId="2C46F4C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12.6</w:t>
            </w:r>
          </w:p>
        </w:tc>
        <w:tc>
          <w:tcPr>
            <w:tcW w:w="566" w:type="pct"/>
            <w:shd w:val="clear" w:color="auto" w:fill="auto"/>
            <w:vAlign w:val="center"/>
          </w:tcPr>
          <w:p w14:paraId="2EFFF23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13.3</w:t>
            </w:r>
          </w:p>
        </w:tc>
        <w:tc>
          <w:tcPr>
            <w:tcW w:w="582" w:type="pct"/>
          </w:tcPr>
          <w:p w14:paraId="7A2BB08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CDA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41D88C93">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8</w:t>
            </w:r>
          </w:p>
        </w:tc>
        <w:tc>
          <w:tcPr>
            <w:tcW w:w="616" w:type="pct"/>
            <w:shd w:val="clear" w:color="auto" w:fill="auto"/>
            <w:vAlign w:val="center"/>
          </w:tcPr>
          <w:p w14:paraId="6F6CED39">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铜</w:t>
            </w:r>
          </w:p>
        </w:tc>
        <w:tc>
          <w:tcPr>
            <w:tcW w:w="463" w:type="pct"/>
            <w:shd w:val="clear" w:color="auto" w:fill="auto"/>
            <w:vAlign w:val="center"/>
          </w:tcPr>
          <w:p w14:paraId="034D780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shd w:val="clear" w:color="auto" w:fill="auto"/>
            <w:vAlign w:val="top"/>
          </w:tcPr>
          <w:p w14:paraId="58009B44">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18000/100</w:t>
            </w:r>
          </w:p>
        </w:tc>
        <w:tc>
          <w:tcPr>
            <w:tcW w:w="560" w:type="pct"/>
            <w:shd w:val="clear" w:color="auto" w:fill="auto"/>
            <w:vAlign w:val="center"/>
          </w:tcPr>
          <w:p w14:paraId="19454ED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w:t>
            </w:r>
          </w:p>
        </w:tc>
        <w:tc>
          <w:tcPr>
            <w:tcW w:w="582" w:type="pct"/>
            <w:shd w:val="clear" w:color="auto" w:fill="auto"/>
            <w:vAlign w:val="center"/>
          </w:tcPr>
          <w:p w14:paraId="2BB05BA6">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38</w:t>
            </w:r>
          </w:p>
        </w:tc>
        <w:tc>
          <w:tcPr>
            <w:tcW w:w="561" w:type="pct"/>
            <w:shd w:val="clear" w:color="auto" w:fill="auto"/>
            <w:vAlign w:val="center"/>
          </w:tcPr>
          <w:p w14:paraId="57F3043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w:t>
            </w:r>
          </w:p>
        </w:tc>
        <w:tc>
          <w:tcPr>
            <w:tcW w:w="566" w:type="pct"/>
            <w:shd w:val="clear" w:color="auto" w:fill="auto"/>
            <w:vAlign w:val="center"/>
          </w:tcPr>
          <w:p w14:paraId="2AB4ADF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36</w:t>
            </w:r>
          </w:p>
        </w:tc>
        <w:tc>
          <w:tcPr>
            <w:tcW w:w="582" w:type="pct"/>
          </w:tcPr>
          <w:p w14:paraId="0360478E">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4CED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50D275E5">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9</w:t>
            </w:r>
          </w:p>
        </w:tc>
        <w:tc>
          <w:tcPr>
            <w:tcW w:w="616" w:type="pct"/>
            <w:shd w:val="clear" w:color="auto" w:fill="auto"/>
            <w:vAlign w:val="center"/>
          </w:tcPr>
          <w:p w14:paraId="0711875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镍</w:t>
            </w:r>
          </w:p>
        </w:tc>
        <w:tc>
          <w:tcPr>
            <w:tcW w:w="463" w:type="pct"/>
            <w:shd w:val="clear" w:color="auto" w:fill="auto"/>
            <w:vAlign w:val="center"/>
          </w:tcPr>
          <w:p w14:paraId="162637A2">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shd w:val="clear" w:color="auto" w:fill="auto"/>
            <w:vAlign w:val="top"/>
          </w:tcPr>
          <w:p w14:paraId="0C149A4C">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900/190</w:t>
            </w:r>
          </w:p>
        </w:tc>
        <w:tc>
          <w:tcPr>
            <w:tcW w:w="560" w:type="pct"/>
            <w:shd w:val="clear" w:color="auto" w:fill="auto"/>
            <w:vAlign w:val="center"/>
          </w:tcPr>
          <w:p w14:paraId="622BC62B">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29</w:t>
            </w:r>
          </w:p>
        </w:tc>
        <w:tc>
          <w:tcPr>
            <w:tcW w:w="582" w:type="pct"/>
            <w:shd w:val="clear" w:color="auto" w:fill="auto"/>
            <w:vAlign w:val="center"/>
          </w:tcPr>
          <w:p w14:paraId="52EAFB3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32</w:t>
            </w:r>
          </w:p>
        </w:tc>
        <w:tc>
          <w:tcPr>
            <w:tcW w:w="561" w:type="pct"/>
            <w:shd w:val="clear" w:color="auto" w:fill="auto"/>
            <w:vAlign w:val="center"/>
          </w:tcPr>
          <w:p w14:paraId="4A785ED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34</w:t>
            </w:r>
          </w:p>
        </w:tc>
        <w:tc>
          <w:tcPr>
            <w:tcW w:w="566" w:type="pct"/>
            <w:shd w:val="clear" w:color="auto" w:fill="auto"/>
            <w:vAlign w:val="center"/>
          </w:tcPr>
          <w:p w14:paraId="543EEF0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582" w:type="pct"/>
          </w:tcPr>
          <w:p w14:paraId="71528770">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214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7D9A6B7E">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10</w:t>
            </w:r>
          </w:p>
        </w:tc>
        <w:tc>
          <w:tcPr>
            <w:tcW w:w="616" w:type="pct"/>
            <w:shd w:val="clear" w:color="auto" w:fill="auto"/>
            <w:vAlign w:val="center"/>
          </w:tcPr>
          <w:p w14:paraId="5EE995EB">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SA"/>
              </w:rPr>
              <w:t>铬</w:t>
            </w:r>
          </w:p>
        </w:tc>
        <w:tc>
          <w:tcPr>
            <w:tcW w:w="463" w:type="pct"/>
            <w:shd w:val="clear" w:color="auto" w:fill="auto"/>
            <w:vAlign w:val="center"/>
          </w:tcPr>
          <w:p w14:paraId="721DD2F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tcPr>
          <w:p w14:paraId="513EC83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250</w:t>
            </w:r>
          </w:p>
        </w:tc>
        <w:tc>
          <w:tcPr>
            <w:tcW w:w="560" w:type="pct"/>
            <w:shd w:val="clear" w:color="auto" w:fill="auto"/>
            <w:vAlign w:val="center"/>
          </w:tcPr>
          <w:p w14:paraId="58A5FEDE">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41</w:t>
            </w:r>
          </w:p>
        </w:tc>
        <w:tc>
          <w:tcPr>
            <w:tcW w:w="582" w:type="pct"/>
            <w:shd w:val="clear" w:color="auto" w:fill="auto"/>
            <w:vAlign w:val="center"/>
          </w:tcPr>
          <w:p w14:paraId="45732990">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46</w:t>
            </w:r>
          </w:p>
        </w:tc>
        <w:tc>
          <w:tcPr>
            <w:tcW w:w="561" w:type="pct"/>
            <w:shd w:val="clear" w:color="auto" w:fill="auto"/>
            <w:vAlign w:val="center"/>
          </w:tcPr>
          <w:p w14:paraId="40C5237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45</w:t>
            </w:r>
          </w:p>
        </w:tc>
        <w:tc>
          <w:tcPr>
            <w:tcW w:w="566" w:type="pct"/>
            <w:shd w:val="clear" w:color="auto" w:fill="auto"/>
            <w:vAlign w:val="center"/>
          </w:tcPr>
          <w:p w14:paraId="7864A91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42</w:t>
            </w:r>
          </w:p>
        </w:tc>
        <w:tc>
          <w:tcPr>
            <w:tcW w:w="582" w:type="pct"/>
          </w:tcPr>
          <w:p w14:paraId="2281232A">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ED6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 w:type="pct"/>
            <w:shd w:val="clear" w:color="auto" w:fill="auto"/>
            <w:vAlign w:val="center"/>
          </w:tcPr>
          <w:p w14:paraId="2E4CB3F0">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11</w:t>
            </w:r>
          </w:p>
        </w:tc>
        <w:tc>
          <w:tcPr>
            <w:tcW w:w="616" w:type="pct"/>
            <w:shd w:val="clear" w:color="auto" w:fill="auto"/>
            <w:vAlign w:val="center"/>
          </w:tcPr>
          <w:p w14:paraId="264B45E6">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kern w:val="2"/>
                <w:sz w:val="21"/>
                <w:szCs w:val="21"/>
                <w:lang w:val="en-US" w:eastAsia="zh-CN" w:bidi="ar-SA"/>
              </w:rPr>
              <w:t>锌</w:t>
            </w:r>
          </w:p>
        </w:tc>
        <w:tc>
          <w:tcPr>
            <w:tcW w:w="463" w:type="pct"/>
            <w:shd w:val="clear" w:color="auto" w:fill="auto"/>
            <w:vAlign w:val="center"/>
          </w:tcPr>
          <w:p w14:paraId="6C8EAC9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630" w:type="pct"/>
          </w:tcPr>
          <w:p w14:paraId="2DE816A7">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300</w:t>
            </w:r>
          </w:p>
        </w:tc>
        <w:tc>
          <w:tcPr>
            <w:tcW w:w="560" w:type="pct"/>
            <w:shd w:val="clear" w:color="auto" w:fill="auto"/>
            <w:vAlign w:val="center"/>
          </w:tcPr>
          <w:p w14:paraId="78D54016">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47</w:t>
            </w:r>
          </w:p>
        </w:tc>
        <w:tc>
          <w:tcPr>
            <w:tcW w:w="582" w:type="pct"/>
            <w:shd w:val="clear" w:color="auto" w:fill="auto"/>
            <w:vAlign w:val="center"/>
          </w:tcPr>
          <w:p w14:paraId="729AB08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53</w:t>
            </w:r>
          </w:p>
        </w:tc>
        <w:tc>
          <w:tcPr>
            <w:tcW w:w="561" w:type="pct"/>
            <w:shd w:val="clear" w:color="auto" w:fill="auto"/>
            <w:vAlign w:val="center"/>
          </w:tcPr>
          <w:p w14:paraId="34DDF315">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59</w:t>
            </w:r>
          </w:p>
        </w:tc>
        <w:tc>
          <w:tcPr>
            <w:tcW w:w="566" w:type="pct"/>
            <w:shd w:val="clear" w:color="auto" w:fill="auto"/>
            <w:vAlign w:val="center"/>
          </w:tcPr>
          <w:p w14:paraId="6A3870E2">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w:t>
            </w:r>
          </w:p>
        </w:tc>
        <w:tc>
          <w:tcPr>
            <w:tcW w:w="582" w:type="pct"/>
          </w:tcPr>
          <w:p w14:paraId="4D497E77">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2BE2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563240F7">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12</w:t>
            </w:r>
          </w:p>
        </w:tc>
        <w:tc>
          <w:tcPr>
            <w:tcW w:w="0" w:type="auto"/>
            <w:shd w:val="clear" w:color="auto" w:fill="auto"/>
            <w:vAlign w:val="center"/>
          </w:tcPr>
          <w:p w14:paraId="3933B64B">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水分</w:t>
            </w:r>
          </w:p>
        </w:tc>
        <w:tc>
          <w:tcPr>
            <w:tcW w:w="0" w:type="auto"/>
            <w:shd w:val="clear" w:color="auto" w:fill="auto"/>
            <w:vAlign w:val="center"/>
          </w:tcPr>
          <w:p w14:paraId="2D4E3D52">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0" w:type="auto"/>
          </w:tcPr>
          <w:p w14:paraId="6497CB10">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07FEA4EA">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3.1</w:t>
            </w:r>
          </w:p>
        </w:tc>
        <w:tc>
          <w:tcPr>
            <w:tcW w:w="0" w:type="auto"/>
            <w:shd w:val="clear" w:color="auto" w:fill="auto"/>
            <w:vAlign w:val="center"/>
          </w:tcPr>
          <w:p w14:paraId="35A506F0">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3.1</w:t>
            </w:r>
          </w:p>
        </w:tc>
        <w:tc>
          <w:tcPr>
            <w:tcW w:w="0" w:type="auto"/>
            <w:shd w:val="clear" w:color="auto" w:fill="auto"/>
            <w:vAlign w:val="center"/>
          </w:tcPr>
          <w:p w14:paraId="57B0FE2E">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w:t>
            </w:r>
          </w:p>
        </w:tc>
        <w:tc>
          <w:tcPr>
            <w:tcW w:w="0" w:type="auto"/>
            <w:shd w:val="clear" w:color="auto" w:fill="auto"/>
            <w:vAlign w:val="center"/>
          </w:tcPr>
          <w:p w14:paraId="4013E5E0">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3.1</w:t>
            </w:r>
          </w:p>
        </w:tc>
        <w:tc>
          <w:tcPr>
            <w:tcW w:w="0" w:type="auto"/>
          </w:tcPr>
          <w:p w14:paraId="7839D330">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4329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2362E5EF">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13</w:t>
            </w:r>
          </w:p>
        </w:tc>
        <w:tc>
          <w:tcPr>
            <w:tcW w:w="0" w:type="auto"/>
            <w:shd w:val="clear" w:color="auto" w:fill="auto"/>
            <w:vAlign w:val="center"/>
          </w:tcPr>
          <w:p w14:paraId="48A848A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干物质</w:t>
            </w:r>
          </w:p>
        </w:tc>
        <w:tc>
          <w:tcPr>
            <w:tcW w:w="0" w:type="auto"/>
            <w:shd w:val="clear" w:color="auto" w:fill="auto"/>
            <w:vAlign w:val="center"/>
          </w:tcPr>
          <w:p w14:paraId="391EC960">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0" w:type="auto"/>
          </w:tcPr>
          <w:p w14:paraId="4C8E046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shd w:val="clear" w:color="auto" w:fill="auto"/>
            <w:vAlign w:val="center"/>
          </w:tcPr>
          <w:p w14:paraId="7E4D1EB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96.9</w:t>
            </w:r>
          </w:p>
        </w:tc>
        <w:tc>
          <w:tcPr>
            <w:tcW w:w="0" w:type="auto"/>
            <w:shd w:val="clear" w:color="auto" w:fill="auto"/>
            <w:vAlign w:val="center"/>
          </w:tcPr>
          <w:p w14:paraId="767E2F66">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96.9</w:t>
            </w:r>
          </w:p>
        </w:tc>
        <w:tc>
          <w:tcPr>
            <w:tcW w:w="0" w:type="auto"/>
            <w:shd w:val="clear" w:color="auto" w:fill="auto"/>
            <w:vAlign w:val="center"/>
          </w:tcPr>
          <w:p w14:paraId="71394AD2">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97.1</w:t>
            </w:r>
          </w:p>
        </w:tc>
        <w:tc>
          <w:tcPr>
            <w:tcW w:w="0" w:type="auto"/>
            <w:shd w:val="clear" w:color="auto" w:fill="auto"/>
            <w:vAlign w:val="center"/>
          </w:tcPr>
          <w:p w14:paraId="67B2984E">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96.9</w:t>
            </w:r>
          </w:p>
        </w:tc>
        <w:tc>
          <w:tcPr>
            <w:tcW w:w="0" w:type="auto"/>
          </w:tcPr>
          <w:p w14:paraId="36BC5252">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bl>
    <w:p w14:paraId="49939EFB">
      <w:pPr>
        <w:pStyle w:val="32"/>
        <w:bidi w:val="0"/>
        <w:rPr>
          <w:rFonts w:hint="eastAsia"/>
          <w:color w:val="auto"/>
          <w:lang w:val="en-US" w:eastAsia="zh-CN"/>
        </w:rPr>
      </w:pPr>
    </w:p>
    <w:p w14:paraId="026F51E5">
      <w:pPr>
        <w:pStyle w:val="32"/>
        <w:bidi w:val="0"/>
        <w:rPr>
          <w:rFonts w:hint="eastAsia"/>
          <w:color w:val="auto"/>
          <w:lang w:val="en-US" w:eastAsia="zh-CN"/>
        </w:rPr>
      </w:pPr>
    </w:p>
    <w:p w14:paraId="6E97C7E6">
      <w:pPr>
        <w:pStyle w:val="32"/>
        <w:bidi w:val="0"/>
        <w:rPr>
          <w:rFonts w:hint="eastAsia"/>
          <w:color w:val="auto"/>
          <w:lang w:val="en-US" w:eastAsia="zh-CN"/>
        </w:rPr>
      </w:pPr>
    </w:p>
    <w:p w14:paraId="5E82B428">
      <w:pPr>
        <w:pStyle w:val="32"/>
        <w:bidi w:val="0"/>
        <w:rPr>
          <w:rFonts w:hint="default"/>
          <w:color w:val="auto"/>
          <w:lang w:val="en-US" w:eastAsia="zh-CN"/>
        </w:rPr>
      </w:pPr>
      <w:r>
        <w:rPr>
          <w:rFonts w:hint="eastAsia"/>
          <w:color w:val="auto"/>
          <w:lang w:val="en-US" w:eastAsia="zh-CN"/>
        </w:rPr>
        <w:t>表4.2-14（g）  土壤监测结果一览表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1967"/>
        <w:gridCol w:w="1477"/>
        <w:gridCol w:w="2009"/>
        <w:gridCol w:w="1856"/>
        <w:gridCol w:w="1791"/>
        <w:gridCol w:w="1811"/>
        <w:gridCol w:w="1857"/>
      </w:tblGrid>
      <w:tr w14:paraId="0BF3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vMerge w:val="restart"/>
            <w:noWrap w:val="0"/>
            <w:vAlign w:val="center"/>
          </w:tcPr>
          <w:p w14:paraId="1A22DBAA">
            <w:pPr>
              <w:jc w:val="center"/>
              <w:rPr>
                <w:rFonts w:hint="eastAsia" w:eastAsia="宋体"/>
                <w:b/>
                <w:bCs/>
                <w:color w:val="auto"/>
                <w:szCs w:val="21"/>
                <w:lang w:val="en-US" w:eastAsia="zh-CN"/>
              </w:rPr>
            </w:pPr>
            <w:r>
              <w:rPr>
                <w:rFonts w:hint="eastAsia"/>
                <w:b/>
                <w:bCs/>
                <w:color w:val="auto"/>
                <w:szCs w:val="21"/>
                <w:lang w:val="en-US" w:eastAsia="zh-CN"/>
              </w:rPr>
              <w:t>序号</w:t>
            </w:r>
          </w:p>
        </w:tc>
        <w:tc>
          <w:tcPr>
            <w:tcW w:w="694" w:type="pct"/>
            <w:vMerge w:val="restart"/>
            <w:noWrap w:val="0"/>
            <w:vAlign w:val="center"/>
          </w:tcPr>
          <w:p w14:paraId="2332A111">
            <w:pPr>
              <w:jc w:val="center"/>
              <w:rPr>
                <w:b/>
                <w:bCs/>
                <w:color w:val="auto"/>
                <w:szCs w:val="21"/>
              </w:rPr>
            </w:pPr>
            <w:r>
              <w:rPr>
                <w:b/>
                <w:bCs/>
                <w:color w:val="auto"/>
                <w:szCs w:val="21"/>
              </w:rPr>
              <w:t>检测项目</w:t>
            </w:r>
          </w:p>
        </w:tc>
        <w:tc>
          <w:tcPr>
            <w:tcW w:w="521" w:type="pct"/>
            <w:vMerge w:val="restart"/>
            <w:noWrap w:val="0"/>
            <w:vAlign w:val="center"/>
          </w:tcPr>
          <w:p w14:paraId="141303DF">
            <w:pPr>
              <w:jc w:val="center"/>
              <w:rPr>
                <w:b/>
                <w:bCs/>
                <w:color w:val="auto"/>
                <w:szCs w:val="21"/>
              </w:rPr>
            </w:pPr>
            <w:r>
              <w:rPr>
                <w:b/>
                <w:bCs/>
                <w:color w:val="auto"/>
                <w:szCs w:val="21"/>
              </w:rPr>
              <w:t>单位</w:t>
            </w:r>
          </w:p>
        </w:tc>
        <w:tc>
          <w:tcPr>
            <w:tcW w:w="709" w:type="pct"/>
            <w:vMerge w:val="restart"/>
            <w:noWrap w:val="0"/>
            <w:vAlign w:val="center"/>
          </w:tcPr>
          <w:p w14:paraId="44AA0AC6">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Cs w:val="21"/>
                <w:lang w:val="en-US" w:eastAsia="zh-CN"/>
              </w:rPr>
              <w:t>风险筛选值pH&gt;7.5</w:t>
            </w:r>
          </w:p>
        </w:tc>
        <w:tc>
          <w:tcPr>
            <w:tcW w:w="1926" w:type="pct"/>
            <w:gridSpan w:val="3"/>
            <w:noWrap w:val="0"/>
            <w:vAlign w:val="center"/>
          </w:tcPr>
          <w:p w14:paraId="78C258B1">
            <w:pPr>
              <w:jc w:val="center"/>
              <w:rPr>
                <w:rFonts w:hint="default"/>
                <w:b/>
                <w:bCs/>
                <w:color w:val="auto"/>
                <w:szCs w:val="21"/>
                <w:lang w:val="en-US" w:eastAsia="zh-CN"/>
              </w:rPr>
            </w:pPr>
            <w:r>
              <w:rPr>
                <w:rFonts w:hint="eastAsia"/>
                <w:b/>
                <w:bCs/>
                <w:color w:val="auto"/>
                <w:szCs w:val="21"/>
                <w:lang w:val="en-US" w:eastAsia="zh-CN"/>
              </w:rPr>
              <w:t>占地范围外</w:t>
            </w:r>
          </w:p>
        </w:tc>
        <w:tc>
          <w:tcPr>
            <w:tcW w:w="655" w:type="pct"/>
            <w:vMerge w:val="restart"/>
            <w:noWrap w:val="0"/>
            <w:vAlign w:val="center"/>
          </w:tcPr>
          <w:p w14:paraId="00E65DA7">
            <w:pPr>
              <w:jc w:val="center"/>
              <w:rPr>
                <w:rFonts w:hint="eastAsia" w:eastAsia="宋体"/>
                <w:color w:val="auto"/>
                <w:szCs w:val="21"/>
                <w:lang w:val="en-US" w:eastAsia="zh-CN"/>
              </w:rPr>
            </w:pPr>
            <w:r>
              <w:rPr>
                <w:rFonts w:hint="eastAsia"/>
                <w:b/>
                <w:bCs/>
                <w:color w:val="auto"/>
                <w:szCs w:val="21"/>
                <w:lang w:val="en-US" w:eastAsia="zh-CN"/>
              </w:rPr>
              <w:t>达标情况</w:t>
            </w:r>
          </w:p>
        </w:tc>
      </w:tr>
      <w:tr w14:paraId="639C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vMerge w:val="continue"/>
            <w:noWrap w:val="0"/>
            <w:vAlign w:val="center"/>
          </w:tcPr>
          <w:p w14:paraId="0B1CB538">
            <w:pPr>
              <w:jc w:val="center"/>
              <w:rPr>
                <w:b/>
                <w:bCs/>
                <w:color w:val="auto"/>
                <w:szCs w:val="21"/>
              </w:rPr>
            </w:pPr>
          </w:p>
        </w:tc>
        <w:tc>
          <w:tcPr>
            <w:tcW w:w="694" w:type="pct"/>
            <w:vMerge w:val="continue"/>
            <w:noWrap w:val="0"/>
            <w:vAlign w:val="center"/>
          </w:tcPr>
          <w:p w14:paraId="55E7DA31">
            <w:pPr>
              <w:jc w:val="center"/>
              <w:rPr>
                <w:b/>
                <w:bCs/>
                <w:color w:val="auto"/>
                <w:szCs w:val="21"/>
              </w:rPr>
            </w:pPr>
          </w:p>
        </w:tc>
        <w:tc>
          <w:tcPr>
            <w:tcW w:w="521" w:type="pct"/>
            <w:vMerge w:val="continue"/>
            <w:noWrap w:val="0"/>
            <w:vAlign w:val="center"/>
          </w:tcPr>
          <w:p w14:paraId="0CC70E41">
            <w:pPr>
              <w:jc w:val="center"/>
              <w:rPr>
                <w:b/>
                <w:bCs/>
                <w:color w:val="auto"/>
                <w:szCs w:val="21"/>
              </w:rPr>
            </w:pPr>
          </w:p>
        </w:tc>
        <w:tc>
          <w:tcPr>
            <w:tcW w:w="709" w:type="pct"/>
            <w:vMerge w:val="continue"/>
            <w:noWrap w:val="0"/>
            <w:vAlign w:val="center"/>
          </w:tcPr>
          <w:p w14:paraId="3CE3DA3F">
            <w:pPr>
              <w:jc w:val="center"/>
              <w:rPr>
                <w:rFonts w:ascii="Times New Roman" w:hAnsi="Times New Roman" w:eastAsia="宋体" w:cs="Times New Roman"/>
                <w:b/>
                <w:bCs/>
                <w:color w:val="auto"/>
                <w:kern w:val="2"/>
                <w:sz w:val="21"/>
                <w:szCs w:val="21"/>
                <w:lang w:val="en-US" w:eastAsia="zh-CN" w:bidi="ar-SA"/>
              </w:rPr>
            </w:pPr>
          </w:p>
        </w:tc>
        <w:tc>
          <w:tcPr>
            <w:tcW w:w="655" w:type="pct"/>
            <w:shd w:val="clear" w:color="auto" w:fill="auto"/>
            <w:noWrap w:val="0"/>
            <w:vAlign w:val="center"/>
          </w:tcPr>
          <w:p w14:paraId="2BFF42B1">
            <w:pPr>
              <w:jc w:val="center"/>
              <w:rPr>
                <w:rFonts w:hint="eastAsia" w:ascii="Times New Roman" w:hAnsi="Times New Roman" w:eastAsia="宋体" w:cs="Times New Roman"/>
                <w:b/>
                <w:bCs/>
                <w:color w:val="auto"/>
                <w:sz w:val="21"/>
                <w:szCs w:val="21"/>
                <w:lang w:val="en-US" w:eastAsia="zh-CN" w:bidi="ar-SA"/>
              </w:rPr>
            </w:pPr>
            <w:r>
              <w:rPr>
                <w:rFonts w:hint="eastAsia"/>
                <w:b/>
                <w:bCs/>
                <w:color w:val="auto"/>
                <w:szCs w:val="21"/>
                <w:lang w:val="en-US" w:eastAsia="zh-CN"/>
              </w:rPr>
              <w:t>T14</w:t>
            </w:r>
            <w:r>
              <w:rPr>
                <w:b/>
                <w:bCs/>
                <w:color w:val="auto"/>
                <w:szCs w:val="21"/>
              </w:rPr>
              <w:t>监测结果</w:t>
            </w:r>
          </w:p>
        </w:tc>
        <w:tc>
          <w:tcPr>
            <w:tcW w:w="632" w:type="pct"/>
            <w:shd w:val="clear" w:color="auto" w:fill="auto"/>
            <w:noWrap w:val="0"/>
            <w:vAlign w:val="center"/>
          </w:tcPr>
          <w:p w14:paraId="55EE9E05">
            <w:pPr>
              <w:jc w:val="center"/>
              <w:rPr>
                <w:rFonts w:hint="eastAsia" w:ascii="Times New Roman" w:hAnsi="Times New Roman" w:eastAsia="宋体" w:cs="Times New Roman"/>
                <w:b/>
                <w:bCs/>
                <w:color w:val="auto"/>
                <w:sz w:val="21"/>
                <w:szCs w:val="21"/>
                <w:lang w:val="en-US" w:eastAsia="zh-CN" w:bidi="ar-SA"/>
              </w:rPr>
            </w:pPr>
            <w:r>
              <w:rPr>
                <w:rFonts w:hint="eastAsia"/>
                <w:b/>
                <w:bCs/>
                <w:color w:val="auto"/>
                <w:szCs w:val="21"/>
                <w:lang w:val="en-US" w:eastAsia="zh-CN"/>
              </w:rPr>
              <w:t>T15</w:t>
            </w:r>
            <w:r>
              <w:rPr>
                <w:b/>
                <w:bCs/>
                <w:color w:val="auto"/>
                <w:szCs w:val="21"/>
              </w:rPr>
              <w:t>监测结果</w:t>
            </w:r>
          </w:p>
        </w:tc>
        <w:tc>
          <w:tcPr>
            <w:tcW w:w="639" w:type="pct"/>
            <w:noWrap w:val="0"/>
            <w:vAlign w:val="center"/>
          </w:tcPr>
          <w:p w14:paraId="5AD64FBA">
            <w:pPr>
              <w:jc w:val="center"/>
              <w:rPr>
                <w:rFonts w:hint="eastAsia"/>
                <w:b/>
                <w:bCs/>
                <w:color w:val="auto"/>
                <w:szCs w:val="21"/>
              </w:rPr>
            </w:pPr>
            <w:r>
              <w:rPr>
                <w:rFonts w:hint="eastAsia"/>
                <w:b/>
                <w:bCs/>
                <w:color w:val="auto"/>
                <w:szCs w:val="21"/>
                <w:lang w:val="en-US" w:eastAsia="zh-CN"/>
              </w:rPr>
              <w:t>T16</w:t>
            </w:r>
            <w:r>
              <w:rPr>
                <w:b/>
                <w:bCs/>
                <w:color w:val="auto"/>
                <w:szCs w:val="21"/>
              </w:rPr>
              <w:t>监测结果</w:t>
            </w:r>
          </w:p>
        </w:tc>
        <w:tc>
          <w:tcPr>
            <w:tcW w:w="655" w:type="pct"/>
            <w:vMerge w:val="continue"/>
            <w:noWrap w:val="0"/>
            <w:vAlign w:val="center"/>
          </w:tcPr>
          <w:p w14:paraId="59A7AEE0">
            <w:pPr>
              <w:jc w:val="center"/>
              <w:rPr>
                <w:rFonts w:hint="eastAsia" w:eastAsia="宋体"/>
                <w:color w:val="auto"/>
                <w:szCs w:val="21"/>
                <w:lang w:val="en-US" w:eastAsia="zh-CN"/>
              </w:rPr>
            </w:pPr>
          </w:p>
        </w:tc>
      </w:tr>
      <w:tr w14:paraId="2EE8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noWrap w:val="0"/>
            <w:vAlign w:val="center"/>
          </w:tcPr>
          <w:p w14:paraId="76F694DE">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w:t>
            </w:r>
          </w:p>
        </w:tc>
        <w:tc>
          <w:tcPr>
            <w:tcW w:w="694" w:type="pct"/>
            <w:shd w:val="clear" w:color="auto" w:fill="auto"/>
            <w:noWrap w:val="0"/>
            <w:vAlign w:val="center"/>
          </w:tcPr>
          <w:p w14:paraId="0DF0C3F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521" w:type="pct"/>
            <w:shd w:val="clear" w:color="auto" w:fill="auto"/>
            <w:noWrap w:val="0"/>
            <w:vAlign w:val="center"/>
          </w:tcPr>
          <w:p w14:paraId="3958BFBF">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无量纲</w:t>
            </w:r>
          </w:p>
        </w:tc>
        <w:tc>
          <w:tcPr>
            <w:tcW w:w="709" w:type="pct"/>
            <w:noWrap w:val="0"/>
            <w:vAlign w:val="center"/>
          </w:tcPr>
          <w:p w14:paraId="53F91D19">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55" w:type="pct"/>
            <w:noWrap w:val="0"/>
            <w:vAlign w:val="center"/>
          </w:tcPr>
          <w:p w14:paraId="7E93403C">
            <w:pPr>
              <w:jc w:val="center"/>
              <w:rPr>
                <w:rFonts w:hint="default"/>
                <w:b w:val="0"/>
                <w:bCs w:val="0"/>
                <w:color w:val="auto"/>
                <w:szCs w:val="21"/>
                <w:lang w:val="en-US" w:eastAsia="zh-CN"/>
              </w:rPr>
            </w:pPr>
            <w:r>
              <w:rPr>
                <w:rFonts w:hint="eastAsia"/>
                <w:b w:val="0"/>
                <w:bCs w:val="0"/>
                <w:color w:val="auto"/>
                <w:szCs w:val="21"/>
                <w:lang w:val="en-US" w:eastAsia="zh-CN"/>
              </w:rPr>
              <w:t>8.32</w:t>
            </w:r>
          </w:p>
        </w:tc>
        <w:tc>
          <w:tcPr>
            <w:tcW w:w="632" w:type="pct"/>
            <w:shd w:val="clear" w:color="auto" w:fill="auto"/>
            <w:noWrap w:val="0"/>
            <w:vAlign w:val="center"/>
          </w:tcPr>
          <w:p w14:paraId="59318C68">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8.72</w:t>
            </w:r>
          </w:p>
        </w:tc>
        <w:tc>
          <w:tcPr>
            <w:tcW w:w="639" w:type="pct"/>
            <w:shd w:val="clear" w:color="auto" w:fill="auto"/>
            <w:noWrap w:val="0"/>
            <w:vAlign w:val="center"/>
          </w:tcPr>
          <w:p w14:paraId="120BD37D">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8.68</w:t>
            </w:r>
          </w:p>
        </w:tc>
        <w:tc>
          <w:tcPr>
            <w:tcW w:w="655" w:type="pct"/>
            <w:noWrap w:val="0"/>
            <w:vAlign w:val="center"/>
          </w:tcPr>
          <w:p w14:paraId="7B77F4E4">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366A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noWrap w:val="0"/>
            <w:vAlign w:val="center"/>
          </w:tcPr>
          <w:p w14:paraId="66645F6B">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2</w:t>
            </w:r>
          </w:p>
        </w:tc>
        <w:tc>
          <w:tcPr>
            <w:tcW w:w="694" w:type="pct"/>
            <w:shd w:val="clear" w:color="auto" w:fill="auto"/>
            <w:noWrap w:val="0"/>
            <w:vAlign w:val="center"/>
          </w:tcPr>
          <w:p w14:paraId="54A6BE10">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水溶性盐总量</w:t>
            </w:r>
          </w:p>
        </w:tc>
        <w:tc>
          <w:tcPr>
            <w:tcW w:w="521" w:type="pct"/>
            <w:shd w:val="clear" w:color="auto" w:fill="auto"/>
            <w:noWrap w:val="0"/>
            <w:vAlign w:val="center"/>
          </w:tcPr>
          <w:p w14:paraId="2B0F30F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g/kg</w:t>
            </w:r>
          </w:p>
        </w:tc>
        <w:tc>
          <w:tcPr>
            <w:tcW w:w="709" w:type="pct"/>
            <w:noWrap w:val="0"/>
            <w:vAlign w:val="center"/>
          </w:tcPr>
          <w:p w14:paraId="01EA450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655" w:type="pct"/>
            <w:noWrap w:val="0"/>
            <w:vAlign w:val="center"/>
          </w:tcPr>
          <w:p w14:paraId="74BBAC13">
            <w:pPr>
              <w:jc w:val="center"/>
              <w:rPr>
                <w:rFonts w:hint="default"/>
                <w:b w:val="0"/>
                <w:bCs w:val="0"/>
                <w:color w:val="auto"/>
                <w:szCs w:val="21"/>
                <w:lang w:val="en-US" w:eastAsia="zh-CN"/>
              </w:rPr>
            </w:pPr>
            <w:r>
              <w:rPr>
                <w:rFonts w:hint="eastAsia"/>
                <w:b w:val="0"/>
                <w:bCs w:val="0"/>
                <w:color w:val="auto"/>
                <w:szCs w:val="21"/>
                <w:lang w:val="en-US" w:eastAsia="zh-CN"/>
              </w:rPr>
              <w:t>2.9</w:t>
            </w:r>
          </w:p>
        </w:tc>
        <w:tc>
          <w:tcPr>
            <w:tcW w:w="632" w:type="pct"/>
            <w:shd w:val="clear" w:color="auto" w:fill="auto"/>
            <w:noWrap w:val="0"/>
            <w:vAlign w:val="center"/>
          </w:tcPr>
          <w:p w14:paraId="726D875B">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2.6</w:t>
            </w:r>
          </w:p>
        </w:tc>
        <w:tc>
          <w:tcPr>
            <w:tcW w:w="639" w:type="pct"/>
            <w:shd w:val="clear" w:color="auto" w:fill="auto"/>
            <w:noWrap w:val="0"/>
            <w:vAlign w:val="center"/>
          </w:tcPr>
          <w:p w14:paraId="753B4FD8">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3.1</w:t>
            </w:r>
          </w:p>
        </w:tc>
        <w:tc>
          <w:tcPr>
            <w:tcW w:w="655" w:type="pct"/>
            <w:noWrap w:val="0"/>
            <w:vAlign w:val="center"/>
          </w:tcPr>
          <w:p w14:paraId="4C010AEA">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4CA9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noWrap w:val="0"/>
            <w:vAlign w:val="center"/>
          </w:tcPr>
          <w:p w14:paraId="611A011B">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3</w:t>
            </w:r>
          </w:p>
        </w:tc>
        <w:tc>
          <w:tcPr>
            <w:tcW w:w="694" w:type="pct"/>
            <w:shd w:val="clear" w:color="auto" w:fill="auto"/>
            <w:noWrap w:val="0"/>
            <w:vAlign w:val="center"/>
          </w:tcPr>
          <w:p w14:paraId="78CF4841">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石油烃</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10</w:t>
            </w:r>
            <w:r>
              <w:rPr>
                <w:rFonts w:hint="default" w:ascii="Times New Roman" w:hAnsi="Times New Roman" w:eastAsia="宋体" w:cs="Times New Roman"/>
                <w:color w:val="auto"/>
                <w:kern w:val="0"/>
                <w:sz w:val="21"/>
                <w:szCs w:val="21"/>
                <w:lang w:val="en-US" w:eastAsia="zh-CN" w:bidi="ar"/>
              </w:rPr>
              <w:t>-C</w:t>
            </w:r>
            <w:r>
              <w:rPr>
                <w:rFonts w:hint="default" w:ascii="Times New Roman" w:hAnsi="Times New Roman" w:eastAsia="宋体" w:cs="Times New Roman"/>
                <w:color w:val="auto"/>
                <w:kern w:val="0"/>
                <w:sz w:val="21"/>
                <w:szCs w:val="21"/>
                <w:vertAlign w:val="subscript"/>
                <w:lang w:val="en-US" w:eastAsia="zh-CN" w:bidi="ar"/>
              </w:rPr>
              <w:t>40</w:t>
            </w:r>
            <w:r>
              <w:rPr>
                <w:rFonts w:hint="default" w:ascii="Times New Roman" w:hAnsi="Times New Roman" w:eastAsia="宋体" w:cs="Times New Roman"/>
                <w:color w:val="auto"/>
                <w:kern w:val="0"/>
                <w:sz w:val="21"/>
                <w:szCs w:val="21"/>
                <w:lang w:val="en-US" w:eastAsia="zh-CN" w:bidi="ar"/>
              </w:rPr>
              <w:t>)</w:t>
            </w:r>
          </w:p>
        </w:tc>
        <w:tc>
          <w:tcPr>
            <w:tcW w:w="521" w:type="pct"/>
            <w:shd w:val="clear" w:color="auto" w:fill="auto"/>
            <w:noWrap w:val="0"/>
            <w:vAlign w:val="center"/>
          </w:tcPr>
          <w:p w14:paraId="6EA8776B">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709" w:type="pct"/>
            <w:noWrap w:val="0"/>
            <w:vAlign w:val="center"/>
          </w:tcPr>
          <w:p w14:paraId="5296BCDF">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4500</w:t>
            </w:r>
          </w:p>
        </w:tc>
        <w:tc>
          <w:tcPr>
            <w:tcW w:w="655" w:type="pct"/>
            <w:noWrap w:val="0"/>
            <w:vAlign w:val="center"/>
          </w:tcPr>
          <w:p w14:paraId="3F5DC1B7">
            <w:pPr>
              <w:jc w:val="center"/>
              <w:rPr>
                <w:rFonts w:hint="default"/>
                <w:b w:val="0"/>
                <w:bCs w:val="0"/>
                <w:color w:val="auto"/>
                <w:szCs w:val="21"/>
                <w:lang w:val="en-US" w:eastAsia="zh-CN"/>
              </w:rPr>
            </w:pPr>
            <w:r>
              <w:rPr>
                <w:rFonts w:hint="eastAsia"/>
                <w:b w:val="0"/>
                <w:bCs w:val="0"/>
                <w:color w:val="auto"/>
                <w:szCs w:val="21"/>
                <w:lang w:val="en-US" w:eastAsia="zh-CN"/>
              </w:rPr>
              <w:t>34.1</w:t>
            </w:r>
          </w:p>
        </w:tc>
        <w:tc>
          <w:tcPr>
            <w:tcW w:w="632" w:type="pct"/>
            <w:shd w:val="clear" w:color="auto" w:fill="auto"/>
            <w:noWrap w:val="0"/>
            <w:vAlign w:val="center"/>
          </w:tcPr>
          <w:p w14:paraId="61B34DC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25.4</w:t>
            </w:r>
          </w:p>
        </w:tc>
        <w:tc>
          <w:tcPr>
            <w:tcW w:w="639" w:type="pct"/>
            <w:shd w:val="clear" w:color="auto" w:fill="auto"/>
            <w:noWrap w:val="0"/>
            <w:vAlign w:val="center"/>
          </w:tcPr>
          <w:p w14:paraId="5B6AB2E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23.9</w:t>
            </w:r>
          </w:p>
        </w:tc>
        <w:tc>
          <w:tcPr>
            <w:tcW w:w="655" w:type="pct"/>
            <w:noWrap w:val="0"/>
            <w:vAlign w:val="center"/>
          </w:tcPr>
          <w:p w14:paraId="33A7FCB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6A12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noWrap w:val="0"/>
            <w:vAlign w:val="center"/>
          </w:tcPr>
          <w:p w14:paraId="55EFB730">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4</w:t>
            </w:r>
          </w:p>
        </w:tc>
        <w:tc>
          <w:tcPr>
            <w:tcW w:w="694" w:type="pct"/>
            <w:shd w:val="clear" w:color="auto" w:fill="auto"/>
            <w:noWrap w:val="0"/>
            <w:vAlign w:val="center"/>
          </w:tcPr>
          <w:p w14:paraId="5BF65B8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镉</w:t>
            </w:r>
          </w:p>
        </w:tc>
        <w:tc>
          <w:tcPr>
            <w:tcW w:w="521" w:type="pct"/>
            <w:shd w:val="clear" w:color="auto" w:fill="auto"/>
            <w:noWrap w:val="0"/>
            <w:vAlign w:val="center"/>
          </w:tcPr>
          <w:p w14:paraId="702A6F6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mg/kg</w:t>
            </w:r>
          </w:p>
        </w:tc>
        <w:tc>
          <w:tcPr>
            <w:tcW w:w="709" w:type="pct"/>
            <w:noWrap w:val="0"/>
            <w:vAlign w:val="center"/>
          </w:tcPr>
          <w:p w14:paraId="721ED556">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0.6</w:t>
            </w:r>
          </w:p>
        </w:tc>
        <w:tc>
          <w:tcPr>
            <w:tcW w:w="655" w:type="pct"/>
            <w:noWrap w:val="0"/>
            <w:vAlign w:val="center"/>
          </w:tcPr>
          <w:p w14:paraId="5271575B">
            <w:pPr>
              <w:jc w:val="center"/>
              <w:rPr>
                <w:rFonts w:hint="default"/>
                <w:b w:val="0"/>
                <w:bCs w:val="0"/>
                <w:color w:val="auto"/>
                <w:szCs w:val="21"/>
                <w:lang w:val="en-US" w:eastAsia="zh-CN"/>
              </w:rPr>
            </w:pPr>
            <w:r>
              <w:rPr>
                <w:rFonts w:hint="eastAsia"/>
                <w:b w:val="0"/>
                <w:bCs w:val="0"/>
                <w:color w:val="auto"/>
                <w:szCs w:val="21"/>
                <w:lang w:val="en-US" w:eastAsia="zh-CN"/>
              </w:rPr>
              <w:t>0.18</w:t>
            </w:r>
          </w:p>
        </w:tc>
        <w:tc>
          <w:tcPr>
            <w:tcW w:w="632" w:type="pct"/>
            <w:shd w:val="clear" w:color="auto" w:fill="auto"/>
            <w:noWrap w:val="0"/>
            <w:vAlign w:val="center"/>
          </w:tcPr>
          <w:p w14:paraId="025CE07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0.19</w:t>
            </w:r>
          </w:p>
        </w:tc>
        <w:tc>
          <w:tcPr>
            <w:tcW w:w="639" w:type="pct"/>
            <w:shd w:val="clear" w:color="auto" w:fill="auto"/>
            <w:noWrap w:val="0"/>
            <w:vAlign w:val="center"/>
          </w:tcPr>
          <w:p w14:paraId="2FB19D9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0.23</w:t>
            </w:r>
          </w:p>
        </w:tc>
        <w:tc>
          <w:tcPr>
            <w:tcW w:w="655" w:type="pct"/>
            <w:noWrap w:val="0"/>
            <w:vAlign w:val="center"/>
          </w:tcPr>
          <w:p w14:paraId="6AC898D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107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noWrap w:val="0"/>
            <w:vAlign w:val="center"/>
          </w:tcPr>
          <w:p w14:paraId="4B0F9EA6">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5</w:t>
            </w:r>
          </w:p>
        </w:tc>
        <w:tc>
          <w:tcPr>
            <w:tcW w:w="694" w:type="pct"/>
            <w:shd w:val="clear" w:color="auto" w:fill="auto"/>
            <w:noWrap w:val="0"/>
            <w:vAlign w:val="center"/>
          </w:tcPr>
          <w:p w14:paraId="704F5FC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汞</w:t>
            </w:r>
          </w:p>
        </w:tc>
        <w:tc>
          <w:tcPr>
            <w:tcW w:w="521" w:type="pct"/>
            <w:shd w:val="clear" w:color="auto" w:fill="auto"/>
            <w:noWrap w:val="0"/>
            <w:vAlign w:val="center"/>
          </w:tcPr>
          <w:p w14:paraId="02911F2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709" w:type="pct"/>
            <w:noWrap w:val="0"/>
            <w:vAlign w:val="center"/>
          </w:tcPr>
          <w:p w14:paraId="7F30D1D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3.4</w:t>
            </w:r>
          </w:p>
        </w:tc>
        <w:tc>
          <w:tcPr>
            <w:tcW w:w="655" w:type="pct"/>
            <w:noWrap w:val="0"/>
            <w:vAlign w:val="center"/>
          </w:tcPr>
          <w:p w14:paraId="050F0392">
            <w:pPr>
              <w:jc w:val="center"/>
              <w:rPr>
                <w:rFonts w:hint="default"/>
                <w:b w:val="0"/>
                <w:bCs w:val="0"/>
                <w:color w:val="auto"/>
                <w:szCs w:val="21"/>
                <w:lang w:val="en-US" w:eastAsia="zh-CN"/>
              </w:rPr>
            </w:pPr>
            <w:r>
              <w:rPr>
                <w:rFonts w:hint="eastAsia"/>
                <w:b w:val="0"/>
                <w:bCs w:val="0"/>
                <w:color w:val="auto"/>
                <w:szCs w:val="21"/>
                <w:lang w:val="en-US" w:eastAsia="zh-CN"/>
              </w:rPr>
              <w:t>0.014</w:t>
            </w:r>
          </w:p>
        </w:tc>
        <w:tc>
          <w:tcPr>
            <w:tcW w:w="632" w:type="pct"/>
            <w:shd w:val="clear" w:color="auto" w:fill="auto"/>
            <w:noWrap w:val="0"/>
            <w:vAlign w:val="center"/>
          </w:tcPr>
          <w:p w14:paraId="31323598">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0.011</w:t>
            </w:r>
          </w:p>
        </w:tc>
        <w:tc>
          <w:tcPr>
            <w:tcW w:w="639" w:type="pct"/>
            <w:shd w:val="clear" w:color="auto" w:fill="auto"/>
            <w:noWrap w:val="0"/>
            <w:vAlign w:val="center"/>
          </w:tcPr>
          <w:p w14:paraId="20E05E28">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0.011</w:t>
            </w:r>
          </w:p>
        </w:tc>
        <w:tc>
          <w:tcPr>
            <w:tcW w:w="655" w:type="pct"/>
            <w:noWrap w:val="0"/>
            <w:vAlign w:val="center"/>
          </w:tcPr>
          <w:p w14:paraId="08FD872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7923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noWrap w:val="0"/>
            <w:vAlign w:val="center"/>
          </w:tcPr>
          <w:p w14:paraId="3E9E315C">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6</w:t>
            </w:r>
          </w:p>
        </w:tc>
        <w:tc>
          <w:tcPr>
            <w:tcW w:w="694" w:type="pct"/>
            <w:shd w:val="clear" w:color="auto" w:fill="auto"/>
            <w:noWrap w:val="0"/>
            <w:vAlign w:val="center"/>
          </w:tcPr>
          <w:p w14:paraId="56F41DED">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砷</w:t>
            </w:r>
          </w:p>
        </w:tc>
        <w:tc>
          <w:tcPr>
            <w:tcW w:w="521" w:type="pct"/>
            <w:shd w:val="clear" w:color="auto" w:fill="auto"/>
            <w:noWrap w:val="0"/>
            <w:vAlign w:val="center"/>
          </w:tcPr>
          <w:p w14:paraId="31C8719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709" w:type="pct"/>
            <w:noWrap w:val="0"/>
            <w:vAlign w:val="center"/>
          </w:tcPr>
          <w:p w14:paraId="64F6168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25</w:t>
            </w:r>
          </w:p>
        </w:tc>
        <w:tc>
          <w:tcPr>
            <w:tcW w:w="655" w:type="pct"/>
            <w:noWrap w:val="0"/>
            <w:vAlign w:val="center"/>
          </w:tcPr>
          <w:p w14:paraId="23AF8257">
            <w:pPr>
              <w:jc w:val="center"/>
              <w:rPr>
                <w:rFonts w:hint="default"/>
                <w:b w:val="0"/>
                <w:bCs w:val="0"/>
                <w:color w:val="auto"/>
                <w:szCs w:val="21"/>
                <w:lang w:val="en-US" w:eastAsia="zh-CN"/>
              </w:rPr>
            </w:pPr>
            <w:r>
              <w:rPr>
                <w:rFonts w:hint="eastAsia"/>
                <w:b w:val="0"/>
                <w:bCs w:val="0"/>
                <w:color w:val="auto"/>
                <w:szCs w:val="21"/>
                <w:lang w:val="en-US" w:eastAsia="zh-CN"/>
              </w:rPr>
              <w:t>8.58</w:t>
            </w:r>
          </w:p>
        </w:tc>
        <w:tc>
          <w:tcPr>
            <w:tcW w:w="632" w:type="pct"/>
            <w:shd w:val="clear" w:color="auto" w:fill="auto"/>
            <w:noWrap w:val="0"/>
            <w:vAlign w:val="center"/>
          </w:tcPr>
          <w:p w14:paraId="3E1487CD">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8.82</w:t>
            </w:r>
          </w:p>
        </w:tc>
        <w:tc>
          <w:tcPr>
            <w:tcW w:w="639" w:type="pct"/>
            <w:shd w:val="clear" w:color="auto" w:fill="auto"/>
            <w:noWrap w:val="0"/>
            <w:vAlign w:val="center"/>
          </w:tcPr>
          <w:p w14:paraId="1C33D232">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8.74</w:t>
            </w:r>
          </w:p>
        </w:tc>
        <w:tc>
          <w:tcPr>
            <w:tcW w:w="655" w:type="pct"/>
            <w:noWrap w:val="0"/>
            <w:vAlign w:val="center"/>
          </w:tcPr>
          <w:p w14:paraId="04F0972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AC8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vAlign w:val="center"/>
          </w:tcPr>
          <w:p w14:paraId="106C3C05">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7</w:t>
            </w:r>
          </w:p>
        </w:tc>
        <w:tc>
          <w:tcPr>
            <w:tcW w:w="694" w:type="pct"/>
            <w:shd w:val="clear" w:color="auto" w:fill="auto"/>
            <w:vAlign w:val="center"/>
          </w:tcPr>
          <w:p w14:paraId="6D65918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铅</w:t>
            </w:r>
          </w:p>
        </w:tc>
        <w:tc>
          <w:tcPr>
            <w:tcW w:w="521" w:type="pct"/>
            <w:shd w:val="clear" w:color="auto" w:fill="auto"/>
            <w:vAlign w:val="center"/>
          </w:tcPr>
          <w:p w14:paraId="651EE1DC">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709" w:type="pct"/>
          </w:tcPr>
          <w:p w14:paraId="11150FC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170</w:t>
            </w:r>
          </w:p>
        </w:tc>
        <w:tc>
          <w:tcPr>
            <w:tcW w:w="655" w:type="pct"/>
          </w:tcPr>
          <w:p w14:paraId="7AC950B8">
            <w:pPr>
              <w:jc w:val="center"/>
              <w:rPr>
                <w:rFonts w:hint="default"/>
                <w:b w:val="0"/>
                <w:bCs w:val="0"/>
                <w:color w:val="auto"/>
                <w:szCs w:val="21"/>
                <w:lang w:val="en-US" w:eastAsia="zh-CN"/>
              </w:rPr>
            </w:pPr>
            <w:r>
              <w:rPr>
                <w:rFonts w:hint="eastAsia"/>
                <w:b w:val="0"/>
                <w:bCs w:val="0"/>
                <w:color w:val="auto"/>
                <w:szCs w:val="21"/>
                <w:lang w:val="en-US" w:eastAsia="zh-CN"/>
              </w:rPr>
              <w:t>13.3</w:t>
            </w:r>
          </w:p>
        </w:tc>
        <w:tc>
          <w:tcPr>
            <w:tcW w:w="632" w:type="pct"/>
            <w:shd w:val="clear" w:color="auto" w:fill="auto"/>
            <w:vAlign w:val="center"/>
          </w:tcPr>
          <w:p w14:paraId="3750565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11.6</w:t>
            </w:r>
          </w:p>
        </w:tc>
        <w:tc>
          <w:tcPr>
            <w:tcW w:w="639" w:type="pct"/>
            <w:shd w:val="clear" w:color="auto" w:fill="auto"/>
            <w:vAlign w:val="center"/>
          </w:tcPr>
          <w:p w14:paraId="2D6AB5F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12.1</w:t>
            </w:r>
          </w:p>
        </w:tc>
        <w:tc>
          <w:tcPr>
            <w:tcW w:w="655" w:type="pct"/>
          </w:tcPr>
          <w:p w14:paraId="7C8BB292">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62B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vAlign w:val="center"/>
          </w:tcPr>
          <w:p w14:paraId="0DEFDCD5">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8</w:t>
            </w:r>
          </w:p>
        </w:tc>
        <w:tc>
          <w:tcPr>
            <w:tcW w:w="694" w:type="pct"/>
            <w:shd w:val="clear" w:color="auto" w:fill="auto"/>
            <w:vAlign w:val="center"/>
          </w:tcPr>
          <w:p w14:paraId="46F758D6">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铜</w:t>
            </w:r>
          </w:p>
        </w:tc>
        <w:tc>
          <w:tcPr>
            <w:tcW w:w="521" w:type="pct"/>
            <w:shd w:val="clear" w:color="auto" w:fill="auto"/>
            <w:vAlign w:val="center"/>
          </w:tcPr>
          <w:p w14:paraId="41302BF4">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709" w:type="pct"/>
          </w:tcPr>
          <w:p w14:paraId="47DC8C9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100</w:t>
            </w:r>
          </w:p>
        </w:tc>
        <w:tc>
          <w:tcPr>
            <w:tcW w:w="655" w:type="pct"/>
          </w:tcPr>
          <w:p w14:paraId="330C9E89">
            <w:pPr>
              <w:jc w:val="center"/>
              <w:rPr>
                <w:rFonts w:hint="default"/>
                <w:b w:val="0"/>
                <w:bCs w:val="0"/>
                <w:color w:val="auto"/>
                <w:szCs w:val="21"/>
                <w:lang w:val="en-US" w:eastAsia="zh-CN"/>
              </w:rPr>
            </w:pPr>
            <w:r>
              <w:rPr>
                <w:rFonts w:hint="eastAsia"/>
                <w:b w:val="0"/>
                <w:bCs w:val="0"/>
                <w:color w:val="auto"/>
                <w:szCs w:val="21"/>
                <w:lang w:val="en-US" w:eastAsia="zh-CN"/>
              </w:rPr>
              <w:t>40</w:t>
            </w:r>
          </w:p>
        </w:tc>
        <w:tc>
          <w:tcPr>
            <w:tcW w:w="632" w:type="pct"/>
            <w:shd w:val="clear" w:color="auto" w:fill="auto"/>
            <w:vAlign w:val="center"/>
          </w:tcPr>
          <w:p w14:paraId="3FA5305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29</w:t>
            </w:r>
          </w:p>
        </w:tc>
        <w:tc>
          <w:tcPr>
            <w:tcW w:w="639" w:type="pct"/>
            <w:shd w:val="clear" w:color="auto" w:fill="auto"/>
            <w:vAlign w:val="center"/>
          </w:tcPr>
          <w:p w14:paraId="2AB878B4">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26</w:t>
            </w:r>
          </w:p>
        </w:tc>
        <w:tc>
          <w:tcPr>
            <w:tcW w:w="655" w:type="pct"/>
          </w:tcPr>
          <w:p w14:paraId="33F6FCE3">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3262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vAlign w:val="center"/>
          </w:tcPr>
          <w:p w14:paraId="5F9E28F7">
            <w:pPr>
              <w:jc w:val="center"/>
              <w:rPr>
                <w:rFonts w:hint="eastAsia"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9</w:t>
            </w:r>
          </w:p>
        </w:tc>
        <w:tc>
          <w:tcPr>
            <w:tcW w:w="694" w:type="pct"/>
            <w:shd w:val="clear" w:color="auto" w:fill="auto"/>
            <w:vAlign w:val="center"/>
          </w:tcPr>
          <w:p w14:paraId="1112176A">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镍</w:t>
            </w:r>
          </w:p>
        </w:tc>
        <w:tc>
          <w:tcPr>
            <w:tcW w:w="521" w:type="pct"/>
            <w:shd w:val="clear" w:color="auto" w:fill="auto"/>
            <w:vAlign w:val="center"/>
          </w:tcPr>
          <w:p w14:paraId="490EC8DC">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709" w:type="pct"/>
          </w:tcPr>
          <w:p w14:paraId="6E30F94B">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190</w:t>
            </w:r>
          </w:p>
        </w:tc>
        <w:tc>
          <w:tcPr>
            <w:tcW w:w="655" w:type="pct"/>
          </w:tcPr>
          <w:p w14:paraId="1E92E0AD">
            <w:pPr>
              <w:jc w:val="center"/>
              <w:rPr>
                <w:rFonts w:hint="default"/>
                <w:b w:val="0"/>
                <w:bCs w:val="0"/>
                <w:color w:val="auto"/>
                <w:szCs w:val="21"/>
                <w:lang w:val="en-US" w:eastAsia="zh-CN"/>
              </w:rPr>
            </w:pPr>
            <w:r>
              <w:rPr>
                <w:rFonts w:hint="eastAsia"/>
                <w:b w:val="0"/>
                <w:bCs w:val="0"/>
                <w:color w:val="auto"/>
                <w:szCs w:val="21"/>
                <w:lang w:val="en-US" w:eastAsia="zh-CN"/>
              </w:rPr>
              <w:t>36</w:t>
            </w:r>
          </w:p>
        </w:tc>
        <w:tc>
          <w:tcPr>
            <w:tcW w:w="632" w:type="pct"/>
            <w:shd w:val="clear" w:color="auto" w:fill="auto"/>
            <w:vAlign w:val="center"/>
          </w:tcPr>
          <w:p w14:paraId="42FDD9C7">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32</w:t>
            </w:r>
          </w:p>
        </w:tc>
        <w:tc>
          <w:tcPr>
            <w:tcW w:w="639" w:type="pct"/>
            <w:shd w:val="clear" w:color="auto" w:fill="auto"/>
            <w:vAlign w:val="center"/>
          </w:tcPr>
          <w:p w14:paraId="338C9361">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28</w:t>
            </w:r>
          </w:p>
        </w:tc>
        <w:tc>
          <w:tcPr>
            <w:tcW w:w="655" w:type="pct"/>
          </w:tcPr>
          <w:p w14:paraId="2E62189F">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128C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vAlign w:val="center"/>
          </w:tcPr>
          <w:p w14:paraId="2CD324D5">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10</w:t>
            </w:r>
          </w:p>
        </w:tc>
        <w:tc>
          <w:tcPr>
            <w:tcW w:w="694" w:type="pct"/>
            <w:shd w:val="clear" w:color="auto" w:fill="auto"/>
            <w:vAlign w:val="center"/>
          </w:tcPr>
          <w:p w14:paraId="377A79E6">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SA"/>
              </w:rPr>
              <w:t>铬</w:t>
            </w:r>
          </w:p>
        </w:tc>
        <w:tc>
          <w:tcPr>
            <w:tcW w:w="521" w:type="pct"/>
            <w:shd w:val="clear" w:color="auto" w:fill="auto"/>
            <w:vAlign w:val="center"/>
          </w:tcPr>
          <w:p w14:paraId="26EEF6BB">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709" w:type="pct"/>
          </w:tcPr>
          <w:p w14:paraId="46DAADFE">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250</w:t>
            </w:r>
          </w:p>
        </w:tc>
        <w:tc>
          <w:tcPr>
            <w:tcW w:w="655" w:type="pct"/>
          </w:tcPr>
          <w:p w14:paraId="29C382C0">
            <w:pPr>
              <w:jc w:val="center"/>
              <w:rPr>
                <w:rFonts w:hint="default"/>
                <w:b w:val="0"/>
                <w:bCs w:val="0"/>
                <w:color w:val="auto"/>
                <w:szCs w:val="21"/>
                <w:lang w:val="en-US" w:eastAsia="zh-CN"/>
              </w:rPr>
            </w:pPr>
            <w:r>
              <w:rPr>
                <w:rFonts w:hint="eastAsia"/>
                <w:b w:val="0"/>
                <w:bCs w:val="0"/>
                <w:color w:val="auto"/>
                <w:szCs w:val="21"/>
                <w:lang w:val="en-US" w:eastAsia="zh-CN"/>
              </w:rPr>
              <w:t>48</w:t>
            </w:r>
          </w:p>
        </w:tc>
        <w:tc>
          <w:tcPr>
            <w:tcW w:w="632" w:type="pct"/>
            <w:shd w:val="clear" w:color="auto" w:fill="auto"/>
            <w:vAlign w:val="center"/>
          </w:tcPr>
          <w:p w14:paraId="62433839">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43</w:t>
            </w:r>
          </w:p>
        </w:tc>
        <w:tc>
          <w:tcPr>
            <w:tcW w:w="639" w:type="pct"/>
            <w:shd w:val="clear" w:color="auto" w:fill="auto"/>
            <w:vAlign w:val="center"/>
          </w:tcPr>
          <w:p w14:paraId="3A9AB72F">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41</w:t>
            </w:r>
          </w:p>
        </w:tc>
        <w:tc>
          <w:tcPr>
            <w:tcW w:w="655" w:type="pct"/>
          </w:tcPr>
          <w:p w14:paraId="70456AB8">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0A6E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 w:type="pct"/>
            <w:shd w:val="clear" w:color="auto" w:fill="auto"/>
            <w:vAlign w:val="center"/>
          </w:tcPr>
          <w:p w14:paraId="1C2523CC">
            <w:pPr>
              <w:jc w:val="center"/>
              <w:rPr>
                <w:rFonts w:hint="default" w:ascii="Times New Roman" w:hAnsi="Times New Roman" w:eastAsia="宋体" w:cs="Times New Roman"/>
                <w:b w:val="0"/>
                <w:bCs w:val="0"/>
                <w:color w:val="auto"/>
                <w:sz w:val="21"/>
                <w:szCs w:val="21"/>
                <w:lang w:val="en-US" w:eastAsia="zh-CN" w:bidi="ar-SA"/>
              </w:rPr>
            </w:pPr>
            <w:r>
              <w:rPr>
                <w:rFonts w:hint="eastAsia"/>
                <w:b w:val="0"/>
                <w:bCs w:val="0"/>
                <w:color w:val="auto"/>
                <w:szCs w:val="21"/>
                <w:lang w:val="en-US" w:eastAsia="zh-CN"/>
              </w:rPr>
              <w:t>11</w:t>
            </w:r>
          </w:p>
        </w:tc>
        <w:tc>
          <w:tcPr>
            <w:tcW w:w="694" w:type="pct"/>
            <w:shd w:val="clear" w:color="auto" w:fill="auto"/>
            <w:vAlign w:val="center"/>
          </w:tcPr>
          <w:p w14:paraId="30B866AE">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kern w:val="2"/>
                <w:sz w:val="21"/>
                <w:szCs w:val="21"/>
                <w:lang w:val="en-US" w:eastAsia="zh-CN" w:bidi="ar-SA"/>
              </w:rPr>
              <w:t>锌</w:t>
            </w:r>
          </w:p>
        </w:tc>
        <w:tc>
          <w:tcPr>
            <w:tcW w:w="521" w:type="pct"/>
            <w:shd w:val="clear" w:color="auto" w:fill="auto"/>
            <w:vAlign w:val="center"/>
          </w:tcPr>
          <w:p w14:paraId="23DFF523">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mg/kg</w:t>
            </w:r>
          </w:p>
        </w:tc>
        <w:tc>
          <w:tcPr>
            <w:tcW w:w="709" w:type="pct"/>
          </w:tcPr>
          <w:p w14:paraId="29390DC8">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300</w:t>
            </w:r>
          </w:p>
        </w:tc>
        <w:tc>
          <w:tcPr>
            <w:tcW w:w="655" w:type="pct"/>
          </w:tcPr>
          <w:p w14:paraId="765CBDD4">
            <w:pPr>
              <w:jc w:val="center"/>
              <w:rPr>
                <w:rFonts w:hint="default"/>
                <w:b w:val="0"/>
                <w:bCs w:val="0"/>
                <w:color w:val="auto"/>
                <w:szCs w:val="21"/>
                <w:lang w:val="en-US" w:eastAsia="zh-CN"/>
              </w:rPr>
            </w:pPr>
            <w:r>
              <w:rPr>
                <w:rFonts w:hint="eastAsia"/>
                <w:b w:val="0"/>
                <w:bCs w:val="0"/>
                <w:color w:val="auto"/>
                <w:szCs w:val="21"/>
                <w:lang w:val="en-US" w:eastAsia="zh-CN"/>
              </w:rPr>
              <w:t>52</w:t>
            </w:r>
          </w:p>
        </w:tc>
        <w:tc>
          <w:tcPr>
            <w:tcW w:w="632" w:type="pct"/>
            <w:shd w:val="clear" w:color="auto" w:fill="auto"/>
            <w:vAlign w:val="center"/>
          </w:tcPr>
          <w:p w14:paraId="55A33973">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54</w:t>
            </w:r>
          </w:p>
        </w:tc>
        <w:tc>
          <w:tcPr>
            <w:tcW w:w="639" w:type="pct"/>
            <w:shd w:val="clear" w:color="auto" w:fill="auto"/>
            <w:vAlign w:val="center"/>
          </w:tcPr>
          <w:p w14:paraId="2658888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51</w:t>
            </w:r>
          </w:p>
        </w:tc>
        <w:tc>
          <w:tcPr>
            <w:tcW w:w="655" w:type="pct"/>
          </w:tcPr>
          <w:p w14:paraId="1E7E2F04">
            <w:pPr>
              <w:jc w:val="center"/>
              <w:rPr>
                <w:rFonts w:hint="eastAsia" w:eastAsia="宋体"/>
                <w:b w:val="0"/>
                <w:bCs w:val="0"/>
                <w:color w:val="auto"/>
                <w:szCs w:val="21"/>
                <w:lang w:val="en-US" w:eastAsia="zh-CN"/>
              </w:rPr>
            </w:pPr>
            <w:r>
              <w:rPr>
                <w:rFonts w:hint="eastAsia"/>
                <w:b w:val="0"/>
                <w:bCs w:val="0"/>
                <w:color w:val="auto"/>
                <w:szCs w:val="21"/>
                <w:lang w:val="en-US" w:eastAsia="zh-CN"/>
              </w:rPr>
              <w:t>达标</w:t>
            </w:r>
          </w:p>
        </w:tc>
      </w:tr>
      <w:tr w14:paraId="5BFE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36D0AB23">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12</w:t>
            </w:r>
          </w:p>
        </w:tc>
        <w:tc>
          <w:tcPr>
            <w:tcW w:w="0" w:type="auto"/>
            <w:shd w:val="clear" w:color="auto" w:fill="auto"/>
            <w:vAlign w:val="center"/>
          </w:tcPr>
          <w:p w14:paraId="58A7A35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水分</w:t>
            </w:r>
          </w:p>
        </w:tc>
        <w:tc>
          <w:tcPr>
            <w:tcW w:w="0" w:type="auto"/>
            <w:shd w:val="clear" w:color="auto" w:fill="auto"/>
            <w:vAlign w:val="center"/>
          </w:tcPr>
          <w:p w14:paraId="6A0B84E5">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0" w:type="auto"/>
          </w:tcPr>
          <w:p w14:paraId="1E41A7E3">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tcPr>
          <w:p w14:paraId="521AA555">
            <w:pPr>
              <w:jc w:val="center"/>
              <w:rPr>
                <w:rFonts w:hint="default"/>
                <w:b w:val="0"/>
                <w:bCs w:val="0"/>
                <w:color w:val="auto"/>
                <w:szCs w:val="21"/>
                <w:lang w:val="en-US" w:eastAsia="zh-CN"/>
              </w:rPr>
            </w:pPr>
            <w:r>
              <w:rPr>
                <w:rFonts w:hint="eastAsia"/>
                <w:b w:val="0"/>
                <w:bCs w:val="0"/>
                <w:color w:val="auto"/>
                <w:szCs w:val="21"/>
                <w:lang w:val="en-US" w:eastAsia="zh-CN"/>
              </w:rPr>
              <w:t>3.0</w:t>
            </w:r>
          </w:p>
        </w:tc>
        <w:tc>
          <w:tcPr>
            <w:tcW w:w="0" w:type="auto"/>
            <w:shd w:val="clear" w:color="auto" w:fill="auto"/>
            <w:vAlign w:val="center"/>
          </w:tcPr>
          <w:p w14:paraId="2CE925D5">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w:t>
            </w:r>
          </w:p>
        </w:tc>
        <w:tc>
          <w:tcPr>
            <w:tcW w:w="0" w:type="auto"/>
            <w:shd w:val="clear" w:color="auto" w:fill="auto"/>
            <w:vAlign w:val="center"/>
          </w:tcPr>
          <w:p w14:paraId="023EB764">
            <w:pPr>
              <w:pStyle w:val="73"/>
              <w:keepNext w:val="0"/>
              <w:keepLines w:val="0"/>
              <w:suppressLineNumbers w:val="0"/>
              <w:tabs>
                <w:tab w:val="left" w:pos="2760"/>
              </w:tabs>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2.5</w:t>
            </w:r>
          </w:p>
        </w:tc>
        <w:tc>
          <w:tcPr>
            <w:tcW w:w="0" w:type="auto"/>
          </w:tcPr>
          <w:p w14:paraId="4083B1A8">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r w14:paraId="4276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Pr>
          <w:p w14:paraId="33B2ADBA">
            <w:pPr>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bidi="ar-SA"/>
              </w:rPr>
              <w:t>13</w:t>
            </w:r>
          </w:p>
        </w:tc>
        <w:tc>
          <w:tcPr>
            <w:tcW w:w="0" w:type="auto"/>
            <w:shd w:val="clear" w:color="auto" w:fill="auto"/>
            <w:vAlign w:val="center"/>
          </w:tcPr>
          <w:p w14:paraId="0E6E8CA4">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干物质</w:t>
            </w:r>
          </w:p>
        </w:tc>
        <w:tc>
          <w:tcPr>
            <w:tcW w:w="0" w:type="auto"/>
            <w:shd w:val="clear" w:color="auto" w:fill="auto"/>
            <w:vAlign w:val="center"/>
          </w:tcPr>
          <w:p w14:paraId="0C7AEBA8">
            <w:pPr>
              <w:keepNext w:val="0"/>
              <w:keepLines w:val="0"/>
              <w:suppressLineNumbers w:val="0"/>
              <w:snapToGrid w:val="0"/>
              <w:spacing w:before="0" w:beforeAutospacing="0" w:after="0" w:afterAutospacing="0"/>
              <w:ind w:left="72"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0" w:type="auto"/>
          </w:tcPr>
          <w:p w14:paraId="1D15EEC1">
            <w:pPr>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0" w:type="auto"/>
          </w:tcPr>
          <w:p w14:paraId="0ED717FC">
            <w:pPr>
              <w:jc w:val="center"/>
              <w:rPr>
                <w:rFonts w:hint="default"/>
                <w:b w:val="0"/>
                <w:bCs w:val="0"/>
                <w:color w:val="auto"/>
                <w:szCs w:val="21"/>
                <w:lang w:val="en-US" w:eastAsia="zh-CN"/>
              </w:rPr>
            </w:pPr>
            <w:r>
              <w:rPr>
                <w:rFonts w:hint="eastAsia"/>
                <w:b w:val="0"/>
                <w:bCs w:val="0"/>
                <w:color w:val="auto"/>
                <w:szCs w:val="21"/>
                <w:lang w:val="en-US" w:eastAsia="zh-CN"/>
              </w:rPr>
              <w:t>97.0</w:t>
            </w:r>
          </w:p>
        </w:tc>
        <w:tc>
          <w:tcPr>
            <w:tcW w:w="0" w:type="auto"/>
            <w:shd w:val="clear" w:color="auto" w:fill="auto"/>
            <w:vAlign w:val="center"/>
          </w:tcPr>
          <w:p w14:paraId="2DE2846C">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97.</w:t>
            </w:r>
            <w:r>
              <w:rPr>
                <w:rFonts w:hint="eastAsia" w:eastAsia="宋体" w:cs="Times New Roman"/>
                <w:color w:val="auto"/>
                <w:kern w:val="2"/>
                <w:sz w:val="21"/>
                <w:szCs w:val="21"/>
                <w:highlight w:val="none"/>
                <w:lang w:val="en-US" w:eastAsia="zh-CN" w:bidi="ar-SA"/>
              </w:rPr>
              <w:t>4</w:t>
            </w:r>
          </w:p>
        </w:tc>
        <w:tc>
          <w:tcPr>
            <w:tcW w:w="0" w:type="auto"/>
            <w:shd w:val="clear" w:color="auto" w:fill="auto"/>
            <w:vAlign w:val="center"/>
          </w:tcPr>
          <w:p w14:paraId="278D656B">
            <w:pPr>
              <w:keepNext w:val="0"/>
              <w:keepLines w:val="0"/>
              <w:suppressLineNumbers w:val="0"/>
              <w:snapToGrid w:val="0"/>
              <w:spacing w:before="0" w:beforeAutospacing="0" w:after="0" w:afterAutospacing="0" w:line="240" w:lineRule="auto"/>
              <w:ind w:left="72"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r>
              <w:rPr>
                <w:rFonts w:hint="eastAsia" w:eastAsia="宋体" w:cs="Times New Roman"/>
                <w:color w:val="auto"/>
                <w:kern w:val="2"/>
                <w:sz w:val="21"/>
                <w:szCs w:val="21"/>
                <w:highlight w:val="none"/>
                <w:lang w:val="en-US" w:eastAsia="zh-CN" w:bidi="ar-SA"/>
              </w:rPr>
              <w:t>7</w:t>
            </w:r>
            <w:r>
              <w:rPr>
                <w:rFonts w:hint="eastAsia" w:ascii="Times New Roman" w:hAnsi="Times New Roman" w:eastAsia="宋体" w:cs="Times New Roman"/>
                <w:color w:val="auto"/>
                <w:kern w:val="2"/>
                <w:sz w:val="21"/>
                <w:szCs w:val="21"/>
                <w:highlight w:val="none"/>
                <w:lang w:val="en-US" w:eastAsia="zh-CN" w:bidi="ar-SA"/>
              </w:rPr>
              <w:t>.</w:t>
            </w:r>
            <w:r>
              <w:rPr>
                <w:rFonts w:hint="eastAsia" w:eastAsia="宋体" w:cs="Times New Roman"/>
                <w:color w:val="auto"/>
                <w:kern w:val="2"/>
                <w:sz w:val="21"/>
                <w:szCs w:val="21"/>
                <w:highlight w:val="none"/>
                <w:lang w:val="en-US" w:eastAsia="zh-CN" w:bidi="ar-SA"/>
              </w:rPr>
              <w:t>8</w:t>
            </w:r>
          </w:p>
        </w:tc>
        <w:tc>
          <w:tcPr>
            <w:tcW w:w="0" w:type="auto"/>
          </w:tcPr>
          <w:p w14:paraId="23D47FED">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r>
    </w:tbl>
    <w:p w14:paraId="3D9F08FD">
      <w:pPr>
        <w:bidi w:val="0"/>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73266D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（6）土壤现状调查与评价</w:t>
      </w:r>
    </w:p>
    <w:p w14:paraId="611616D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①土壤类型</w:t>
      </w:r>
    </w:p>
    <w:p w14:paraId="5243EB6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根据现场调查结果及全疆土壤类型图分析，土壤主要为</w:t>
      </w:r>
      <w:r>
        <w:rPr>
          <w:rFonts w:hint="eastAsia" w:ascii="Times New Roman" w:hAnsi="Times New Roman" w:eastAsia="宋体"/>
          <w:color w:val="auto"/>
          <w:sz w:val="24"/>
          <w:szCs w:val="24"/>
        </w:rPr>
        <w:t>石膏</w:t>
      </w:r>
      <w:r>
        <w:rPr>
          <w:rFonts w:ascii="Times New Roman" w:hAnsi="Times New Roman" w:eastAsia="宋体"/>
          <w:color w:val="auto"/>
          <w:sz w:val="24"/>
          <w:szCs w:val="24"/>
        </w:rPr>
        <w:t>灰棕漠土及盐化草甸土</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风沙土等</w:t>
      </w:r>
      <w:r>
        <w:rPr>
          <w:rFonts w:ascii="Times New Roman" w:hAnsi="Times New Roman" w:eastAsia="宋体"/>
          <w:color w:val="auto"/>
          <w:sz w:val="24"/>
          <w:szCs w:val="24"/>
        </w:rPr>
        <w:t>，项目区土壤类型为</w:t>
      </w:r>
      <w:r>
        <w:rPr>
          <w:rFonts w:hint="eastAsia" w:ascii="Times New Roman" w:hAnsi="Times New Roman" w:eastAsia="宋体"/>
          <w:color w:val="auto"/>
          <w:sz w:val="24"/>
          <w:szCs w:val="24"/>
        </w:rPr>
        <w:t>石膏</w:t>
      </w:r>
      <w:r>
        <w:rPr>
          <w:rFonts w:ascii="Times New Roman" w:hAnsi="Times New Roman" w:eastAsia="宋体"/>
          <w:color w:val="auto"/>
          <w:sz w:val="24"/>
          <w:szCs w:val="24"/>
        </w:rPr>
        <w:t>灰棕漠土</w:t>
      </w:r>
      <w:r>
        <w:rPr>
          <w:rFonts w:hint="eastAsia" w:ascii="Times New Roman" w:hAnsi="Times New Roman" w:eastAsia="宋体"/>
          <w:color w:val="auto"/>
          <w:sz w:val="24"/>
          <w:szCs w:val="24"/>
          <w:lang w:val="en-US" w:eastAsia="zh-CN"/>
        </w:rPr>
        <w:t>和风沙土</w:t>
      </w:r>
      <w:r>
        <w:rPr>
          <w:rFonts w:ascii="Times New Roman" w:hAnsi="Times New Roman" w:eastAsia="宋体"/>
          <w:color w:val="auto"/>
          <w:sz w:val="24"/>
          <w:szCs w:val="24"/>
        </w:rPr>
        <w:t>。</w:t>
      </w:r>
      <w:r>
        <w:rPr>
          <w:rFonts w:hint="eastAsia" w:ascii="Times New Roman" w:hAnsi="Times New Roman" w:eastAsia="宋体"/>
          <w:color w:val="auto"/>
          <w:sz w:val="24"/>
          <w:szCs w:val="24"/>
        </w:rPr>
        <w:t>石膏</w:t>
      </w:r>
      <w:r>
        <w:rPr>
          <w:rFonts w:ascii="Times New Roman" w:hAnsi="Times New Roman" w:eastAsia="宋体"/>
          <w:color w:val="auto"/>
          <w:sz w:val="24"/>
          <w:szCs w:val="24"/>
        </w:rPr>
        <w:t>灰棕漠土是新疆北部地区温带荒漠的地带性土壤，是在北疆温带地区干旱荒漠气候条件和粗骨质（砾质—砂质）成土母质上形成的，形成和分布与大风的作用密切相关，其特点是在红棕色紧实土层下有一明显的石膏聚积层，一般情况下厚度在10cm～30cm之间，石膏含量在70g/kg～300g/kg之间或更多。土壤剖面母质为古老洪积－冲积物，地面生长着极其稀疏的梭梭及</w:t>
      </w:r>
      <w:r>
        <w:rPr>
          <w:rFonts w:hint="eastAsia" w:ascii="Times New Roman" w:hAnsi="Times New Roman" w:eastAsia="宋体"/>
          <w:color w:val="auto"/>
          <w:sz w:val="24"/>
          <w:szCs w:val="24"/>
          <w:lang w:val="en-US" w:eastAsia="zh-CN"/>
        </w:rPr>
        <w:t>猪毛菜等</w:t>
      </w:r>
      <w:r>
        <w:rPr>
          <w:rFonts w:ascii="Times New Roman" w:hAnsi="Times New Roman" w:eastAsia="宋体"/>
          <w:color w:val="auto"/>
          <w:sz w:val="24"/>
          <w:szCs w:val="24"/>
        </w:rPr>
        <w:t>。地势平坦，风蚀强烈，地表砾幕发育良好。</w:t>
      </w:r>
    </w:p>
    <w:p w14:paraId="1B6D79D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rPr>
      </w:pPr>
      <w:r>
        <w:rPr>
          <w:rFonts w:hint="default" w:ascii="Times New Roman" w:hAnsi="Times New Roman" w:eastAsia="宋体"/>
          <w:color w:val="auto"/>
          <w:sz w:val="24"/>
          <w:szCs w:val="24"/>
        </w:rPr>
        <w:t>风沙土成土母质主要为玛纳斯河冲积物，是在风成性母质上发育起来的，低矮干旱及大风是风沙土形成的主要条件。风沙土质地较粗，物理性粘粒很少，成土过程微弱，因风蚀风积交替作用，使土壤发育处于不断的复幼状况下，有机物质积累很少，成土过程十分微弱，只在土壤表层0.5cm～1cm有微弱的分化，通常在剖面中看不见成熟土壤的发生层次，一般仅有不明显的结皮和稍紧实的表土层，有机质含量上层明显高于下层，土壤理化状况无明显差异，剖面层次分化不明显。土壤pH值7.5～9.0，属碱性土壤，土壤有机质含量在0.1%～0.5%之间，土壤肥力属极低水平。评价区风沙土可分为流动风沙土、半固定风沙土和固定风沙土。</w:t>
      </w:r>
    </w:p>
    <w:p w14:paraId="28C9CF7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②土壤理化性质调查</w:t>
      </w:r>
    </w:p>
    <w:p w14:paraId="3F1912F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本次对项目区占地范围内进行了土壤理化性质调查，调查结果见表4.2-1</w:t>
      </w:r>
      <w:r>
        <w:rPr>
          <w:rFonts w:hint="eastAsia" w:ascii="Times New Roman" w:hAnsi="Times New Roman" w:cs="Times New Roman"/>
          <w:color w:val="auto"/>
          <w:sz w:val="24"/>
          <w:szCs w:val="28"/>
          <w:lang w:val="en-US" w:eastAsia="zh-CN"/>
        </w:rPr>
        <w:t>5</w:t>
      </w:r>
      <w:r>
        <w:rPr>
          <w:rFonts w:hint="eastAsia" w:ascii="Times New Roman" w:hAnsi="Times New Roman" w:eastAsia="宋体" w:cs="Times New Roman"/>
          <w:color w:val="auto"/>
          <w:sz w:val="24"/>
          <w:szCs w:val="28"/>
          <w:lang w:val="en-US" w:eastAsia="zh-CN"/>
        </w:rPr>
        <w:t>。</w:t>
      </w:r>
    </w:p>
    <w:p w14:paraId="6268B48D">
      <w:pPr>
        <w:pStyle w:val="43"/>
        <w:bidi w:val="0"/>
        <w:rPr>
          <w:rFonts w:hint="default"/>
          <w:color w:val="auto"/>
          <w:lang w:val="en-US" w:eastAsia="zh-CN"/>
        </w:rPr>
      </w:pPr>
      <w:r>
        <w:rPr>
          <w:rFonts w:hint="eastAsia"/>
          <w:color w:val="auto"/>
          <w:lang w:val="en-US" w:eastAsia="zh-CN"/>
        </w:rPr>
        <w:t>表4.2-15（a）  土壤理化性质调查表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385"/>
        <w:gridCol w:w="1740"/>
        <w:gridCol w:w="1830"/>
        <w:gridCol w:w="1808"/>
      </w:tblGrid>
      <w:tr w14:paraId="2C2C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12DA5BF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点号</w:t>
            </w:r>
          </w:p>
        </w:tc>
        <w:tc>
          <w:tcPr>
            <w:tcW w:w="1740" w:type="dxa"/>
            <w:vAlign w:val="center"/>
          </w:tcPr>
          <w:p w14:paraId="07B43A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T1</w:t>
            </w:r>
          </w:p>
        </w:tc>
        <w:tc>
          <w:tcPr>
            <w:tcW w:w="1830" w:type="dxa"/>
            <w:vAlign w:val="center"/>
          </w:tcPr>
          <w:p w14:paraId="1941FE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时间</w:t>
            </w:r>
          </w:p>
        </w:tc>
        <w:tc>
          <w:tcPr>
            <w:tcW w:w="1808" w:type="dxa"/>
            <w:vAlign w:val="center"/>
          </w:tcPr>
          <w:p w14:paraId="4CD3D0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2025.8.31</w:t>
            </w:r>
          </w:p>
        </w:tc>
      </w:tr>
      <w:tr w14:paraId="51CA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504BE5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经度</w:t>
            </w:r>
          </w:p>
        </w:tc>
        <w:tc>
          <w:tcPr>
            <w:tcW w:w="1740" w:type="dxa"/>
            <w:vAlign w:val="center"/>
          </w:tcPr>
          <w:p w14:paraId="63921183">
            <w:pPr>
              <w:bidi w:val="0"/>
              <w:jc w:val="center"/>
              <w:rPr>
                <w:rFonts w:hint="default"/>
                <w:color w:val="auto"/>
                <w:lang w:val="en-US" w:eastAsia="zh-CN"/>
              </w:rPr>
            </w:pPr>
            <w:r>
              <w:rPr>
                <w:rFonts w:hint="eastAsia" w:cs="Times New Roman"/>
                <w:color w:val="auto"/>
                <w:lang w:val="en-US" w:eastAsia="zh-CN"/>
              </w:rPr>
              <w:t>******</w:t>
            </w:r>
          </w:p>
        </w:tc>
        <w:tc>
          <w:tcPr>
            <w:tcW w:w="1830" w:type="dxa"/>
            <w:vAlign w:val="center"/>
          </w:tcPr>
          <w:p w14:paraId="37442D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纬度</w:t>
            </w:r>
          </w:p>
        </w:tc>
        <w:tc>
          <w:tcPr>
            <w:tcW w:w="1808" w:type="dxa"/>
            <w:vAlign w:val="center"/>
          </w:tcPr>
          <w:p w14:paraId="0770E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lang w:val="en-US" w:eastAsia="zh-CN"/>
              </w:rPr>
              <w:t>******</w:t>
            </w:r>
          </w:p>
        </w:tc>
      </w:tr>
      <w:tr w14:paraId="2731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11CB2F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层次</w:t>
            </w:r>
          </w:p>
        </w:tc>
        <w:tc>
          <w:tcPr>
            <w:tcW w:w="1740" w:type="dxa"/>
            <w:vAlign w:val="center"/>
          </w:tcPr>
          <w:p w14:paraId="3E7A3EE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0~0.5m</w:t>
            </w:r>
          </w:p>
        </w:tc>
        <w:tc>
          <w:tcPr>
            <w:tcW w:w="1830" w:type="dxa"/>
            <w:vAlign w:val="center"/>
          </w:tcPr>
          <w:p w14:paraId="16F4348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0.5~1.5m</w:t>
            </w:r>
          </w:p>
        </w:tc>
        <w:tc>
          <w:tcPr>
            <w:tcW w:w="1808" w:type="dxa"/>
            <w:vAlign w:val="center"/>
          </w:tcPr>
          <w:p w14:paraId="7B79547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1.5~3.0m</w:t>
            </w:r>
          </w:p>
        </w:tc>
      </w:tr>
      <w:tr w14:paraId="3B3E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1CF103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现场记录</w:t>
            </w:r>
          </w:p>
        </w:tc>
        <w:tc>
          <w:tcPr>
            <w:tcW w:w="2385" w:type="dxa"/>
            <w:vAlign w:val="center"/>
          </w:tcPr>
          <w:p w14:paraId="475ADB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颜色</w:t>
            </w:r>
          </w:p>
        </w:tc>
        <w:tc>
          <w:tcPr>
            <w:tcW w:w="1740" w:type="dxa"/>
            <w:shd w:val="clear" w:color="auto" w:fill="auto"/>
            <w:vAlign w:val="center"/>
          </w:tcPr>
          <w:p w14:paraId="072AF407">
            <w:pPr>
              <w:pStyle w:val="34"/>
              <w:bidi w:val="0"/>
              <w:jc w:val="center"/>
              <w:rPr>
                <w:rFonts w:hint="default"/>
                <w:color w:val="auto"/>
                <w:lang w:val="en-US" w:eastAsia="zh-CN"/>
              </w:rPr>
            </w:pPr>
            <w:r>
              <w:rPr>
                <w:rFonts w:hint="eastAsia"/>
                <w:color w:val="auto"/>
                <w:lang w:val="en-US" w:eastAsia="zh-CN"/>
              </w:rPr>
              <w:t>黄棕</w:t>
            </w:r>
          </w:p>
        </w:tc>
        <w:tc>
          <w:tcPr>
            <w:tcW w:w="1830" w:type="dxa"/>
            <w:shd w:val="clear" w:color="auto" w:fill="auto"/>
            <w:vAlign w:val="center"/>
          </w:tcPr>
          <w:p w14:paraId="3C736F0E">
            <w:pPr>
              <w:pStyle w:val="34"/>
              <w:bidi w:val="0"/>
              <w:jc w:val="center"/>
              <w:rPr>
                <w:rFonts w:hint="default"/>
                <w:color w:val="auto"/>
                <w:lang w:val="en-US" w:eastAsia="zh-CN"/>
              </w:rPr>
            </w:pPr>
            <w:r>
              <w:rPr>
                <w:rFonts w:hint="eastAsia"/>
                <w:color w:val="auto"/>
                <w:lang w:val="en-US" w:eastAsia="zh-CN"/>
              </w:rPr>
              <w:t>黄棕</w:t>
            </w:r>
          </w:p>
        </w:tc>
        <w:tc>
          <w:tcPr>
            <w:tcW w:w="1808" w:type="dxa"/>
            <w:shd w:val="clear" w:color="auto" w:fill="auto"/>
            <w:vAlign w:val="center"/>
          </w:tcPr>
          <w:p w14:paraId="6F23C8D9">
            <w:pPr>
              <w:pStyle w:val="34"/>
              <w:bidi w:val="0"/>
              <w:jc w:val="center"/>
              <w:rPr>
                <w:rFonts w:hint="default"/>
                <w:color w:val="auto"/>
                <w:lang w:val="en-US" w:eastAsia="zh-CN"/>
              </w:rPr>
            </w:pPr>
            <w:r>
              <w:rPr>
                <w:rFonts w:hint="eastAsia"/>
                <w:color w:val="auto"/>
                <w:lang w:val="en-US" w:eastAsia="zh-CN"/>
              </w:rPr>
              <w:t>黄棕</w:t>
            </w:r>
          </w:p>
        </w:tc>
      </w:tr>
      <w:tr w14:paraId="48E1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4BEB7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0F68A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结构</w:t>
            </w:r>
          </w:p>
        </w:tc>
        <w:tc>
          <w:tcPr>
            <w:tcW w:w="1740" w:type="dxa"/>
            <w:shd w:val="clear" w:color="auto" w:fill="auto"/>
            <w:vAlign w:val="center"/>
          </w:tcPr>
          <w:p w14:paraId="165AB94E">
            <w:pPr>
              <w:pStyle w:val="34"/>
              <w:bidi w:val="0"/>
              <w:jc w:val="center"/>
              <w:rPr>
                <w:rFonts w:hint="default"/>
                <w:color w:val="auto"/>
                <w:lang w:val="en-US" w:eastAsia="zh-CN"/>
              </w:rPr>
            </w:pPr>
            <w:r>
              <w:rPr>
                <w:rFonts w:hint="eastAsia"/>
                <w:color w:val="auto"/>
                <w:lang w:val="en-US" w:eastAsia="zh-CN"/>
              </w:rPr>
              <w:t>固体</w:t>
            </w:r>
          </w:p>
        </w:tc>
        <w:tc>
          <w:tcPr>
            <w:tcW w:w="1830" w:type="dxa"/>
            <w:shd w:val="clear" w:color="auto" w:fill="auto"/>
            <w:vAlign w:val="center"/>
          </w:tcPr>
          <w:p w14:paraId="189C9B09">
            <w:pPr>
              <w:pStyle w:val="34"/>
              <w:bidi w:val="0"/>
              <w:jc w:val="center"/>
              <w:rPr>
                <w:rFonts w:hint="default"/>
                <w:color w:val="auto"/>
                <w:lang w:val="en-US" w:eastAsia="zh-CN"/>
              </w:rPr>
            </w:pPr>
            <w:r>
              <w:rPr>
                <w:rFonts w:hint="eastAsia"/>
                <w:color w:val="auto"/>
                <w:lang w:val="en-US" w:eastAsia="zh-CN"/>
              </w:rPr>
              <w:t>固体</w:t>
            </w:r>
          </w:p>
        </w:tc>
        <w:tc>
          <w:tcPr>
            <w:tcW w:w="1808" w:type="dxa"/>
            <w:shd w:val="clear" w:color="auto" w:fill="auto"/>
            <w:vAlign w:val="center"/>
          </w:tcPr>
          <w:p w14:paraId="1E1840B3">
            <w:pPr>
              <w:pStyle w:val="34"/>
              <w:bidi w:val="0"/>
              <w:jc w:val="center"/>
              <w:rPr>
                <w:rFonts w:hint="default"/>
                <w:color w:val="auto"/>
                <w:lang w:val="en-US" w:eastAsia="zh-CN"/>
              </w:rPr>
            </w:pPr>
            <w:r>
              <w:rPr>
                <w:rFonts w:hint="eastAsia"/>
                <w:color w:val="auto"/>
                <w:lang w:val="en-US" w:eastAsia="zh-CN"/>
              </w:rPr>
              <w:t>固体</w:t>
            </w:r>
          </w:p>
        </w:tc>
      </w:tr>
      <w:tr w14:paraId="4CA4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A3080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59FF7F3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质地</w:t>
            </w:r>
          </w:p>
        </w:tc>
        <w:tc>
          <w:tcPr>
            <w:tcW w:w="1740" w:type="dxa"/>
            <w:shd w:val="clear" w:color="auto" w:fill="auto"/>
            <w:vAlign w:val="center"/>
          </w:tcPr>
          <w:p w14:paraId="77B555D7">
            <w:pPr>
              <w:pStyle w:val="34"/>
              <w:bidi w:val="0"/>
              <w:jc w:val="center"/>
              <w:rPr>
                <w:rFonts w:hint="default"/>
                <w:color w:val="auto"/>
                <w:lang w:val="en-US" w:eastAsia="zh-CN"/>
              </w:rPr>
            </w:pPr>
            <w:r>
              <w:rPr>
                <w:rFonts w:hint="default"/>
                <w:color w:val="auto"/>
                <w:lang w:val="en-US" w:eastAsia="zh-CN"/>
              </w:rPr>
              <w:t>砂土</w:t>
            </w:r>
          </w:p>
        </w:tc>
        <w:tc>
          <w:tcPr>
            <w:tcW w:w="1830" w:type="dxa"/>
            <w:shd w:val="clear" w:color="auto" w:fill="auto"/>
            <w:vAlign w:val="center"/>
          </w:tcPr>
          <w:p w14:paraId="0AF49D37">
            <w:pPr>
              <w:pStyle w:val="34"/>
              <w:bidi w:val="0"/>
              <w:jc w:val="center"/>
              <w:rPr>
                <w:rFonts w:hint="default"/>
                <w:color w:val="auto"/>
                <w:lang w:val="en-US" w:eastAsia="zh-CN"/>
              </w:rPr>
            </w:pPr>
            <w:r>
              <w:rPr>
                <w:rFonts w:hint="default"/>
                <w:color w:val="auto"/>
                <w:lang w:val="en-US" w:eastAsia="zh-CN"/>
              </w:rPr>
              <w:t>砂土</w:t>
            </w:r>
          </w:p>
        </w:tc>
        <w:tc>
          <w:tcPr>
            <w:tcW w:w="1808" w:type="dxa"/>
            <w:shd w:val="clear" w:color="auto" w:fill="auto"/>
            <w:vAlign w:val="center"/>
          </w:tcPr>
          <w:p w14:paraId="209F490E">
            <w:pPr>
              <w:pStyle w:val="34"/>
              <w:bidi w:val="0"/>
              <w:jc w:val="center"/>
              <w:rPr>
                <w:rFonts w:hint="default"/>
                <w:color w:val="auto"/>
                <w:lang w:val="en-US" w:eastAsia="zh-CN"/>
              </w:rPr>
            </w:pPr>
            <w:r>
              <w:rPr>
                <w:rFonts w:hint="default"/>
                <w:color w:val="auto"/>
                <w:lang w:val="en-US" w:eastAsia="zh-CN"/>
              </w:rPr>
              <w:t>砂土</w:t>
            </w:r>
          </w:p>
        </w:tc>
      </w:tr>
      <w:tr w14:paraId="24D9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948C5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032DBA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砂砾含量（%）</w:t>
            </w:r>
          </w:p>
        </w:tc>
        <w:tc>
          <w:tcPr>
            <w:tcW w:w="1740" w:type="dxa"/>
            <w:shd w:val="clear" w:color="auto" w:fill="auto"/>
            <w:vAlign w:val="center"/>
          </w:tcPr>
          <w:p w14:paraId="3F5B2D82">
            <w:pPr>
              <w:pStyle w:val="34"/>
              <w:bidi w:val="0"/>
              <w:jc w:val="center"/>
              <w:rPr>
                <w:rFonts w:hint="default"/>
                <w:color w:val="auto"/>
                <w:lang w:val="en-US" w:eastAsia="zh-CN"/>
              </w:rPr>
            </w:pPr>
            <w:r>
              <w:rPr>
                <w:rFonts w:hint="eastAsia"/>
                <w:color w:val="auto"/>
                <w:lang w:val="en-US" w:eastAsia="zh-CN"/>
              </w:rPr>
              <w:t>90</w:t>
            </w:r>
          </w:p>
        </w:tc>
        <w:tc>
          <w:tcPr>
            <w:tcW w:w="1830" w:type="dxa"/>
            <w:shd w:val="clear" w:color="auto" w:fill="auto"/>
            <w:vAlign w:val="center"/>
          </w:tcPr>
          <w:p w14:paraId="78A59936">
            <w:pPr>
              <w:pStyle w:val="34"/>
              <w:bidi w:val="0"/>
              <w:jc w:val="center"/>
              <w:rPr>
                <w:rFonts w:hint="default"/>
                <w:color w:val="auto"/>
                <w:lang w:val="en-US" w:eastAsia="zh-CN"/>
              </w:rPr>
            </w:pPr>
            <w:r>
              <w:rPr>
                <w:rFonts w:hint="eastAsia"/>
                <w:color w:val="auto"/>
                <w:lang w:val="en-US" w:eastAsia="zh-CN"/>
              </w:rPr>
              <w:t>90</w:t>
            </w:r>
          </w:p>
        </w:tc>
        <w:tc>
          <w:tcPr>
            <w:tcW w:w="1808" w:type="dxa"/>
            <w:shd w:val="clear" w:color="auto" w:fill="auto"/>
            <w:vAlign w:val="center"/>
          </w:tcPr>
          <w:p w14:paraId="5C3EAF15">
            <w:pPr>
              <w:pStyle w:val="34"/>
              <w:bidi w:val="0"/>
              <w:jc w:val="center"/>
              <w:rPr>
                <w:rFonts w:hint="default"/>
                <w:color w:val="auto"/>
                <w:lang w:val="en-US" w:eastAsia="zh-CN"/>
              </w:rPr>
            </w:pPr>
            <w:r>
              <w:rPr>
                <w:rFonts w:hint="eastAsia"/>
                <w:color w:val="auto"/>
                <w:lang w:val="en-US" w:eastAsia="zh-CN"/>
              </w:rPr>
              <w:t>90</w:t>
            </w:r>
          </w:p>
        </w:tc>
      </w:tr>
      <w:tr w14:paraId="4C96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252DD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E2830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2"/>
                <w:vertAlign w:val="baseline"/>
                <w:lang w:val="en-US" w:eastAsia="zh-CN"/>
              </w:rPr>
            </w:pPr>
            <w:r>
              <w:rPr>
                <w:rFonts w:hint="eastAsia" w:cs="Times New Roman"/>
                <w:color w:val="auto"/>
                <w:sz w:val="21"/>
                <w:szCs w:val="22"/>
                <w:vertAlign w:val="baseline"/>
                <w:lang w:val="en-US" w:eastAsia="zh-CN"/>
              </w:rPr>
              <w:t>其他异物</w:t>
            </w:r>
          </w:p>
        </w:tc>
        <w:tc>
          <w:tcPr>
            <w:tcW w:w="1740" w:type="dxa"/>
            <w:shd w:val="clear" w:color="auto" w:fill="auto"/>
            <w:vAlign w:val="center"/>
          </w:tcPr>
          <w:p w14:paraId="4234E73E">
            <w:pPr>
              <w:pStyle w:val="34"/>
              <w:bidi w:val="0"/>
              <w:jc w:val="center"/>
              <w:rPr>
                <w:rFonts w:hint="default"/>
                <w:color w:val="auto"/>
                <w:lang w:val="en-US" w:eastAsia="zh-CN"/>
              </w:rPr>
            </w:pPr>
            <w:r>
              <w:rPr>
                <w:rFonts w:hint="eastAsia"/>
                <w:color w:val="auto"/>
                <w:lang w:val="en-US" w:eastAsia="zh-CN"/>
              </w:rPr>
              <w:t>根系</w:t>
            </w:r>
          </w:p>
        </w:tc>
        <w:tc>
          <w:tcPr>
            <w:tcW w:w="1830" w:type="dxa"/>
            <w:shd w:val="clear" w:color="auto" w:fill="auto"/>
            <w:vAlign w:val="center"/>
          </w:tcPr>
          <w:p w14:paraId="50A4D877">
            <w:pPr>
              <w:pStyle w:val="34"/>
              <w:bidi w:val="0"/>
              <w:jc w:val="center"/>
              <w:rPr>
                <w:rFonts w:hint="default"/>
                <w:color w:val="auto"/>
                <w:lang w:val="en-US" w:eastAsia="zh-CN"/>
              </w:rPr>
            </w:pPr>
            <w:r>
              <w:rPr>
                <w:rFonts w:hint="eastAsia"/>
                <w:color w:val="auto"/>
                <w:lang w:val="en-US" w:eastAsia="zh-CN"/>
              </w:rPr>
              <w:t>根系</w:t>
            </w:r>
          </w:p>
        </w:tc>
        <w:tc>
          <w:tcPr>
            <w:tcW w:w="1808" w:type="dxa"/>
            <w:shd w:val="clear" w:color="auto" w:fill="auto"/>
            <w:vAlign w:val="center"/>
          </w:tcPr>
          <w:p w14:paraId="0D7164BF">
            <w:pPr>
              <w:pStyle w:val="34"/>
              <w:bidi w:val="0"/>
              <w:jc w:val="center"/>
              <w:rPr>
                <w:rFonts w:hint="default"/>
                <w:color w:val="auto"/>
                <w:lang w:val="en-US" w:eastAsia="zh-CN"/>
              </w:rPr>
            </w:pPr>
            <w:r>
              <w:rPr>
                <w:rFonts w:hint="eastAsia"/>
                <w:color w:val="auto"/>
                <w:lang w:val="en-US" w:eastAsia="zh-CN"/>
              </w:rPr>
              <w:t>/</w:t>
            </w:r>
          </w:p>
        </w:tc>
      </w:tr>
      <w:tr w14:paraId="4403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722E09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实验室测定</w:t>
            </w:r>
          </w:p>
        </w:tc>
        <w:tc>
          <w:tcPr>
            <w:tcW w:w="2385" w:type="dxa"/>
            <w:vAlign w:val="center"/>
          </w:tcPr>
          <w:p w14:paraId="4BBA00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2"/>
                <w:vertAlign w:val="baseline"/>
                <w:lang w:val="en-US" w:eastAsia="zh-CN"/>
              </w:rPr>
            </w:pPr>
            <w:r>
              <w:rPr>
                <w:rFonts w:hint="eastAsia" w:cs="Times New Roman"/>
                <w:color w:val="auto"/>
                <w:sz w:val="21"/>
                <w:szCs w:val="22"/>
                <w:vertAlign w:val="baseline"/>
                <w:lang w:val="en-US" w:eastAsia="zh-CN"/>
              </w:rPr>
              <w:t>pH</w:t>
            </w:r>
          </w:p>
        </w:tc>
        <w:tc>
          <w:tcPr>
            <w:tcW w:w="1740" w:type="dxa"/>
            <w:shd w:val="clear" w:color="auto" w:fill="auto"/>
            <w:vAlign w:val="center"/>
          </w:tcPr>
          <w:p w14:paraId="2BF2A186">
            <w:pPr>
              <w:pStyle w:val="34"/>
              <w:bidi w:val="0"/>
              <w:jc w:val="center"/>
              <w:rPr>
                <w:rFonts w:hint="default"/>
                <w:color w:val="auto"/>
                <w:lang w:val="en-US" w:eastAsia="zh-CN"/>
              </w:rPr>
            </w:pPr>
            <w:r>
              <w:rPr>
                <w:rFonts w:hint="eastAsia"/>
                <w:color w:val="auto"/>
                <w:lang w:val="en-US" w:eastAsia="zh-CN"/>
              </w:rPr>
              <w:t>8.74</w:t>
            </w:r>
          </w:p>
        </w:tc>
        <w:tc>
          <w:tcPr>
            <w:tcW w:w="1830" w:type="dxa"/>
            <w:shd w:val="clear" w:color="auto" w:fill="auto"/>
            <w:vAlign w:val="center"/>
          </w:tcPr>
          <w:p w14:paraId="7A2A7B5E">
            <w:pPr>
              <w:pStyle w:val="34"/>
              <w:bidi w:val="0"/>
              <w:jc w:val="center"/>
              <w:rPr>
                <w:rFonts w:hint="default"/>
                <w:color w:val="auto"/>
                <w:lang w:val="en-US" w:eastAsia="zh-CN"/>
              </w:rPr>
            </w:pPr>
            <w:r>
              <w:rPr>
                <w:rFonts w:hint="eastAsia"/>
                <w:color w:val="auto"/>
                <w:lang w:val="en-US" w:eastAsia="zh-CN"/>
              </w:rPr>
              <w:t>8.70</w:t>
            </w:r>
          </w:p>
        </w:tc>
        <w:tc>
          <w:tcPr>
            <w:tcW w:w="1808" w:type="dxa"/>
            <w:shd w:val="clear" w:color="auto" w:fill="auto"/>
            <w:vAlign w:val="center"/>
          </w:tcPr>
          <w:p w14:paraId="5D1E8634">
            <w:pPr>
              <w:pStyle w:val="34"/>
              <w:bidi w:val="0"/>
              <w:jc w:val="center"/>
              <w:rPr>
                <w:rFonts w:hint="default"/>
                <w:color w:val="auto"/>
                <w:lang w:val="en-US" w:eastAsia="zh-CN"/>
              </w:rPr>
            </w:pPr>
            <w:r>
              <w:rPr>
                <w:rFonts w:hint="eastAsia"/>
                <w:color w:val="auto"/>
                <w:lang w:val="en-US" w:eastAsia="zh-CN"/>
              </w:rPr>
              <w:t>8.78</w:t>
            </w:r>
          </w:p>
        </w:tc>
      </w:tr>
      <w:tr w14:paraId="50D1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78A739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28DFF4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2"/>
                <w:vertAlign w:val="baseline"/>
                <w:lang w:val="en-US" w:eastAsia="zh-CN"/>
              </w:rPr>
            </w:pPr>
            <w:r>
              <w:rPr>
                <w:rFonts w:hint="eastAsia" w:cs="Times New Roman"/>
                <w:color w:val="auto"/>
                <w:sz w:val="21"/>
                <w:szCs w:val="22"/>
                <w:vertAlign w:val="baseline"/>
                <w:lang w:val="en-US" w:eastAsia="zh-CN"/>
              </w:rPr>
              <w:t>阳离子交换量</w:t>
            </w:r>
          </w:p>
        </w:tc>
        <w:tc>
          <w:tcPr>
            <w:tcW w:w="1740" w:type="dxa"/>
            <w:shd w:val="clear" w:color="auto" w:fill="auto"/>
            <w:vAlign w:val="center"/>
          </w:tcPr>
          <w:p w14:paraId="4F32A88D">
            <w:pPr>
              <w:pStyle w:val="34"/>
              <w:bidi w:val="0"/>
              <w:jc w:val="center"/>
              <w:rPr>
                <w:rFonts w:hint="default"/>
                <w:color w:val="auto"/>
                <w:lang w:val="en-US" w:eastAsia="zh-CN"/>
              </w:rPr>
            </w:pPr>
            <w:r>
              <w:rPr>
                <w:rFonts w:hint="eastAsia"/>
                <w:color w:val="auto"/>
                <w:lang w:val="en-US" w:eastAsia="zh-CN"/>
              </w:rPr>
              <w:t>8.6</w:t>
            </w:r>
          </w:p>
        </w:tc>
        <w:tc>
          <w:tcPr>
            <w:tcW w:w="1830" w:type="dxa"/>
            <w:shd w:val="clear" w:color="auto" w:fill="auto"/>
            <w:vAlign w:val="center"/>
          </w:tcPr>
          <w:p w14:paraId="7F6321DD">
            <w:pPr>
              <w:pStyle w:val="34"/>
              <w:bidi w:val="0"/>
              <w:jc w:val="center"/>
              <w:rPr>
                <w:rFonts w:hint="default"/>
                <w:color w:val="auto"/>
                <w:lang w:val="en-US" w:eastAsia="zh-CN"/>
              </w:rPr>
            </w:pPr>
            <w:r>
              <w:rPr>
                <w:rFonts w:hint="eastAsia"/>
                <w:color w:val="auto"/>
                <w:lang w:val="en-US" w:eastAsia="zh-CN"/>
              </w:rPr>
              <w:t>8.2</w:t>
            </w:r>
          </w:p>
        </w:tc>
        <w:tc>
          <w:tcPr>
            <w:tcW w:w="1808" w:type="dxa"/>
            <w:shd w:val="clear" w:color="auto" w:fill="auto"/>
            <w:vAlign w:val="center"/>
          </w:tcPr>
          <w:p w14:paraId="3D226FB8">
            <w:pPr>
              <w:pStyle w:val="34"/>
              <w:bidi w:val="0"/>
              <w:jc w:val="center"/>
              <w:rPr>
                <w:rFonts w:hint="default"/>
                <w:color w:val="auto"/>
                <w:lang w:val="en-US" w:eastAsia="zh-CN"/>
              </w:rPr>
            </w:pPr>
            <w:r>
              <w:rPr>
                <w:rFonts w:hint="eastAsia"/>
                <w:color w:val="auto"/>
                <w:lang w:val="en-US" w:eastAsia="zh-CN"/>
              </w:rPr>
              <w:t>8.2</w:t>
            </w:r>
          </w:p>
        </w:tc>
      </w:tr>
      <w:tr w14:paraId="7B37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13E45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68A1083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2"/>
                <w:vertAlign w:val="baseline"/>
                <w:lang w:val="en-US" w:eastAsia="zh-CN"/>
              </w:rPr>
            </w:pPr>
            <w:r>
              <w:rPr>
                <w:rFonts w:hint="eastAsia" w:cs="Times New Roman"/>
                <w:color w:val="auto"/>
                <w:sz w:val="21"/>
                <w:szCs w:val="22"/>
                <w:vertAlign w:val="baseline"/>
                <w:lang w:val="en-US" w:eastAsia="zh-CN"/>
              </w:rPr>
              <w:t>氧化还原电位</w:t>
            </w:r>
          </w:p>
        </w:tc>
        <w:tc>
          <w:tcPr>
            <w:tcW w:w="1740" w:type="dxa"/>
            <w:shd w:val="clear" w:color="auto" w:fill="auto"/>
            <w:vAlign w:val="center"/>
          </w:tcPr>
          <w:p w14:paraId="3144CAEF">
            <w:pPr>
              <w:pStyle w:val="34"/>
              <w:bidi w:val="0"/>
              <w:jc w:val="center"/>
              <w:rPr>
                <w:rFonts w:hint="default"/>
                <w:color w:val="auto"/>
                <w:lang w:val="en-US" w:eastAsia="zh-CN"/>
              </w:rPr>
            </w:pPr>
            <w:r>
              <w:rPr>
                <w:rFonts w:hint="eastAsia"/>
                <w:color w:val="auto"/>
                <w:lang w:val="en-US" w:eastAsia="zh-CN"/>
              </w:rPr>
              <w:t>313</w:t>
            </w:r>
          </w:p>
        </w:tc>
        <w:tc>
          <w:tcPr>
            <w:tcW w:w="1830" w:type="dxa"/>
            <w:shd w:val="clear" w:color="auto" w:fill="auto"/>
            <w:vAlign w:val="center"/>
          </w:tcPr>
          <w:p w14:paraId="572069D5">
            <w:pPr>
              <w:pStyle w:val="34"/>
              <w:bidi w:val="0"/>
              <w:jc w:val="center"/>
              <w:rPr>
                <w:rFonts w:hint="default"/>
                <w:color w:val="auto"/>
                <w:lang w:val="en-US" w:eastAsia="zh-CN"/>
              </w:rPr>
            </w:pPr>
            <w:r>
              <w:rPr>
                <w:rFonts w:hint="eastAsia"/>
                <w:color w:val="auto"/>
                <w:lang w:val="en-US" w:eastAsia="zh-CN"/>
              </w:rPr>
              <w:t>278</w:t>
            </w:r>
          </w:p>
        </w:tc>
        <w:tc>
          <w:tcPr>
            <w:tcW w:w="1808" w:type="dxa"/>
            <w:shd w:val="clear" w:color="auto" w:fill="auto"/>
            <w:vAlign w:val="center"/>
          </w:tcPr>
          <w:p w14:paraId="7BC11D0E">
            <w:pPr>
              <w:pStyle w:val="34"/>
              <w:bidi w:val="0"/>
              <w:jc w:val="center"/>
              <w:rPr>
                <w:rFonts w:hint="default"/>
                <w:color w:val="auto"/>
                <w:lang w:val="en-US" w:eastAsia="zh-CN"/>
              </w:rPr>
            </w:pPr>
            <w:r>
              <w:rPr>
                <w:rFonts w:hint="eastAsia"/>
                <w:color w:val="auto"/>
                <w:lang w:val="en-US" w:eastAsia="zh-CN"/>
              </w:rPr>
              <w:t>259</w:t>
            </w:r>
          </w:p>
        </w:tc>
      </w:tr>
      <w:tr w14:paraId="6AEF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03DF2B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2810EB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2"/>
                <w:vertAlign w:val="baseline"/>
                <w:lang w:val="en-US" w:eastAsia="zh-CN"/>
              </w:rPr>
            </w:pPr>
            <w:r>
              <w:rPr>
                <w:rFonts w:hint="eastAsia" w:cs="Times New Roman"/>
                <w:color w:val="auto"/>
                <w:sz w:val="21"/>
                <w:szCs w:val="22"/>
                <w:vertAlign w:val="baseline"/>
                <w:lang w:val="en-US" w:eastAsia="zh-CN"/>
              </w:rPr>
              <w:t>饱和导水率/(cm/s)</w:t>
            </w:r>
          </w:p>
        </w:tc>
        <w:tc>
          <w:tcPr>
            <w:tcW w:w="1740" w:type="dxa"/>
            <w:shd w:val="clear" w:color="auto" w:fill="auto"/>
            <w:vAlign w:val="center"/>
          </w:tcPr>
          <w:p w14:paraId="7BB40335">
            <w:pPr>
              <w:pStyle w:val="34"/>
              <w:bidi w:val="0"/>
              <w:jc w:val="center"/>
              <w:rPr>
                <w:rFonts w:hint="default"/>
                <w:color w:val="auto"/>
                <w:lang w:val="en-US" w:eastAsia="zh-CN"/>
              </w:rPr>
            </w:pPr>
            <w:r>
              <w:rPr>
                <w:rFonts w:hint="eastAsia"/>
                <w:color w:val="auto"/>
                <w:lang w:val="en-US" w:eastAsia="zh-CN"/>
              </w:rPr>
              <w:t>516</w:t>
            </w:r>
          </w:p>
        </w:tc>
        <w:tc>
          <w:tcPr>
            <w:tcW w:w="1830" w:type="dxa"/>
            <w:shd w:val="clear" w:color="auto" w:fill="auto"/>
            <w:vAlign w:val="center"/>
          </w:tcPr>
          <w:p w14:paraId="29C0F952">
            <w:pPr>
              <w:pStyle w:val="34"/>
              <w:bidi w:val="0"/>
              <w:jc w:val="center"/>
              <w:rPr>
                <w:rFonts w:hint="default"/>
                <w:color w:val="auto"/>
                <w:lang w:val="en-US" w:eastAsia="zh-CN"/>
              </w:rPr>
            </w:pPr>
            <w:r>
              <w:rPr>
                <w:rFonts w:hint="eastAsia"/>
                <w:color w:val="auto"/>
                <w:lang w:val="en-US" w:eastAsia="zh-CN"/>
              </w:rPr>
              <w:t>489</w:t>
            </w:r>
          </w:p>
        </w:tc>
        <w:tc>
          <w:tcPr>
            <w:tcW w:w="1808" w:type="dxa"/>
            <w:shd w:val="clear" w:color="auto" w:fill="auto"/>
            <w:vAlign w:val="center"/>
          </w:tcPr>
          <w:p w14:paraId="77A9071D">
            <w:pPr>
              <w:pStyle w:val="34"/>
              <w:bidi w:val="0"/>
              <w:jc w:val="center"/>
              <w:rPr>
                <w:rFonts w:hint="default"/>
                <w:color w:val="auto"/>
                <w:lang w:val="en-US" w:eastAsia="zh-CN"/>
              </w:rPr>
            </w:pPr>
            <w:r>
              <w:rPr>
                <w:rFonts w:hint="eastAsia"/>
                <w:color w:val="auto"/>
                <w:lang w:val="en-US" w:eastAsia="zh-CN"/>
              </w:rPr>
              <w:t>481</w:t>
            </w:r>
          </w:p>
        </w:tc>
      </w:tr>
      <w:tr w14:paraId="4E34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285F4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7B4A683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2"/>
                <w:vertAlign w:val="baseline"/>
                <w:lang w:val="en-US" w:eastAsia="zh-CN"/>
              </w:rPr>
            </w:pPr>
            <w:r>
              <w:rPr>
                <w:rFonts w:hint="eastAsia" w:cs="Times New Roman"/>
                <w:color w:val="auto"/>
                <w:sz w:val="21"/>
                <w:szCs w:val="22"/>
                <w:vertAlign w:val="baseline"/>
                <w:lang w:val="en-US" w:eastAsia="zh-CN"/>
              </w:rPr>
              <w:t>土壤容重/(kg/m</w:t>
            </w:r>
            <w:r>
              <w:rPr>
                <w:rFonts w:hint="eastAsia" w:cs="Times New Roman"/>
                <w:color w:val="auto"/>
                <w:sz w:val="21"/>
                <w:szCs w:val="22"/>
                <w:vertAlign w:val="superscript"/>
                <w:lang w:val="en-US" w:eastAsia="zh-CN"/>
              </w:rPr>
              <w:t>3</w:t>
            </w:r>
            <w:r>
              <w:rPr>
                <w:rFonts w:hint="eastAsia" w:cs="Times New Roman"/>
                <w:color w:val="auto"/>
                <w:sz w:val="21"/>
                <w:szCs w:val="22"/>
                <w:vertAlign w:val="baseline"/>
                <w:lang w:val="en-US" w:eastAsia="zh-CN"/>
              </w:rPr>
              <w:t>)</w:t>
            </w:r>
          </w:p>
        </w:tc>
        <w:tc>
          <w:tcPr>
            <w:tcW w:w="1740" w:type="dxa"/>
            <w:shd w:val="clear" w:color="auto" w:fill="auto"/>
            <w:vAlign w:val="center"/>
          </w:tcPr>
          <w:p w14:paraId="71BC5BEE">
            <w:pPr>
              <w:pStyle w:val="34"/>
              <w:bidi w:val="0"/>
              <w:jc w:val="center"/>
              <w:rPr>
                <w:rFonts w:hint="default"/>
                <w:color w:val="auto"/>
                <w:lang w:val="en-US" w:eastAsia="zh-CN"/>
              </w:rPr>
            </w:pPr>
            <w:r>
              <w:rPr>
                <w:rFonts w:hint="eastAsia"/>
                <w:color w:val="auto"/>
                <w:lang w:val="en-US" w:eastAsia="zh-CN"/>
              </w:rPr>
              <w:t>1.2</w:t>
            </w:r>
          </w:p>
        </w:tc>
        <w:tc>
          <w:tcPr>
            <w:tcW w:w="1830" w:type="dxa"/>
            <w:shd w:val="clear" w:color="auto" w:fill="auto"/>
            <w:vAlign w:val="center"/>
          </w:tcPr>
          <w:p w14:paraId="4E38712A">
            <w:pPr>
              <w:pStyle w:val="34"/>
              <w:bidi w:val="0"/>
              <w:jc w:val="center"/>
              <w:rPr>
                <w:rFonts w:hint="default"/>
                <w:color w:val="auto"/>
                <w:lang w:val="en-US" w:eastAsia="zh-CN"/>
              </w:rPr>
            </w:pPr>
            <w:r>
              <w:rPr>
                <w:rFonts w:hint="eastAsia"/>
                <w:color w:val="auto"/>
                <w:lang w:val="en-US" w:eastAsia="zh-CN"/>
              </w:rPr>
              <w:t>1.2</w:t>
            </w:r>
          </w:p>
        </w:tc>
        <w:tc>
          <w:tcPr>
            <w:tcW w:w="1808" w:type="dxa"/>
            <w:shd w:val="clear" w:color="auto" w:fill="auto"/>
            <w:vAlign w:val="center"/>
          </w:tcPr>
          <w:p w14:paraId="1DE9A4C8">
            <w:pPr>
              <w:pStyle w:val="34"/>
              <w:bidi w:val="0"/>
              <w:jc w:val="center"/>
              <w:rPr>
                <w:rFonts w:hint="default"/>
                <w:color w:val="auto"/>
                <w:lang w:val="en-US" w:eastAsia="zh-CN"/>
              </w:rPr>
            </w:pPr>
            <w:r>
              <w:rPr>
                <w:rFonts w:hint="eastAsia"/>
                <w:color w:val="auto"/>
                <w:lang w:val="en-US" w:eastAsia="zh-CN"/>
              </w:rPr>
              <w:t>1.3</w:t>
            </w:r>
          </w:p>
        </w:tc>
      </w:tr>
      <w:tr w14:paraId="0E98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8F064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3A36F7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2"/>
                <w:vertAlign w:val="baseline"/>
                <w:lang w:val="en-US" w:eastAsia="zh-CN"/>
              </w:rPr>
            </w:pPr>
            <w:r>
              <w:rPr>
                <w:rFonts w:hint="eastAsia" w:cs="Times New Roman"/>
                <w:color w:val="auto"/>
                <w:sz w:val="21"/>
                <w:szCs w:val="22"/>
                <w:vertAlign w:val="baseline"/>
                <w:lang w:val="en-US" w:eastAsia="zh-CN"/>
              </w:rPr>
              <w:t>孔隙度</w:t>
            </w:r>
          </w:p>
        </w:tc>
        <w:tc>
          <w:tcPr>
            <w:tcW w:w="1740" w:type="dxa"/>
            <w:shd w:val="clear" w:color="auto" w:fill="auto"/>
            <w:vAlign w:val="center"/>
          </w:tcPr>
          <w:p w14:paraId="0CDD2CDB">
            <w:pPr>
              <w:pStyle w:val="34"/>
              <w:bidi w:val="0"/>
              <w:jc w:val="center"/>
              <w:rPr>
                <w:rFonts w:hint="default"/>
                <w:color w:val="auto"/>
                <w:lang w:val="en-US" w:eastAsia="zh-CN"/>
              </w:rPr>
            </w:pPr>
            <w:r>
              <w:rPr>
                <w:rFonts w:hint="eastAsia"/>
                <w:color w:val="auto"/>
                <w:lang w:val="en-US" w:eastAsia="zh-CN"/>
              </w:rPr>
              <w:t>33</w:t>
            </w:r>
          </w:p>
        </w:tc>
        <w:tc>
          <w:tcPr>
            <w:tcW w:w="1830" w:type="dxa"/>
            <w:shd w:val="clear" w:color="auto" w:fill="auto"/>
            <w:vAlign w:val="center"/>
          </w:tcPr>
          <w:p w14:paraId="6499424A">
            <w:pPr>
              <w:pStyle w:val="34"/>
              <w:bidi w:val="0"/>
              <w:jc w:val="center"/>
              <w:rPr>
                <w:rFonts w:hint="default"/>
                <w:color w:val="auto"/>
                <w:lang w:val="en-US" w:eastAsia="zh-CN"/>
              </w:rPr>
            </w:pPr>
            <w:r>
              <w:rPr>
                <w:rFonts w:hint="eastAsia"/>
                <w:color w:val="auto"/>
                <w:lang w:val="en-US" w:eastAsia="zh-CN"/>
              </w:rPr>
              <w:t>31</w:t>
            </w:r>
          </w:p>
        </w:tc>
        <w:tc>
          <w:tcPr>
            <w:tcW w:w="1808" w:type="dxa"/>
            <w:shd w:val="clear" w:color="auto" w:fill="auto"/>
            <w:vAlign w:val="center"/>
          </w:tcPr>
          <w:p w14:paraId="2F360753">
            <w:pPr>
              <w:pStyle w:val="34"/>
              <w:bidi w:val="0"/>
              <w:jc w:val="center"/>
              <w:rPr>
                <w:rFonts w:hint="default"/>
                <w:color w:val="auto"/>
                <w:lang w:val="en-US" w:eastAsia="zh-CN"/>
              </w:rPr>
            </w:pPr>
            <w:r>
              <w:rPr>
                <w:rFonts w:hint="eastAsia"/>
                <w:color w:val="auto"/>
                <w:lang w:val="en-US" w:eastAsia="zh-CN"/>
              </w:rPr>
              <w:t>31</w:t>
            </w:r>
          </w:p>
        </w:tc>
      </w:tr>
      <w:tr w14:paraId="0A96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2D2BF0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点号</w:t>
            </w:r>
          </w:p>
        </w:tc>
        <w:tc>
          <w:tcPr>
            <w:tcW w:w="1740" w:type="dxa"/>
            <w:vAlign w:val="center"/>
          </w:tcPr>
          <w:p w14:paraId="27C168A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T2</w:t>
            </w:r>
          </w:p>
        </w:tc>
        <w:tc>
          <w:tcPr>
            <w:tcW w:w="1830" w:type="dxa"/>
            <w:vAlign w:val="center"/>
          </w:tcPr>
          <w:p w14:paraId="65B801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时间</w:t>
            </w:r>
          </w:p>
        </w:tc>
        <w:tc>
          <w:tcPr>
            <w:tcW w:w="1808" w:type="dxa"/>
            <w:vAlign w:val="center"/>
          </w:tcPr>
          <w:p w14:paraId="59A903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2025.8.31</w:t>
            </w:r>
          </w:p>
        </w:tc>
      </w:tr>
      <w:tr w14:paraId="0376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2EF4F9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经度</w:t>
            </w:r>
          </w:p>
        </w:tc>
        <w:tc>
          <w:tcPr>
            <w:tcW w:w="1740" w:type="dxa"/>
            <w:vAlign w:val="center"/>
          </w:tcPr>
          <w:p w14:paraId="39FA48B6">
            <w:pPr>
              <w:bidi w:val="0"/>
              <w:jc w:val="center"/>
              <w:rPr>
                <w:rFonts w:hint="default" w:ascii="Times New Roman" w:hAnsi="Times New Roman" w:eastAsia="宋体" w:cs="Times New Roman"/>
                <w:color w:val="auto"/>
                <w:sz w:val="21"/>
                <w:szCs w:val="22"/>
                <w:vertAlign w:val="baseline"/>
                <w:lang w:val="en-US" w:eastAsia="zh-CN"/>
              </w:rPr>
            </w:pPr>
            <w:r>
              <w:rPr>
                <w:rFonts w:hint="eastAsia" w:cs="Times New Roman"/>
                <w:color w:val="auto"/>
                <w:lang w:val="en-US" w:eastAsia="zh-CN"/>
              </w:rPr>
              <w:t>******</w:t>
            </w:r>
          </w:p>
        </w:tc>
        <w:tc>
          <w:tcPr>
            <w:tcW w:w="1830" w:type="dxa"/>
            <w:vAlign w:val="center"/>
          </w:tcPr>
          <w:p w14:paraId="6FA551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纬度</w:t>
            </w:r>
          </w:p>
        </w:tc>
        <w:tc>
          <w:tcPr>
            <w:tcW w:w="1808" w:type="dxa"/>
            <w:vAlign w:val="center"/>
          </w:tcPr>
          <w:p w14:paraId="658E02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lang w:val="en-US" w:eastAsia="zh-CN"/>
              </w:rPr>
              <w:t>******</w:t>
            </w:r>
          </w:p>
        </w:tc>
      </w:tr>
      <w:tr w14:paraId="6193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32D2C0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层次</w:t>
            </w:r>
          </w:p>
        </w:tc>
        <w:tc>
          <w:tcPr>
            <w:tcW w:w="1740" w:type="dxa"/>
            <w:vAlign w:val="center"/>
          </w:tcPr>
          <w:p w14:paraId="43D3A8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0~0.5m</w:t>
            </w:r>
          </w:p>
        </w:tc>
        <w:tc>
          <w:tcPr>
            <w:tcW w:w="1830" w:type="dxa"/>
            <w:vAlign w:val="center"/>
          </w:tcPr>
          <w:p w14:paraId="34DB3F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0.5~1.5m</w:t>
            </w:r>
          </w:p>
        </w:tc>
        <w:tc>
          <w:tcPr>
            <w:tcW w:w="1808" w:type="dxa"/>
            <w:vAlign w:val="center"/>
          </w:tcPr>
          <w:p w14:paraId="72CD1E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1.5~3.0m</w:t>
            </w:r>
          </w:p>
        </w:tc>
      </w:tr>
      <w:tr w14:paraId="2D7D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518229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现场记录</w:t>
            </w:r>
          </w:p>
        </w:tc>
        <w:tc>
          <w:tcPr>
            <w:tcW w:w="2385" w:type="dxa"/>
            <w:vAlign w:val="center"/>
          </w:tcPr>
          <w:p w14:paraId="05B594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颜色</w:t>
            </w:r>
          </w:p>
        </w:tc>
        <w:tc>
          <w:tcPr>
            <w:tcW w:w="1740" w:type="dxa"/>
            <w:shd w:val="clear" w:color="auto" w:fill="auto"/>
            <w:vAlign w:val="center"/>
          </w:tcPr>
          <w:p w14:paraId="3A07F909">
            <w:pPr>
              <w:pStyle w:val="34"/>
              <w:bidi w:val="0"/>
              <w:jc w:val="center"/>
              <w:rPr>
                <w:rFonts w:hint="default"/>
                <w:color w:val="auto"/>
                <w:lang w:val="en-US" w:eastAsia="zh-CN"/>
              </w:rPr>
            </w:pPr>
            <w:r>
              <w:rPr>
                <w:rFonts w:hint="eastAsia"/>
                <w:color w:val="auto"/>
                <w:lang w:val="en-US" w:eastAsia="zh-CN"/>
              </w:rPr>
              <w:t>浅黄</w:t>
            </w:r>
          </w:p>
        </w:tc>
        <w:tc>
          <w:tcPr>
            <w:tcW w:w="1830" w:type="dxa"/>
            <w:shd w:val="clear" w:color="auto" w:fill="auto"/>
            <w:vAlign w:val="center"/>
          </w:tcPr>
          <w:p w14:paraId="7092CD5C">
            <w:pPr>
              <w:pStyle w:val="34"/>
              <w:bidi w:val="0"/>
              <w:jc w:val="center"/>
              <w:rPr>
                <w:rFonts w:hint="default"/>
                <w:color w:val="auto"/>
                <w:lang w:val="en-US" w:eastAsia="zh-CN"/>
              </w:rPr>
            </w:pPr>
            <w:r>
              <w:rPr>
                <w:rFonts w:hint="eastAsia"/>
                <w:color w:val="auto"/>
                <w:lang w:val="en-US" w:eastAsia="zh-CN"/>
              </w:rPr>
              <w:t>浅黄</w:t>
            </w:r>
          </w:p>
        </w:tc>
        <w:tc>
          <w:tcPr>
            <w:tcW w:w="1808" w:type="dxa"/>
            <w:shd w:val="clear" w:color="auto" w:fill="auto"/>
            <w:vAlign w:val="center"/>
          </w:tcPr>
          <w:p w14:paraId="6F8EDC77">
            <w:pPr>
              <w:pStyle w:val="34"/>
              <w:bidi w:val="0"/>
              <w:jc w:val="center"/>
              <w:rPr>
                <w:rFonts w:hint="default"/>
                <w:color w:val="auto"/>
                <w:lang w:val="en-US" w:eastAsia="zh-CN"/>
              </w:rPr>
            </w:pPr>
            <w:r>
              <w:rPr>
                <w:rFonts w:hint="eastAsia"/>
                <w:color w:val="auto"/>
                <w:lang w:val="en-US" w:eastAsia="zh-CN"/>
              </w:rPr>
              <w:t>浅黄</w:t>
            </w:r>
          </w:p>
        </w:tc>
      </w:tr>
      <w:tr w14:paraId="72DF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4E77B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6297FFE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结构</w:t>
            </w:r>
          </w:p>
        </w:tc>
        <w:tc>
          <w:tcPr>
            <w:tcW w:w="1740" w:type="dxa"/>
            <w:shd w:val="clear" w:color="auto" w:fill="auto"/>
            <w:vAlign w:val="center"/>
          </w:tcPr>
          <w:p w14:paraId="73FC2904">
            <w:pPr>
              <w:pStyle w:val="34"/>
              <w:bidi w:val="0"/>
              <w:jc w:val="center"/>
              <w:rPr>
                <w:rFonts w:hint="default"/>
                <w:color w:val="auto"/>
                <w:lang w:val="en-US" w:eastAsia="zh-CN"/>
              </w:rPr>
            </w:pPr>
            <w:r>
              <w:rPr>
                <w:rFonts w:hint="eastAsia"/>
                <w:color w:val="auto"/>
                <w:lang w:val="en-US" w:eastAsia="zh-CN"/>
              </w:rPr>
              <w:t>固体</w:t>
            </w:r>
          </w:p>
        </w:tc>
        <w:tc>
          <w:tcPr>
            <w:tcW w:w="1830" w:type="dxa"/>
            <w:shd w:val="clear" w:color="auto" w:fill="auto"/>
            <w:vAlign w:val="center"/>
          </w:tcPr>
          <w:p w14:paraId="7966C964">
            <w:pPr>
              <w:pStyle w:val="34"/>
              <w:bidi w:val="0"/>
              <w:jc w:val="center"/>
              <w:rPr>
                <w:rFonts w:hint="default"/>
                <w:color w:val="auto"/>
                <w:lang w:val="en-US" w:eastAsia="zh-CN"/>
              </w:rPr>
            </w:pPr>
            <w:r>
              <w:rPr>
                <w:rFonts w:hint="eastAsia"/>
                <w:color w:val="auto"/>
                <w:lang w:val="en-US" w:eastAsia="zh-CN"/>
              </w:rPr>
              <w:t>固体</w:t>
            </w:r>
          </w:p>
        </w:tc>
        <w:tc>
          <w:tcPr>
            <w:tcW w:w="1808" w:type="dxa"/>
            <w:shd w:val="clear" w:color="auto" w:fill="auto"/>
            <w:vAlign w:val="center"/>
          </w:tcPr>
          <w:p w14:paraId="0AFA6540">
            <w:pPr>
              <w:pStyle w:val="34"/>
              <w:bidi w:val="0"/>
              <w:jc w:val="center"/>
              <w:rPr>
                <w:rFonts w:hint="default"/>
                <w:color w:val="auto"/>
                <w:lang w:val="en-US" w:eastAsia="zh-CN"/>
              </w:rPr>
            </w:pPr>
            <w:r>
              <w:rPr>
                <w:rFonts w:hint="eastAsia"/>
                <w:color w:val="auto"/>
                <w:lang w:val="en-US" w:eastAsia="zh-CN"/>
              </w:rPr>
              <w:t>固体</w:t>
            </w:r>
          </w:p>
        </w:tc>
      </w:tr>
      <w:tr w14:paraId="6FF6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601DD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01BA6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质地</w:t>
            </w:r>
          </w:p>
        </w:tc>
        <w:tc>
          <w:tcPr>
            <w:tcW w:w="1740" w:type="dxa"/>
            <w:shd w:val="clear" w:color="auto" w:fill="auto"/>
            <w:vAlign w:val="center"/>
          </w:tcPr>
          <w:p w14:paraId="7628B06A">
            <w:pPr>
              <w:pStyle w:val="34"/>
              <w:bidi w:val="0"/>
              <w:jc w:val="center"/>
              <w:rPr>
                <w:rFonts w:hint="default"/>
                <w:color w:val="auto"/>
                <w:lang w:val="en-US" w:eastAsia="zh-CN"/>
              </w:rPr>
            </w:pPr>
            <w:r>
              <w:rPr>
                <w:rFonts w:hint="default"/>
                <w:color w:val="auto"/>
                <w:lang w:val="en-US" w:eastAsia="zh-CN"/>
              </w:rPr>
              <w:t>砂土</w:t>
            </w:r>
          </w:p>
        </w:tc>
        <w:tc>
          <w:tcPr>
            <w:tcW w:w="1830" w:type="dxa"/>
            <w:shd w:val="clear" w:color="auto" w:fill="auto"/>
            <w:vAlign w:val="center"/>
          </w:tcPr>
          <w:p w14:paraId="48558DCD">
            <w:pPr>
              <w:pStyle w:val="34"/>
              <w:bidi w:val="0"/>
              <w:jc w:val="center"/>
              <w:rPr>
                <w:rFonts w:hint="default"/>
                <w:color w:val="auto"/>
                <w:lang w:val="en-US" w:eastAsia="zh-CN"/>
              </w:rPr>
            </w:pPr>
            <w:r>
              <w:rPr>
                <w:rFonts w:hint="default"/>
                <w:color w:val="auto"/>
                <w:lang w:val="en-US" w:eastAsia="zh-CN"/>
              </w:rPr>
              <w:t>砂土</w:t>
            </w:r>
          </w:p>
        </w:tc>
        <w:tc>
          <w:tcPr>
            <w:tcW w:w="1808" w:type="dxa"/>
            <w:shd w:val="clear" w:color="auto" w:fill="auto"/>
            <w:vAlign w:val="center"/>
          </w:tcPr>
          <w:p w14:paraId="3109A6A5">
            <w:pPr>
              <w:pStyle w:val="34"/>
              <w:bidi w:val="0"/>
              <w:jc w:val="center"/>
              <w:rPr>
                <w:rFonts w:hint="default"/>
                <w:color w:val="auto"/>
                <w:lang w:val="en-US" w:eastAsia="zh-CN"/>
              </w:rPr>
            </w:pPr>
            <w:r>
              <w:rPr>
                <w:rFonts w:hint="default"/>
                <w:color w:val="auto"/>
                <w:lang w:val="en-US" w:eastAsia="zh-CN"/>
              </w:rPr>
              <w:t>砂土</w:t>
            </w:r>
          </w:p>
        </w:tc>
      </w:tr>
      <w:tr w14:paraId="5173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3E29C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A532D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砂砾含量（%）</w:t>
            </w:r>
          </w:p>
        </w:tc>
        <w:tc>
          <w:tcPr>
            <w:tcW w:w="1740" w:type="dxa"/>
            <w:shd w:val="clear" w:color="auto" w:fill="auto"/>
            <w:vAlign w:val="center"/>
          </w:tcPr>
          <w:p w14:paraId="177F8377">
            <w:pPr>
              <w:pStyle w:val="34"/>
              <w:bidi w:val="0"/>
              <w:jc w:val="center"/>
              <w:rPr>
                <w:rFonts w:hint="default"/>
                <w:color w:val="auto"/>
                <w:lang w:val="en-US" w:eastAsia="zh-CN"/>
              </w:rPr>
            </w:pPr>
            <w:r>
              <w:rPr>
                <w:rFonts w:hint="eastAsia"/>
                <w:color w:val="auto"/>
                <w:lang w:val="en-US" w:eastAsia="zh-CN"/>
              </w:rPr>
              <w:t>90</w:t>
            </w:r>
          </w:p>
        </w:tc>
        <w:tc>
          <w:tcPr>
            <w:tcW w:w="1830" w:type="dxa"/>
            <w:shd w:val="clear" w:color="auto" w:fill="auto"/>
            <w:vAlign w:val="center"/>
          </w:tcPr>
          <w:p w14:paraId="50A6FAAA">
            <w:pPr>
              <w:pStyle w:val="34"/>
              <w:bidi w:val="0"/>
              <w:jc w:val="center"/>
              <w:rPr>
                <w:rFonts w:hint="default"/>
                <w:color w:val="auto"/>
                <w:lang w:val="en-US" w:eastAsia="zh-CN"/>
              </w:rPr>
            </w:pPr>
            <w:r>
              <w:rPr>
                <w:rFonts w:hint="eastAsia"/>
                <w:color w:val="auto"/>
                <w:lang w:val="en-US" w:eastAsia="zh-CN"/>
              </w:rPr>
              <w:t>90</w:t>
            </w:r>
          </w:p>
        </w:tc>
        <w:tc>
          <w:tcPr>
            <w:tcW w:w="1808" w:type="dxa"/>
            <w:shd w:val="clear" w:color="auto" w:fill="auto"/>
            <w:vAlign w:val="center"/>
          </w:tcPr>
          <w:p w14:paraId="57F43081">
            <w:pPr>
              <w:pStyle w:val="34"/>
              <w:bidi w:val="0"/>
              <w:jc w:val="center"/>
              <w:rPr>
                <w:rFonts w:hint="default"/>
                <w:color w:val="auto"/>
                <w:lang w:val="en-US" w:eastAsia="zh-CN"/>
              </w:rPr>
            </w:pPr>
            <w:r>
              <w:rPr>
                <w:rFonts w:hint="eastAsia"/>
                <w:color w:val="auto"/>
                <w:lang w:val="en-US" w:eastAsia="zh-CN"/>
              </w:rPr>
              <w:t>90</w:t>
            </w:r>
          </w:p>
        </w:tc>
      </w:tr>
      <w:tr w14:paraId="2D24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4B3D5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8FD73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其他异物</w:t>
            </w:r>
          </w:p>
        </w:tc>
        <w:tc>
          <w:tcPr>
            <w:tcW w:w="1740" w:type="dxa"/>
            <w:shd w:val="clear" w:color="auto" w:fill="auto"/>
            <w:vAlign w:val="center"/>
          </w:tcPr>
          <w:p w14:paraId="1B66236C">
            <w:pPr>
              <w:pStyle w:val="34"/>
              <w:bidi w:val="0"/>
              <w:jc w:val="center"/>
              <w:rPr>
                <w:rFonts w:hint="default"/>
                <w:color w:val="auto"/>
                <w:lang w:val="en-US" w:eastAsia="zh-CN"/>
              </w:rPr>
            </w:pPr>
            <w:r>
              <w:rPr>
                <w:rFonts w:hint="eastAsia"/>
                <w:color w:val="auto"/>
                <w:lang w:val="en-US" w:eastAsia="zh-CN"/>
              </w:rPr>
              <w:t>根系</w:t>
            </w:r>
          </w:p>
        </w:tc>
        <w:tc>
          <w:tcPr>
            <w:tcW w:w="1830" w:type="dxa"/>
            <w:shd w:val="clear" w:color="auto" w:fill="auto"/>
            <w:vAlign w:val="center"/>
          </w:tcPr>
          <w:p w14:paraId="716B8016">
            <w:pPr>
              <w:pStyle w:val="34"/>
              <w:bidi w:val="0"/>
              <w:jc w:val="center"/>
              <w:rPr>
                <w:rFonts w:hint="default"/>
                <w:color w:val="auto"/>
                <w:lang w:val="en-US" w:eastAsia="zh-CN"/>
              </w:rPr>
            </w:pPr>
            <w:r>
              <w:rPr>
                <w:rFonts w:hint="eastAsia"/>
                <w:color w:val="auto"/>
                <w:lang w:val="en-US" w:eastAsia="zh-CN"/>
              </w:rPr>
              <w:t>根系</w:t>
            </w:r>
          </w:p>
        </w:tc>
        <w:tc>
          <w:tcPr>
            <w:tcW w:w="1808" w:type="dxa"/>
            <w:shd w:val="clear" w:color="auto" w:fill="auto"/>
            <w:vAlign w:val="center"/>
          </w:tcPr>
          <w:p w14:paraId="41A2BA78">
            <w:pPr>
              <w:pStyle w:val="34"/>
              <w:bidi w:val="0"/>
              <w:jc w:val="center"/>
              <w:rPr>
                <w:rFonts w:hint="default"/>
                <w:color w:val="auto"/>
                <w:lang w:val="en-US" w:eastAsia="zh-CN"/>
              </w:rPr>
            </w:pPr>
            <w:r>
              <w:rPr>
                <w:rFonts w:hint="eastAsia"/>
                <w:color w:val="auto"/>
                <w:lang w:val="en-US" w:eastAsia="zh-CN"/>
              </w:rPr>
              <w:t>/</w:t>
            </w:r>
          </w:p>
        </w:tc>
      </w:tr>
      <w:tr w14:paraId="2CBC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5D75B8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实验室测定</w:t>
            </w:r>
          </w:p>
        </w:tc>
        <w:tc>
          <w:tcPr>
            <w:tcW w:w="2385" w:type="dxa"/>
            <w:vAlign w:val="center"/>
          </w:tcPr>
          <w:p w14:paraId="35D8A5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pH</w:t>
            </w:r>
          </w:p>
        </w:tc>
        <w:tc>
          <w:tcPr>
            <w:tcW w:w="1740" w:type="dxa"/>
            <w:shd w:val="clear" w:color="auto" w:fill="auto"/>
            <w:vAlign w:val="center"/>
          </w:tcPr>
          <w:p w14:paraId="6FEAEBFD">
            <w:pPr>
              <w:pStyle w:val="34"/>
              <w:bidi w:val="0"/>
              <w:jc w:val="center"/>
              <w:rPr>
                <w:rFonts w:hint="default"/>
                <w:color w:val="auto"/>
                <w:lang w:val="en-US" w:eastAsia="zh-CN"/>
              </w:rPr>
            </w:pPr>
            <w:r>
              <w:rPr>
                <w:rFonts w:hint="eastAsia"/>
                <w:color w:val="auto"/>
                <w:lang w:val="en-US" w:eastAsia="zh-CN"/>
              </w:rPr>
              <w:t>8.48</w:t>
            </w:r>
          </w:p>
        </w:tc>
        <w:tc>
          <w:tcPr>
            <w:tcW w:w="1830" w:type="dxa"/>
            <w:shd w:val="clear" w:color="auto" w:fill="auto"/>
            <w:vAlign w:val="center"/>
          </w:tcPr>
          <w:p w14:paraId="5576165B">
            <w:pPr>
              <w:pStyle w:val="34"/>
              <w:bidi w:val="0"/>
              <w:jc w:val="center"/>
              <w:rPr>
                <w:rFonts w:hint="default"/>
                <w:color w:val="auto"/>
                <w:lang w:val="en-US" w:eastAsia="zh-CN"/>
              </w:rPr>
            </w:pPr>
            <w:r>
              <w:rPr>
                <w:rFonts w:hint="eastAsia"/>
                <w:color w:val="auto"/>
                <w:lang w:val="en-US" w:eastAsia="zh-CN"/>
              </w:rPr>
              <w:t>8.49</w:t>
            </w:r>
          </w:p>
        </w:tc>
        <w:tc>
          <w:tcPr>
            <w:tcW w:w="1808" w:type="dxa"/>
            <w:shd w:val="clear" w:color="auto" w:fill="auto"/>
            <w:vAlign w:val="center"/>
          </w:tcPr>
          <w:p w14:paraId="6BD68344">
            <w:pPr>
              <w:pStyle w:val="34"/>
              <w:bidi w:val="0"/>
              <w:jc w:val="center"/>
              <w:rPr>
                <w:rFonts w:hint="default"/>
                <w:color w:val="auto"/>
                <w:lang w:val="en-US" w:eastAsia="zh-CN"/>
              </w:rPr>
            </w:pPr>
            <w:r>
              <w:rPr>
                <w:rFonts w:hint="eastAsia"/>
                <w:color w:val="auto"/>
                <w:lang w:val="en-US" w:eastAsia="zh-CN"/>
              </w:rPr>
              <w:t>8.49</w:t>
            </w:r>
          </w:p>
        </w:tc>
      </w:tr>
      <w:tr w14:paraId="590B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08C36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3BD731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阳离子交换量</w:t>
            </w:r>
          </w:p>
        </w:tc>
        <w:tc>
          <w:tcPr>
            <w:tcW w:w="1740" w:type="dxa"/>
            <w:shd w:val="clear" w:color="auto" w:fill="auto"/>
            <w:vAlign w:val="center"/>
          </w:tcPr>
          <w:p w14:paraId="0206C71F">
            <w:pPr>
              <w:pStyle w:val="34"/>
              <w:bidi w:val="0"/>
              <w:jc w:val="center"/>
              <w:rPr>
                <w:rFonts w:hint="default"/>
                <w:color w:val="auto"/>
                <w:lang w:val="en-US" w:eastAsia="zh-CN"/>
              </w:rPr>
            </w:pPr>
            <w:r>
              <w:rPr>
                <w:rFonts w:hint="eastAsia"/>
                <w:color w:val="auto"/>
                <w:lang w:val="en-US" w:eastAsia="zh-CN"/>
              </w:rPr>
              <w:t>8.2</w:t>
            </w:r>
          </w:p>
        </w:tc>
        <w:tc>
          <w:tcPr>
            <w:tcW w:w="1830" w:type="dxa"/>
            <w:shd w:val="clear" w:color="auto" w:fill="auto"/>
            <w:vAlign w:val="center"/>
          </w:tcPr>
          <w:p w14:paraId="5205C421">
            <w:pPr>
              <w:pStyle w:val="34"/>
              <w:bidi w:val="0"/>
              <w:jc w:val="center"/>
              <w:rPr>
                <w:rFonts w:hint="default"/>
                <w:color w:val="auto"/>
                <w:lang w:val="en-US" w:eastAsia="zh-CN"/>
              </w:rPr>
            </w:pPr>
            <w:r>
              <w:rPr>
                <w:rFonts w:hint="eastAsia"/>
                <w:color w:val="auto"/>
                <w:lang w:val="en-US" w:eastAsia="zh-CN"/>
              </w:rPr>
              <w:t>8.2</w:t>
            </w:r>
          </w:p>
        </w:tc>
        <w:tc>
          <w:tcPr>
            <w:tcW w:w="1808" w:type="dxa"/>
            <w:shd w:val="clear" w:color="auto" w:fill="auto"/>
            <w:vAlign w:val="center"/>
          </w:tcPr>
          <w:p w14:paraId="68A0EBF0">
            <w:pPr>
              <w:pStyle w:val="34"/>
              <w:bidi w:val="0"/>
              <w:jc w:val="center"/>
              <w:rPr>
                <w:rFonts w:hint="default"/>
                <w:color w:val="auto"/>
                <w:lang w:val="en-US" w:eastAsia="zh-CN"/>
              </w:rPr>
            </w:pPr>
            <w:r>
              <w:rPr>
                <w:rFonts w:hint="eastAsia"/>
                <w:color w:val="auto"/>
                <w:lang w:val="en-US" w:eastAsia="zh-CN"/>
              </w:rPr>
              <w:t>8.2</w:t>
            </w:r>
          </w:p>
        </w:tc>
      </w:tr>
      <w:tr w14:paraId="0429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D42F6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78A898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氧化还原电位</w:t>
            </w:r>
          </w:p>
        </w:tc>
        <w:tc>
          <w:tcPr>
            <w:tcW w:w="1740" w:type="dxa"/>
            <w:shd w:val="clear" w:color="auto" w:fill="auto"/>
            <w:vAlign w:val="center"/>
          </w:tcPr>
          <w:p w14:paraId="6BC8A6E7">
            <w:pPr>
              <w:pStyle w:val="34"/>
              <w:bidi w:val="0"/>
              <w:jc w:val="center"/>
              <w:rPr>
                <w:rFonts w:hint="default"/>
                <w:color w:val="auto"/>
                <w:lang w:val="en-US" w:eastAsia="zh-CN"/>
              </w:rPr>
            </w:pPr>
            <w:r>
              <w:rPr>
                <w:rFonts w:hint="eastAsia"/>
                <w:color w:val="auto"/>
                <w:lang w:val="en-US" w:eastAsia="zh-CN"/>
              </w:rPr>
              <w:t>336</w:t>
            </w:r>
          </w:p>
        </w:tc>
        <w:tc>
          <w:tcPr>
            <w:tcW w:w="1830" w:type="dxa"/>
            <w:shd w:val="clear" w:color="auto" w:fill="auto"/>
            <w:vAlign w:val="center"/>
          </w:tcPr>
          <w:p w14:paraId="3CA2233E">
            <w:pPr>
              <w:pStyle w:val="34"/>
              <w:bidi w:val="0"/>
              <w:jc w:val="center"/>
              <w:rPr>
                <w:rFonts w:hint="default"/>
                <w:color w:val="auto"/>
                <w:lang w:val="en-US" w:eastAsia="zh-CN"/>
              </w:rPr>
            </w:pPr>
            <w:r>
              <w:rPr>
                <w:rFonts w:hint="eastAsia"/>
                <w:color w:val="auto"/>
                <w:lang w:val="en-US" w:eastAsia="zh-CN"/>
              </w:rPr>
              <w:t>307</w:t>
            </w:r>
          </w:p>
        </w:tc>
        <w:tc>
          <w:tcPr>
            <w:tcW w:w="1808" w:type="dxa"/>
            <w:shd w:val="clear" w:color="auto" w:fill="auto"/>
            <w:vAlign w:val="center"/>
          </w:tcPr>
          <w:p w14:paraId="76080249">
            <w:pPr>
              <w:pStyle w:val="34"/>
              <w:bidi w:val="0"/>
              <w:jc w:val="center"/>
              <w:rPr>
                <w:rFonts w:hint="default"/>
                <w:color w:val="auto"/>
                <w:lang w:val="en-US" w:eastAsia="zh-CN"/>
              </w:rPr>
            </w:pPr>
            <w:r>
              <w:rPr>
                <w:rFonts w:hint="eastAsia"/>
                <w:color w:val="auto"/>
                <w:lang w:val="en-US" w:eastAsia="zh-CN"/>
              </w:rPr>
              <w:t>294</w:t>
            </w:r>
          </w:p>
        </w:tc>
      </w:tr>
      <w:tr w14:paraId="0437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708BB5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0C007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饱和导水率/(cm/s)</w:t>
            </w:r>
          </w:p>
        </w:tc>
        <w:tc>
          <w:tcPr>
            <w:tcW w:w="1740" w:type="dxa"/>
            <w:shd w:val="clear" w:color="auto" w:fill="auto"/>
            <w:vAlign w:val="center"/>
          </w:tcPr>
          <w:p w14:paraId="68A2E369">
            <w:pPr>
              <w:pStyle w:val="34"/>
              <w:bidi w:val="0"/>
              <w:jc w:val="center"/>
              <w:rPr>
                <w:rFonts w:hint="default"/>
                <w:color w:val="auto"/>
                <w:lang w:val="en-US" w:eastAsia="zh-CN"/>
              </w:rPr>
            </w:pPr>
            <w:r>
              <w:rPr>
                <w:rFonts w:hint="eastAsia"/>
                <w:color w:val="auto"/>
                <w:lang w:val="en-US" w:eastAsia="zh-CN"/>
              </w:rPr>
              <w:t>525</w:t>
            </w:r>
          </w:p>
        </w:tc>
        <w:tc>
          <w:tcPr>
            <w:tcW w:w="1830" w:type="dxa"/>
            <w:shd w:val="clear" w:color="auto" w:fill="auto"/>
            <w:vAlign w:val="center"/>
          </w:tcPr>
          <w:p w14:paraId="4EC0C051">
            <w:pPr>
              <w:pStyle w:val="34"/>
              <w:bidi w:val="0"/>
              <w:jc w:val="center"/>
              <w:rPr>
                <w:rFonts w:hint="default"/>
                <w:color w:val="auto"/>
                <w:lang w:val="en-US" w:eastAsia="zh-CN"/>
              </w:rPr>
            </w:pPr>
            <w:r>
              <w:rPr>
                <w:rFonts w:hint="eastAsia"/>
                <w:color w:val="auto"/>
                <w:lang w:val="en-US" w:eastAsia="zh-CN"/>
              </w:rPr>
              <w:t>501</w:t>
            </w:r>
          </w:p>
        </w:tc>
        <w:tc>
          <w:tcPr>
            <w:tcW w:w="1808" w:type="dxa"/>
            <w:shd w:val="clear" w:color="auto" w:fill="auto"/>
            <w:vAlign w:val="center"/>
          </w:tcPr>
          <w:p w14:paraId="396EF9E7">
            <w:pPr>
              <w:pStyle w:val="34"/>
              <w:bidi w:val="0"/>
              <w:jc w:val="center"/>
              <w:rPr>
                <w:rFonts w:hint="default"/>
                <w:color w:val="auto"/>
                <w:lang w:val="en-US" w:eastAsia="zh-CN"/>
              </w:rPr>
            </w:pPr>
            <w:r>
              <w:rPr>
                <w:rFonts w:hint="eastAsia"/>
                <w:color w:val="auto"/>
                <w:lang w:val="en-US" w:eastAsia="zh-CN"/>
              </w:rPr>
              <w:t>486</w:t>
            </w:r>
          </w:p>
        </w:tc>
      </w:tr>
      <w:tr w14:paraId="1552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7EDE8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C7946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土壤容重/(kg/m</w:t>
            </w:r>
            <w:r>
              <w:rPr>
                <w:rFonts w:hint="eastAsia" w:cs="Times New Roman"/>
                <w:color w:val="auto"/>
                <w:sz w:val="21"/>
                <w:szCs w:val="22"/>
                <w:vertAlign w:val="superscript"/>
                <w:lang w:val="en-US" w:eastAsia="zh-CN"/>
              </w:rPr>
              <w:t>3</w:t>
            </w:r>
            <w:r>
              <w:rPr>
                <w:rFonts w:hint="eastAsia" w:cs="Times New Roman"/>
                <w:color w:val="auto"/>
                <w:sz w:val="21"/>
                <w:szCs w:val="22"/>
                <w:vertAlign w:val="baseline"/>
                <w:lang w:val="en-US" w:eastAsia="zh-CN"/>
              </w:rPr>
              <w:t>)</w:t>
            </w:r>
          </w:p>
        </w:tc>
        <w:tc>
          <w:tcPr>
            <w:tcW w:w="1740" w:type="dxa"/>
            <w:shd w:val="clear" w:color="auto" w:fill="auto"/>
            <w:vAlign w:val="center"/>
          </w:tcPr>
          <w:p w14:paraId="1F5BA0DE">
            <w:pPr>
              <w:pStyle w:val="34"/>
              <w:bidi w:val="0"/>
              <w:jc w:val="center"/>
              <w:rPr>
                <w:rFonts w:hint="default"/>
                <w:color w:val="auto"/>
                <w:lang w:val="en-US" w:eastAsia="zh-CN"/>
              </w:rPr>
            </w:pPr>
            <w:r>
              <w:rPr>
                <w:rFonts w:hint="eastAsia"/>
                <w:color w:val="auto"/>
                <w:lang w:val="en-US" w:eastAsia="zh-CN"/>
              </w:rPr>
              <w:t>1.3</w:t>
            </w:r>
          </w:p>
        </w:tc>
        <w:tc>
          <w:tcPr>
            <w:tcW w:w="1830" w:type="dxa"/>
            <w:shd w:val="clear" w:color="auto" w:fill="auto"/>
            <w:vAlign w:val="center"/>
          </w:tcPr>
          <w:p w14:paraId="40965268">
            <w:pPr>
              <w:pStyle w:val="34"/>
              <w:bidi w:val="0"/>
              <w:jc w:val="center"/>
              <w:rPr>
                <w:rFonts w:hint="default"/>
                <w:color w:val="auto"/>
                <w:lang w:val="en-US" w:eastAsia="zh-CN"/>
              </w:rPr>
            </w:pPr>
            <w:r>
              <w:rPr>
                <w:rFonts w:hint="eastAsia"/>
                <w:color w:val="auto"/>
                <w:lang w:val="en-US" w:eastAsia="zh-CN"/>
              </w:rPr>
              <w:t>1.2</w:t>
            </w:r>
          </w:p>
        </w:tc>
        <w:tc>
          <w:tcPr>
            <w:tcW w:w="1808" w:type="dxa"/>
            <w:shd w:val="clear" w:color="auto" w:fill="auto"/>
            <w:vAlign w:val="center"/>
          </w:tcPr>
          <w:p w14:paraId="45A7FA7A">
            <w:pPr>
              <w:pStyle w:val="34"/>
              <w:bidi w:val="0"/>
              <w:jc w:val="center"/>
              <w:rPr>
                <w:rFonts w:hint="default"/>
                <w:color w:val="auto"/>
                <w:lang w:val="en-US" w:eastAsia="zh-CN"/>
              </w:rPr>
            </w:pPr>
            <w:r>
              <w:rPr>
                <w:rFonts w:hint="eastAsia"/>
                <w:color w:val="auto"/>
                <w:lang w:val="en-US" w:eastAsia="zh-CN"/>
              </w:rPr>
              <w:t>1.3</w:t>
            </w:r>
          </w:p>
        </w:tc>
      </w:tr>
      <w:tr w14:paraId="7DAE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4305CCD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05D3AC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孔隙度</w:t>
            </w:r>
          </w:p>
        </w:tc>
        <w:tc>
          <w:tcPr>
            <w:tcW w:w="1740" w:type="dxa"/>
            <w:shd w:val="clear" w:color="auto" w:fill="auto"/>
            <w:vAlign w:val="center"/>
          </w:tcPr>
          <w:p w14:paraId="14222E27">
            <w:pPr>
              <w:pStyle w:val="34"/>
              <w:bidi w:val="0"/>
              <w:jc w:val="center"/>
              <w:rPr>
                <w:rFonts w:hint="default"/>
                <w:color w:val="auto"/>
                <w:lang w:val="en-US" w:eastAsia="zh-CN"/>
              </w:rPr>
            </w:pPr>
            <w:r>
              <w:rPr>
                <w:rFonts w:hint="eastAsia"/>
                <w:color w:val="auto"/>
                <w:lang w:val="en-US" w:eastAsia="zh-CN"/>
              </w:rPr>
              <w:t>31</w:t>
            </w:r>
          </w:p>
        </w:tc>
        <w:tc>
          <w:tcPr>
            <w:tcW w:w="1830" w:type="dxa"/>
            <w:shd w:val="clear" w:color="auto" w:fill="auto"/>
            <w:vAlign w:val="center"/>
          </w:tcPr>
          <w:p w14:paraId="23E103C0">
            <w:pPr>
              <w:pStyle w:val="34"/>
              <w:bidi w:val="0"/>
              <w:jc w:val="center"/>
              <w:rPr>
                <w:rFonts w:hint="default"/>
                <w:color w:val="auto"/>
                <w:lang w:val="en-US" w:eastAsia="zh-CN"/>
              </w:rPr>
            </w:pPr>
            <w:r>
              <w:rPr>
                <w:rFonts w:hint="eastAsia"/>
                <w:color w:val="auto"/>
                <w:lang w:val="en-US" w:eastAsia="zh-CN"/>
              </w:rPr>
              <w:t>31</w:t>
            </w:r>
          </w:p>
        </w:tc>
        <w:tc>
          <w:tcPr>
            <w:tcW w:w="1808" w:type="dxa"/>
            <w:shd w:val="clear" w:color="auto" w:fill="auto"/>
            <w:vAlign w:val="center"/>
          </w:tcPr>
          <w:p w14:paraId="4824757E">
            <w:pPr>
              <w:pStyle w:val="34"/>
              <w:bidi w:val="0"/>
              <w:jc w:val="center"/>
              <w:rPr>
                <w:rFonts w:hint="default"/>
                <w:color w:val="auto"/>
                <w:lang w:val="en-US" w:eastAsia="zh-CN"/>
              </w:rPr>
            </w:pPr>
            <w:r>
              <w:rPr>
                <w:rFonts w:hint="eastAsia"/>
                <w:color w:val="auto"/>
                <w:lang w:val="en-US" w:eastAsia="zh-CN"/>
              </w:rPr>
              <w:t>31</w:t>
            </w:r>
          </w:p>
        </w:tc>
      </w:tr>
      <w:tr w14:paraId="501A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0C6DD7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点号</w:t>
            </w:r>
          </w:p>
        </w:tc>
        <w:tc>
          <w:tcPr>
            <w:tcW w:w="1740" w:type="dxa"/>
            <w:vAlign w:val="center"/>
          </w:tcPr>
          <w:p w14:paraId="7593E1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T3</w:t>
            </w:r>
          </w:p>
        </w:tc>
        <w:tc>
          <w:tcPr>
            <w:tcW w:w="1830" w:type="dxa"/>
            <w:vAlign w:val="center"/>
          </w:tcPr>
          <w:p w14:paraId="491F491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时间</w:t>
            </w:r>
          </w:p>
        </w:tc>
        <w:tc>
          <w:tcPr>
            <w:tcW w:w="1808" w:type="dxa"/>
            <w:vAlign w:val="center"/>
          </w:tcPr>
          <w:p w14:paraId="59CA16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2025.9.1</w:t>
            </w:r>
          </w:p>
        </w:tc>
      </w:tr>
      <w:tr w14:paraId="42BF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38C278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经度</w:t>
            </w:r>
          </w:p>
        </w:tc>
        <w:tc>
          <w:tcPr>
            <w:tcW w:w="1740" w:type="dxa"/>
            <w:vAlign w:val="center"/>
          </w:tcPr>
          <w:p w14:paraId="024A35A2">
            <w:pPr>
              <w:bidi w:val="0"/>
              <w:jc w:val="center"/>
              <w:rPr>
                <w:rFonts w:hint="default" w:ascii="Times New Roman" w:hAnsi="Times New Roman" w:eastAsia="宋体" w:cs="Times New Roman"/>
                <w:color w:val="auto"/>
                <w:sz w:val="21"/>
                <w:szCs w:val="22"/>
                <w:vertAlign w:val="baseline"/>
                <w:lang w:val="en-US" w:eastAsia="zh-CN"/>
              </w:rPr>
            </w:pPr>
            <w:r>
              <w:rPr>
                <w:rFonts w:hint="eastAsia" w:cs="Times New Roman"/>
                <w:color w:val="auto"/>
                <w:lang w:val="en-US" w:eastAsia="zh-CN"/>
              </w:rPr>
              <w:t>******</w:t>
            </w:r>
          </w:p>
        </w:tc>
        <w:tc>
          <w:tcPr>
            <w:tcW w:w="1830" w:type="dxa"/>
            <w:vAlign w:val="center"/>
          </w:tcPr>
          <w:p w14:paraId="0BC9D4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纬度</w:t>
            </w:r>
          </w:p>
        </w:tc>
        <w:tc>
          <w:tcPr>
            <w:tcW w:w="1808" w:type="dxa"/>
            <w:vAlign w:val="center"/>
          </w:tcPr>
          <w:p w14:paraId="3FFDA1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lang w:val="en-US" w:eastAsia="zh-CN"/>
              </w:rPr>
              <w:t>******</w:t>
            </w:r>
          </w:p>
        </w:tc>
      </w:tr>
      <w:tr w14:paraId="1430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388F57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层次</w:t>
            </w:r>
          </w:p>
        </w:tc>
        <w:tc>
          <w:tcPr>
            <w:tcW w:w="1740" w:type="dxa"/>
            <w:vAlign w:val="center"/>
          </w:tcPr>
          <w:p w14:paraId="1F6117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0~0.5m</w:t>
            </w:r>
          </w:p>
        </w:tc>
        <w:tc>
          <w:tcPr>
            <w:tcW w:w="1830" w:type="dxa"/>
            <w:vAlign w:val="center"/>
          </w:tcPr>
          <w:p w14:paraId="3CBD1B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0.5~1.5m</w:t>
            </w:r>
          </w:p>
        </w:tc>
        <w:tc>
          <w:tcPr>
            <w:tcW w:w="1808" w:type="dxa"/>
            <w:vAlign w:val="center"/>
          </w:tcPr>
          <w:p w14:paraId="168A73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1.5~3.0m</w:t>
            </w:r>
          </w:p>
        </w:tc>
      </w:tr>
      <w:tr w14:paraId="5D36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57822F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现场记录</w:t>
            </w:r>
          </w:p>
        </w:tc>
        <w:tc>
          <w:tcPr>
            <w:tcW w:w="2385" w:type="dxa"/>
            <w:vAlign w:val="center"/>
          </w:tcPr>
          <w:p w14:paraId="4EA109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颜色</w:t>
            </w:r>
          </w:p>
        </w:tc>
        <w:tc>
          <w:tcPr>
            <w:tcW w:w="1740" w:type="dxa"/>
            <w:shd w:val="clear" w:color="auto" w:fill="auto"/>
            <w:vAlign w:val="center"/>
          </w:tcPr>
          <w:p w14:paraId="5736DD31">
            <w:pPr>
              <w:pStyle w:val="34"/>
              <w:bidi w:val="0"/>
              <w:jc w:val="center"/>
              <w:rPr>
                <w:rFonts w:hint="default"/>
                <w:color w:val="auto"/>
                <w:lang w:val="en-US" w:eastAsia="zh-CN"/>
              </w:rPr>
            </w:pPr>
            <w:r>
              <w:rPr>
                <w:rFonts w:hint="eastAsia"/>
                <w:color w:val="auto"/>
                <w:lang w:val="en-US" w:eastAsia="zh-CN"/>
              </w:rPr>
              <w:t>浅黄</w:t>
            </w:r>
          </w:p>
        </w:tc>
        <w:tc>
          <w:tcPr>
            <w:tcW w:w="1830" w:type="dxa"/>
            <w:shd w:val="clear" w:color="auto" w:fill="auto"/>
            <w:vAlign w:val="center"/>
          </w:tcPr>
          <w:p w14:paraId="4A7865F4">
            <w:pPr>
              <w:pStyle w:val="34"/>
              <w:bidi w:val="0"/>
              <w:jc w:val="center"/>
              <w:rPr>
                <w:rFonts w:hint="default"/>
                <w:color w:val="auto"/>
                <w:lang w:val="en-US" w:eastAsia="zh-CN"/>
              </w:rPr>
            </w:pPr>
            <w:r>
              <w:rPr>
                <w:rFonts w:hint="eastAsia"/>
                <w:color w:val="auto"/>
                <w:lang w:val="en-US" w:eastAsia="zh-CN"/>
              </w:rPr>
              <w:t>浅黄</w:t>
            </w:r>
          </w:p>
        </w:tc>
        <w:tc>
          <w:tcPr>
            <w:tcW w:w="1808" w:type="dxa"/>
            <w:shd w:val="clear" w:color="auto" w:fill="auto"/>
            <w:vAlign w:val="center"/>
          </w:tcPr>
          <w:p w14:paraId="2A4F0400">
            <w:pPr>
              <w:pStyle w:val="34"/>
              <w:bidi w:val="0"/>
              <w:jc w:val="center"/>
              <w:rPr>
                <w:rFonts w:hint="default"/>
                <w:color w:val="auto"/>
                <w:lang w:val="en-US" w:eastAsia="zh-CN"/>
              </w:rPr>
            </w:pPr>
            <w:r>
              <w:rPr>
                <w:rFonts w:hint="eastAsia"/>
                <w:color w:val="auto"/>
                <w:lang w:val="en-US" w:eastAsia="zh-CN"/>
              </w:rPr>
              <w:t>浅黄</w:t>
            </w:r>
          </w:p>
        </w:tc>
      </w:tr>
      <w:tr w14:paraId="1711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07C369D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4ABB1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结构</w:t>
            </w:r>
          </w:p>
        </w:tc>
        <w:tc>
          <w:tcPr>
            <w:tcW w:w="1740" w:type="dxa"/>
            <w:shd w:val="clear" w:color="auto" w:fill="auto"/>
            <w:vAlign w:val="center"/>
          </w:tcPr>
          <w:p w14:paraId="3A75C827">
            <w:pPr>
              <w:pStyle w:val="34"/>
              <w:bidi w:val="0"/>
              <w:jc w:val="center"/>
              <w:rPr>
                <w:rFonts w:hint="default"/>
                <w:color w:val="auto"/>
                <w:lang w:val="en-US" w:eastAsia="zh-CN"/>
              </w:rPr>
            </w:pPr>
            <w:r>
              <w:rPr>
                <w:rFonts w:hint="eastAsia"/>
                <w:color w:val="auto"/>
                <w:lang w:val="en-US" w:eastAsia="zh-CN"/>
              </w:rPr>
              <w:t>固体</w:t>
            </w:r>
          </w:p>
        </w:tc>
        <w:tc>
          <w:tcPr>
            <w:tcW w:w="1830" w:type="dxa"/>
            <w:shd w:val="clear" w:color="auto" w:fill="auto"/>
            <w:vAlign w:val="center"/>
          </w:tcPr>
          <w:p w14:paraId="0B71AE66">
            <w:pPr>
              <w:pStyle w:val="34"/>
              <w:bidi w:val="0"/>
              <w:jc w:val="center"/>
              <w:rPr>
                <w:rFonts w:hint="default"/>
                <w:color w:val="auto"/>
                <w:lang w:val="en-US" w:eastAsia="zh-CN"/>
              </w:rPr>
            </w:pPr>
            <w:r>
              <w:rPr>
                <w:rFonts w:hint="eastAsia"/>
                <w:color w:val="auto"/>
                <w:lang w:val="en-US" w:eastAsia="zh-CN"/>
              </w:rPr>
              <w:t>固体</w:t>
            </w:r>
          </w:p>
        </w:tc>
        <w:tc>
          <w:tcPr>
            <w:tcW w:w="1808" w:type="dxa"/>
            <w:shd w:val="clear" w:color="auto" w:fill="auto"/>
            <w:vAlign w:val="center"/>
          </w:tcPr>
          <w:p w14:paraId="0E149740">
            <w:pPr>
              <w:pStyle w:val="34"/>
              <w:bidi w:val="0"/>
              <w:jc w:val="center"/>
              <w:rPr>
                <w:rFonts w:hint="default"/>
                <w:color w:val="auto"/>
                <w:lang w:val="en-US" w:eastAsia="zh-CN"/>
              </w:rPr>
            </w:pPr>
            <w:r>
              <w:rPr>
                <w:rFonts w:hint="eastAsia"/>
                <w:color w:val="auto"/>
                <w:lang w:val="en-US" w:eastAsia="zh-CN"/>
              </w:rPr>
              <w:t>固体</w:t>
            </w:r>
          </w:p>
        </w:tc>
      </w:tr>
      <w:tr w14:paraId="2CE3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C25E9E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1B4660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质地</w:t>
            </w:r>
          </w:p>
        </w:tc>
        <w:tc>
          <w:tcPr>
            <w:tcW w:w="1740" w:type="dxa"/>
            <w:shd w:val="clear" w:color="auto" w:fill="auto"/>
            <w:vAlign w:val="center"/>
          </w:tcPr>
          <w:p w14:paraId="739C50D4">
            <w:pPr>
              <w:pStyle w:val="34"/>
              <w:bidi w:val="0"/>
              <w:jc w:val="center"/>
              <w:rPr>
                <w:rFonts w:hint="default"/>
                <w:color w:val="auto"/>
                <w:lang w:val="en-US" w:eastAsia="zh-CN"/>
              </w:rPr>
            </w:pPr>
            <w:r>
              <w:rPr>
                <w:rFonts w:hint="default"/>
                <w:color w:val="auto"/>
                <w:lang w:val="en-US" w:eastAsia="zh-CN"/>
              </w:rPr>
              <w:t>砂土</w:t>
            </w:r>
          </w:p>
        </w:tc>
        <w:tc>
          <w:tcPr>
            <w:tcW w:w="1830" w:type="dxa"/>
            <w:shd w:val="clear" w:color="auto" w:fill="auto"/>
            <w:vAlign w:val="center"/>
          </w:tcPr>
          <w:p w14:paraId="4C521731">
            <w:pPr>
              <w:pStyle w:val="34"/>
              <w:bidi w:val="0"/>
              <w:jc w:val="center"/>
              <w:rPr>
                <w:rFonts w:hint="default"/>
                <w:color w:val="auto"/>
                <w:lang w:val="en-US" w:eastAsia="zh-CN"/>
              </w:rPr>
            </w:pPr>
            <w:r>
              <w:rPr>
                <w:rFonts w:hint="default"/>
                <w:color w:val="auto"/>
                <w:lang w:val="en-US" w:eastAsia="zh-CN"/>
              </w:rPr>
              <w:t>砂土</w:t>
            </w:r>
          </w:p>
        </w:tc>
        <w:tc>
          <w:tcPr>
            <w:tcW w:w="1808" w:type="dxa"/>
            <w:shd w:val="clear" w:color="auto" w:fill="auto"/>
            <w:vAlign w:val="center"/>
          </w:tcPr>
          <w:p w14:paraId="74F5384A">
            <w:pPr>
              <w:pStyle w:val="34"/>
              <w:bidi w:val="0"/>
              <w:jc w:val="center"/>
              <w:rPr>
                <w:rFonts w:hint="default"/>
                <w:color w:val="auto"/>
                <w:lang w:val="en-US" w:eastAsia="zh-CN"/>
              </w:rPr>
            </w:pPr>
            <w:r>
              <w:rPr>
                <w:rFonts w:hint="default"/>
                <w:color w:val="auto"/>
                <w:lang w:val="en-US" w:eastAsia="zh-CN"/>
              </w:rPr>
              <w:t>砂土</w:t>
            </w:r>
          </w:p>
        </w:tc>
      </w:tr>
      <w:tr w14:paraId="4228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21D1E4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2AFC83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砂砾含量</w:t>
            </w:r>
          </w:p>
        </w:tc>
        <w:tc>
          <w:tcPr>
            <w:tcW w:w="1740" w:type="dxa"/>
            <w:shd w:val="clear" w:color="auto" w:fill="auto"/>
            <w:vAlign w:val="center"/>
          </w:tcPr>
          <w:p w14:paraId="17599FB8">
            <w:pPr>
              <w:pStyle w:val="34"/>
              <w:bidi w:val="0"/>
              <w:jc w:val="center"/>
              <w:rPr>
                <w:rFonts w:hint="default"/>
                <w:color w:val="auto"/>
                <w:lang w:val="en-US" w:eastAsia="zh-CN"/>
              </w:rPr>
            </w:pPr>
            <w:r>
              <w:rPr>
                <w:rFonts w:hint="eastAsia"/>
                <w:color w:val="auto"/>
                <w:lang w:val="en-US" w:eastAsia="zh-CN"/>
              </w:rPr>
              <w:t>90</w:t>
            </w:r>
          </w:p>
        </w:tc>
        <w:tc>
          <w:tcPr>
            <w:tcW w:w="1830" w:type="dxa"/>
            <w:shd w:val="clear" w:color="auto" w:fill="auto"/>
            <w:vAlign w:val="center"/>
          </w:tcPr>
          <w:p w14:paraId="19850B4D">
            <w:pPr>
              <w:pStyle w:val="34"/>
              <w:bidi w:val="0"/>
              <w:jc w:val="center"/>
              <w:rPr>
                <w:rFonts w:hint="default"/>
                <w:color w:val="auto"/>
                <w:lang w:val="en-US" w:eastAsia="zh-CN"/>
              </w:rPr>
            </w:pPr>
            <w:r>
              <w:rPr>
                <w:rFonts w:hint="eastAsia"/>
                <w:color w:val="auto"/>
                <w:lang w:val="en-US" w:eastAsia="zh-CN"/>
              </w:rPr>
              <w:t>90</w:t>
            </w:r>
          </w:p>
        </w:tc>
        <w:tc>
          <w:tcPr>
            <w:tcW w:w="1808" w:type="dxa"/>
            <w:shd w:val="clear" w:color="auto" w:fill="auto"/>
            <w:vAlign w:val="center"/>
          </w:tcPr>
          <w:p w14:paraId="11A017D1">
            <w:pPr>
              <w:pStyle w:val="34"/>
              <w:bidi w:val="0"/>
              <w:jc w:val="center"/>
              <w:rPr>
                <w:rFonts w:hint="default"/>
                <w:color w:val="auto"/>
                <w:lang w:val="en-US" w:eastAsia="zh-CN"/>
              </w:rPr>
            </w:pPr>
            <w:r>
              <w:rPr>
                <w:rFonts w:hint="eastAsia"/>
                <w:color w:val="auto"/>
                <w:lang w:val="en-US" w:eastAsia="zh-CN"/>
              </w:rPr>
              <w:t>90</w:t>
            </w:r>
          </w:p>
        </w:tc>
      </w:tr>
      <w:tr w14:paraId="4933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CFD647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5A3197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其他异物</w:t>
            </w:r>
          </w:p>
        </w:tc>
        <w:tc>
          <w:tcPr>
            <w:tcW w:w="1740" w:type="dxa"/>
            <w:shd w:val="clear" w:color="auto" w:fill="auto"/>
            <w:vAlign w:val="center"/>
          </w:tcPr>
          <w:p w14:paraId="75FF4278">
            <w:pPr>
              <w:pStyle w:val="34"/>
              <w:bidi w:val="0"/>
              <w:jc w:val="center"/>
              <w:rPr>
                <w:rFonts w:hint="default"/>
                <w:color w:val="auto"/>
                <w:lang w:val="en-US" w:eastAsia="zh-CN"/>
              </w:rPr>
            </w:pPr>
            <w:r>
              <w:rPr>
                <w:rFonts w:hint="eastAsia"/>
                <w:color w:val="auto"/>
                <w:lang w:val="en-US" w:eastAsia="zh-CN"/>
              </w:rPr>
              <w:t>根系</w:t>
            </w:r>
          </w:p>
        </w:tc>
        <w:tc>
          <w:tcPr>
            <w:tcW w:w="1830" w:type="dxa"/>
            <w:shd w:val="clear" w:color="auto" w:fill="auto"/>
            <w:vAlign w:val="center"/>
          </w:tcPr>
          <w:p w14:paraId="714208F5">
            <w:pPr>
              <w:pStyle w:val="34"/>
              <w:bidi w:val="0"/>
              <w:jc w:val="center"/>
              <w:rPr>
                <w:rFonts w:hint="default"/>
                <w:color w:val="auto"/>
                <w:lang w:val="en-US" w:eastAsia="zh-CN"/>
              </w:rPr>
            </w:pPr>
            <w:r>
              <w:rPr>
                <w:rFonts w:hint="eastAsia"/>
                <w:color w:val="auto"/>
                <w:lang w:val="en-US" w:eastAsia="zh-CN"/>
              </w:rPr>
              <w:t>/</w:t>
            </w:r>
          </w:p>
        </w:tc>
        <w:tc>
          <w:tcPr>
            <w:tcW w:w="1808" w:type="dxa"/>
            <w:shd w:val="clear" w:color="auto" w:fill="auto"/>
            <w:vAlign w:val="center"/>
          </w:tcPr>
          <w:p w14:paraId="0EB6B47D">
            <w:pPr>
              <w:pStyle w:val="34"/>
              <w:bidi w:val="0"/>
              <w:jc w:val="center"/>
              <w:rPr>
                <w:rFonts w:hint="default"/>
                <w:color w:val="auto"/>
                <w:lang w:val="en-US" w:eastAsia="zh-CN"/>
              </w:rPr>
            </w:pPr>
            <w:r>
              <w:rPr>
                <w:rFonts w:hint="eastAsia"/>
                <w:color w:val="auto"/>
                <w:lang w:val="en-US" w:eastAsia="zh-CN"/>
              </w:rPr>
              <w:t>/</w:t>
            </w:r>
          </w:p>
        </w:tc>
      </w:tr>
      <w:tr w14:paraId="5699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1305A7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实验室测定</w:t>
            </w:r>
          </w:p>
        </w:tc>
        <w:tc>
          <w:tcPr>
            <w:tcW w:w="2385" w:type="dxa"/>
            <w:vAlign w:val="center"/>
          </w:tcPr>
          <w:p w14:paraId="2EDE61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pH</w:t>
            </w:r>
          </w:p>
        </w:tc>
        <w:tc>
          <w:tcPr>
            <w:tcW w:w="1740" w:type="dxa"/>
            <w:shd w:val="clear" w:color="auto" w:fill="auto"/>
            <w:vAlign w:val="center"/>
          </w:tcPr>
          <w:p w14:paraId="5FF23BF0">
            <w:pPr>
              <w:pStyle w:val="34"/>
              <w:bidi w:val="0"/>
              <w:jc w:val="center"/>
              <w:rPr>
                <w:rFonts w:hint="default"/>
                <w:color w:val="auto"/>
                <w:lang w:val="en-US" w:eastAsia="zh-CN"/>
              </w:rPr>
            </w:pPr>
            <w:r>
              <w:rPr>
                <w:rFonts w:hint="eastAsia"/>
                <w:color w:val="auto"/>
                <w:lang w:val="en-US" w:eastAsia="zh-CN"/>
              </w:rPr>
              <w:t>8.45</w:t>
            </w:r>
          </w:p>
        </w:tc>
        <w:tc>
          <w:tcPr>
            <w:tcW w:w="1830" w:type="dxa"/>
            <w:shd w:val="clear" w:color="auto" w:fill="auto"/>
            <w:vAlign w:val="center"/>
          </w:tcPr>
          <w:p w14:paraId="50345ABF">
            <w:pPr>
              <w:pStyle w:val="34"/>
              <w:bidi w:val="0"/>
              <w:jc w:val="center"/>
              <w:rPr>
                <w:rFonts w:hint="default"/>
                <w:color w:val="auto"/>
                <w:lang w:val="en-US" w:eastAsia="zh-CN"/>
              </w:rPr>
            </w:pPr>
            <w:r>
              <w:rPr>
                <w:rFonts w:hint="eastAsia"/>
                <w:color w:val="auto"/>
                <w:lang w:val="en-US" w:eastAsia="zh-CN"/>
              </w:rPr>
              <w:t>8.46</w:t>
            </w:r>
          </w:p>
        </w:tc>
        <w:tc>
          <w:tcPr>
            <w:tcW w:w="1808" w:type="dxa"/>
            <w:shd w:val="clear" w:color="auto" w:fill="auto"/>
            <w:vAlign w:val="center"/>
          </w:tcPr>
          <w:p w14:paraId="43820AAE">
            <w:pPr>
              <w:pStyle w:val="34"/>
              <w:bidi w:val="0"/>
              <w:jc w:val="center"/>
              <w:rPr>
                <w:rFonts w:hint="default"/>
                <w:color w:val="auto"/>
                <w:lang w:val="en-US" w:eastAsia="zh-CN"/>
              </w:rPr>
            </w:pPr>
            <w:r>
              <w:rPr>
                <w:rFonts w:hint="eastAsia"/>
                <w:color w:val="auto"/>
                <w:lang w:val="en-US" w:eastAsia="zh-CN"/>
              </w:rPr>
              <w:t>8.43</w:t>
            </w:r>
          </w:p>
        </w:tc>
      </w:tr>
      <w:tr w14:paraId="3D9C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27938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616333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阳离子交换量</w:t>
            </w:r>
          </w:p>
        </w:tc>
        <w:tc>
          <w:tcPr>
            <w:tcW w:w="1740" w:type="dxa"/>
            <w:shd w:val="clear" w:color="auto" w:fill="auto"/>
            <w:vAlign w:val="center"/>
          </w:tcPr>
          <w:p w14:paraId="69BC5F82">
            <w:pPr>
              <w:pStyle w:val="34"/>
              <w:bidi w:val="0"/>
              <w:jc w:val="center"/>
              <w:rPr>
                <w:rFonts w:hint="default"/>
                <w:color w:val="auto"/>
                <w:lang w:val="en-US" w:eastAsia="zh-CN"/>
              </w:rPr>
            </w:pPr>
            <w:r>
              <w:rPr>
                <w:rFonts w:hint="eastAsia"/>
                <w:color w:val="auto"/>
                <w:lang w:val="en-US" w:eastAsia="zh-CN"/>
              </w:rPr>
              <w:t>8.6</w:t>
            </w:r>
          </w:p>
        </w:tc>
        <w:tc>
          <w:tcPr>
            <w:tcW w:w="1830" w:type="dxa"/>
            <w:shd w:val="clear" w:color="auto" w:fill="auto"/>
            <w:vAlign w:val="center"/>
          </w:tcPr>
          <w:p w14:paraId="0288C1B7">
            <w:pPr>
              <w:pStyle w:val="34"/>
              <w:bidi w:val="0"/>
              <w:jc w:val="center"/>
              <w:rPr>
                <w:rFonts w:hint="default"/>
                <w:color w:val="auto"/>
                <w:lang w:val="en-US" w:eastAsia="zh-CN"/>
              </w:rPr>
            </w:pPr>
            <w:r>
              <w:rPr>
                <w:rFonts w:hint="eastAsia"/>
                <w:color w:val="auto"/>
                <w:lang w:val="en-US" w:eastAsia="zh-CN"/>
              </w:rPr>
              <w:t>8.0</w:t>
            </w:r>
          </w:p>
        </w:tc>
        <w:tc>
          <w:tcPr>
            <w:tcW w:w="1808" w:type="dxa"/>
            <w:shd w:val="clear" w:color="auto" w:fill="auto"/>
            <w:vAlign w:val="center"/>
          </w:tcPr>
          <w:p w14:paraId="407E2E30">
            <w:pPr>
              <w:pStyle w:val="34"/>
              <w:bidi w:val="0"/>
              <w:jc w:val="center"/>
              <w:rPr>
                <w:rFonts w:hint="default"/>
                <w:color w:val="auto"/>
                <w:lang w:val="en-US" w:eastAsia="zh-CN"/>
              </w:rPr>
            </w:pPr>
            <w:r>
              <w:rPr>
                <w:rFonts w:hint="eastAsia"/>
                <w:color w:val="auto"/>
                <w:lang w:val="en-US" w:eastAsia="zh-CN"/>
              </w:rPr>
              <w:t>8.0</w:t>
            </w:r>
          </w:p>
        </w:tc>
      </w:tr>
      <w:tr w14:paraId="4C8C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8595B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6B9760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氧化还原电位</w:t>
            </w:r>
          </w:p>
        </w:tc>
        <w:tc>
          <w:tcPr>
            <w:tcW w:w="1740" w:type="dxa"/>
            <w:shd w:val="clear" w:color="auto" w:fill="auto"/>
            <w:vAlign w:val="center"/>
          </w:tcPr>
          <w:p w14:paraId="1754809F">
            <w:pPr>
              <w:pStyle w:val="34"/>
              <w:bidi w:val="0"/>
              <w:jc w:val="center"/>
              <w:rPr>
                <w:rFonts w:hint="default"/>
                <w:color w:val="auto"/>
                <w:lang w:val="en-US" w:eastAsia="zh-CN"/>
              </w:rPr>
            </w:pPr>
            <w:r>
              <w:rPr>
                <w:rFonts w:hint="eastAsia"/>
                <w:color w:val="auto"/>
                <w:lang w:val="en-US" w:eastAsia="zh-CN"/>
              </w:rPr>
              <w:t>307</w:t>
            </w:r>
          </w:p>
        </w:tc>
        <w:tc>
          <w:tcPr>
            <w:tcW w:w="1830" w:type="dxa"/>
            <w:shd w:val="clear" w:color="auto" w:fill="auto"/>
            <w:vAlign w:val="center"/>
          </w:tcPr>
          <w:p w14:paraId="2581F1AE">
            <w:pPr>
              <w:pStyle w:val="34"/>
              <w:bidi w:val="0"/>
              <w:jc w:val="center"/>
              <w:rPr>
                <w:rFonts w:hint="default"/>
                <w:color w:val="auto"/>
                <w:lang w:val="en-US" w:eastAsia="zh-CN"/>
              </w:rPr>
            </w:pPr>
            <w:r>
              <w:rPr>
                <w:rFonts w:hint="eastAsia"/>
                <w:color w:val="auto"/>
                <w:lang w:val="en-US" w:eastAsia="zh-CN"/>
              </w:rPr>
              <w:t>289</w:t>
            </w:r>
          </w:p>
        </w:tc>
        <w:tc>
          <w:tcPr>
            <w:tcW w:w="1808" w:type="dxa"/>
            <w:shd w:val="clear" w:color="auto" w:fill="auto"/>
            <w:vAlign w:val="center"/>
          </w:tcPr>
          <w:p w14:paraId="3989DCA3">
            <w:pPr>
              <w:pStyle w:val="34"/>
              <w:bidi w:val="0"/>
              <w:jc w:val="center"/>
              <w:rPr>
                <w:rFonts w:hint="default"/>
                <w:color w:val="auto"/>
                <w:lang w:val="en-US" w:eastAsia="zh-CN"/>
              </w:rPr>
            </w:pPr>
            <w:r>
              <w:rPr>
                <w:rFonts w:hint="eastAsia"/>
                <w:color w:val="auto"/>
                <w:lang w:val="en-US" w:eastAsia="zh-CN"/>
              </w:rPr>
              <w:t>277</w:t>
            </w:r>
          </w:p>
        </w:tc>
      </w:tr>
      <w:tr w14:paraId="6373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82443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4E6C16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饱和导水率/(cm/s)</w:t>
            </w:r>
          </w:p>
        </w:tc>
        <w:tc>
          <w:tcPr>
            <w:tcW w:w="1740" w:type="dxa"/>
            <w:shd w:val="clear" w:color="auto" w:fill="auto"/>
            <w:vAlign w:val="center"/>
          </w:tcPr>
          <w:p w14:paraId="7717F686">
            <w:pPr>
              <w:pStyle w:val="34"/>
              <w:bidi w:val="0"/>
              <w:jc w:val="center"/>
              <w:rPr>
                <w:rFonts w:hint="default"/>
                <w:color w:val="auto"/>
                <w:lang w:val="en-US" w:eastAsia="zh-CN"/>
              </w:rPr>
            </w:pPr>
            <w:r>
              <w:rPr>
                <w:rFonts w:hint="eastAsia"/>
                <w:color w:val="auto"/>
                <w:lang w:val="en-US" w:eastAsia="zh-CN"/>
              </w:rPr>
              <w:t>513</w:t>
            </w:r>
          </w:p>
        </w:tc>
        <w:tc>
          <w:tcPr>
            <w:tcW w:w="1830" w:type="dxa"/>
            <w:shd w:val="clear" w:color="auto" w:fill="auto"/>
            <w:vAlign w:val="center"/>
          </w:tcPr>
          <w:p w14:paraId="4EA2D545">
            <w:pPr>
              <w:pStyle w:val="34"/>
              <w:bidi w:val="0"/>
              <w:jc w:val="center"/>
              <w:rPr>
                <w:rFonts w:hint="default"/>
                <w:color w:val="auto"/>
                <w:lang w:val="en-US" w:eastAsia="zh-CN"/>
              </w:rPr>
            </w:pPr>
            <w:r>
              <w:rPr>
                <w:rFonts w:hint="eastAsia"/>
                <w:color w:val="auto"/>
                <w:lang w:val="en-US" w:eastAsia="zh-CN"/>
              </w:rPr>
              <w:t>504</w:t>
            </w:r>
          </w:p>
        </w:tc>
        <w:tc>
          <w:tcPr>
            <w:tcW w:w="1808" w:type="dxa"/>
            <w:shd w:val="clear" w:color="auto" w:fill="auto"/>
            <w:vAlign w:val="center"/>
          </w:tcPr>
          <w:p w14:paraId="01C962AE">
            <w:pPr>
              <w:pStyle w:val="34"/>
              <w:bidi w:val="0"/>
              <w:jc w:val="center"/>
              <w:rPr>
                <w:rFonts w:hint="default"/>
                <w:color w:val="auto"/>
                <w:lang w:val="en-US" w:eastAsia="zh-CN"/>
              </w:rPr>
            </w:pPr>
            <w:r>
              <w:rPr>
                <w:rFonts w:hint="eastAsia"/>
                <w:color w:val="auto"/>
                <w:lang w:val="en-US" w:eastAsia="zh-CN"/>
              </w:rPr>
              <w:t>495</w:t>
            </w:r>
          </w:p>
        </w:tc>
      </w:tr>
      <w:tr w14:paraId="3A15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7AE4A1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547895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土壤容重/(kg/m</w:t>
            </w:r>
            <w:r>
              <w:rPr>
                <w:rFonts w:hint="eastAsia" w:cs="Times New Roman"/>
                <w:color w:val="auto"/>
                <w:sz w:val="21"/>
                <w:szCs w:val="22"/>
                <w:vertAlign w:val="superscript"/>
                <w:lang w:val="en-US" w:eastAsia="zh-CN"/>
              </w:rPr>
              <w:t>3</w:t>
            </w:r>
            <w:r>
              <w:rPr>
                <w:rFonts w:hint="eastAsia" w:cs="Times New Roman"/>
                <w:color w:val="auto"/>
                <w:sz w:val="21"/>
                <w:szCs w:val="22"/>
                <w:vertAlign w:val="baseline"/>
                <w:lang w:val="en-US" w:eastAsia="zh-CN"/>
              </w:rPr>
              <w:t>)</w:t>
            </w:r>
          </w:p>
        </w:tc>
        <w:tc>
          <w:tcPr>
            <w:tcW w:w="1740" w:type="dxa"/>
            <w:shd w:val="clear" w:color="auto" w:fill="auto"/>
            <w:vAlign w:val="center"/>
          </w:tcPr>
          <w:p w14:paraId="425538EC">
            <w:pPr>
              <w:pStyle w:val="34"/>
              <w:bidi w:val="0"/>
              <w:jc w:val="center"/>
              <w:rPr>
                <w:rFonts w:hint="default"/>
                <w:color w:val="auto"/>
                <w:lang w:val="en-US" w:eastAsia="zh-CN"/>
              </w:rPr>
            </w:pPr>
            <w:r>
              <w:rPr>
                <w:rFonts w:hint="eastAsia"/>
                <w:color w:val="auto"/>
                <w:lang w:val="en-US" w:eastAsia="zh-CN"/>
              </w:rPr>
              <w:t>1.3</w:t>
            </w:r>
          </w:p>
        </w:tc>
        <w:tc>
          <w:tcPr>
            <w:tcW w:w="1830" w:type="dxa"/>
            <w:shd w:val="clear" w:color="auto" w:fill="auto"/>
            <w:vAlign w:val="center"/>
          </w:tcPr>
          <w:p w14:paraId="3B6C3FBD">
            <w:pPr>
              <w:pStyle w:val="34"/>
              <w:bidi w:val="0"/>
              <w:jc w:val="center"/>
              <w:rPr>
                <w:rFonts w:hint="default"/>
                <w:color w:val="auto"/>
                <w:lang w:val="en-US" w:eastAsia="zh-CN"/>
              </w:rPr>
            </w:pPr>
            <w:r>
              <w:rPr>
                <w:rFonts w:hint="eastAsia"/>
                <w:color w:val="auto"/>
                <w:lang w:val="en-US" w:eastAsia="zh-CN"/>
              </w:rPr>
              <w:t>1.3</w:t>
            </w:r>
          </w:p>
        </w:tc>
        <w:tc>
          <w:tcPr>
            <w:tcW w:w="1808" w:type="dxa"/>
            <w:shd w:val="clear" w:color="auto" w:fill="auto"/>
            <w:vAlign w:val="center"/>
          </w:tcPr>
          <w:p w14:paraId="6C8ACF7F">
            <w:pPr>
              <w:pStyle w:val="34"/>
              <w:bidi w:val="0"/>
              <w:jc w:val="center"/>
              <w:rPr>
                <w:rFonts w:hint="default"/>
                <w:color w:val="auto"/>
                <w:lang w:val="en-US" w:eastAsia="zh-CN"/>
              </w:rPr>
            </w:pPr>
            <w:r>
              <w:rPr>
                <w:rFonts w:hint="eastAsia"/>
                <w:color w:val="auto"/>
                <w:lang w:val="en-US" w:eastAsia="zh-CN"/>
              </w:rPr>
              <w:t>1.3</w:t>
            </w:r>
          </w:p>
        </w:tc>
      </w:tr>
      <w:tr w14:paraId="5527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4E127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vAlign w:val="center"/>
          </w:tcPr>
          <w:p w14:paraId="538C72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孔隙度</w:t>
            </w:r>
          </w:p>
        </w:tc>
        <w:tc>
          <w:tcPr>
            <w:tcW w:w="1740" w:type="dxa"/>
            <w:shd w:val="clear" w:color="auto" w:fill="auto"/>
            <w:vAlign w:val="center"/>
          </w:tcPr>
          <w:p w14:paraId="3ED0C7EA">
            <w:pPr>
              <w:pStyle w:val="34"/>
              <w:bidi w:val="0"/>
              <w:jc w:val="center"/>
              <w:rPr>
                <w:rFonts w:hint="default"/>
                <w:color w:val="auto"/>
                <w:lang w:val="en-US" w:eastAsia="zh-CN"/>
              </w:rPr>
            </w:pPr>
            <w:r>
              <w:rPr>
                <w:rFonts w:hint="eastAsia"/>
                <w:color w:val="auto"/>
                <w:lang w:val="en-US" w:eastAsia="zh-CN"/>
              </w:rPr>
              <w:t>31</w:t>
            </w:r>
          </w:p>
        </w:tc>
        <w:tc>
          <w:tcPr>
            <w:tcW w:w="1830" w:type="dxa"/>
            <w:shd w:val="clear" w:color="auto" w:fill="auto"/>
            <w:vAlign w:val="center"/>
          </w:tcPr>
          <w:p w14:paraId="524B297D">
            <w:pPr>
              <w:pStyle w:val="34"/>
              <w:bidi w:val="0"/>
              <w:jc w:val="center"/>
              <w:rPr>
                <w:rFonts w:hint="default"/>
                <w:color w:val="auto"/>
                <w:lang w:val="en-US" w:eastAsia="zh-CN"/>
              </w:rPr>
            </w:pPr>
            <w:r>
              <w:rPr>
                <w:rFonts w:hint="eastAsia"/>
                <w:color w:val="auto"/>
                <w:lang w:val="en-US" w:eastAsia="zh-CN"/>
              </w:rPr>
              <w:t>31</w:t>
            </w:r>
          </w:p>
        </w:tc>
        <w:tc>
          <w:tcPr>
            <w:tcW w:w="1808" w:type="dxa"/>
            <w:shd w:val="clear" w:color="auto" w:fill="auto"/>
            <w:vAlign w:val="center"/>
          </w:tcPr>
          <w:p w14:paraId="589AA9A8">
            <w:pPr>
              <w:pStyle w:val="34"/>
              <w:bidi w:val="0"/>
              <w:jc w:val="center"/>
              <w:rPr>
                <w:rFonts w:hint="default"/>
                <w:color w:val="auto"/>
                <w:lang w:val="en-US" w:eastAsia="zh-CN"/>
              </w:rPr>
            </w:pPr>
            <w:r>
              <w:rPr>
                <w:rFonts w:hint="eastAsia"/>
                <w:color w:val="auto"/>
                <w:lang w:val="en-US" w:eastAsia="zh-CN"/>
              </w:rPr>
              <w:t>31</w:t>
            </w:r>
          </w:p>
        </w:tc>
      </w:tr>
      <w:tr w14:paraId="1E2A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7DBA708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点号</w:t>
            </w:r>
          </w:p>
        </w:tc>
        <w:tc>
          <w:tcPr>
            <w:tcW w:w="1740" w:type="dxa"/>
            <w:shd w:val="clear" w:color="auto" w:fill="auto"/>
            <w:vAlign w:val="center"/>
          </w:tcPr>
          <w:p w14:paraId="234CA8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T4</w:t>
            </w:r>
          </w:p>
        </w:tc>
        <w:tc>
          <w:tcPr>
            <w:tcW w:w="1830" w:type="dxa"/>
            <w:shd w:val="clear" w:color="auto" w:fill="auto"/>
            <w:vAlign w:val="center"/>
          </w:tcPr>
          <w:p w14:paraId="77EA36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时间</w:t>
            </w:r>
          </w:p>
        </w:tc>
        <w:tc>
          <w:tcPr>
            <w:tcW w:w="1808" w:type="dxa"/>
            <w:shd w:val="clear" w:color="auto" w:fill="auto"/>
            <w:vAlign w:val="center"/>
          </w:tcPr>
          <w:p w14:paraId="7F144F2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bidi="ar-SA"/>
              </w:rPr>
              <w:t>2025.9.1</w:t>
            </w:r>
          </w:p>
        </w:tc>
      </w:tr>
      <w:tr w14:paraId="6291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416A9C1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经度</w:t>
            </w:r>
          </w:p>
        </w:tc>
        <w:tc>
          <w:tcPr>
            <w:tcW w:w="1740" w:type="dxa"/>
            <w:shd w:val="clear" w:color="auto" w:fill="auto"/>
            <w:vAlign w:val="center"/>
          </w:tcPr>
          <w:p w14:paraId="256FCA0C">
            <w:pPr>
              <w:bidi w:val="0"/>
              <w:jc w:val="center"/>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lang w:val="en-US" w:eastAsia="zh-CN"/>
              </w:rPr>
              <w:t>******</w:t>
            </w:r>
          </w:p>
        </w:tc>
        <w:tc>
          <w:tcPr>
            <w:tcW w:w="1830" w:type="dxa"/>
            <w:shd w:val="clear" w:color="auto" w:fill="auto"/>
            <w:vAlign w:val="center"/>
          </w:tcPr>
          <w:p w14:paraId="6EF184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纬度</w:t>
            </w:r>
          </w:p>
        </w:tc>
        <w:tc>
          <w:tcPr>
            <w:tcW w:w="1808" w:type="dxa"/>
            <w:shd w:val="clear" w:color="auto" w:fill="auto"/>
            <w:vAlign w:val="center"/>
          </w:tcPr>
          <w:p w14:paraId="130387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lang w:val="en-US" w:eastAsia="zh-CN"/>
              </w:rPr>
              <w:t>******</w:t>
            </w:r>
          </w:p>
        </w:tc>
      </w:tr>
      <w:tr w14:paraId="3BE8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7113A2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层次</w:t>
            </w:r>
          </w:p>
        </w:tc>
        <w:tc>
          <w:tcPr>
            <w:tcW w:w="1740" w:type="dxa"/>
            <w:shd w:val="clear" w:color="auto" w:fill="auto"/>
            <w:vAlign w:val="center"/>
          </w:tcPr>
          <w:p w14:paraId="5267F9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0~0.5m</w:t>
            </w:r>
          </w:p>
        </w:tc>
        <w:tc>
          <w:tcPr>
            <w:tcW w:w="1830" w:type="dxa"/>
            <w:shd w:val="clear" w:color="auto" w:fill="auto"/>
            <w:vAlign w:val="center"/>
          </w:tcPr>
          <w:p w14:paraId="39957A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0.5~1.5m</w:t>
            </w:r>
          </w:p>
        </w:tc>
        <w:tc>
          <w:tcPr>
            <w:tcW w:w="1808" w:type="dxa"/>
            <w:shd w:val="clear" w:color="auto" w:fill="auto"/>
            <w:vAlign w:val="center"/>
          </w:tcPr>
          <w:p w14:paraId="3A6F02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1.5~3.0m</w:t>
            </w:r>
          </w:p>
        </w:tc>
      </w:tr>
      <w:tr w14:paraId="0BD5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72F9292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现场记录</w:t>
            </w:r>
          </w:p>
        </w:tc>
        <w:tc>
          <w:tcPr>
            <w:tcW w:w="2385" w:type="dxa"/>
            <w:shd w:val="clear" w:color="auto" w:fill="auto"/>
            <w:vAlign w:val="center"/>
          </w:tcPr>
          <w:p w14:paraId="15899A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颜色</w:t>
            </w:r>
          </w:p>
        </w:tc>
        <w:tc>
          <w:tcPr>
            <w:tcW w:w="1740" w:type="dxa"/>
            <w:shd w:val="clear" w:color="auto" w:fill="auto"/>
            <w:vAlign w:val="center"/>
          </w:tcPr>
          <w:p w14:paraId="23D21DEA">
            <w:pPr>
              <w:pStyle w:val="34"/>
              <w:bidi w:val="0"/>
              <w:jc w:val="center"/>
              <w:rPr>
                <w:rFonts w:hint="default"/>
                <w:color w:val="auto"/>
                <w:lang w:val="en-US" w:eastAsia="zh-CN"/>
              </w:rPr>
            </w:pPr>
            <w:r>
              <w:rPr>
                <w:rFonts w:hint="eastAsia"/>
                <w:color w:val="auto"/>
                <w:lang w:val="en-US" w:eastAsia="zh-CN"/>
              </w:rPr>
              <w:t>浅黄</w:t>
            </w:r>
          </w:p>
        </w:tc>
        <w:tc>
          <w:tcPr>
            <w:tcW w:w="1830" w:type="dxa"/>
            <w:shd w:val="clear" w:color="auto" w:fill="auto"/>
            <w:vAlign w:val="center"/>
          </w:tcPr>
          <w:p w14:paraId="0A3FD33D">
            <w:pPr>
              <w:pStyle w:val="34"/>
              <w:bidi w:val="0"/>
              <w:jc w:val="center"/>
              <w:rPr>
                <w:rFonts w:hint="default"/>
                <w:color w:val="auto"/>
                <w:lang w:val="en-US" w:eastAsia="zh-CN"/>
              </w:rPr>
            </w:pPr>
            <w:r>
              <w:rPr>
                <w:rFonts w:hint="eastAsia"/>
                <w:color w:val="auto"/>
                <w:lang w:val="en-US" w:eastAsia="zh-CN"/>
              </w:rPr>
              <w:t>浅黄</w:t>
            </w:r>
          </w:p>
        </w:tc>
        <w:tc>
          <w:tcPr>
            <w:tcW w:w="1808" w:type="dxa"/>
            <w:shd w:val="clear" w:color="auto" w:fill="auto"/>
            <w:vAlign w:val="center"/>
          </w:tcPr>
          <w:p w14:paraId="10F8FB33">
            <w:pPr>
              <w:pStyle w:val="34"/>
              <w:bidi w:val="0"/>
              <w:jc w:val="center"/>
              <w:rPr>
                <w:rFonts w:hint="default"/>
                <w:color w:val="auto"/>
                <w:lang w:val="en-US" w:eastAsia="zh-CN"/>
              </w:rPr>
            </w:pPr>
            <w:r>
              <w:rPr>
                <w:rFonts w:hint="eastAsia"/>
                <w:color w:val="auto"/>
                <w:lang w:val="en-US" w:eastAsia="zh-CN"/>
              </w:rPr>
              <w:t>浅黄</w:t>
            </w:r>
          </w:p>
        </w:tc>
      </w:tr>
      <w:tr w14:paraId="1769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719FC4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shd w:val="clear" w:color="auto" w:fill="auto"/>
            <w:vAlign w:val="center"/>
          </w:tcPr>
          <w:p w14:paraId="187D12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结构</w:t>
            </w:r>
          </w:p>
        </w:tc>
        <w:tc>
          <w:tcPr>
            <w:tcW w:w="1740" w:type="dxa"/>
            <w:shd w:val="clear" w:color="auto" w:fill="auto"/>
            <w:vAlign w:val="center"/>
          </w:tcPr>
          <w:p w14:paraId="507F4EEE">
            <w:pPr>
              <w:pStyle w:val="34"/>
              <w:bidi w:val="0"/>
              <w:jc w:val="center"/>
              <w:rPr>
                <w:rFonts w:hint="default"/>
                <w:color w:val="auto"/>
                <w:lang w:val="en-US" w:eastAsia="zh-CN"/>
              </w:rPr>
            </w:pPr>
            <w:r>
              <w:rPr>
                <w:rFonts w:hint="eastAsia"/>
                <w:color w:val="auto"/>
                <w:lang w:val="en-US" w:eastAsia="zh-CN"/>
              </w:rPr>
              <w:t>固体</w:t>
            </w:r>
          </w:p>
        </w:tc>
        <w:tc>
          <w:tcPr>
            <w:tcW w:w="1830" w:type="dxa"/>
            <w:shd w:val="clear" w:color="auto" w:fill="auto"/>
            <w:vAlign w:val="center"/>
          </w:tcPr>
          <w:p w14:paraId="3E9864D7">
            <w:pPr>
              <w:pStyle w:val="34"/>
              <w:bidi w:val="0"/>
              <w:jc w:val="center"/>
              <w:rPr>
                <w:rFonts w:hint="default"/>
                <w:color w:val="auto"/>
                <w:lang w:val="en-US" w:eastAsia="zh-CN"/>
              </w:rPr>
            </w:pPr>
            <w:r>
              <w:rPr>
                <w:rFonts w:hint="eastAsia"/>
                <w:color w:val="auto"/>
                <w:lang w:val="en-US" w:eastAsia="zh-CN"/>
              </w:rPr>
              <w:t>固体</w:t>
            </w:r>
          </w:p>
        </w:tc>
        <w:tc>
          <w:tcPr>
            <w:tcW w:w="1808" w:type="dxa"/>
            <w:shd w:val="clear" w:color="auto" w:fill="auto"/>
            <w:vAlign w:val="center"/>
          </w:tcPr>
          <w:p w14:paraId="295390A0">
            <w:pPr>
              <w:pStyle w:val="34"/>
              <w:bidi w:val="0"/>
              <w:jc w:val="center"/>
              <w:rPr>
                <w:rFonts w:hint="default"/>
                <w:color w:val="auto"/>
                <w:lang w:val="en-US" w:eastAsia="zh-CN"/>
              </w:rPr>
            </w:pPr>
            <w:r>
              <w:rPr>
                <w:rFonts w:hint="eastAsia"/>
                <w:color w:val="auto"/>
                <w:lang w:val="en-US" w:eastAsia="zh-CN"/>
              </w:rPr>
              <w:t>固体</w:t>
            </w:r>
          </w:p>
        </w:tc>
      </w:tr>
      <w:tr w14:paraId="3CFE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2CB609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shd w:val="clear" w:color="auto" w:fill="auto"/>
            <w:vAlign w:val="center"/>
          </w:tcPr>
          <w:p w14:paraId="3513FD0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质地</w:t>
            </w:r>
          </w:p>
        </w:tc>
        <w:tc>
          <w:tcPr>
            <w:tcW w:w="1740" w:type="dxa"/>
            <w:shd w:val="clear" w:color="auto" w:fill="auto"/>
            <w:vAlign w:val="center"/>
          </w:tcPr>
          <w:p w14:paraId="3FB2D161">
            <w:pPr>
              <w:pStyle w:val="34"/>
              <w:bidi w:val="0"/>
              <w:jc w:val="center"/>
              <w:rPr>
                <w:rFonts w:hint="default"/>
                <w:color w:val="auto"/>
                <w:lang w:val="en-US" w:eastAsia="zh-CN"/>
              </w:rPr>
            </w:pPr>
            <w:r>
              <w:rPr>
                <w:rFonts w:hint="default"/>
                <w:color w:val="auto"/>
                <w:lang w:val="en-US" w:eastAsia="zh-CN"/>
              </w:rPr>
              <w:t>砂土</w:t>
            </w:r>
          </w:p>
        </w:tc>
        <w:tc>
          <w:tcPr>
            <w:tcW w:w="1830" w:type="dxa"/>
            <w:shd w:val="clear" w:color="auto" w:fill="auto"/>
            <w:vAlign w:val="center"/>
          </w:tcPr>
          <w:p w14:paraId="2BE72544">
            <w:pPr>
              <w:pStyle w:val="34"/>
              <w:bidi w:val="0"/>
              <w:jc w:val="center"/>
              <w:rPr>
                <w:rFonts w:hint="default"/>
                <w:color w:val="auto"/>
                <w:lang w:val="en-US" w:eastAsia="zh-CN"/>
              </w:rPr>
            </w:pPr>
            <w:r>
              <w:rPr>
                <w:rFonts w:hint="default"/>
                <w:color w:val="auto"/>
                <w:lang w:val="en-US" w:eastAsia="zh-CN"/>
              </w:rPr>
              <w:t>砂土</w:t>
            </w:r>
          </w:p>
        </w:tc>
        <w:tc>
          <w:tcPr>
            <w:tcW w:w="1808" w:type="dxa"/>
            <w:shd w:val="clear" w:color="auto" w:fill="auto"/>
            <w:vAlign w:val="center"/>
          </w:tcPr>
          <w:p w14:paraId="782C57A3">
            <w:pPr>
              <w:pStyle w:val="34"/>
              <w:bidi w:val="0"/>
              <w:jc w:val="center"/>
              <w:rPr>
                <w:rFonts w:hint="default"/>
                <w:color w:val="auto"/>
                <w:lang w:val="en-US" w:eastAsia="zh-CN"/>
              </w:rPr>
            </w:pPr>
            <w:r>
              <w:rPr>
                <w:rFonts w:hint="default"/>
                <w:color w:val="auto"/>
                <w:lang w:val="en-US" w:eastAsia="zh-CN"/>
              </w:rPr>
              <w:t>砂土</w:t>
            </w:r>
          </w:p>
        </w:tc>
      </w:tr>
      <w:tr w14:paraId="2376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4661C6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shd w:val="clear" w:color="auto" w:fill="auto"/>
            <w:vAlign w:val="center"/>
          </w:tcPr>
          <w:p w14:paraId="4F13778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砂砾含量</w:t>
            </w:r>
          </w:p>
        </w:tc>
        <w:tc>
          <w:tcPr>
            <w:tcW w:w="1740" w:type="dxa"/>
            <w:shd w:val="clear" w:color="auto" w:fill="auto"/>
            <w:vAlign w:val="center"/>
          </w:tcPr>
          <w:p w14:paraId="4C5532C9">
            <w:pPr>
              <w:pStyle w:val="34"/>
              <w:bidi w:val="0"/>
              <w:jc w:val="center"/>
              <w:rPr>
                <w:rFonts w:hint="default"/>
                <w:color w:val="auto"/>
                <w:lang w:val="en-US" w:eastAsia="zh-CN"/>
              </w:rPr>
            </w:pPr>
            <w:r>
              <w:rPr>
                <w:rFonts w:hint="eastAsia"/>
                <w:color w:val="auto"/>
                <w:lang w:val="en-US" w:eastAsia="zh-CN"/>
              </w:rPr>
              <w:t>90</w:t>
            </w:r>
          </w:p>
        </w:tc>
        <w:tc>
          <w:tcPr>
            <w:tcW w:w="1830" w:type="dxa"/>
            <w:shd w:val="clear" w:color="auto" w:fill="auto"/>
            <w:vAlign w:val="center"/>
          </w:tcPr>
          <w:p w14:paraId="070442C6">
            <w:pPr>
              <w:pStyle w:val="34"/>
              <w:bidi w:val="0"/>
              <w:jc w:val="center"/>
              <w:rPr>
                <w:rFonts w:hint="default"/>
                <w:color w:val="auto"/>
                <w:lang w:val="en-US" w:eastAsia="zh-CN"/>
              </w:rPr>
            </w:pPr>
            <w:r>
              <w:rPr>
                <w:rFonts w:hint="eastAsia"/>
                <w:color w:val="auto"/>
                <w:lang w:val="en-US" w:eastAsia="zh-CN"/>
              </w:rPr>
              <w:t>90</w:t>
            </w:r>
          </w:p>
        </w:tc>
        <w:tc>
          <w:tcPr>
            <w:tcW w:w="1808" w:type="dxa"/>
            <w:shd w:val="clear" w:color="auto" w:fill="auto"/>
            <w:vAlign w:val="center"/>
          </w:tcPr>
          <w:p w14:paraId="6E0E6BCB">
            <w:pPr>
              <w:pStyle w:val="34"/>
              <w:bidi w:val="0"/>
              <w:jc w:val="center"/>
              <w:rPr>
                <w:rFonts w:hint="default"/>
                <w:color w:val="auto"/>
                <w:lang w:val="en-US" w:eastAsia="zh-CN"/>
              </w:rPr>
            </w:pPr>
            <w:r>
              <w:rPr>
                <w:rFonts w:hint="eastAsia"/>
                <w:color w:val="auto"/>
                <w:lang w:val="en-US" w:eastAsia="zh-CN"/>
              </w:rPr>
              <w:t>90</w:t>
            </w:r>
          </w:p>
        </w:tc>
      </w:tr>
      <w:tr w14:paraId="0E98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478F88F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2385" w:type="dxa"/>
            <w:shd w:val="clear" w:color="auto" w:fill="auto"/>
            <w:vAlign w:val="center"/>
          </w:tcPr>
          <w:p w14:paraId="44F570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其他异物</w:t>
            </w:r>
          </w:p>
        </w:tc>
        <w:tc>
          <w:tcPr>
            <w:tcW w:w="1740" w:type="dxa"/>
            <w:shd w:val="clear" w:color="auto" w:fill="auto"/>
            <w:vAlign w:val="center"/>
          </w:tcPr>
          <w:p w14:paraId="7F09C649">
            <w:pPr>
              <w:pStyle w:val="34"/>
              <w:bidi w:val="0"/>
              <w:jc w:val="center"/>
              <w:rPr>
                <w:rFonts w:hint="default"/>
                <w:color w:val="auto"/>
                <w:lang w:val="en-US" w:eastAsia="zh-CN"/>
              </w:rPr>
            </w:pPr>
            <w:r>
              <w:rPr>
                <w:rFonts w:hint="eastAsia"/>
                <w:color w:val="auto"/>
                <w:lang w:val="en-US" w:eastAsia="zh-CN"/>
              </w:rPr>
              <w:t>根系</w:t>
            </w:r>
          </w:p>
        </w:tc>
        <w:tc>
          <w:tcPr>
            <w:tcW w:w="1830" w:type="dxa"/>
            <w:shd w:val="clear" w:color="auto" w:fill="auto"/>
            <w:vAlign w:val="center"/>
          </w:tcPr>
          <w:p w14:paraId="5A1A579C">
            <w:pPr>
              <w:pStyle w:val="34"/>
              <w:bidi w:val="0"/>
              <w:jc w:val="center"/>
              <w:rPr>
                <w:rFonts w:hint="default"/>
                <w:color w:val="auto"/>
                <w:lang w:val="en-US" w:eastAsia="zh-CN"/>
              </w:rPr>
            </w:pPr>
            <w:r>
              <w:rPr>
                <w:rFonts w:hint="eastAsia"/>
                <w:color w:val="auto"/>
                <w:lang w:val="en-US" w:eastAsia="zh-CN"/>
              </w:rPr>
              <w:t>/</w:t>
            </w:r>
          </w:p>
        </w:tc>
        <w:tc>
          <w:tcPr>
            <w:tcW w:w="1808" w:type="dxa"/>
            <w:shd w:val="clear" w:color="auto" w:fill="auto"/>
            <w:vAlign w:val="center"/>
          </w:tcPr>
          <w:p w14:paraId="253ADEE9">
            <w:pPr>
              <w:pStyle w:val="34"/>
              <w:bidi w:val="0"/>
              <w:jc w:val="center"/>
              <w:rPr>
                <w:rFonts w:hint="default"/>
                <w:color w:val="auto"/>
                <w:lang w:val="en-US" w:eastAsia="zh-CN"/>
              </w:rPr>
            </w:pPr>
            <w:r>
              <w:rPr>
                <w:rFonts w:hint="eastAsia"/>
                <w:color w:val="auto"/>
                <w:lang w:val="en-US" w:eastAsia="zh-CN"/>
              </w:rPr>
              <w:t>/</w:t>
            </w:r>
          </w:p>
        </w:tc>
      </w:tr>
      <w:tr w14:paraId="505B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6AC90B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实验室测定</w:t>
            </w:r>
          </w:p>
        </w:tc>
        <w:tc>
          <w:tcPr>
            <w:tcW w:w="2385" w:type="dxa"/>
            <w:shd w:val="clear" w:color="auto" w:fill="auto"/>
            <w:vAlign w:val="center"/>
          </w:tcPr>
          <w:p w14:paraId="4C9C4C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pH</w:t>
            </w:r>
          </w:p>
        </w:tc>
        <w:tc>
          <w:tcPr>
            <w:tcW w:w="1740" w:type="dxa"/>
            <w:shd w:val="clear" w:color="auto" w:fill="auto"/>
            <w:vAlign w:val="center"/>
          </w:tcPr>
          <w:p w14:paraId="6A5EFB0C">
            <w:pPr>
              <w:pStyle w:val="34"/>
              <w:bidi w:val="0"/>
              <w:jc w:val="center"/>
              <w:rPr>
                <w:rFonts w:hint="default"/>
                <w:color w:val="auto"/>
                <w:lang w:val="en-US" w:eastAsia="zh-CN"/>
              </w:rPr>
            </w:pPr>
            <w:r>
              <w:rPr>
                <w:rFonts w:hint="eastAsia"/>
                <w:color w:val="auto"/>
                <w:lang w:val="en-US" w:eastAsia="zh-CN"/>
              </w:rPr>
              <w:t>8.87</w:t>
            </w:r>
          </w:p>
        </w:tc>
        <w:tc>
          <w:tcPr>
            <w:tcW w:w="1830" w:type="dxa"/>
            <w:shd w:val="clear" w:color="auto" w:fill="auto"/>
            <w:vAlign w:val="center"/>
          </w:tcPr>
          <w:p w14:paraId="2AF659AE">
            <w:pPr>
              <w:pStyle w:val="34"/>
              <w:bidi w:val="0"/>
              <w:jc w:val="center"/>
              <w:rPr>
                <w:rFonts w:hint="default"/>
                <w:color w:val="auto"/>
                <w:lang w:val="en-US" w:eastAsia="zh-CN"/>
              </w:rPr>
            </w:pPr>
            <w:r>
              <w:rPr>
                <w:rFonts w:hint="eastAsia"/>
                <w:color w:val="auto"/>
                <w:lang w:val="en-US" w:eastAsia="zh-CN"/>
              </w:rPr>
              <w:t>8.78</w:t>
            </w:r>
          </w:p>
        </w:tc>
        <w:tc>
          <w:tcPr>
            <w:tcW w:w="1808" w:type="dxa"/>
            <w:shd w:val="clear" w:color="auto" w:fill="auto"/>
            <w:vAlign w:val="center"/>
          </w:tcPr>
          <w:p w14:paraId="1920EE54">
            <w:pPr>
              <w:pStyle w:val="34"/>
              <w:bidi w:val="0"/>
              <w:jc w:val="center"/>
              <w:rPr>
                <w:rFonts w:hint="default"/>
                <w:color w:val="auto"/>
                <w:lang w:val="en-US" w:eastAsia="zh-CN"/>
              </w:rPr>
            </w:pPr>
            <w:r>
              <w:rPr>
                <w:rFonts w:hint="eastAsia"/>
                <w:color w:val="auto"/>
                <w:lang w:val="en-US" w:eastAsia="zh-CN"/>
              </w:rPr>
              <w:t>8.84</w:t>
            </w:r>
          </w:p>
        </w:tc>
      </w:tr>
      <w:tr w14:paraId="7BB0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C2B6F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5BC4DAD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阳离子交换量</w:t>
            </w:r>
          </w:p>
        </w:tc>
        <w:tc>
          <w:tcPr>
            <w:tcW w:w="1740" w:type="dxa"/>
            <w:vAlign w:val="center"/>
          </w:tcPr>
          <w:p w14:paraId="6D483113">
            <w:pPr>
              <w:pStyle w:val="34"/>
              <w:bidi w:val="0"/>
              <w:jc w:val="center"/>
              <w:rPr>
                <w:rFonts w:hint="default"/>
                <w:color w:val="auto"/>
                <w:lang w:val="en-US" w:eastAsia="zh-CN"/>
              </w:rPr>
            </w:pPr>
            <w:r>
              <w:rPr>
                <w:rFonts w:hint="eastAsia"/>
                <w:color w:val="auto"/>
                <w:lang w:val="en-US" w:eastAsia="zh-CN"/>
              </w:rPr>
              <w:t>8.4</w:t>
            </w:r>
          </w:p>
        </w:tc>
        <w:tc>
          <w:tcPr>
            <w:tcW w:w="1830" w:type="dxa"/>
            <w:vAlign w:val="center"/>
          </w:tcPr>
          <w:p w14:paraId="1A64B6D5">
            <w:pPr>
              <w:pStyle w:val="34"/>
              <w:bidi w:val="0"/>
              <w:jc w:val="center"/>
              <w:rPr>
                <w:rFonts w:hint="default"/>
                <w:color w:val="auto"/>
                <w:lang w:val="en-US" w:eastAsia="zh-CN"/>
              </w:rPr>
            </w:pPr>
            <w:r>
              <w:rPr>
                <w:rFonts w:hint="eastAsia"/>
                <w:color w:val="auto"/>
                <w:lang w:val="en-US" w:eastAsia="zh-CN"/>
              </w:rPr>
              <w:t>8.4</w:t>
            </w:r>
          </w:p>
        </w:tc>
        <w:tc>
          <w:tcPr>
            <w:tcW w:w="1808" w:type="dxa"/>
            <w:vAlign w:val="center"/>
          </w:tcPr>
          <w:p w14:paraId="4AB9F42C">
            <w:pPr>
              <w:pStyle w:val="34"/>
              <w:bidi w:val="0"/>
              <w:jc w:val="center"/>
              <w:rPr>
                <w:rFonts w:hint="default"/>
                <w:color w:val="auto"/>
                <w:lang w:val="en-US" w:eastAsia="zh-CN"/>
              </w:rPr>
            </w:pPr>
            <w:r>
              <w:rPr>
                <w:rFonts w:hint="eastAsia"/>
                <w:color w:val="auto"/>
                <w:lang w:val="en-US" w:eastAsia="zh-CN"/>
              </w:rPr>
              <w:t>8.2</w:t>
            </w:r>
          </w:p>
        </w:tc>
      </w:tr>
      <w:tr w14:paraId="4F7F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29FE2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25EC444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氧化还原电位</w:t>
            </w:r>
          </w:p>
        </w:tc>
        <w:tc>
          <w:tcPr>
            <w:tcW w:w="1740" w:type="dxa"/>
            <w:vAlign w:val="center"/>
          </w:tcPr>
          <w:p w14:paraId="00C81F2E">
            <w:pPr>
              <w:pStyle w:val="34"/>
              <w:bidi w:val="0"/>
              <w:jc w:val="center"/>
              <w:rPr>
                <w:rFonts w:hint="default"/>
                <w:color w:val="auto"/>
                <w:lang w:val="en-US" w:eastAsia="zh-CN"/>
              </w:rPr>
            </w:pPr>
            <w:r>
              <w:rPr>
                <w:rFonts w:hint="eastAsia"/>
                <w:color w:val="auto"/>
                <w:lang w:val="en-US" w:eastAsia="zh-CN"/>
              </w:rPr>
              <w:t>386</w:t>
            </w:r>
          </w:p>
        </w:tc>
        <w:tc>
          <w:tcPr>
            <w:tcW w:w="1830" w:type="dxa"/>
            <w:vAlign w:val="center"/>
          </w:tcPr>
          <w:p w14:paraId="560735C3">
            <w:pPr>
              <w:pStyle w:val="34"/>
              <w:bidi w:val="0"/>
              <w:jc w:val="center"/>
              <w:rPr>
                <w:rFonts w:hint="default"/>
                <w:color w:val="auto"/>
                <w:lang w:val="en-US" w:eastAsia="zh-CN"/>
              </w:rPr>
            </w:pPr>
            <w:r>
              <w:rPr>
                <w:rFonts w:hint="eastAsia"/>
                <w:color w:val="auto"/>
                <w:lang w:val="en-US" w:eastAsia="zh-CN"/>
              </w:rPr>
              <w:t>353</w:t>
            </w:r>
          </w:p>
        </w:tc>
        <w:tc>
          <w:tcPr>
            <w:tcW w:w="1808" w:type="dxa"/>
            <w:vAlign w:val="center"/>
          </w:tcPr>
          <w:p w14:paraId="396B9D6E">
            <w:pPr>
              <w:pStyle w:val="34"/>
              <w:bidi w:val="0"/>
              <w:jc w:val="center"/>
              <w:rPr>
                <w:rFonts w:hint="default"/>
                <w:color w:val="auto"/>
                <w:lang w:val="en-US" w:eastAsia="zh-CN"/>
              </w:rPr>
            </w:pPr>
            <w:r>
              <w:rPr>
                <w:rFonts w:hint="eastAsia"/>
                <w:color w:val="auto"/>
                <w:lang w:val="en-US" w:eastAsia="zh-CN"/>
              </w:rPr>
              <w:t>334</w:t>
            </w:r>
          </w:p>
        </w:tc>
      </w:tr>
      <w:tr w14:paraId="54F9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3CC580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161139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饱和导水率/(cm/s)</w:t>
            </w:r>
          </w:p>
        </w:tc>
        <w:tc>
          <w:tcPr>
            <w:tcW w:w="1740" w:type="dxa"/>
            <w:vAlign w:val="center"/>
          </w:tcPr>
          <w:p w14:paraId="128A5984">
            <w:pPr>
              <w:pStyle w:val="34"/>
              <w:bidi w:val="0"/>
              <w:jc w:val="center"/>
              <w:rPr>
                <w:rFonts w:hint="default"/>
                <w:color w:val="auto"/>
                <w:lang w:val="en-US" w:eastAsia="zh-CN"/>
              </w:rPr>
            </w:pPr>
            <w:r>
              <w:rPr>
                <w:rFonts w:hint="eastAsia"/>
                <w:color w:val="auto"/>
                <w:lang w:val="en-US" w:eastAsia="zh-CN"/>
              </w:rPr>
              <w:t>571</w:t>
            </w:r>
          </w:p>
        </w:tc>
        <w:tc>
          <w:tcPr>
            <w:tcW w:w="1830" w:type="dxa"/>
            <w:vAlign w:val="center"/>
          </w:tcPr>
          <w:p w14:paraId="1F35B0E9">
            <w:pPr>
              <w:pStyle w:val="34"/>
              <w:bidi w:val="0"/>
              <w:jc w:val="center"/>
              <w:rPr>
                <w:rFonts w:hint="default"/>
                <w:color w:val="auto"/>
                <w:lang w:val="en-US" w:eastAsia="zh-CN"/>
              </w:rPr>
            </w:pPr>
            <w:r>
              <w:rPr>
                <w:rFonts w:hint="eastAsia"/>
                <w:color w:val="auto"/>
                <w:lang w:val="en-US" w:eastAsia="zh-CN"/>
              </w:rPr>
              <w:t>548</w:t>
            </w:r>
          </w:p>
        </w:tc>
        <w:tc>
          <w:tcPr>
            <w:tcW w:w="1808" w:type="dxa"/>
            <w:vAlign w:val="center"/>
          </w:tcPr>
          <w:p w14:paraId="4D87168D">
            <w:pPr>
              <w:pStyle w:val="34"/>
              <w:bidi w:val="0"/>
              <w:jc w:val="center"/>
              <w:rPr>
                <w:rFonts w:hint="default"/>
                <w:color w:val="auto"/>
                <w:lang w:val="en-US" w:eastAsia="zh-CN"/>
              </w:rPr>
            </w:pPr>
            <w:r>
              <w:rPr>
                <w:rFonts w:hint="eastAsia"/>
                <w:color w:val="auto"/>
                <w:lang w:val="en-US" w:eastAsia="zh-CN"/>
              </w:rPr>
              <w:t>532</w:t>
            </w:r>
          </w:p>
        </w:tc>
      </w:tr>
      <w:tr w14:paraId="0E15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657F7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5D0F426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土壤容重/(kg/m</w:t>
            </w:r>
            <w:r>
              <w:rPr>
                <w:rFonts w:hint="eastAsia" w:cs="Times New Roman"/>
                <w:color w:val="auto"/>
                <w:sz w:val="21"/>
                <w:szCs w:val="22"/>
                <w:vertAlign w:val="superscript"/>
                <w:lang w:val="en-US" w:eastAsia="zh-CN"/>
              </w:rPr>
              <w:t>3</w:t>
            </w:r>
            <w:r>
              <w:rPr>
                <w:rFonts w:hint="eastAsia" w:cs="Times New Roman"/>
                <w:color w:val="auto"/>
                <w:sz w:val="21"/>
                <w:szCs w:val="22"/>
                <w:vertAlign w:val="baseline"/>
                <w:lang w:val="en-US" w:eastAsia="zh-CN"/>
              </w:rPr>
              <w:t>)</w:t>
            </w:r>
          </w:p>
        </w:tc>
        <w:tc>
          <w:tcPr>
            <w:tcW w:w="1740" w:type="dxa"/>
            <w:vAlign w:val="center"/>
          </w:tcPr>
          <w:p w14:paraId="2C5A6DDF">
            <w:pPr>
              <w:pStyle w:val="34"/>
              <w:bidi w:val="0"/>
              <w:jc w:val="center"/>
              <w:rPr>
                <w:rFonts w:hint="default"/>
                <w:color w:val="auto"/>
                <w:lang w:val="en-US" w:eastAsia="zh-CN"/>
              </w:rPr>
            </w:pPr>
            <w:r>
              <w:rPr>
                <w:rFonts w:hint="eastAsia"/>
                <w:color w:val="auto"/>
                <w:lang w:val="en-US" w:eastAsia="zh-CN"/>
              </w:rPr>
              <w:t>1.3</w:t>
            </w:r>
          </w:p>
        </w:tc>
        <w:tc>
          <w:tcPr>
            <w:tcW w:w="1830" w:type="dxa"/>
            <w:vAlign w:val="center"/>
          </w:tcPr>
          <w:p w14:paraId="50ECEEB0">
            <w:pPr>
              <w:pStyle w:val="34"/>
              <w:bidi w:val="0"/>
              <w:jc w:val="center"/>
              <w:rPr>
                <w:rFonts w:hint="default"/>
                <w:color w:val="auto"/>
                <w:lang w:val="en-US" w:eastAsia="zh-CN"/>
              </w:rPr>
            </w:pPr>
            <w:r>
              <w:rPr>
                <w:rFonts w:hint="eastAsia"/>
                <w:color w:val="auto"/>
                <w:lang w:val="en-US" w:eastAsia="zh-CN"/>
              </w:rPr>
              <w:t>1.2</w:t>
            </w:r>
          </w:p>
        </w:tc>
        <w:tc>
          <w:tcPr>
            <w:tcW w:w="1808" w:type="dxa"/>
            <w:vAlign w:val="center"/>
          </w:tcPr>
          <w:p w14:paraId="4E2D350A">
            <w:pPr>
              <w:pStyle w:val="34"/>
              <w:bidi w:val="0"/>
              <w:jc w:val="center"/>
              <w:rPr>
                <w:rFonts w:hint="default"/>
                <w:color w:val="auto"/>
                <w:lang w:val="en-US" w:eastAsia="zh-CN"/>
              </w:rPr>
            </w:pPr>
            <w:r>
              <w:rPr>
                <w:rFonts w:hint="eastAsia"/>
                <w:color w:val="auto"/>
                <w:lang w:val="en-US" w:eastAsia="zh-CN"/>
              </w:rPr>
              <w:t>1.3</w:t>
            </w:r>
          </w:p>
        </w:tc>
      </w:tr>
      <w:tr w14:paraId="2111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55975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048D54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孔隙度</w:t>
            </w:r>
          </w:p>
        </w:tc>
        <w:tc>
          <w:tcPr>
            <w:tcW w:w="1740" w:type="dxa"/>
            <w:vAlign w:val="center"/>
          </w:tcPr>
          <w:p w14:paraId="1A46F27F">
            <w:pPr>
              <w:pStyle w:val="34"/>
              <w:bidi w:val="0"/>
              <w:jc w:val="center"/>
              <w:rPr>
                <w:rFonts w:hint="default"/>
                <w:color w:val="auto"/>
                <w:lang w:val="en-US" w:eastAsia="zh-CN"/>
              </w:rPr>
            </w:pPr>
            <w:r>
              <w:rPr>
                <w:rFonts w:hint="eastAsia"/>
                <w:color w:val="auto"/>
                <w:lang w:val="en-US" w:eastAsia="zh-CN"/>
              </w:rPr>
              <w:t>31</w:t>
            </w:r>
          </w:p>
        </w:tc>
        <w:tc>
          <w:tcPr>
            <w:tcW w:w="1830" w:type="dxa"/>
            <w:vAlign w:val="center"/>
          </w:tcPr>
          <w:p w14:paraId="45D9BBAC">
            <w:pPr>
              <w:pStyle w:val="34"/>
              <w:bidi w:val="0"/>
              <w:jc w:val="center"/>
              <w:rPr>
                <w:rFonts w:hint="default"/>
                <w:color w:val="auto"/>
                <w:lang w:val="en-US" w:eastAsia="zh-CN"/>
              </w:rPr>
            </w:pPr>
            <w:r>
              <w:rPr>
                <w:rFonts w:hint="eastAsia"/>
                <w:color w:val="auto"/>
                <w:lang w:val="en-US" w:eastAsia="zh-CN"/>
              </w:rPr>
              <w:t>31</w:t>
            </w:r>
          </w:p>
        </w:tc>
        <w:tc>
          <w:tcPr>
            <w:tcW w:w="1808" w:type="dxa"/>
            <w:vAlign w:val="center"/>
          </w:tcPr>
          <w:p w14:paraId="4F567CF5">
            <w:pPr>
              <w:pStyle w:val="34"/>
              <w:bidi w:val="0"/>
              <w:jc w:val="center"/>
              <w:rPr>
                <w:rFonts w:hint="default"/>
                <w:color w:val="auto"/>
                <w:lang w:val="en-US" w:eastAsia="zh-CN"/>
              </w:rPr>
            </w:pPr>
            <w:r>
              <w:rPr>
                <w:rFonts w:hint="eastAsia"/>
                <w:color w:val="auto"/>
                <w:lang w:val="en-US" w:eastAsia="zh-CN"/>
              </w:rPr>
              <w:t>31</w:t>
            </w:r>
          </w:p>
        </w:tc>
      </w:tr>
      <w:tr w14:paraId="56CF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30612C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点号</w:t>
            </w:r>
          </w:p>
        </w:tc>
        <w:tc>
          <w:tcPr>
            <w:tcW w:w="0" w:type="auto"/>
            <w:shd w:val="clear" w:color="auto" w:fill="auto"/>
            <w:vAlign w:val="center"/>
          </w:tcPr>
          <w:p w14:paraId="34CB2E9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T5</w:t>
            </w:r>
          </w:p>
        </w:tc>
        <w:tc>
          <w:tcPr>
            <w:tcW w:w="0" w:type="auto"/>
            <w:shd w:val="clear" w:color="auto" w:fill="auto"/>
            <w:vAlign w:val="center"/>
          </w:tcPr>
          <w:p w14:paraId="164439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时间</w:t>
            </w:r>
          </w:p>
        </w:tc>
        <w:tc>
          <w:tcPr>
            <w:tcW w:w="0" w:type="auto"/>
            <w:shd w:val="clear" w:color="auto" w:fill="auto"/>
            <w:vAlign w:val="center"/>
          </w:tcPr>
          <w:p w14:paraId="0A6521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bidi="ar-SA"/>
              </w:rPr>
              <w:t>2025.9.1</w:t>
            </w:r>
          </w:p>
        </w:tc>
      </w:tr>
      <w:tr w14:paraId="26A8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34949B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经度</w:t>
            </w:r>
          </w:p>
        </w:tc>
        <w:tc>
          <w:tcPr>
            <w:tcW w:w="1740" w:type="dxa"/>
            <w:shd w:val="clear" w:color="auto" w:fill="auto"/>
            <w:vAlign w:val="center"/>
          </w:tcPr>
          <w:p w14:paraId="2ECA46DC">
            <w:pPr>
              <w:bidi w:val="0"/>
              <w:jc w:val="center"/>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lang w:val="en-US" w:eastAsia="zh-CN"/>
              </w:rPr>
              <w:t>******</w:t>
            </w:r>
          </w:p>
        </w:tc>
        <w:tc>
          <w:tcPr>
            <w:tcW w:w="1830" w:type="dxa"/>
            <w:shd w:val="clear" w:color="auto" w:fill="auto"/>
            <w:vAlign w:val="center"/>
          </w:tcPr>
          <w:p w14:paraId="6BF785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纬度</w:t>
            </w:r>
          </w:p>
        </w:tc>
        <w:tc>
          <w:tcPr>
            <w:tcW w:w="1808" w:type="dxa"/>
            <w:shd w:val="clear" w:color="auto" w:fill="auto"/>
            <w:vAlign w:val="center"/>
          </w:tcPr>
          <w:p w14:paraId="3CC20F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lang w:val="en-US" w:eastAsia="zh-CN"/>
              </w:rPr>
              <w:t>******</w:t>
            </w:r>
          </w:p>
        </w:tc>
      </w:tr>
      <w:tr w14:paraId="2525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095AD6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层次</w:t>
            </w:r>
          </w:p>
        </w:tc>
        <w:tc>
          <w:tcPr>
            <w:tcW w:w="1740" w:type="dxa"/>
            <w:shd w:val="clear" w:color="auto" w:fill="auto"/>
            <w:vAlign w:val="center"/>
          </w:tcPr>
          <w:p w14:paraId="3F9867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0~0.5m</w:t>
            </w:r>
          </w:p>
        </w:tc>
        <w:tc>
          <w:tcPr>
            <w:tcW w:w="1830" w:type="dxa"/>
            <w:shd w:val="clear" w:color="auto" w:fill="auto"/>
            <w:vAlign w:val="center"/>
          </w:tcPr>
          <w:p w14:paraId="5EA477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0.5~1.5m</w:t>
            </w:r>
          </w:p>
        </w:tc>
        <w:tc>
          <w:tcPr>
            <w:tcW w:w="1808" w:type="dxa"/>
            <w:shd w:val="clear" w:color="auto" w:fill="auto"/>
            <w:vAlign w:val="center"/>
          </w:tcPr>
          <w:p w14:paraId="649F68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1.5~3.0m</w:t>
            </w:r>
          </w:p>
        </w:tc>
      </w:tr>
      <w:tr w14:paraId="5780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783DD42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现场记录</w:t>
            </w:r>
          </w:p>
        </w:tc>
        <w:tc>
          <w:tcPr>
            <w:tcW w:w="0" w:type="auto"/>
            <w:shd w:val="clear" w:color="auto" w:fill="auto"/>
            <w:vAlign w:val="center"/>
          </w:tcPr>
          <w:p w14:paraId="2935E0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颜色</w:t>
            </w:r>
          </w:p>
        </w:tc>
        <w:tc>
          <w:tcPr>
            <w:tcW w:w="1740" w:type="dxa"/>
            <w:vAlign w:val="center"/>
          </w:tcPr>
          <w:p w14:paraId="7E99C621">
            <w:pPr>
              <w:pStyle w:val="34"/>
              <w:bidi w:val="0"/>
              <w:jc w:val="center"/>
              <w:rPr>
                <w:rFonts w:hint="default"/>
                <w:color w:val="auto"/>
                <w:lang w:val="en-US" w:eastAsia="zh-CN"/>
              </w:rPr>
            </w:pPr>
            <w:r>
              <w:rPr>
                <w:rFonts w:hint="eastAsia"/>
                <w:color w:val="auto"/>
                <w:lang w:val="en-US" w:eastAsia="zh-CN"/>
              </w:rPr>
              <w:t>浅黄</w:t>
            </w:r>
          </w:p>
        </w:tc>
        <w:tc>
          <w:tcPr>
            <w:tcW w:w="1830" w:type="dxa"/>
            <w:vAlign w:val="center"/>
          </w:tcPr>
          <w:p w14:paraId="39D0BA51">
            <w:pPr>
              <w:pStyle w:val="34"/>
              <w:bidi w:val="0"/>
              <w:jc w:val="center"/>
              <w:rPr>
                <w:rFonts w:hint="default"/>
                <w:color w:val="auto"/>
                <w:lang w:val="en-US" w:eastAsia="zh-CN"/>
              </w:rPr>
            </w:pPr>
            <w:r>
              <w:rPr>
                <w:rFonts w:hint="eastAsia"/>
                <w:color w:val="auto"/>
                <w:lang w:val="en-US" w:eastAsia="zh-CN"/>
              </w:rPr>
              <w:t>浅黄</w:t>
            </w:r>
          </w:p>
        </w:tc>
        <w:tc>
          <w:tcPr>
            <w:tcW w:w="1808" w:type="dxa"/>
            <w:vAlign w:val="center"/>
          </w:tcPr>
          <w:p w14:paraId="64028D4B">
            <w:pPr>
              <w:pStyle w:val="34"/>
              <w:bidi w:val="0"/>
              <w:jc w:val="center"/>
              <w:rPr>
                <w:rFonts w:hint="default"/>
                <w:color w:val="auto"/>
                <w:lang w:val="en-US" w:eastAsia="zh-CN"/>
              </w:rPr>
            </w:pPr>
            <w:r>
              <w:rPr>
                <w:rFonts w:hint="eastAsia"/>
                <w:color w:val="auto"/>
                <w:lang w:val="en-US" w:eastAsia="zh-CN"/>
              </w:rPr>
              <w:t>浅黄</w:t>
            </w:r>
          </w:p>
        </w:tc>
      </w:tr>
      <w:tr w14:paraId="5AE8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2031DF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5E01EE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结构</w:t>
            </w:r>
          </w:p>
        </w:tc>
        <w:tc>
          <w:tcPr>
            <w:tcW w:w="1740" w:type="dxa"/>
            <w:vAlign w:val="center"/>
          </w:tcPr>
          <w:p w14:paraId="4E1A6653">
            <w:pPr>
              <w:pStyle w:val="34"/>
              <w:bidi w:val="0"/>
              <w:jc w:val="center"/>
              <w:rPr>
                <w:rFonts w:hint="default"/>
                <w:color w:val="auto"/>
                <w:lang w:val="en-US" w:eastAsia="zh-CN"/>
              </w:rPr>
            </w:pPr>
            <w:r>
              <w:rPr>
                <w:rFonts w:hint="eastAsia"/>
                <w:color w:val="auto"/>
                <w:lang w:val="en-US" w:eastAsia="zh-CN"/>
              </w:rPr>
              <w:t>固体</w:t>
            </w:r>
          </w:p>
        </w:tc>
        <w:tc>
          <w:tcPr>
            <w:tcW w:w="1830" w:type="dxa"/>
            <w:vAlign w:val="center"/>
          </w:tcPr>
          <w:p w14:paraId="4A374C3E">
            <w:pPr>
              <w:pStyle w:val="34"/>
              <w:bidi w:val="0"/>
              <w:jc w:val="center"/>
              <w:rPr>
                <w:rFonts w:hint="default"/>
                <w:color w:val="auto"/>
                <w:lang w:val="en-US" w:eastAsia="zh-CN"/>
              </w:rPr>
            </w:pPr>
            <w:r>
              <w:rPr>
                <w:rFonts w:hint="eastAsia"/>
                <w:color w:val="auto"/>
                <w:lang w:val="en-US" w:eastAsia="zh-CN"/>
              </w:rPr>
              <w:t>固体</w:t>
            </w:r>
          </w:p>
        </w:tc>
        <w:tc>
          <w:tcPr>
            <w:tcW w:w="1808" w:type="dxa"/>
            <w:vAlign w:val="center"/>
          </w:tcPr>
          <w:p w14:paraId="36DB5B03">
            <w:pPr>
              <w:pStyle w:val="34"/>
              <w:bidi w:val="0"/>
              <w:jc w:val="center"/>
              <w:rPr>
                <w:rFonts w:hint="default"/>
                <w:color w:val="auto"/>
                <w:lang w:val="en-US" w:eastAsia="zh-CN"/>
              </w:rPr>
            </w:pPr>
            <w:r>
              <w:rPr>
                <w:rFonts w:hint="eastAsia"/>
                <w:color w:val="auto"/>
                <w:lang w:val="en-US" w:eastAsia="zh-CN"/>
              </w:rPr>
              <w:t>固体</w:t>
            </w:r>
          </w:p>
        </w:tc>
      </w:tr>
      <w:tr w14:paraId="0945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473EE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08EF20F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质地</w:t>
            </w:r>
          </w:p>
        </w:tc>
        <w:tc>
          <w:tcPr>
            <w:tcW w:w="1740" w:type="dxa"/>
            <w:vAlign w:val="center"/>
          </w:tcPr>
          <w:p w14:paraId="53A8E582">
            <w:pPr>
              <w:pStyle w:val="34"/>
              <w:bidi w:val="0"/>
              <w:jc w:val="center"/>
              <w:rPr>
                <w:rFonts w:hint="default"/>
                <w:color w:val="auto"/>
                <w:lang w:val="en-US" w:eastAsia="zh-CN"/>
              </w:rPr>
            </w:pPr>
            <w:r>
              <w:rPr>
                <w:rFonts w:hint="default"/>
                <w:color w:val="auto"/>
                <w:lang w:val="en-US" w:eastAsia="zh-CN"/>
              </w:rPr>
              <w:t>砂土</w:t>
            </w:r>
          </w:p>
        </w:tc>
        <w:tc>
          <w:tcPr>
            <w:tcW w:w="1830" w:type="dxa"/>
            <w:vAlign w:val="center"/>
          </w:tcPr>
          <w:p w14:paraId="733E0B2E">
            <w:pPr>
              <w:pStyle w:val="34"/>
              <w:bidi w:val="0"/>
              <w:jc w:val="center"/>
              <w:rPr>
                <w:rFonts w:hint="default"/>
                <w:color w:val="auto"/>
                <w:lang w:val="en-US" w:eastAsia="zh-CN"/>
              </w:rPr>
            </w:pPr>
            <w:r>
              <w:rPr>
                <w:rFonts w:hint="default"/>
                <w:color w:val="auto"/>
                <w:lang w:val="en-US" w:eastAsia="zh-CN"/>
              </w:rPr>
              <w:t>砂土</w:t>
            </w:r>
          </w:p>
        </w:tc>
        <w:tc>
          <w:tcPr>
            <w:tcW w:w="1808" w:type="dxa"/>
            <w:vAlign w:val="center"/>
          </w:tcPr>
          <w:p w14:paraId="2816CCC4">
            <w:pPr>
              <w:pStyle w:val="34"/>
              <w:bidi w:val="0"/>
              <w:jc w:val="center"/>
              <w:rPr>
                <w:rFonts w:hint="default"/>
                <w:color w:val="auto"/>
                <w:lang w:val="en-US" w:eastAsia="zh-CN"/>
              </w:rPr>
            </w:pPr>
            <w:r>
              <w:rPr>
                <w:rFonts w:hint="default"/>
                <w:color w:val="auto"/>
                <w:lang w:val="en-US" w:eastAsia="zh-CN"/>
              </w:rPr>
              <w:t>砂土</w:t>
            </w:r>
          </w:p>
        </w:tc>
      </w:tr>
      <w:tr w14:paraId="46C0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96BADF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33A7D7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砂砾含量</w:t>
            </w:r>
          </w:p>
        </w:tc>
        <w:tc>
          <w:tcPr>
            <w:tcW w:w="1740" w:type="dxa"/>
            <w:vAlign w:val="center"/>
          </w:tcPr>
          <w:p w14:paraId="0D8BA11D">
            <w:pPr>
              <w:pStyle w:val="34"/>
              <w:bidi w:val="0"/>
              <w:jc w:val="center"/>
              <w:rPr>
                <w:rFonts w:hint="default"/>
                <w:color w:val="auto"/>
                <w:lang w:val="en-US" w:eastAsia="zh-CN"/>
              </w:rPr>
            </w:pPr>
            <w:r>
              <w:rPr>
                <w:rFonts w:hint="eastAsia"/>
                <w:color w:val="auto"/>
                <w:lang w:val="en-US" w:eastAsia="zh-CN"/>
              </w:rPr>
              <w:t>90</w:t>
            </w:r>
          </w:p>
        </w:tc>
        <w:tc>
          <w:tcPr>
            <w:tcW w:w="1830" w:type="dxa"/>
            <w:vAlign w:val="center"/>
          </w:tcPr>
          <w:p w14:paraId="7CE39B24">
            <w:pPr>
              <w:pStyle w:val="34"/>
              <w:bidi w:val="0"/>
              <w:jc w:val="center"/>
              <w:rPr>
                <w:rFonts w:hint="default"/>
                <w:color w:val="auto"/>
                <w:lang w:val="en-US" w:eastAsia="zh-CN"/>
              </w:rPr>
            </w:pPr>
            <w:r>
              <w:rPr>
                <w:rFonts w:hint="eastAsia"/>
                <w:color w:val="auto"/>
                <w:lang w:val="en-US" w:eastAsia="zh-CN"/>
              </w:rPr>
              <w:t>90</w:t>
            </w:r>
          </w:p>
        </w:tc>
        <w:tc>
          <w:tcPr>
            <w:tcW w:w="1808" w:type="dxa"/>
            <w:vAlign w:val="center"/>
          </w:tcPr>
          <w:p w14:paraId="23AE4E54">
            <w:pPr>
              <w:pStyle w:val="34"/>
              <w:bidi w:val="0"/>
              <w:jc w:val="center"/>
              <w:rPr>
                <w:rFonts w:hint="default"/>
                <w:color w:val="auto"/>
                <w:lang w:val="en-US" w:eastAsia="zh-CN"/>
              </w:rPr>
            </w:pPr>
            <w:r>
              <w:rPr>
                <w:rFonts w:hint="eastAsia"/>
                <w:color w:val="auto"/>
                <w:lang w:val="en-US" w:eastAsia="zh-CN"/>
              </w:rPr>
              <w:t>90</w:t>
            </w:r>
          </w:p>
        </w:tc>
      </w:tr>
      <w:tr w14:paraId="7F6D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AF458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4ED015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其他异物</w:t>
            </w:r>
          </w:p>
        </w:tc>
        <w:tc>
          <w:tcPr>
            <w:tcW w:w="1740" w:type="dxa"/>
            <w:vAlign w:val="center"/>
          </w:tcPr>
          <w:p w14:paraId="0F1FD338">
            <w:pPr>
              <w:pStyle w:val="34"/>
              <w:bidi w:val="0"/>
              <w:jc w:val="center"/>
              <w:rPr>
                <w:rFonts w:hint="default"/>
                <w:color w:val="auto"/>
                <w:lang w:val="en-US" w:eastAsia="zh-CN"/>
              </w:rPr>
            </w:pPr>
            <w:r>
              <w:rPr>
                <w:rFonts w:hint="eastAsia"/>
                <w:color w:val="auto"/>
                <w:lang w:val="en-US" w:eastAsia="zh-CN"/>
              </w:rPr>
              <w:t>根系</w:t>
            </w:r>
          </w:p>
        </w:tc>
        <w:tc>
          <w:tcPr>
            <w:tcW w:w="1830" w:type="dxa"/>
            <w:vAlign w:val="center"/>
          </w:tcPr>
          <w:p w14:paraId="79826A2D">
            <w:pPr>
              <w:pStyle w:val="34"/>
              <w:bidi w:val="0"/>
              <w:jc w:val="center"/>
              <w:rPr>
                <w:rFonts w:hint="default"/>
                <w:color w:val="auto"/>
                <w:lang w:val="en-US" w:eastAsia="zh-CN"/>
              </w:rPr>
            </w:pPr>
            <w:r>
              <w:rPr>
                <w:rFonts w:hint="eastAsia"/>
                <w:color w:val="auto"/>
                <w:lang w:val="en-US" w:eastAsia="zh-CN"/>
              </w:rPr>
              <w:t>/</w:t>
            </w:r>
          </w:p>
        </w:tc>
        <w:tc>
          <w:tcPr>
            <w:tcW w:w="1808" w:type="dxa"/>
            <w:vAlign w:val="center"/>
          </w:tcPr>
          <w:p w14:paraId="12355C9A">
            <w:pPr>
              <w:pStyle w:val="34"/>
              <w:bidi w:val="0"/>
              <w:jc w:val="center"/>
              <w:rPr>
                <w:rFonts w:hint="default"/>
                <w:color w:val="auto"/>
                <w:lang w:val="en-US" w:eastAsia="zh-CN"/>
              </w:rPr>
            </w:pPr>
            <w:r>
              <w:rPr>
                <w:rFonts w:hint="eastAsia"/>
                <w:color w:val="auto"/>
                <w:lang w:val="en-US" w:eastAsia="zh-CN"/>
              </w:rPr>
              <w:t>/</w:t>
            </w:r>
          </w:p>
        </w:tc>
      </w:tr>
      <w:tr w14:paraId="3E59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038FB0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实验室测定</w:t>
            </w:r>
          </w:p>
        </w:tc>
        <w:tc>
          <w:tcPr>
            <w:tcW w:w="0" w:type="auto"/>
            <w:shd w:val="clear" w:color="auto" w:fill="auto"/>
            <w:vAlign w:val="center"/>
          </w:tcPr>
          <w:p w14:paraId="54A155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pH</w:t>
            </w:r>
          </w:p>
        </w:tc>
        <w:tc>
          <w:tcPr>
            <w:tcW w:w="1740" w:type="dxa"/>
            <w:vAlign w:val="center"/>
          </w:tcPr>
          <w:p w14:paraId="4EA248C8">
            <w:pPr>
              <w:pStyle w:val="34"/>
              <w:bidi w:val="0"/>
              <w:jc w:val="center"/>
              <w:rPr>
                <w:rFonts w:hint="default"/>
                <w:color w:val="auto"/>
                <w:lang w:val="en-US" w:eastAsia="zh-CN"/>
              </w:rPr>
            </w:pPr>
            <w:r>
              <w:rPr>
                <w:rFonts w:hint="eastAsia"/>
                <w:color w:val="auto"/>
                <w:lang w:val="en-US" w:eastAsia="zh-CN"/>
              </w:rPr>
              <w:t>8.84</w:t>
            </w:r>
          </w:p>
        </w:tc>
        <w:tc>
          <w:tcPr>
            <w:tcW w:w="1830" w:type="dxa"/>
            <w:vAlign w:val="center"/>
          </w:tcPr>
          <w:p w14:paraId="74510C5E">
            <w:pPr>
              <w:pStyle w:val="34"/>
              <w:bidi w:val="0"/>
              <w:jc w:val="center"/>
              <w:rPr>
                <w:rFonts w:hint="default"/>
                <w:color w:val="auto"/>
                <w:lang w:val="en-US" w:eastAsia="zh-CN"/>
              </w:rPr>
            </w:pPr>
            <w:r>
              <w:rPr>
                <w:rFonts w:hint="eastAsia"/>
                <w:color w:val="auto"/>
                <w:lang w:val="en-US" w:eastAsia="zh-CN"/>
              </w:rPr>
              <w:t>8.78</w:t>
            </w:r>
          </w:p>
        </w:tc>
        <w:tc>
          <w:tcPr>
            <w:tcW w:w="1808" w:type="dxa"/>
            <w:vAlign w:val="center"/>
          </w:tcPr>
          <w:p w14:paraId="751B9C2F">
            <w:pPr>
              <w:pStyle w:val="34"/>
              <w:bidi w:val="0"/>
              <w:jc w:val="center"/>
              <w:rPr>
                <w:rFonts w:hint="default"/>
                <w:color w:val="auto"/>
                <w:lang w:val="en-US" w:eastAsia="zh-CN"/>
              </w:rPr>
            </w:pPr>
            <w:r>
              <w:rPr>
                <w:rFonts w:hint="eastAsia"/>
                <w:color w:val="auto"/>
                <w:lang w:val="en-US" w:eastAsia="zh-CN"/>
              </w:rPr>
              <w:t>8.80</w:t>
            </w:r>
          </w:p>
        </w:tc>
      </w:tr>
      <w:tr w14:paraId="1F47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C9408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04A93D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阳离子交换量</w:t>
            </w:r>
          </w:p>
        </w:tc>
        <w:tc>
          <w:tcPr>
            <w:tcW w:w="1740" w:type="dxa"/>
            <w:vAlign w:val="center"/>
          </w:tcPr>
          <w:p w14:paraId="5E88B657">
            <w:pPr>
              <w:pStyle w:val="34"/>
              <w:bidi w:val="0"/>
              <w:jc w:val="center"/>
              <w:rPr>
                <w:rFonts w:hint="default"/>
                <w:color w:val="auto"/>
                <w:lang w:val="en-US" w:eastAsia="zh-CN"/>
              </w:rPr>
            </w:pPr>
            <w:r>
              <w:rPr>
                <w:rFonts w:hint="eastAsia"/>
                <w:color w:val="auto"/>
                <w:lang w:val="en-US" w:eastAsia="zh-CN"/>
              </w:rPr>
              <w:t>8.6</w:t>
            </w:r>
          </w:p>
        </w:tc>
        <w:tc>
          <w:tcPr>
            <w:tcW w:w="1830" w:type="dxa"/>
            <w:vAlign w:val="center"/>
          </w:tcPr>
          <w:p w14:paraId="0E11982D">
            <w:pPr>
              <w:pStyle w:val="34"/>
              <w:bidi w:val="0"/>
              <w:jc w:val="center"/>
              <w:rPr>
                <w:rFonts w:hint="default"/>
                <w:color w:val="auto"/>
                <w:lang w:val="en-US" w:eastAsia="zh-CN"/>
              </w:rPr>
            </w:pPr>
            <w:r>
              <w:rPr>
                <w:rFonts w:hint="eastAsia"/>
                <w:color w:val="auto"/>
                <w:lang w:val="en-US" w:eastAsia="zh-CN"/>
              </w:rPr>
              <w:t>8.2</w:t>
            </w:r>
          </w:p>
        </w:tc>
        <w:tc>
          <w:tcPr>
            <w:tcW w:w="1808" w:type="dxa"/>
            <w:vAlign w:val="center"/>
          </w:tcPr>
          <w:p w14:paraId="0BE8C3DD">
            <w:pPr>
              <w:pStyle w:val="34"/>
              <w:bidi w:val="0"/>
              <w:jc w:val="center"/>
              <w:rPr>
                <w:rFonts w:hint="default"/>
                <w:color w:val="auto"/>
                <w:lang w:val="en-US" w:eastAsia="zh-CN"/>
              </w:rPr>
            </w:pPr>
            <w:r>
              <w:rPr>
                <w:rFonts w:hint="eastAsia"/>
                <w:color w:val="auto"/>
                <w:lang w:val="en-US" w:eastAsia="zh-CN"/>
              </w:rPr>
              <w:t>8.2</w:t>
            </w:r>
          </w:p>
        </w:tc>
      </w:tr>
      <w:tr w14:paraId="4EF3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0C1F4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21FE9F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氧化还原电位</w:t>
            </w:r>
          </w:p>
        </w:tc>
        <w:tc>
          <w:tcPr>
            <w:tcW w:w="1740" w:type="dxa"/>
            <w:vAlign w:val="center"/>
          </w:tcPr>
          <w:p w14:paraId="38D89CD9">
            <w:pPr>
              <w:pStyle w:val="34"/>
              <w:bidi w:val="0"/>
              <w:jc w:val="center"/>
              <w:rPr>
                <w:rFonts w:hint="default"/>
                <w:color w:val="auto"/>
                <w:lang w:val="en-US" w:eastAsia="zh-CN"/>
              </w:rPr>
            </w:pPr>
            <w:r>
              <w:rPr>
                <w:rFonts w:hint="eastAsia"/>
                <w:color w:val="auto"/>
                <w:lang w:val="en-US" w:eastAsia="zh-CN"/>
              </w:rPr>
              <w:t>365</w:t>
            </w:r>
          </w:p>
        </w:tc>
        <w:tc>
          <w:tcPr>
            <w:tcW w:w="1830" w:type="dxa"/>
            <w:vAlign w:val="center"/>
          </w:tcPr>
          <w:p w14:paraId="16804B75">
            <w:pPr>
              <w:pStyle w:val="34"/>
              <w:bidi w:val="0"/>
              <w:jc w:val="center"/>
              <w:rPr>
                <w:rFonts w:hint="default"/>
                <w:color w:val="auto"/>
                <w:lang w:val="en-US" w:eastAsia="zh-CN"/>
              </w:rPr>
            </w:pPr>
            <w:r>
              <w:rPr>
                <w:rFonts w:hint="eastAsia"/>
                <w:color w:val="auto"/>
                <w:lang w:val="en-US" w:eastAsia="zh-CN"/>
              </w:rPr>
              <w:t>333</w:t>
            </w:r>
          </w:p>
        </w:tc>
        <w:tc>
          <w:tcPr>
            <w:tcW w:w="1808" w:type="dxa"/>
            <w:vAlign w:val="center"/>
          </w:tcPr>
          <w:p w14:paraId="3134CEBC">
            <w:pPr>
              <w:pStyle w:val="34"/>
              <w:bidi w:val="0"/>
              <w:jc w:val="center"/>
              <w:rPr>
                <w:rFonts w:hint="default"/>
                <w:color w:val="auto"/>
                <w:lang w:val="en-US" w:eastAsia="zh-CN"/>
              </w:rPr>
            </w:pPr>
            <w:r>
              <w:rPr>
                <w:rFonts w:hint="eastAsia"/>
                <w:color w:val="auto"/>
                <w:lang w:val="en-US" w:eastAsia="zh-CN"/>
              </w:rPr>
              <w:t>309</w:t>
            </w:r>
          </w:p>
        </w:tc>
      </w:tr>
      <w:tr w14:paraId="0390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0BC4B7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6F30BB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饱和导水率/(cm/s)</w:t>
            </w:r>
          </w:p>
        </w:tc>
        <w:tc>
          <w:tcPr>
            <w:tcW w:w="1740" w:type="dxa"/>
            <w:vAlign w:val="center"/>
          </w:tcPr>
          <w:p w14:paraId="418F7DD0">
            <w:pPr>
              <w:pStyle w:val="34"/>
              <w:bidi w:val="0"/>
              <w:jc w:val="center"/>
              <w:rPr>
                <w:rFonts w:hint="default"/>
                <w:color w:val="auto"/>
                <w:lang w:val="en-US" w:eastAsia="zh-CN"/>
              </w:rPr>
            </w:pPr>
            <w:r>
              <w:rPr>
                <w:rFonts w:hint="eastAsia"/>
                <w:color w:val="auto"/>
                <w:lang w:val="en-US" w:eastAsia="zh-CN"/>
              </w:rPr>
              <w:t>568</w:t>
            </w:r>
          </w:p>
        </w:tc>
        <w:tc>
          <w:tcPr>
            <w:tcW w:w="1830" w:type="dxa"/>
            <w:vAlign w:val="center"/>
          </w:tcPr>
          <w:p w14:paraId="20BFB3D1">
            <w:pPr>
              <w:pStyle w:val="34"/>
              <w:bidi w:val="0"/>
              <w:jc w:val="center"/>
              <w:rPr>
                <w:rFonts w:hint="default"/>
                <w:color w:val="auto"/>
                <w:lang w:val="en-US" w:eastAsia="zh-CN"/>
              </w:rPr>
            </w:pPr>
            <w:r>
              <w:rPr>
                <w:rFonts w:hint="eastAsia"/>
                <w:color w:val="auto"/>
                <w:lang w:val="en-US" w:eastAsia="zh-CN"/>
              </w:rPr>
              <w:t>537</w:t>
            </w:r>
          </w:p>
        </w:tc>
        <w:tc>
          <w:tcPr>
            <w:tcW w:w="1808" w:type="dxa"/>
            <w:vAlign w:val="center"/>
          </w:tcPr>
          <w:p w14:paraId="312C09D6">
            <w:pPr>
              <w:pStyle w:val="34"/>
              <w:bidi w:val="0"/>
              <w:jc w:val="center"/>
              <w:rPr>
                <w:rFonts w:hint="default"/>
                <w:color w:val="auto"/>
                <w:lang w:val="en-US" w:eastAsia="zh-CN"/>
              </w:rPr>
            </w:pPr>
            <w:r>
              <w:rPr>
                <w:rFonts w:hint="eastAsia"/>
                <w:color w:val="auto"/>
                <w:lang w:val="en-US" w:eastAsia="zh-CN"/>
              </w:rPr>
              <w:t>524</w:t>
            </w:r>
          </w:p>
        </w:tc>
      </w:tr>
      <w:tr w14:paraId="6980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98C8B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143BE95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土壤容重/(kg/m</w:t>
            </w:r>
            <w:r>
              <w:rPr>
                <w:rFonts w:hint="eastAsia" w:cs="Times New Roman"/>
                <w:color w:val="auto"/>
                <w:sz w:val="21"/>
                <w:szCs w:val="22"/>
                <w:vertAlign w:val="superscript"/>
                <w:lang w:val="en-US" w:eastAsia="zh-CN"/>
              </w:rPr>
              <w:t>3</w:t>
            </w:r>
            <w:r>
              <w:rPr>
                <w:rFonts w:hint="eastAsia" w:cs="Times New Roman"/>
                <w:color w:val="auto"/>
                <w:sz w:val="21"/>
                <w:szCs w:val="22"/>
                <w:vertAlign w:val="baseline"/>
                <w:lang w:val="en-US" w:eastAsia="zh-CN"/>
              </w:rPr>
              <w:t>)</w:t>
            </w:r>
          </w:p>
        </w:tc>
        <w:tc>
          <w:tcPr>
            <w:tcW w:w="1740" w:type="dxa"/>
            <w:vAlign w:val="center"/>
          </w:tcPr>
          <w:p w14:paraId="3E29F4D5">
            <w:pPr>
              <w:pStyle w:val="34"/>
              <w:bidi w:val="0"/>
              <w:jc w:val="center"/>
              <w:rPr>
                <w:rFonts w:hint="default"/>
                <w:color w:val="auto"/>
                <w:lang w:val="en-US" w:eastAsia="zh-CN"/>
              </w:rPr>
            </w:pPr>
            <w:r>
              <w:rPr>
                <w:rFonts w:hint="eastAsia"/>
                <w:color w:val="auto"/>
                <w:lang w:val="en-US" w:eastAsia="zh-CN"/>
              </w:rPr>
              <w:t>1.3</w:t>
            </w:r>
          </w:p>
        </w:tc>
        <w:tc>
          <w:tcPr>
            <w:tcW w:w="1830" w:type="dxa"/>
            <w:vAlign w:val="center"/>
          </w:tcPr>
          <w:p w14:paraId="13AF630C">
            <w:pPr>
              <w:pStyle w:val="34"/>
              <w:bidi w:val="0"/>
              <w:jc w:val="center"/>
              <w:rPr>
                <w:rFonts w:hint="default"/>
                <w:color w:val="auto"/>
                <w:lang w:val="en-US" w:eastAsia="zh-CN"/>
              </w:rPr>
            </w:pPr>
            <w:r>
              <w:rPr>
                <w:rFonts w:hint="eastAsia"/>
                <w:color w:val="auto"/>
                <w:lang w:val="en-US" w:eastAsia="zh-CN"/>
              </w:rPr>
              <w:t>1.3</w:t>
            </w:r>
          </w:p>
        </w:tc>
        <w:tc>
          <w:tcPr>
            <w:tcW w:w="1808" w:type="dxa"/>
            <w:vAlign w:val="center"/>
          </w:tcPr>
          <w:p w14:paraId="300476B3">
            <w:pPr>
              <w:pStyle w:val="34"/>
              <w:bidi w:val="0"/>
              <w:jc w:val="center"/>
              <w:rPr>
                <w:rFonts w:hint="default"/>
                <w:color w:val="auto"/>
                <w:lang w:val="en-US" w:eastAsia="zh-CN"/>
              </w:rPr>
            </w:pPr>
            <w:r>
              <w:rPr>
                <w:rFonts w:hint="eastAsia"/>
                <w:color w:val="auto"/>
                <w:lang w:val="en-US" w:eastAsia="zh-CN"/>
              </w:rPr>
              <w:t>1.3</w:t>
            </w:r>
          </w:p>
        </w:tc>
      </w:tr>
      <w:tr w14:paraId="0846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0CC60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391534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孔隙度</w:t>
            </w:r>
          </w:p>
        </w:tc>
        <w:tc>
          <w:tcPr>
            <w:tcW w:w="1740" w:type="dxa"/>
            <w:vAlign w:val="center"/>
          </w:tcPr>
          <w:p w14:paraId="35A4F40C">
            <w:pPr>
              <w:pStyle w:val="34"/>
              <w:bidi w:val="0"/>
              <w:jc w:val="center"/>
              <w:rPr>
                <w:rFonts w:hint="default"/>
                <w:color w:val="auto"/>
                <w:lang w:val="en-US" w:eastAsia="zh-CN"/>
              </w:rPr>
            </w:pPr>
            <w:r>
              <w:rPr>
                <w:rFonts w:hint="eastAsia"/>
                <w:color w:val="auto"/>
                <w:lang w:val="en-US" w:eastAsia="zh-CN"/>
              </w:rPr>
              <w:t>31</w:t>
            </w:r>
          </w:p>
        </w:tc>
        <w:tc>
          <w:tcPr>
            <w:tcW w:w="1830" w:type="dxa"/>
            <w:vAlign w:val="center"/>
          </w:tcPr>
          <w:p w14:paraId="17784A50">
            <w:pPr>
              <w:pStyle w:val="34"/>
              <w:bidi w:val="0"/>
              <w:jc w:val="center"/>
              <w:rPr>
                <w:rFonts w:hint="default"/>
                <w:color w:val="auto"/>
                <w:lang w:val="en-US" w:eastAsia="zh-CN"/>
              </w:rPr>
            </w:pPr>
            <w:r>
              <w:rPr>
                <w:rFonts w:hint="eastAsia"/>
                <w:color w:val="auto"/>
                <w:lang w:val="en-US" w:eastAsia="zh-CN"/>
              </w:rPr>
              <w:t>31</w:t>
            </w:r>
          </w:p>
        </w:tc>
        <w:tc>
          <w:tcPr>
            <w:tcW w:w="1808" w:type="dxa"/>
            <w:vAlign w:val="center"/>
          </w:tcPr>
          <w:p w14:paraId="249D3EA1">
            <w:pPr>
              <w:pStyle w:val="34"/>
              <w:bidi w:val="0"/>
              <w:jc w:val="center"/>
              <w:rPr>
                <w:rFonts w:hint="default"/>
                <w:color w:val="auto"/>
                <w:lang w:val="en-US" w:eastAsia="zh-CN"/>
              </w:rPr>
            </w:pPr>
            <w:r>
              <w:rPr>
                <w:rFonts w:hint="eastAsia"/>
                <w:color w:val="auto"/>
                <w:lang w:val="en-US" w:eastAsia="zh-CN"/>
              </w:rPr>
              <w:t>31</w:t>
            </w:r>
          </w:p>
        </w:tc>
      </w:tr>
      <w:tr w14:paraId="5704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7EB9E3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点号</w:t>
            </w:r>
          </w:p>
        </w:tc>
        <w:tc>
          <w:tcPr>
            <w:tcW w:w="1740" w:type="dxa"/>
            <w:vAlign w:val="center"/>
          </w:tcPr>
          <w:p w14:paraId="45134D7D">
            <w:pPr>
              <w:pStyle w:val="34"/>
              <w:bidi w:val="0"/>
              <w:jc w:val="center"/>
              <w:rPr>
                <w:rFonts w:hint="default"/>
                <w:color w:val="auto"/>
                <w:lang w:val="en-US" w:eastAsia="zh-CN"/>
              </w:rPr>
            </w:pPr>
            <w:r>
              <w:rPr>
                <w:rFonts w:hint="eastAsia"/>
                <w:color w:val="auto"/>
                <w:lang w:val="en-US" w:eastAsia="zh-CN"/>
              </w:rPr>
              <w:t>T6</w:t>
            </w:r>
          </w:p>
        </w:tc>
        <w:tc>
          <w:tcPr>
            <w:tcW w:w="1830" w:type="dxa"/>
            <w:vAlign w:val="center"/>
          </w:tcPr>
          <w:p w14:paraId="374BA9FA">
            <w:pPr>
              <w:pStyle w:val="34"/>
              <w:bidi w:val="0"/>
              <w:jc w:val="center"/>
              <w:rPr>
                <w:rFonts w:hint="default"/>
                <w:color w:val="auto"/>
                <w:lang w:val="en-US" w:eastAsia="zh-CN"/>
              </w:rPr>
            </w:pPr>
            <w:r>
              <w:rPr>
                <w:rFonts w:hint="eastAsia"/>
                <w:color w:val="auto"/>
                <w:lang w:val="en-US" w:eastAsia="zh-CN"/>
              </w:rPr>
              <w:t>T7</w:t>
            </w:r>
          </w:p>
        </w:tc>
        <w:tc>
          <w:tcPr>
            <w:tcW w:w="1808" w:type="dxa"/>
            <w:vAlign w:val="center"/>
          </w:tcPr>
          <w:p w14:paraId="3B0D429A">
            <w:pPr>
              <w:pStyle w:val="34"/>
              <w:bidi w:val="0"/>
              <w:jc w:val="center"/>
              <w:rPr>
                <w:rFonts w:hint="default"/>
                <w:color w:val="auto"/>
                <w:lang w:val="en-US" w:eastAsia="zh-CN"/>
              </w:rPr>
            </w:pPr>
            <w:r>
              <w:rPr>
                <w:rFonts w:hint="eastAsia"/>
                <w:color w:val="auto"/>
                <w:lang w:val="en-US" w:eastAsia="zh-CN"/>
              </w:rPr>
              <w:t>T8</w:t>
            </w:r>
          </w:p>
        </w:tc>
      </w:tr>
      <w:tr w14:paraId="1317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219563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经纬度</w:t>
            </w:r>
          </w:p>
        </w:tc>
        <w:tc>
          <w:tcPr>
            <w:tcW w:w="1740" w:type="dxa"/>
            <w:vAlign w:val="center"/>
          </w:tcPr>
          <w:p w14:paraId="48777202">
            <w:pPr>
              <w:bidi w:val="0"/>
              <w:jc w:val="center"/>
              <w:rPr>
                <w:rFonts w:hint="default"/>
                <w:color w:val="auto"/>
                <w:lang w:val="en-US" w:eastAsia="zh-CN"/>
              </w:rPr>
            </w:pPr>
            <w:r>
              <w:rPr>
                <w:rFonts w:hint="eastAsia"/>
                <w:color w:val="auto"/>
                <w:lang w:val="en-US" w:eastAsia="zh-CN"/>
              </w:rPr>
              <w:t>******</w:t>
            </w:r>
          </w:p>
        </w:tc>
        <w:tc>
          <w:tcPr>
            <w:tcW w:w="1830" w:type="dxa"/>
            <w:vAlign w:val="center"/>
          </w:tcPr>
          <w:p w14:paraId="68E0419A">
            <w:pPr>
              <w:bidi w:val="0"/>
              <w:jc w:val="center"/>
              <w:rPr>
                <w:rFonts w:hint="eastAsia"/>
                <w:color w:val="auto"/>
                <w:lang w:val="en-US" w:eastAsia="zh-CN"/>
              </w:rPr>
            </w:pPr>
            <w:r>
              <w:rPr>
                <w:rFonts w:hint="eastAsia"/>
                <w:color w:val="auto"/>
                <w:lang w:val="en-US" w:eastAsia="zh-CN"/>
              </w:rPr>
              <w:t>******</w:t>
            </w:r>
          </w:p>
        </w:tc>
        <w:tc>
          <w:tcPr>
            <w:tcW w:w="1808" w:type="dxa"/>
            <w:vAlign w:val="center"/>
          </w:tcPr>
          <w:p w14:paraId="72D0B536">
            <w:pPr>
              <w:bidi w:val="0"/>
              <w:jc w:val="center"/>
              <w:rPr>
                <w:rFonts w:hint="eastAsia"/>
                <w:color w:val="auto"/>
                <w:lang w:val="en-US" w:eastAsia="zh-CN"/>
              </w:rPr>
            </w:pPr>
            <w:r>
              <w:rPr>
                <w:rFonts w:hint="eastAsia"/>
                <w:color w:val="auto"/>
                <w:lang w:val="en-US" w:eastAsia="zh-CN"/>
              </w:rPr>
              <w:t>******</w:t>
            </w:r>
          </w:p>
        </w:tc>
      </w:tr>
      <w:tr w14:paraId="0FB6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4C8132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层次</w:t>
            </w:r>
          </w:p>
        </w:tc>
        <w:tc>
          <w:tcPr>
            <w:tcW w:w="1740" w:type="dxa"/>
            <w:shd w:val="clear" w:color="auto" w:fill="auto"/>
            <w:vAlign w:val="center"/>
          </w:tcPr>
          <w:p w14:paraId="27B861C3">
            <w:pPr>
              <w:pStyle w:val="34"/>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0~0.2m</w:t>
            </w:r>
          </w:p>
        </w:tc>
        <w:tc>
          <w:tcPr>
            <w:tcW w:w="1830" w:type="dxa"/>
            <w:shd w:val="clear" w:color="auto" w:fill="auto"/>
            <w:vAlign w:val="center"/>
          </w:tcPr>
          <w:p w14:paraId="1EA3DFB9">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0~0.2m</w:t>
            </w:r>
          </w:p>
        </w:tc>
        <w:tc>
          <w:tcPr>
            <w:tcW w:w="1808" w:type="dxa"/>
            <w:shd w:val="clear" w:color="auto" w:fill="auto"/>
            <w:vAlign w:val="center"/>
          </w:tcPr>
          <w:p w14:paraId="6630F65F">
            <w:pPr>
              <w:bidi w:val="0"/>
              <w:jc w:val="center"/>
              <w:rPr>
                <w:rFonts w:hint="eastAsia" w:ascii="Times New Roman" w:hAnsi="Times New Roman" w:eastAsia="宋体" w:cs="Times New Roman"/>
                <w:color w:val="auto"/>
                <w:sz w:val="21"/>
                <w:szCs w:val="22"/>
                <w:lang w:val="en-US" w:eastAsia="zh-CN" w:bidi="ar-SA"/>
              </w:rPr>
            </w:pPr>
            <w:r>
              <w:rPr>
                <w:rFonts w:hint="eastAsia"/>
                <w:color w:val="auto"/>
                <w:lang w:val="en-US" w:eastAsia="zh-CN"/>
              </w:rPr>
              <w:t>0~0.2m</w:t>
            </w:r>
          </w:p>
        </w:tc>
      </w:tr>
      <w:tr w14:paraId="55C1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3AA107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现场记录</w:t>
            </w:r>
          </w:p>
        </w:tc>
        <w:tc>
          <w:tcPr>
            <w:tcW w:w="0" w:type="auto"/>
            <w:shd w:val="clear" w:color="auto" w:fill="auto"/>
            <w:vAlign w:val="center"/>
          </w:tcPr>
          <w:p w14:paraId="5B01C3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颜色</w:t>
            </w:r>
          </w:p>
        </w:tc>
        <w:tc>
          <w:tcPr>
            <w:tcW w:w="1740" w:type="dxa"/>
            <w:vAlign w:val="center"/>
          </w:tcPr>
          <w:p w14:paraId="387F5807">
            <w:pPr>
              <w:keepNext w:val="0"/>
              <w:keepLines w:val="0"/>
              <w:pageBreakBefore w:val="0"/>
              <w:suppressLineNumbers w:val="0"/>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eastAsia"/>
                <w:color w:val="auto"/>
                <w:lang w:val="en-US" w:eastAsia="zh-CN"/>
              </w:rPr>
            </w:pPr>
            <w:r>
              <w:rPr>
                <w:rFonts w:hint="default" w:ascii="Times New Roman" w:hAnsi="Times New Roman" w:eastAsia="宋体" w:cs="Times New Roman"/>
                <w:color w:val="auto"/>
                <w:sz w:val="21"/>
                <w:szCs w:val="21"/>
                <w:highlight w:val="none"/>
                <w:lang w:val="en-US" w:eastAsia="zh-CN"/>
              </w:rPr>
              <w:t>黄棕</w:t>
            </w:r>
          </w:p>
        </w:tc>
        <w:tc>
          <w:tcPr>
            <w:tcW w:w="1830" w:type="dxa"/>
            <w:shd w:val="clear" w:color="auto" w:fill="auto"/>
            <w:vAlign w:val="center"/>
          </w:tcPr>
          <w:p w14:paraId="2851F1B1">
            <w:pPr>
              <w:keepNext w:val="0"/>
              <w:keepLines w:val="0"/>
              <w:pageBreakBefore w:val="0"/>
              <w:suppressLineNumbers w:val="0"/>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2"/>
                <w:lang w:val="en-US" w:eastAsia="zh-CN" w:bidi="ar-SA"/>
              </w:rPr>
            </w:pPr>
            <w:r>
              <w:rPr>
                <w:rFonts w:hint="default" w:ascii="Times New Roman" w:hAnsi="Times New Roman" w:eastAsia="宋体" w:cs="Times New Roman"/>
                <w:color w:val="auto"/>
                <w:sz w:val="21"/>
                <w:szCs w:val="21"/>
                <w:highlight w:val="none"/>
                <w:lang w:val="en-US" w:eastAsia="zh-CN"/>
              </w:rPr>
              <w:t>黄棕</w:t>
            </w:r>
          </w:p>
        </w:tc>
        <w:tc>
          <w:tcPr>
            <w:tcW w:w="1808" w:type="dxa"/>
            <w:shd w:val="clear" w:color="auto" w:fill="auto"/>
            <w:vAlign w:val="center"/>
          </w:tcPr>
          <w:p w14:paraId="3247E09F">
            <w:pPr>
              <w:keepNext w:val="0"/>
              <w:keepLines w:val="0"/>
              <w:pageBreakBefore w:val="0"/>
              <w:suppressLineNumbers w:val="0"/>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2"/>
                <w:lang w:val="en-US" w:eastAsia="zh-CN" w:bidi="ar-SA"/>
              </w:rPr>
            </w:pPr>
            <w:r>
              <w:rPr>
                <w:rFonts w:hint="default" w:ascii="Times New Roman" w:hAnsi="Times New Roman" w:eastAsia="宋体" w:cs="Times New Roman"/>
                <w:color w:val="auto"/>
                <w:sz w:val="21"/>
                <w:szCs w:val="21"/>
                <w:highlight w:val="none"/>
                <w:lang w:val="en-US" w:eastAsia="zh-CN"/>
              </w:rPr>
              <w:t>黄棕</w:t>
            </w:r>
          </w:p>
        </w:tc>
      </w:tr>
      <w:tr w14:paraId="667D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CD2ED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32484C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结构</w:t>
            </w:r>
          </w:p>
        </w:tc>
        <w:tc>
          <w:tcPr>
            <w:tcW w:w="1740" w:type="dxa"/>
            <w:vAlign w:val="center"/>
          </w:tcPr>
          <w:p w14:paraId="4BD1AFEF">
            <w:pPr>
              <w:keepNext w:val="0"/>
              <w:keepLines w:val="0"/>
              <w:pageBreakBefore w:val="0"/>
              <w:suppressLineNumbers w:val="0"/>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eastAsia"/>
                <w:color w:val="auto"/>
                <w:lang w:val="en-US" w:eastAsia="zh-CN"/>
              </w:rPr>
            </w:pPr>
            <w:r>
              <w:rPr>
                <w:rFonts w:hint="eastAsia" w:ascii="宋体" w:hAnsi="宋体" w:eastAsia="宋体" w:cs="宋体"/>
                <w:color w:val="auto"/>
                <w:lang w:val="en-US" w:eastAsia="zh-CN"/>
              </w:rPr>
              <w:t>固体</w:t>
            </w:r>
          </w:p>
        </w:tc>
        <w:tc>
          <w:tcPr>
            <w:tcW w:w="1830" w:type="dxa"/>
            <w:shd w:val="clear" w:color="auto" w:fill="auto"/>
            <w:vAlign w:val="center"/>
          </w:tcPr>
          <w:p w14:paraId="2256F1D9">
            <w:pPr>
              <w:keepNext w:val="0"/>
              <w:keepLines w:val="0"/>
              <w:pageBreakBefore w:val="0"/>
              <w:suppressLineNumbers w:val="0"/>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2"/>
                <w:lang w:val="en-US" w:eastAsia="zh-CN" w:bidi="ar-SA"/>
              </w:rPr>
            </w:pPr>
            <w:r>
              <w:rPr>
                <w:rFonts w:hint="eastAsia" w:ascii="宋体" w:hAnsi="宋体" w:eastAsia="宋体" w:cs="宋体"/>
                <w:color w:val="auto"/>
                <w:lang w:val="en-US" w:eastAsia="zh-CN"/>
              </w:rPr>
              <w:t>固体</w:t>
            </w:r>
          </w:p>
        </w:tc>
        <w:tc>
          <w:tcPr>
            <w:tcW w:w="1808" w:type="dxa"/>
            <w:shd w:val="clear" w:color="auto" w:fill="auto"/>
            <w:vAlign w:val="center"/>
          </w:tcPr>
          <w:p w14:paraId="57A275EB">
            <w:pPr>
              <w:keepNext w:val="0"/>
              <w:keepLines w:val="0"/>
              <w:pageBreakBefore w:val="0"/>
              <w:suppressLineNumbers w:val="0"/>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2"/>
                <w:lang w:val="en-US" w:eastAsia="zh-CN" w:bidi="ar-SA"/>
              </w:rPr>
            </w:pPr>
            <w:r>
              <w:rPr>
                <w:rFonts w:hint="eastAsia" w:ascii="宋体" w:hAnsi="宋体" w:eastAsia="宋体" w:cs="宋体"/>
                <w:color w:val="auto"/>
                <w:lang w:val="en-US" w:eastAsia="zh-CN"/>
              </w:rPr>
              <w:t>固体</w:t>
            </w:r>
          </w:p>
        </w:tc>
      </w:tr>
      <w:tr w14:paraId="49DA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54229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2EB533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质地</w:t>
            </w:r>
          </w:p>
        </w:tc>
        <w:tc>
          <w:tcPr>
            <w:tcW w:w="1740" w:type="dxa"/>
            <w:vAlign w:val="center"/>
          </w:tcPr>
          <w:p w14:paraId="4E689A34">
            <w:pPr>
              <w:keepNext w:val="0"/>
              <w:keepLines w:val="0"/>
              <w:pageBreakBefore w:val="0"/>
              <w:suppressLineNumbers w:val="0"/>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eastAsia"/>
                <w:color w:val="auto"/>
                <w:lang w:val="en-US" w:eastAsia="zh-CN"/>
              </w:rPr>
            </w:pPr>
            <w:r>
              <w:rPr>
                <w:rFonts w:hint="default" w:ascii="Times New Roman" w:hAnsi="Times New Roman" w:eastAsia="宋体" w:cs="Times New Roman"/>
                <w:color w:val="auto"/>
                <w:sz w:val="21"/>
                <w:szCs w:val="21"/>
                <w:lang w:val="en-US" w:eastAsia="zh-CN"/>
              </w:rPr>
              <w:t>砂土</w:t>
            </w:r>
          </w:p>
        </w:tc>
        <w:tc>
          <w:tcPr>
            <w:tcW w:w="0" w:type="auto"/>
            <w:shd w:val="clear" w:color="auto" w:fill="auto"/>
            <w:vAlign w:val="center"/>
          </w:tcPr>
          <w:p w14:paraId="38AC83F8">
            <w:pPr>
              <w:keepNext w:val="0"/>
              <w:keepLines w:val="0"/>
              <w:pageBreakBefore w:val="0"/>
              <w:suppressLineNumbers w:val="0"/>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2"/>
                <w:lang w:val="en-US" w:eastAsia="zh-CN" w:bidi="ar-SA"/>
              </w:rPr>
            </w:pPr>
            <w:r>
              <w:rPr>
                <w:rFonts w:hint="default" w:ascii="Times New Roman" w:hAnsi="Times New Roman" w:eastAsia="宋体" w:cs="Times New Roman"/>
                <w:color w:val="auto"/>
                <w:sz w:val="21"/>
                <w:szCs w:val="21"/>
                <w:lang w:val="en-US" w:eastAsia="zh-CN"/>
              </w:rPr>
              <w:t>砂土</w:t>
            </w:r>
          </w:p>
        </w:tc>
        <w:tc>
          <w:tcPr>
            <w:tcW w:w="0" w:type="auto"/>
            <w:shd w:val="clear" w:color="auto" w:fill="auto"/>
            <w:vAlign w:val="center"/>
          </w:tcPr>
          <w:p w14:paraId="5B545FB8">
            <w:pPr>
              <w:keepNext w:val="0"/>
              <w:keepLines w:val="0"/>
              <w:pageBreakBefore w:val="0"/>
              <w:suppressLineNumbers w:val="0"/>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2"/>
                <w:lang w:val="en-US" w:eastAsia="zh-CN" w:bidi="ar-SA"/>
              </w:rPr>
            </w:pPr>
            <w:r>
              <w:rPr>
                <w:rFonts w:hint="default" w:ascii="Times New Roman" w:hAnsi="Times New Roman" w:eastAsia="宋体" w:cs="Times New Roman"/>
                <w:color w:val="auto"/>
                <w:sz w:val="21"/>
                <w:szCs w:val="21"/>
                <w:lang w:val="en-US" w:eastAsia="zh-CN"/>
              </w:rPr>
              <w:t>砂土</w:t>
            </w:r>
          </w:p>
        </w:tc>
      </w:tr>
      <w:tr w14:paraId="2572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29E9F2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712A64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砂砾含量</w:t>
            </w:r>
          </w:p>
        </w:tc>
        <w:tc>
          <w:tcPr>
            <w:tcW w:w="1740" w:type="dxa"/>
            <w:vAlign w:val="center"/>
          </w:tcPr>
          <w:p w14:paraId="6695F0A3">
            <w:pPr>
              <w:pStyle w:val="34"/>
              <w:bidi w:val="0"/>
              <w:rPr>
                <w:rFonts w:hint="eastAsia"/>
                <w:color w:val="auto"/>
                <w:lang w:val="en-US" w:eastAsia="zh-CN"/>
              </w:rPr>
            </w:pPr>
            <w:r>
              <w:rPr>
                <w:rFonts w:hint="eastAsia"/>
                <w:color w:val="auto"/>
                <w:lang w:val="en-US" w:eastAsia="zh-CN"/>
              </w:rPr>
              <w:t>90</w:t>
            </w:r>
          </w:p>
        </w:tc>
        <w:tc>
          <w:tcPr>
            <w:tcW w:w="0" w:type="auto"/>
            <w:shd w:val="clear" w:color="auto" w:fill="auto"/>
            <w:vAlign w:val="center"/>
          </w:tcPr>
          <w:p w14:paraId="23010977">
            <w:pPr>
              <w:pStyle w:val="34"/>
              <w:bidi w:val="0"/>
              <w:rPr>
                <w:rFonts w:hint="eastAsia"/>
                <w:color w:val="auto"/>
                <w:lang w:val="en-US" w:eastAsia="zh-CN"/>
              </w:rPr>
            </w:pPr>
            <w:r>
              <w:rPr>
                <w:rFonts w:hint="eastAsia"/>
                <w:color w:val="auto"/>
                <w:lang w:val="en-US" w:eastAsia="zh-CN"/>
              </w:rPr>
              <w:t>90</w:t>
            </w:r>
          </w:p>
        </w:tc>
        <w:tc>
          <w:tcPr>
            <w:tcW w:w="0" w:type="auto"/>
            <w:shd w:val="clear" w:color="auto" w:fill="auto"/>
            <w:vAlign w:val="center"/>
          </w:tcPr>
          <w:p w14:paraId="7B7A140F">
            <w:pPr>
              <w:pStyle w:val="34"/>
              <w:bidi w:val="0"/>
              <w:rPr>
                <w:rFonts w:hint="eastAsia"/>
                <w:color w:val="auto"/>
                <w:lang w:val="en-US" w:eastAsia="zh-CN"/>
              </w:rPr>
            </w:pPr>
            <w:r>
              <w:rPr>
                <w:rFonts w:hint="eastAsia"/>
                <w:color w:val="auto"/>
                <w:lang w:val="en-US" w:eastAsia="zh-CN"/>
              </w:rPr>
              <w:t>90</w:t>
            </w:r>
          </w:p>
        </w:tc>
      </w:tr>
      <w:tr w14:paraId="52EB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459F945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19CAC4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其他异物</w:t>
            </w:r>
          </w:p>
        </w:tc>
        <w:tc>
          <w:tcPr>
            <w:tcW w:w="1740" w:type="dxa"/>
            <w:vAlign w:val="center"/>
          </w:tcPr>
          <w:p w14:paraId="0DD59D27">
            <w:pPr>
              <w:pStyle w:val="34"/>
              <w:bidi w:val="0"/>
              <w:rPr>
                <w:rFonts w:hint="eastAsia"/>
                <w:color w:val="auto"/>
                <w:lang w:val="en-US" w:eastAsia="zh-CN"/>
              </w:rPr>
            </w:pPr>
            <w:r>
              <w:rPr>
                <w:rFonts w:hint="eastAsia"/>
                <w:color w:val="auto"/>
                <w:lang w:val="en-US" w:eastAsia="zh-CN"/>
              </w:rPr>
              <w:t>/</w:t>
            </w:r>
          </w:p>
        </w:tc>
        <w:tc>
          <w:tcPr>
            <w:tcW w:w="0" w:type="auto"/>
            <w:shd w:val="clear" w:color="auto" w:fill="auto"/>
            <w:vAlign w:val="center"/>
          </w:tcPr>
          <w:p w14:paraId="07B5CC7D">
            <w:pPr>
              <w:pStyle w:val="34"/>
              <w:bidi w:val="0"/>
              <w:rPr>
                <w:rFonts w:hint="eastAsia"/>
                <w:color w:val="auto"/>
                <w:lang w:val="en-US" w:eastAsia="zh-CN"/>
              </w:rPr>
            </w:pPr>
            <w:r>
              <w:rPr>
                <w:rFonts w:hint="eastAsia"/>
                <w:color w:val="auto"/>
                <w:lang w:val="en-US" w:eastAsia="zh-CN"/>
              </w:rPr>
              <w:t>/</w:t>
            </w:r>
          </w:p>
        </w:tc>
        <w:tc>
          <w:tcPr>
            <w:tcW w:w="0" w:type="auto"/>
            <w:shd w:val="clear" w:color="auto" w:fill="auto"/>
            <w:vAlign w:val="center"/>
          </w:tcPr>
          <w:p w14:paraId="773A0EF6">
            <w:pPr>
              <w:pStyle w:val="34"/>
              <w:bidi w:val="0"/>
              <w:rPr>
                <w:rFonts w:hint="eastAsia"/>
                <w:color w:val="auto"/>
                <w:lang w:val="en-US" w:eastAsia="zh-CN"/>
              </w:rPr>
            </w:pPr>
            <w:r>
              <w:rPr>
                <w:rFonts w:hint="eastAsia"/>
                <w:color w:val="auto"/>
                <w:lang w:val="en-US" w:eastAsia="zh-CN"/>
              </w:rPr>
              <w:t>/</w:t>
            </w:r>
          </w:p>
        </w:tc>
      </w:tr>
      <w:tr w14:paraId="191A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551C69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实验室测定</w:t>
            </w:r>
          </w:p>
        </w:tc>
        <w:tc>
          <w:tcPr>
            <w:tcW w:w="0" w:type="auto"/>
            <w:shd w:val="clear" w:color="auto" w:fill="auto"/>
            <w:vAlign w:val="center"/>
          </w:tcPr>
          <w:p w14:paraId="0DB4E8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pH</w:t>
            </w:r>
          </w:p>
        </w:tc>
        <w:tc>
          <w:tcPr>
            <w:tcW w:w="1740" w:type="dxa"/>
            <w:vAlign w:val="center"/>
          </w:tcPr>
          <w:p w14:paraId="2AD5ECF2">
            <w:pPr>
              <w:pStyle w:val="34"/>
              <w:bidi w:val="0"/>
              <w:rPr>
                <w:rFonts w:hint="eastAsia"/>
                <w:color w:val="auto"/>
                <w:lang w:val="en-US" w:eastAsia="zh-CN"/>
              </w:rPr>
            </w:pPr>
            <w:r>
              <w:rPr>
                <w:rFonts w:hint="eastAsia"/>
                <w:color w:val="auto"/>
                <w:lang w:val="en-US" w:eastAsia="zh-CN"/>
              </w:rPr>
              <w:t>8.64</w:t>
            </w:r>
          </w:p>
        </w:tc>
        <w:tc>
          <w:tcPr>
            <w:tcW w:w="0" w:type="auto"/>
            <w:shd w:val="clear" w:color="auto" w:fill="auto"/>
            <w:vAlign w:val="center"/>
          </w:tcPr>
          <w:p w14:paraId="69A9E147">
            <w:pPr>
              <w:pStyle w:val="34"/>
              <w:bidi w:val="0"/>
              <w:rPr>
                <w:rFonts w:hint="eastAsia"/>
                <w:color w:val="auto"/>
                <w:lang w:val="en-US" w:eastAsia="zh-CN"/>
              </w:rPr>
            </w:pPr>
            <w:r>
              <w:rPr>
                <w:rFonts w:hint="eastAsia"/>
                <w:color w:val="auto"/>
                <w:lang w:val="en-US" w:eastAsia="zh-CN"/>
              </w:rPr>
              <w:t>8.60</w:t>
            </w:r>
          </w:p>
        </w:tc>
        <w:tc>
          <w:tcPr>
            <w:tcW w:w="0" w:type="auto"/>
            <w:shd w:val="clear" w:color="auto" w:fill="auto"/>
            <w:vAlign w:val="center"/>
          </w:tcPr>
          <w:p w14:paraId="62DE9BF2">
            <w:pPr>
              <w:pStyle w:val="34"/>
              <w:bidi w:val="0"/>
              <w:rPr>
                <w:rFonts w:hint="eastAsia"/>
                <w:color w:val="auto"/>
                <w:lang w:val="en-US" w:eastAsia="zh-CN"/>
              </w:rPr>
            </w:pPr>
            <w:r>
              <w:rPr>
                <w:rFonts w:hint="eastAsia"/>
                <w:color w:val="auto"/>
                <w:lang w:val="en-US" w:eastAsia="zh-CN"/>
              </w:rPr>
              <w:t>8.48</w:t>
            </w:r>
          </w:p>
        </w:tc>
      </w:tr>
      <w:tr w14:paraId="79FE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26FAF5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040277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阳离子交换量</w:t>
            </w:r>
          </w:p>
        </w:tc>
        <w:tc>
          <w:tcPr>
            <w:tcW w:w="1740" w:type="dxa"/>
            <w:vAlign w:val="center"/>
          </w:tcPr>
          <w:p w14:paraId="67A8E2A4">
            <w:pPr>
              <w:pStyle w:val="34"/>
              <w:bidi w:val="0"/>
              <w:rPr>
                <w:rFonts w:hint="eastAsia"/>
                <w:color w:val="auto"/>
                <w:lang w:val="en-US" w:eastAsia="zh-CN"/>
              </w:rPr>
            </w:pPr>
            <w:r>
              <w:rPr>
                <w:rFonts w:hint="eastAsia"/>
                <w:color w:val="auto"/>
                <w:lang w:val="en-US" w:eastAsia="zh-CN"/>
              </w:rPr>
              <w:t>8.2</w:t>
            </w:r>
          </w:p>
        </w:tc>
        <w:tc>
          <w:tcPr>
            <w:tcW w:w="0" w:type="auto"/>
            <w:shd w:val="clear" w:color="auto" w:fill="auto"/>
            <w:vAlign w:val="center"/>
          </w:tcPr>
          <w:p w14:paraId="38042C5C">
            <w:pPr>
              <w:pStyle w:val="34"/>
              <w:bidi w:val="0"/>
              <w:rPr>
                <w:rFonts w:hint="eastAsia"/>
                <w:color w:val="auto"/>
                <w:lang w:val="en-US" w:eastAsia="zh-CN"/>
              </w:rPr>
            </w:pPr>
            <w:r>
              <w:rPr>
                <w:rFonts w:hint="eastAsia"/>
                <w:color w:val="auto"/>
                <w:lang w:val="en-US" w:eastAsia="zh-CN"/>
              </w:rPr>
              <w:t>8.2</w:t>
            </w:r>
          </w:p>
        </w:tc>
        <w:tc>
          <w:tcPr>
            <w:tcW w:w="0" w:type="auto"/>
            <w:shd w:val="clear" w:color="auto" w:fill="auto"/>
            <w:vAlign w:val="center"/>
          </w:tcPr>
          <w:p w14:paraId="33F12E5B">
            <w:pPr>
              <w:pStyle w:val="34"/>
              <w:bidi w:val="0"/>
              <w:rPr>
                <w:rFonts w:hint="eastAsia"/>
                <w:color w:val="auto"/>
                <w:lang w:val="en-US" w:eastAsia="zh-CN"/>
              </w:rPr>
            </w:pPr>
            <w:r>
              <w:rPr>
                <w:rFonts w:hint="eastAsia"/>
                <w:color w:val="auto"/>
                <w:lang w:val="en-US" w:eastAsia="zh-CN"/>
              </w:rPr>
              <w:t>8.0</w:t>
            </w:r>
          </w:p>
        </w:tc>
      </w:tr>
      <w:tr w14:paraId="7B14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2EA0F9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3CEE8B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氧化还原电位</w:t>
            </w:r>
          </w:p>
        </w:tc>
        <w:tc>
          <w:tcPr>
            <w:tcW w:w="1740" w:type="dxa"/>
            <w:vAlign w:val="center"/>
          </w:tcPr>
          <w:p w14:paraId="4BE4B880">
            <w:pPr>
              <w:pStyle w:val="34"/>
              <w:bidi w:val="0"/>
              <w:rPr>
                <w:rFonts w:hint="eastAsia"/>
                <w:color w:val="auto"/>
                <w:lang w:val="en-US" w:eastAsia="zh-CN"/>
              </w:rPr>
            </w:pPr>
            <w:r>
              <w:rPr>
                <w:rFonts w:hint="eastAsia"/>
                <w:color w:val="auto"/>
                <w:lang w:val="en-US" w:eastAsia="zh-CN"/>
              </w:rPr>
              <w:t>339</w:t>
            </w:r>
          </w:p>
        </w:tc>
        <w:tc>
          <w:tcPr>
            <w:tcW w:w="0" w:type="auto"/>
            <w:shd w:val="clear" w:color="auto" w:fill="auto"/>
            <w:vAlign w:val="center"/>
          </w:tcPr>
          <w:p w14:paraId="1CA1476A">
            <w:pPr>
              <w:pStyle w:val="34"/>
              <w:bidi w:val="0"/>
              <w:rPr>
                <w:rFonts w:hint="eastAsia"/>
                <w:color w:val="auto"/>
                <w:lang w:val="en-US" w:eastAsia="zh-CN"/>
              </w:rPr>
            </w:pPr>
            <w:r>
              <w:rPr>
                <w:rFonts w:hint="eastAsia"/>
                <w:color w:val="auto"/>
                <w:lang w:val="en-US" w:eastAsia="zh-CN"/>
              </w:rPr>
              <w:t>353</w:t>
            </w:r>
          </w:p>
        </w:tc>
        <w:tc>
          <w:tcPr>
            <w:tcW w:w="0" w:type="auto"/>
            <w:shd w:val="clear" w:color="auto" w:fill="auto"/>
            <w:vAlign w:val="center"/>
          </w:tcPr>
          <w:p w14:paraId="5C8B55A3">
            <w:pPr>
              <w:pStyle w:val="34"/>
              <w:bidi w:val="0"/>
              <w:rPr>
                <w:rFonts w:hint="eastAsia"/>
                <w:color w:val="auto"/>
                <w:lang w:val="en-US" w:eastAsia="zh-CN"/>
              </w:rPr>
            </w:pPr>
            <w:r>
              <w:rPr>
                <w:rFonts w:hint="eastAsia"/>
                <w:color w:val="auto"/>
                <w:lang w:val="en-US" w:eastAsia="zh-CN"/>
              </w:rPr>
              <w:t>367</w:t>
            </w:r>
          </w:p>
        </w:tc>
      </w:tr>
      <w:tr w14:paraId="6F33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09D85A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531E23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饱和导水率/(cm/s)</w:t>
            </w:r>
          </w:p>
        </w:tc>
        <w:tc>
          <w:tcPr>
            <w:tcW w:w="1740" w:type="dxa"/>
            <w:vAlign w:val="center"/>
          </w:tcPr>
          <w:p w14:paraId="4257DFA4">
            <w:pPr>
              <w:pStyle w:val="34"/>
              <w:bidi w:val="0"/>
              <w:rPr>
                <w:rFonts w:hint="eastAsia"/>
                <w:color w:val="auto"/>
                <w:lang w:val="en-US" w:eastAsia="zh-CN"/>
              </w:rPr>
            </w:pPr>
            <w:r>
              <w:rPr>
                <w:rFonts w:hint="eastAsia"/>
                <w:color w:val="auto"/>
                <w:lang w:val="en-US" w:eastAsia="zh-CN"/>
              </w:rPr>
              <w:t>476</w:t>
            </w:r>
          </w:p>
        </w:tc>
        <w:tc>
          <w:tcPr>
            <w:tcW w:w="0" w:type="auto"/>
            <w:shd w:val="clear" w:color="auto" w:fill="auto"/>
            <w:vAlign w:val="center"/>
          </w:tcPr>
          <w:p w14:paraId="330F9FDE">
            <w:pPr>
              <w:pStyle w:val="34"/>
              <w:bidi w:val="0"/>
              <w:rPr>
                <w:rFonts w:hint="eastAsia"/>
                <w:color w:val="auto"/>
                <w:lang w:val="en-US" w:eastAsia="zh-CN"/>
              </w:rPr>
            </w:pPr>
            <w:r>
              <w:rPr>
                <w:rFonts w:hint="eastAsia"/>
                <w:color w:val="auto"/>
                <w:lang w:val="en-US" w:eastAsia="zh-CN"/>
              </w:rPr>
              <w:t>489</w:t>
            </w:r>
          </w:p>
        </w:tc>
        <w:tc>
          <w:tcPr>
            <w:tcW w:w="0" w:type="auto"/>
            <w:shd w:val="clear" w:color="auto" w:fill="auto"/>
            <w:vAlign w:val="center"/>
          </w:tcPr>
          <w:p w14:paraId="519750E0">
            <w:pPr>
              <w:pStyle w:val="34"/>
              <w:bidi w:val="0"/>
              <w:rPr>
                <w:rFonts w:hint="eastAsia"/>
                <w:color w:val="auto"/>
                <w:lang w:val="en-US" w:eastAsia="zh-CN"/>
              </w:rPr>
            </w:pPr>
            <w:r>
              <w:rPr>
                <w:rFonts w:hint="eastAsia"/>
                <w:color w:val="auto"/>
                <w:lang w:val="en-US" w:eastAsia="zh-CN"/>
              </w:rPr>
              <w:t>502</w:t>
            </w:r>
          </w:p>
        </w:tc>
      </w:tr>
      <w:tr w14:paraId="3E4E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4800FC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042C3CC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土壤容重/(kg/m</w:t>
            </w:r>
            <w:r>
              <w:rPr>
                <w:rFonts w:hint="eastAsia" w:cs="Times New Roman"/>
                <w:color w:val="auto"/>
                <w:sz w:val="21"/>
                <w:szCs w:val="22"/>
                <w:vertAlign w:val="superscript"/>
                <w:lang w:val="en-US" w:eastAsia="zh-CN"/>
              </w:rPr>
              <w:t>3</w:t>
            </w:r>
            <w:r>
              <w:rPr>
                <w:rFonts w:hint="eastAsia" w:cs="Times New Roman"/>
                <w:color w:val="auto"/>
                <w:sz w:val="21"/>
                <w:szCs w:val="22"/>
                <w:vertAlign w:val="baseline"/>
                <w:lang w:val="en-US" w:eastAsia="zh-CN"/>
              </w:rPr>
              <w:t>)</w:t>
            </w:r>
          </w:p>
        </w:tc>
        <w:tc>
          <w:tcPr>
            <w:tcW w:w="1740" w:type="dxa"/>
            <w:vAlign w:val="center"/>
          </w:tcPr>
          <w:p w14:paraId="407F39DB">
            <w:pPr>
              <w:pStyle w:val="34"/>
              <w:bidi w:val="0"/>
              <w:rPr>
                <w:rFonts w:hint="eastAsia"/>
                <w:color w:val="auto"/>
                <w:lang w:val="en-US" w:eastAsia="zh-CN"/>
              </w:rPr>
            </w:pPr>
            <w:r>
              <w:rPr>
                <w:rFonts w:hint="eastAsia"/>
                <w:color w:val="auto"/>
                <w:lang w:val="en-US" w:eastAsia="zh-CN"/>
              </w:rPr>
              <w:t>1.4</w:t>
            </w:r>
          </w:p>
        </w:tc>
        <w:tc>
          <w:tcPr>
            <w:tcW w:w="0" w:type="auto"/>
            <w:shd w:val="clear" w:color="auto" w:fill="auto"/>
            <w:vAlign w:val="center"/>
          </w:tcPr>
          <w:p w14:paraId="0821B993">
            <w:pPr>
              <w:pStyle w:val="34"/>
              <w:bidi w:val="0"/>
              <w:rPr>
                <w:rFonts w:hint="eastAsia"/>
                <w:color w:val="auto"/>
                <w:lang w:val="en-US" w:eastAsia="zh-CN"/>
              </w:rPr>
            </w:pPr>
            <w:r>
              <w:rPr>
                <w:rFonts w:hint="eastAsia"/>
                <w:color w:val="auto"/>
                <w:lang w:val="en-US" w:eastAsia="zh-CN"/>
              </w:rPr>
              <w:t>1.3</w:t>
            </w:r>
          </w:p>
        </w:tc>
        <w:tc>
          <w:tcPr>
            <w:tcW w:w="0" w:type="auto"/>
            <w:shd w:val="clear" w:color="auto" w:fill="auto"/>
            <w:vAlign w:val="center"/>
          </w:tcPr>
          <w:p w14:paraId="4B0E8F3D">
            <w:pPr>
              <w:pStyle w:val="34"/>
              <w:bidi w:val="0"/>
              <w:rPr>
                <w:rFonts w:hint="eastAsia"/>
                <w:color w:val="auto"/>
                <w:lang w:val="en-US" w:eastAsia="zh-CN"/>
              </w:rPr>
            </w:pPr>
            <w:r>
              <w:rPr>
                <w:rFonts w:hint="eastAsia"/>
                <w:color w:val="auto"/>
                <w:lang w:val="en-US" w:eastAsia="zh-CN"/>
              </w:rPr>
              <w:t>1.3</w:t>
            </w:r>
          </w:p>
        </w:tc>
      </w:tr>
      <w:tr w14:paraId="67BC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04214F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0A2E66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孔隙度</w:t>
            </w:r>
          </w:p>
        </w:tc>
        <w:tc>
          <w:tcPr>
            <w:tcW w:w="1740" w:type="dxa"/>
            <w:vAlign w:val="center"/>
          </w:tcPr>
          <w:p w14:paraId="7FBD8B61">
            <w:pPr>
              <w:pStyle w:val="34"/>
              <w:bidi w:val="0"/>
              <w:rPr>
                <w:rFonts w:hint="eastAsia"/>
                <w:color w:val="auto"/>
                <w:lang w:val="en-US" w:eastAsia="zh-CN"/>
              </w:rPr>
            </w:pPr>
            <w:r>
              <w:rPr>
                <w:rFonts w:hint="eastAsia"/>
                <w:color w:val="auto"/>
                <w:lang w:val="en-US" w:eastAsia="zh-CN"/>
              </w:rPr>
              <w:t>31</w:t>
            </w:r>
          </w:p>
        </w:tc>
        <w:tc>
          <w:tcPr>
            <w:tcW w:w="0" w:type="auto"/>
            <w:shd w:val="clear" w:color="auto" w:fill="auto"/>
            <w:vAlign w:val="center"/>
          </w:tcPr>
          <w:p w14:paraId="2B07DE61">
            <w:pPr>
              <w:pStyle w:val="34"/>
              <w:bidi w:val="0"/>
              <w:rPr>
                <w:rFonts w:hint="eastAsia"/>
                <w:color w:val="auto"/>
                <w:lang w:val="en-US" w:eastAsia="zh-CN"/>
              </w:rPr>
            </w:pPr>
            <w:r>
              <w:rPr>
                <w:rFonts w:hint="eastAsia"/>
                <w:color w:val="auto"/>
                <w:lang w:val="en-US" w:eastAsia="zh-CN"/>
              </w:rPr>
              <w:t>31</w:t>
            </w:r>
          </w:p>
        </w:tc>
        <w:tc>
          <w:tcPr>
            <w:tcW w:w="0" w:type="auto"/>
            <w:shd w:val="clear" w:color="auto" w:fill="auto"/>
            <w:vAlign w:val="center"/>
          </w:tcPr>
          <w:p w14:paraId="5DCB2141">
            <w:pPr>
              <w:pStyle w:val="34"/>
              <w:bidi w:val="0"/>
              <w:rPr>
                <w:rFonts w:hint="eastAsia"/>
                <w:color w:val="auto"/>
                <w:lang w:val="en-US" w:eastAsia="zh-CN"/>
              </w:rPr>
            </w:pPr>
            <w:r>
              <w:rPr>
                <w:rFonts w:hint="eastAsia"/>
                <w:color w:val="auto"/>
                <w:lang w:val="en-US" w:eastAsia="zh-CN"/>
              </w:rPr>
              <w:t>31</w:t>
            </w:r>
          </w:p>
        </w:tc>
      </w:tr>
      <w:tr w14:paraId="7EA3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1F318B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点号</w:t>
            </w:r>
          </w:p>
        </w:tc>
        <w:tc>
          <w:tcPr>
            <w:tcW w:w="0" w:type="auto"/>
            <w:vAlign w:val="center"/>
          </w:tcPr>
          <w:p w14:paraId="05DF49AA">
            <w:pPr>
              <w:pStyle w:val="34"/>
              <w:bidi w:val="0"/>
              <w:jc w:val="center"/>
              <w:rPr>
                <w:rFonts w:hint="default"/>
                <w:color w:val="auto"/>
                <w:lang w:val="en-US" w:eastAsia="zh-CN"/>
              </w:rPr>
            </w:pPr>
            <w:r>
              <w:rPr>
                <w:rFonts w:hint="eastAsia"/>
                <w:color w:val="auto"/>
                <w:lang w:val="en-US" w:eastAsia="zh-CN"/>
              </w:rPr>
              <w:t>T9</w:t>
            </w:r>
          </w:p>
        </w:tc>
        <w:tc>
          <w:tcPr>
            <w:tcW w:w="0" w:type="auto"/>
            <w:vAlign w:val="center"/>
          </w:tcPr>
          <w:p w14:paraId="035364C6">
            <w:pPr>
              <w:pStyle w:val="34"/>
              <w:bidi w:val="0"/>
              <w:jc w:val="center"/>
              <w:rPr>
                <w:rFonts w:hint="default"/>
                <w:color w:val="auto"/>
                <w:lang w:val="en-US" w:eastAsia="zh-CN"/>
              </w:rPr>
            </w:pPr>
            <w:r>
              <w:rPr>
                <w:rFonts w:hint="eastAsia"/>
                <w:color w:val="auto"/>
                <w:lang w:val="en-US" w:eastAsia="zh-CN"/>
              </w:rPr>
              <w:t>T10</w:t>
            </w:r>
          </w:p>
        </w:tc>
        <w:tc>
          <w:tcPr>
            <w:tcW w:w="0" w:type="auto"/>
            <w:vAlign w:val="center"/>
          </w:tcPr>
          <w:p w14:paraId="039E65BD">
            <w:pPr>
              <w:pStyle w:val="34"/>
              <w:bidi w:val="0"/>
              <w:jc w:val="center"/>
              <w:rPr>
                <w:rFonts w:hint="default"/>
                <w:color w:val="auto"/>
                <w:lang w:val="en-US" w:eastAsia="zh-CN"/>
              </w:rPr>
            </w:pPr>
            <w:r>
              <w:rPr>
                <w:rFonts w:hint="eastAsia"/>
                <w:color w:val="auto"/>
                <w:lang w:val="en-US" w:eastAsia="zh-CN"/>
              </w:rPr>
              <w:t>T11</w:t>
            </w:r>
          </w:p>
        </w:tc>
      </w:tr>
      <w:tr w14:paraId="6C8D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5E24847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经纬度</w:t>
            </w:r>
          </w:p>
        </w:tc>
        <w:tc>
          <w:tcPr>
            <w:tcW w:w="0" w:type="auto"/>
            <w:vAlign w:val="center"/>
          </w:tcPr>
          <w:p w14:paraId="49307BF4">
            <w:pPr>
              <w:bidi w:val="0"/>
              <w:rPr>
                <w:rFonts w:hint="default"/>
                <w:color w:val="auto"/>
                <w:lang w:val="en-US" w:eastAsia="zh-CN"/>
              </w:rPr>
            </w:pPr>
            <w:r>
              <w:rPr>
                <w:rFonts w:hint="eastAsia"/>
                <w:color w:val="auto"/>
                <w:lang w:val="en-US" w:eastAsia="zh-CN"/>
              </w:rPr>
              <w:t>******</w:t>
            </w:r>
          </w:p>
        </w:tc>
        <w:tc>
          <w:tcPr>
            <w:tcW w:w="0" w:type="auto"/>
            <w:vAlign w:val="center"/>
          </w:tcPr>
          <w:p w14:paraId="0D1D6301">
            <w:pPr>
              <w:bidi w:val="0"/>
              <w:rPr>
                <w:rFonts w:hint="default" w:eastAsia="宋体" w:cs="Times New Roman"/>
                <w:color w:val="auto"/>
                <w:sz w:val="21"/>
                <w:szCs w:val="21"/>
                <w:highlight w:val="none"/>
                <w:lang w:val="en-US" w:eastAsia="zh-CN"/>
              </w:rPr>
            </w:pPr>
            <w:r>
              <w:rPr>
                <w:rFonts w:hint="eastAsia"/>
                <w:color w:val="auto"/>
                <w:lang w:val="en-US" w:eastAsia="zh-CN"/>
              </w:rPr>
              <w:t>******</w:t>
            </w:r>
          </w:p>
        </w:tc>
        <w:tc>
          <w:tcPr>
            <w:tcW w:w="0" w:type="auto"/>
            <w:vAlign w:val="center"/>
          </w:tcPr>
          <w:p w14:paraId="517E245C">
            <w:pPr>
              <w:bidi w:val="0"/>
              <w:rPr>
                <w:rFonts w:hint="default" w:eastAsia="宋体" w:cs="Times New Roman"/>
                <w:color w:val="auto"/>
                <w:sz w:val="21"/>
                <w:szCs w:val="21"/>
                <w:highlight w:val="none"/>
                <w:lang w:val="en-US" w:eastAsia="zh-CN"/>
              </w:rPr>
            </w:pPr>
            <w:r>
              <w:rPr>
                <w:rFonts w:hint="eastAsia"/>
                <w:color w:val="auto"/>
                <w:lang w:val="en-US" w:eastAsia="zh-CN"/>
              </w:rPr>
              <w:t>******</w:t>
            </w:r>
          </w:p>
        </w:tc>
      </w:tr>
      <w:tr w14:paraId="6F3A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7E17A0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层次</w:t>
            </w:r>
          </w:p>
        </w:tc>
        <w:tc>
          <w:tcPr>
            <w:tcW w:w="0" w:type="auto"/>
            <w:shd w:val="clear" w:color="auto" w:fill="auto"/>
            <w:vAlign w:val="center"/>
          </w:tcPr>
          <w:p w14:paraId="7BF09908">
            <w:pPr>
              <w:pStyle w:val="34"/>
              <w:bidi w:val="0"/>
              <w:rPr>
                <w:rFonts w:hint="eastAsia"/>
                <w:color w:val="auto"/>
                <w:lang w:val="en-US" w:eastAsia="zh-CN"/>
              </w:rPr>
            </w:pPr>
            <w:r>
              <w:rPr>
                <w:rFonts w:hint="eastAsia"/>
                <w:color w:val="auto"/>
                <w:lang w:val="en-US" w:eastAsia="zh-CN"/>
              </w:rPr>
              <w:t>0~0.2m</w:t>
            </w:r>
          </w:p>
        </w:tc>
        <w:tc>
          <w:tcPr>
            <w:tcW w:w="0" w:type="auto"/>
            <w:shd w:val="clear" w:color="auto" w:fill="auto"/>
            <w:vAlign w:val="center"/>
          </w:tcPr>
          <w:p w14:paraId="5C919AFB">
            <w:pPr>
              <w:pStyle w:val="34"/>
              <w:bidi w:val="0"/>
              <w:rPr>
                <w:rFonts w:hint="eastAsia"/>
                <w:color w:val="auto"/>
                <w:lang w:val="en-US" w:eastAsia="zh-CN"/>
              </w:rPr>
            </w:pPr>
            <w:r>
              <w:rPr>
                <w:rFonts w:hint="eastAsia"/>
                <w:color w:val="auto"/>
                <w:lang w:val="en-US" w:eastAsia="zh-CN"/>
              </w:rPr>
              <w:t>0~0.2m</w:t>
            </w:r>
          </w:p>
        </w:tc>
        <w:tc>
          <w:tcPr>
            <w:tcW w:w="0" w:type="auto"/>
            <w:shd w:val="clear" w:color="auto" w:fill="auto"/>
            <w:vAlign w:val="center"/>
          </w:tcPr>
          <w:p w14:paraId="45E60193">
            <w:pPr>
              <w:pStyle w:val="34"/>
              <w:bidi w:val="0"/>
              <w:rPr>
                <w:rFonts w:hint="eastAsia"/>
                <w:color w:val="auto"/>
                <w:lang w:val="en-US" w:eastAsia="zh-CN"/>
              </w:rPr>
            </w:pPr>
            <w:r>
              <w:rPr>
                <w:rFonts w:hint="eastAsia"/>
                <w:color w:val="auto"/>
                <w:lang w:val="en-US" w:eastAsia="zh-CN"/>
              </w:rPr>
              <w:t>0~0.2m</w:t>
            </w:r>
          </w:p>
        </w:tc>
      </w:tr>
      <w:tr w14:paraId="0E1E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1CD4DEA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现场记录</w:t>
            </w:r>
          </w:p>
        </w:tc>
        <w:tc>
          <w:tcPr>
            <w:tcW w:w="0" w:type="auto"/>
            <w:shd w:val="clear" w:color="auto" w:fill="auto"/>
            <w:vAlign w:val="center"/>
          </w:tcPr>
          <w:p w14:paraId="1119E0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颜色</w:t>
            </w:r>
          </w:p>
        </w:tc>
        <w:tc>
          <w:tcPr>
            <w:tcW w:w="0" w:type="auto"/>
            <w:shd w:val="clear" w:color="auto" w:fill="auto"/>
            <w:vAlign w:val="center"/>
          </w:tcPr>
          <w:p w14:paraId="381E631E">
            <w:pPr>
              <w:pStyle w:val="34"/>
              <w:bidi w:val="0"/>
              <w:rPr>
                <w:rFonts w:hint="eastAsia"/>
                <w:color w:val="auto"/>
                <w:lang w:val="en-US" w:eastAsia="zh-CN"/>
              </w:rPr>
            </w:pPr>
            <w:r>
              <w:rPr>
                <w:rFonts w:hint="default"/>
                <w:color w:val="auto"/>
                <w:lang w:val="en-US" w:eastAsia="zh-CN"/>
              </w:rPr>
              <w:t>黄棕</w:t>
            </w:r>
          </w:p>
        </w:tc>
        <w:tc>
          <w:tcPr>
            <w:tcW w:w="0" w:type="auto"/>
            <w:shd w:val="clear" w:color="auto" w:fill="auto"/>
            <w:vAlign w:val="center"/>
          </w:tcPr>
          <w:p w14:paraId="44E1F687">
            <w:pPr>
              <w:pStyle w:val="34"/>
              <w:bidi w:val="0"/>
              <w:rPr>
                <w:rFonts w:hint="eastAsia"/>
                <w:color w:val="auto"/>
                <w:lang w:val="en-US" w:eastAsia="zh-CN"/>
              </w:rPr>
            </w:pPr>
            <w:r>
              <w:rPr>
                <w:rFonts w:hint="default"/>
                <w:color w:val="auto"/>
                <w:lang w:val="en-US" w:eastAsia="zh-CN"/>
              </w:rPr>
              <w:t>黄棕</w:t>
            </w:r>
          </w:p>
        </w:tc>
        <w:tc>
          <w:tcPr>
            <w:tcW w:w="1808" w:type="dxa"/>
            <w:vAlign w:val="center"/>
          </w:tcPr>
          <w:p w14:paraId="43DBCDC2">
            <w:pPr>
              <w:pStyle w:val="34"/>
              <w:bidi w:val="0"/>
              <w:rPr>
                <w:rFonts w:hint="eastAsia"/>
                <w:color w:val="auto"/>
                <w:lang w:val="en-US" w:eastAsia="zh-CN"/>
              </w:rPr>
            </w:pPr>
            <w:r>
              <w:rPr>
                <w:rFonts w:hint="default"/>
                <w:color w:val="auto"/>
                <w:lang w:val="en-US" w:eastAsia="zh-CN"/>
              </w:rPr>
              <w:t>黄棕</w:t>
            </w:r>
          </w:p>
        </w:tc>
      </w:tr>
      <w:tr w14:paraId="4F8E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1B53D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759216C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结构</w:t>
            </w:r>
          </w:p>
        </w:tc>
        <w:tc>
          <w:tcPr>
            <w:tcW w:w="0" w:type="auto"/>
            <w:shd w:val="clear" w:color="auto" w:fill="auto"/>
            <w:vAlign w:val="center"/>
          </w:tcPr>
          <w:p w14:paraId="4AC179FF">
            <w:pPr>
              <w:pStyle w:val="34"/>
              <w:bidi w:val="0"/>
              <w:rPr>
                <w:rFonts w:hint="eastAsia"/>
                <w:color w:val="auto"/>
                <w:lang w:val="en-US" w:eastAsia="zh-CN"/>
              </w:rPr>
            </w:pPr>
            <w:r>
              <w:rPr>
                <w:rFonts w:hint="eastAsia"/>
                <w:color w:val="auto"/>
                <w:lang w:val="en-US" w:eastAsia="zh-CN"/>
              </w:rPr>
              <w:t>固体</w:t>
            </w:r>
          </w:p>
        </w:tc>
        <w:tc>
          <w:tcPr>
            <w:tcW w:w="0" w:type="auto"/>
            <w:shd w:val="clear" w:color="auto" w:fill="auto"/>
            <w:vAlign w:val="center"/>
          </w:tcPr>
          <w:p w14:paraId="3ED71F59">
            <w:pPr>
              <w:pStyle w:val="34"/>
              <w:bidi w:val="0"/>
              <w:rPr>
                <w:rFonts w:hint="eastAsia"/>
                <w:color w:val="auto"/>
                <w:lang w:val="en-US" w:eastAsia="zh-CN"/>
              </w:rPr>
            </w:pPr>
            <w:r>
              <w:rPr>
                <w:rFonts w:hint="eastAsia"/>
                <w:color w:val="auto"/>
                <w:lang w:val="en-US" w:eastAsia="zh-CN"/>
              </w:rPr>
              <w:t>固体</w:t>
            </w:r>
          </w:p>
        </w:tc>
        <w:tc>
          <w:tcPr>
            <w:tcW w:w="1808" w:type="dxa"/>
            <w:vAlign w:val="center"/>
          </w:tcPr>
          <w:p w14:paraId="051CED2A">
            <w:pPr>
              <w:pStyle w:val="34"/>
              <w:bidi w:val="0"/>
              <w:rPr>
                <w:rFonts w:hint="eastAsia"/>
                <w:color w:val="auto"/>
                <w:lang w:val="en-US" w:eastAsia="zh-CN"/>
              </w:rPr>
            </w:pPr>
            <w:r>
              <w:rPr>
                <w:rFonts w:hint="eastAsia"/>
                <w:color w:val="auto"/>
                <w:lang w:val="en-US" w:eastAsia="zh-CN"/>
              </w:rPr>
              <w:t>固体</w:t>
            </w:r>
          </w:p>
        </w:tc>
      </w:tr>
      <w:tr w14:paraId="19F4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F80F0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577D9F0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质地</w:t>
            </w:r>
          </w:p>
        </w:tc>
        <w:tc>
          <w:tcPr>
            <w:tcW w:w="0" w:type="auto"/>
            <w:shd w:val="clear" w:color="auto" w:fill="auto"/>
            <w:vAlign w:val="center"/>
          </w:tcPr>
          <w:p w14:paraId="2BDD8397">
            <w:pPr>
              <w:pStyle w:val="34"/>
              <w:bidi w:val="0"/>
              <w:rPr>
                <w:rFonts w:hint="eastAsia"/>
                <w:color w:val="auto"/>
                <w:lang w:val="en-US" w:eastAsia="zh-CN"/>
              </w:rPr>
            </w:pPr>
            <w:r>
              <w:rPr>
                <w:rFonts w:hint="default"/>
                <w:color w:val="auto"/>
                <w:lang w:val="en-US" w:eastAsia="zh-CN"/>
              </w:rPr>
              <w:t>砂土</w:t>
            </w:r>
          </w:p>
        </w:tc>
        <w:tc>
          <w:tcPr>
            <w:tcW w:w="0" w:type="auto"/>
            <w:shd w:val="clear" w:color="auto" w:fill="auto"/>
            <w:vAlign w:val="center"/>
          </w:tcPr>
          <w:p w14:paraId="4B6D03EF">
            <w:pPr>
              <w:pStyle w:val="34"/>
              <w:bidi w:val="0"/>
              <w:rPr>
                <w:rFonts w:hint="eastAsia"/>
                <w:color w:val="auto"/>
                <w:lang w:val="en-US" w:eastAsia="zh-CN"/>
              </w:rPr>
            </w:pPr>
            <w:r>
              <w:rPr>
                <w:rFonts w:hint="default"/>
                <w:color w:val="auto"/>
                <w:lang w:val="en-US" w:eastAsia="zh-CN"/>
              </w:rPr>
              <w:t>砂土</w:t>
            </w:r>
          </w:p>
        </w:tc>
        <w:tc>
          <w:tcPr>
            <w:tcW w:w="1808" w:type="dxa"/>
            <w:vAlign w:val="center"/>
          </w:tcPr>
          <w:p w14:paraId="290ACFFC">
            <w:pPr>
              <w:pStyle w:val="34"/>
              <w:bidi w:val="0"/>
              <w:rPr>
                <w:rFonts w:hint="eastAsia"/>
                <w:color w:val="auto"/>
                <w:lang w:val="en-US" w:eastAsia="zh-CN"/>
              </w:rPr>
            </w:pPr>
            <w:r>
              <w:rPr>
                <w:rFonts w:hint="default"/>
                <w:color w:val="auto"/>
                <w:lang w:val="en-US" w:eastAsia="zh-CN"/>
              </w:rPr>
              <w:t>砂土</w:t>
            </w:r>
          </w:p>
        </w:tc>
      </w:tr>
      <w:tr w14:paraId="75F4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2DE18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60044E2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砂砾含量</w:t>
            </w:r>
          </w:p>
        </w:tc>
        <w:tc>
          <w:tcPr>
            <w:tcW w:w="0" w:type="auto"/>
            <w:shd w:val="clear" w:color="auto" w:fill="auto"/>
            <w:vAlign w:val="center"/>
          </w:tcPr>
          <w:p w14:paraId="2BBE835A">
            <w:pPr>
              <w:pStyle w:val="34"/>
              <w:bidi w:val="0"/>
              <w:rPr>
                <w:rFonts w:hint="eastAsia"/>
                <w:color w:val="auto"/>
                <w:lang w:val="en-US" w:eastAsia="zh-CN"/>
              </w:rPr>
            </w:pPr>
            <w:r>
              <w:rPr>
                <w:rFonts w:hint="eastAsia"/>
                <w:color w:val="auto"/>
                <w:lang w:val="en-US" w:eastAsia="zh-CN"/>
              </w:rPr>
              <w:t>90</w:t>
            </w:r>
          </w:p>
        </w:tc>
        <w:tc>
          <w:tcPr>
            <w:tcW w:w="0" w:type="auto"/>
            <w:shd w:val="clear" w:color="auto" w:fill="auto"/>
            <w:vAlign w:val="center"/>
          </w:tcPr>
          <w:p w14:paraId="257281DD">
            <w:pPr>
              <w:pStyle w:val="34"/>
              <w:bidi w:val="0"/>
              <w:rPr>
                <w:rFonts w:hint="eastAsia"/>
                <w:color w:val="auto"/>
                <w:lang w:val="en-US" w:eastAsia="zh-CN"/>
              </w:rPr>
            </w:pPr>
            <w:r>
              <w:rPr>
                <w:rFonts w:hint="eastAsia"/>
                <w:color w:val="auto"/>
                <w:lang w:val="en-US" w:eastAsia="zh-CN"/>
              </w:rPr>
              <w:t>90</w:t>
            </w:r>
          </w:p>
        </w:tc>
        <w:tc>
          <w:tcPr>
            <w:tcW w:w="1808" w:type="dxa"/>
            <w:vAlign w:val="center"/>
          </w:tcPr>
          <w:p w14:paraId="1D832470">
            <w:pPr>
              <w:pStyle w:val="34"/>
              <w:bidi w:val="0"/>
              <w:rPr>
                <w:rFonts w:hint="eastAsia"/>
                <w:color w:val="auto"/>
                <w:lang w:val="en-US" w:eastAsia="zh-CN"/>
              </w:rPr>
            </w:pPr>
            <w:r>
              <w:rPr>
                <w:rFonts w:hint="eastAsia"/>
                <w:color w:val="auto"/>
                <w:lang w:val="en-US" w:eastAsia="zh-CN"/>
              </w:rPr>
              <w:t>90</w:t>
            </w:r>
          </w:p>
        </w:tc>
      </w:tr>
      <w:tr w14:paraId="74D5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5E6CB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55F26F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其他异物</w:t>
            </w:r>
          </w:p>
        </w:tc>
        <w:tc>
          <w:tcPr>
            <w:tcW w:w="0" w:type="auto"/>
            <w:shd w:val="clear" w:color="auto" w:fill="auto"/>
            <w:vAlign w:val="center"/>
          </w:tcPr>
          <w:p w14:paraId="50B44DFA">
            <w:pPr>
              <w:pStyle w:val="34"/>
              <w:bidi w:val="0"/>
              <w:rPr>
                <w:rFonts w:hint="eastAsia"/>
                <w:color w:val="auto"/>
                <w:lang w:val="en-US" w:eastAsia="zh-CN"/>
              </w:rPr>
            </w:pPr>
            <w:r>
              <w:rPr>
                <w:rFonts w:hint="eastAsia"/>
                <w:color w:val="auto"/>
                <w:lang w:val="en-US" w:eastAsia="zh-CN"/>
              </w:rPr>
              <w:t>/</w:t>
            </w:r>
          </w:p>
        </w:tc>
        <w:tc>
          <w:tcPr>
            <w:tcW w:w="0" w:type="auto"/>
            <w:shd w:val="clear" w:color="auto" w:fill="auto"/>
            <w:vAlign w:val="center"/>
          </w:tcPr>
          <w:p w14:paraId="21CC6C9D">
            <w:pPr>
              <w:pStyle w:val="34"/>
              <w:bidi w:val="0"/>
              <w:rPr>
                <w:rFonts w:hint="eastAsia"/>
                <w:color w:val="auto"/>
                <w:lang w:val="en-US" w:eastAsia="zh-CN"/>
              </w:rPr>
            </w:pPr>
            <w:r>
              <w:rPr>
                <w:rFonts w:hint="eastAsia"/>
                <w:color w:val="auto"/>
                <w:lang w:val="en-US" w:eastAsia="zh-CN"/>
              </w:rPr>
              <w:t>/</w:t>
            </w:r>
          </w:p>
        </w:tc>
        <w:tc>
          <w:tcPr>
            <w:tcW w:w="1808" w:type="dxa"/>
            <w:vAlign w:val="center"/>
          </w:tcPr>
          <w:p w14:paraId="12D281A2">
            <w:pPr>
              <w:pStyle w:val="34"/>
              <w:bidi w:val="0"/>
              <w:rPr>
                <w:rFonts w:hint="eastAsia"/>
                <w:color w:val="auto"/>
                <w:lang w:val="en-US" w:eastAsia="zh-CN"/>
              </w:rPr>
            </w:pPr>
            <w:r>
              <w:rPr>
                <w:rFonts w:hint="eastAsia"/>
                <w:color w:val="auto"/>
                <w:lang w:val="en-US" w:eastAsia="zh-CN"/>
              </w:rPr>
              <w:t>/</w:t>
            </w:r>
          </w:p>
        </w:tc>
      </w:tr>
      <w:tr w14:paraId="7F09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109022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实验室测定</w:t>
            </w:r>
          </w:p>
        </w:tc>
        <w:tc>
          <w:tcPr>
            <w:tcW w:w="0" w:type="auto"/>
            <w:shd w:val="clear" w:color="auto" w:fill="auto"/>
            <w:vAlign w:val="center"/>
          </w:tcPr>
          <w:p w14:paraId="11D25F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pH</w:t>
            </w:r>
          </w:p>
        </w:tc>
        <w:tc>
          <w:tcPr>
            <w:tcW w:w="0" w:type="auto"/>
            <w:shd w:val="clear" w:color="auto" w:fill="auto"/>
            <w:vAlign w:val="center"/>
          </w:tcPr>
          <w:p w14:paraId="0D2F1173">
            <w:pPr>
              <w:pStyle w:val="34"/>
              <w:bidi w:val="0"/>
              <w:rPr>
                <w:rFonts w:hint="eastAsia"/>
                <w:color w:val="auto"/>
                <w:lang w:val="en-US" w:eastAsia="zh-CN"/>
              </w:rPr>
            </w:pPr>
            <w:r>
              <w:rPr>
                <w:rFonts w:hint="eastAsia"/>
                <w:color w:val="auto"/>
                <w:lang w:val="en-US" w:eastAsia="zh-CN"/>
              </w:rPr>
              <w:t>8.42</w:t>
            </w:r>
          </w:p>
        </w:tc>
        <w:tc>
          <w:tcPr>
            <w:tcW w:w="0" w:type="auto"/>
            <w:shd w:val="clear" w:color="auto" w:fill="auto"/>
            <w:vAlign w:val="center"/>
          </w:tcPr>
          <w:p w14:paraId="0B7A277D">
            <w:pPr>
              <w:pStyle w:val="34"/>
              <w:bidi w:val="0"/>
              <w:rPr>
                <w:rFonts w:hint="eastAsia"/>
                <w:color w:val="auto"/>
                <w:lang w:val="en-US" w:eastAsia="zh-CN"/>
              </w:rPr>
            </w:pPr>
            <w:r>
              <w:rPr>
                <w:rFonts w:hint="eastAsia"/>
                <w:color w:val="auto"/>
                <w:lang w:val="en-US" w:eastAsia="zh-CN"/>
              </w:rPr>
              <w:t>8.36</w:t>
            </w:r>
          </w:p>
        </w:tc>
        <w:tc>
          <w:tcPr>
            <w:tcW w:w="1808" w:type="dxa"/>
            <w:vAlign w:val="center"/>
          </w:tcPr>
          <w:p w14:paraId="6CB1ADC9">
            <w:pPr>
              <w:pStyle w:val="34"/>
              <w:bidi w:val="0"/>
              <w:rPr>
                <w:rFonts w:hint="eastAsia"/>
                <w:color w:val="auto"/>
                <w:lang w:val="en-US" w:eastAsia="zh-CN"/>
              </w:rPr>
            </w:pPr>
            <w:r>
              <w:rPr>
                <w:rFonts w:hint="eastAsia"/>
                <w:color w:val="auto"/>
                <w:lang w:val="en-US" w:eastAsia="zh-CN"/>
              </w:rPr>
              <w:t>8.36</w:t>
            </w:r>
          </w:p>
        </w:tc>
      </w:tr>
      <w:tr w14:paraId="76E5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444B5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5248C4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阳离子交换量</w:t>
            </w:r>
          </w:p>
        </w:tc>
        <w:tc>
          <w:tcPr>
            <w:tcW w:w="0" w:type="auto"/>
            <w:shd w:val="clear" w:color="auto" w:fill="auto"/>
            <w:vAlign w:val="center"/>
          </w:tcPr>
          <w:p w14:paraId="71A7431F">
            <w:pPr>
              <w:pStyle w:val="34"/>
              <w:bidi w:val="0"/>
              <w:rPr>
                <w:rFonts w:hint="eastAsia"/>
                <w:color w:val="auto"/>
                <w:lang w:val="en-US" w:eastAsia="zh-CN"/>
              </w:rPr>
            </w:pPr>
            <w:r>
              <w:rPr>
                <w:rFonts w:hint="eastAsia"/>
                <w:color w:val="auto"/>
                <w:lang w:val="en-US" w:eastAsia="zh-CN"/>
              </w:rPr>
              <w:t>8.6</w:t>
            </w:r>
          </w:p>
        </w:tc>
        <w:tc>
          <w:tcPr>
            <w:tcW w:w="0" w:type="auto"/>
            <w:shd w:val="clear" w:color="auto" w:fill="auto"/>
            <w:vAlign w:val="center"/>
          </w:tcPr>
          <w:p w14:paraId="1E2D5125">
            <w:pPr>
              <w:pStyle w:val="34"/>
              <w:bidi w:val="0"/>
              <w:rPr>
                <w:rFonts w:hint="eastAsia"/>
                <w:color w:val="auto"/>
                <w:lang w:val="en-US" w:eastAsia="zh-CN"/>
              </w:rPr>
            </w:pPr>
            <w:r>
              <w:rPr>
                <w:rFonts w:hint="eastAsia"/>
                <w:color w:val="auto"/>
                <w:lang w:val="en-US" w:eastAsia="zh-CN"/>
              </w:rPr>
              <w:t>8.2</w:t>
            </w:r>
          </w:p>
        </w:tc>
        <w:tc>
          <w:tcPr>
            <w:tcW w:w="1808" w:type="dxa"/>
            <w:vAlign w:val="center"/>
          </w:tcPr>
          <w:p w14:paraId="56EDC4DB">
            <w:pPr>
              <w:pStyle w:val="34"/>
              <w:bidi w:val="0"/>
              <w:rPr>
                <w:rFonts w:hint="eastAsia"/>
                <w:color w:val="auto"/>
                <w:lang w:val="en-US" w:eastAsia="zh-CN"/>
              </w:rPr>
            </w:pPr>
            <w:r>
              <w:rPr>
                <w:rFonts w:hint="eastAsia"/>
                <w:color w:val="auto"/>
                <w:lang w:val="en-US" w:eastAsia="zh-CN"/>
              </w:rPr>
              <w:t>8.0</w:t>
            </w:r>
          </w:p>
        </w:tc>
      </w:tr>
      <w:tr w14:paraId="736A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4C5009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1232522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氧化还原电位</w:t>
            </w:r>
          </w:p>
        </w:tc>
        <w:tc>
          <w:tcPr>
            <w:tcW w:w="0" w:type="auto"/>
            <w:shd w:val="clear" w:color="auto" w:fill="auto"/>
            <w:vAlign w:val="center"/>
          </w:tcPr>
          <w:p w14:paraId="44824A60">
            <w:pPr>
              <w:pStyle w:val="34"/>
              <w:bidi w:val="0"/>
              <w:rPr>
                <w:rFonts w:hint="eastAsia"/>
                <w:color w:val="auto"/>
                <w:lang w:val="en-US" w:eastAsia="zh-CN"/>
              </w:rPr>
            </w:pPr>
            <w:r>
              <w:rPr>
                <w:rFonts w:hint="eastAsia"/>
                <w:color w:val="auto"/>
                <w:lang w:val="en-US" w:eastAsia="zh-CN"/>
              </w:rPr>
              <w:t>385</w:t>
            </w:r>
          </w:p>
        </w:tc>
        <w:tc>
          <w:tcPr>
            <w:tcW w:w="0" w:type="auto"/>
            <w:shd w:val="clear" w:color="auto" w:fill="auto"/>
            <w:vAlign w:val="center"/>
          </w:tcPr>
          <w:p w14:paraId="208C17D1">
            <w:pPr>
              <w:pStyle w:val="34"/>
              <w:bidi w:val="0"/>
              <w:rPr>
                <w:rFonts w:hint="eastAsia"/>
                <w:color w:val="auto"/>
                <w:lang w:val="en-US" w:eastAsia="zh-CN"/>
              </w:rPr>
            </w:pPr>
            <w:r>
              <w:rPr>
                <w:rFonts w:hint="eastAsia"/>
                <w:color w:val="auto"/>
                <w:lang w:val="en-US" w:eastAsia="zh-CN"/>
              </w:rPr>
              <w:t>401</w:t>
            </w:r>
          </w:p>
        </w:tc>
        <w:tc>
          <w:tcPr>
            <w:tcW w:w="1808" w:type="dxa"/>
            <w:vAlign w:val="center"/>
          </w:tcPr>
          <w:p w14:paraId="0B0B8D11">
            <w:pPr>
              <w:pStyle w:val="34"/>
              <w:bidi w:val="0"/>
              <w:rPr>
                <w:rFonts w:hint="eastAsia"/>
                <w:color w:val="auto"/>
                <w:lang w:val="en-US" w:eastAsia="zh-CN"/>
              </w:rPr>
            </w:pPr>
            <w:r>
              <w:rPr>
                <w:rFonts w:hint="eastAsia"/>
                <w:color w:val="auto"/>
                <w:lang w:val="en-US" w:eastAsia="zh-CN"/>
              </w:rPr>
              <w:t>388</w:t>
            </w:r>
          </w:p>
        </w:tc>
      </w:tr>
      <w:tr w14:paraId="55EA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0E913D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7613AC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饱和导水率/(cm/s)</w:t>
            </w:r>
          </w:p>
        </w:tc>
        <w:tc>
          <w:tcPr>
            <w:tcW w:w="0" w:type="auto"/>
            <w:shd w:val="clear" w:color="auto" w:fill="auto"/>
            <w:vAlign w:val="center"/>
          </w:tcPr>
          <w:p w14:paraId="6D187BDC">
            <w:pPr>
              <w:pStyle w:val="34"/>
              <w:bidi w:val="0"/>
              <w:rPr>
                <w:rFonts w:hint="eastAsia"/>
                <w:color w:val="auto"/>
                <w:lang w:val="en-US" w:eastAsia="zh-CN"/>
              </w:rPr>
            </w:pPr>
            <w:r>
              <w:rPr>
                <w:rFonts w:hint="eastAsia"/>
                <w:color w:val="auto"/>
                <w:lang w:val="en-US" w:eastAsia="zh-CN"/>
              </w:rPr>
              <w:t>524</w:t>
            </w:r>
          </w:p>
        </w:tc>
        <w:tc>
          <w:tcPr>
            <w:tcW w:w="0" w:type="auto"/>
            <w:shd w:val="clear" w:color="auto" w:fill="auto"/>
            <w:vAlign w:val="center"/>
          </w:tcPr>
          <w:p w14:paraId="55C2C416">
            <w:pPr>
              <w:pStyle w:val="34"/>
              <w:bidi w:val="0"/>
              <w:rPr>
                <w:rFonts w:hint="eastAsia"/>
                <w:color w:val="auto"/>
                <w:lang w:val="en-US" w:eastAsia="zh-CN"/>
              </w:rPr>
            </w:pPr>
            <w:r>
              <w:rPr>
                <w:rFonts w:hint="eastAsia"/>
                <w:color w:val="auto"/>
                <w:lang w:val="en-US" w:eastAsia="zh-CN"/>
              </w:rPr>
              <w:t>597</w:t>
            </w:r>
          </w:p>
        </w:tc>
        <w:tc>
          <w:tcPr>
            <w:tcW w:w="1808" w:type="dxa"/>
            <w:vAlign w:val="center"/>
          </w:tcPr>
          <w:p w14:paraId="624BA9EE">
            <w:pPr>
              <w:pStyle w:val="34"/>
              <w:bidi w:val="0"/>
              <w:rPr>
                <w:rFonts w:hint="eastAsia"/>
                <w:color w:val="auto"/>
                <w:lang w:val="en-US" w:eastAsia="zh-CN"/>
              </w:rPr>
            </w:pPr>
            <w:r>
              <w:rPr>
                <w:rFonts w:hint="eastAsia"/>
                <w:color w:val="auto"/>
                <w:lang w:val="en-US" w:eastAsia="zh-CN"/>
              </w:rPr>
              <w:t>574</w:t>
            </w:r>
          </w:p>
        </w:tc>
      </w:tr>
      <w:tr w14:paraId="013A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AB051F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29602C8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土壤容重/(kg/m</w:t>
            </w:r>
            <w:r>
              <w:rPr>
                <w:rFonts w:hint="eastAsia" w:cs="Times New Roman"/>
                <w:color w:val="auto"/>
                <w:sz w:val="21"/>
                <w:szCs w:val="22"/>
                <w:vertAlign w:val="superscript"/>
                <w:lang w:val="en-US" w:eastAsia="zh-CN"/>
              </w:rPr>
              <w:t>3</w:t>
            </w:r>
            <w:r>
              <w:rPr>
                <w:rFonts w:hint="eastAsia" w:cs="Times New Roman"/>
                <w:color w:val="auto"/>
                <w:sz w:val="21"/>
                <w:szCs w:val="22"/>
                <w:vertAlign w:val="baseline"/>
                <w:lang w:val="en-US" w:eastAsia="zh-CN"/>
              </w:rPr>
              <w:t>)</w:t>
            </w:r>
          </w:p>
        </w:tc>
        <w:tc>
          <w:tcPr>
            <w:tcW w:w="0" w:type="auto"/>
            <w:shd w:val="clear" w:color="auto" w:fill="auto"/>
            <w:vAlign w:val="center"/>
          </w:tcPr>
          <w:p w14:paraId="24E80846">
            <w:pPr>
              <w:pStyle w:val="34"/>
              <w:bidi w:val="0"/>
              <w:rPr>
                <w:rFonts w:hint="eastAsia"/>
                <w:color w:val="auto"/>
                <w:lang w:val="en-US" w:eastAsia="zh-CN"/>
              </w:rPr>
            </w:pPr>
            <w:r>
              <w:rPr>
                <w:rFonts w:hint="eastAsia"/>
                <w:color w:val="auto"/>
                <w:lang w:val="en-US" w:eastAsia="zh-CN"/>
              </w:rPr>
              <w:t>1.3</w:t>
            </w:r>
          </w:p>
        </w:tc>
        <w:tc>
          <w:tcPr>
            <w:tcW w:w="0" w:type="auto"/>
            <w:shd w:val="clear" w:color="auto" w:fill="auto"/>
            <w:vAlign w:val="center"/>
          </w:tcPr>
          <w:p w14:paraId="5ABA5673">
            <w:pPr>
              <w:pStyle w:val="34"/>
              <w:bidi w:val="0"/>
              <w:rPr>
                <w:rFonts w:hint="eastAsia"/>
                <w:color w:val="auto"/>
                <w:lang w:val="en-US" w:eastAsia="zh-CN"/>
              </w:rPr>
            </w:pPr>
            <w:r>
              <w:rPr>
                <w:rFonts w:hint="eastAsia"/>
                <w:color w:val="auto"/>
                <w:lang w:val="en-US" w:eastAsia="zh-CN"/>
              </w:rPr>
              <w:t>1.3</w:t>
            </w:r>
          </w:p>
        </w:tc>
        <w:tc>
          <w:tcPr>
            <w:tcW w:w="1808" w:type="dxa"/>
            <w:vAlign w:val="center"/>
          </w:tcPr>
          <w:p w14:paraId="2C6AFC42">
            <w:pPr>
              <w:pStyle w:val="34"/>
              <w:bidi w:val="0"/>
              <w:rPr>
                <w:rFonts w:hint="eastAsia"/>
                <w:color w:val="auto"/>
                <w:lang w:val="en-US" w:eastAsia="zh-CN"/>
              </w:rPr>
            </w:pPr>
            <w:r>
              <w:rPr>
                <w:rFonts w:hint="eastAsia"/>
                <w:color w:val="auto"/>
                <w:lang w:val="en-US" w:eastAsia="zh-CN"/>
              </w:rPr>
              <w:t>1.3</w:t>
            </w:r>
          </w:p>
        </w:tc>
      </w:tr>
      <w:tr w14:paraId="220C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77985E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5982A1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孔隙度</w:t>
            </w:r>
          </w:p>
        </w:tc>
        <w:tc>
          <w:tcPr>
            <w:tcW w:w="0" w:type="auto"/>
            <w:shd w:val="clear" w:color="auto" w:fill="auto"/>
            <w:vAlign w:val="center"/>
          </w:tcPr>
          <w:p w14:paraId="63156785">
            <w:pPr>
              <w:pStyle w:val="34"/>
              <w:bidi w:val="0"/>
              <w:rPr>
                <w:rFonts w:hint="eastAsia"/>
                <w:color w:val="auto"/>
                <w:lang w:val="en-US" w:eastAsia="zh-CN"/>
              </w:rPr>
            </w:pPr>
            <w:r>
              <w:rPr>
                <w:rFonts w:hint="eastAsia"/>
                <w:color w:val="auto"/>
                <w:lang w:val="en-US" w:eastAsia="zh-CN"/>
              </w:rPr>
              <w:t>31</w:t>
            </w:r>
          </w:p>
        </w:tc>
        <w:tc>
          <w:tcPr>
            <w:tcW w:w="0" w:type="auto"/>
            <w:shd w:val="clear" w:color="auto" w:fill="auto"/>
            <w:vAlign w:val="center"/>
          </w:tcPr>
          <w:p w14:paraId="7EFC3B56">
            <w:pPr>
              <w:pStyle w:val="34"/>
              <w:bidi w:val="0"/>
              <w:rPr>
                <w:rFonts w:hint="eastAsia"/>
                <w:color w:val="auto"/>
                <w:lang w:val="en-US" w:eastAsia="zh-CN"/>
              </w:rPr>
            </w:pPr>
            <w:r>
              <w:rPr>
                <w:rFonts w:hint="eastAsia"/>
                <w:color w:val="auto"/>
                <w:lang w:val="en-US" w:eastAsia="zh-CN"/>
              </w:rPr>
              <w:t>31</w:t>
            </w:r>
          </w:p>
        </w:tc>
        <w:tc>
          <w:tcPr>
            <w:tcW w:w="1808" w:type="dxa"/>
            <w:vAlign w:val="center"/>
          </w:tcPr>
          <w:p w14:paraId="4CB76982">
            <w:pPr>
              <w:pStyle w:val="34"/>
              <w:bidi w:val="0"/>
              <w:rPr>
                <w:rFonts w:hint="eastAsia"/>
                <w:color w:val="auto"/>
                <w:lang w:val="en-US" w:eastAsia="zh-CN"/>
              </w:rPr>
            </w:pPr>
            <w:r>
              <w:rPr>
                <w:rFonts w:hint="eastAsia"/>
                <w:color w:val="auto"/>
                <w:lang w:val="en-US" w:eastAsia="zh-CN"/>
              </w:rPr>
              <w:t>31</w:t>
            </w:r>
          </w:p>
        </w:tc>
      </w:tr>
      <w:tr w14:paraId="7366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3E315E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点号</w:t>
            </w:r>
          </w:p>
        </w:tc>
        <w:tc>
          <w:tcPr>
            <w:tcW w:w="0" w:type="auto"/>
            <w:vAlign w:val="center"/>
          </w:tcPr>
          <w:p w14:paraId="7B1A3DA5">
            <w:pPr>
              <w:pStyle w:val="34"/>
              <w:bidi w:val="0"/>
              <w:rPr>
                <w:rFonts w:hint="default"/>
                <w:color w:val="auto"/>
                <w:lang w:val="en-US" w:eastAsia="zh-CN"/>
              </w:rPr>
            </w:pPr>
            <w:r>
              <w:rPr>
                <w:rFonts w:hint="eastAsia"/>
                <w:color w:val="auto"/>
                <w:lang w:val="en-US" w:eastAsia="zh-CN"/>
              </w:rPr>
              <w:t>T12</w:t>
            </w:r>
          </w:p>
        </w:tc>
        <w:tc>
          <w:tcPr>
            <w:tcW w:w="0" w:type="auto"/>
            <w:vAlign w:val="center"/>
          </w:tcPr>
          <w:p w14:paraId="743A4777">
            <w:pPr>
              <w:pStyle w:val="34"/>
              <w:bidi w:val="0"/>
              <w:rPr>
                <w:rFonts w:hint="default"/>
                <w:color w:val="auto"/>
                <w:lang w:val="en-US" w:eastAsia="zh-CN"/>
              </w:rPr>
            </w:pPr>
            <w:r>
              <w:rPr>
                <w:rFonts w:hint="eastAsia"/>
                <w:color w:val="auto"/>
                <w:lang w:val="en-US" w:eastAsia="zh-CN"/>
              </w:rPr>
              <w:t>T13</w:t>
            </w:r>
          </w:p>
        </w:tc>
        <w:tc>
          <w:tcPr>
            <w:tcW w:w="0" w:type="auto"/>
            <w:vAlign w:val="center"/>
          </w:tcPr>
          <w:p w14:paraId="1A625216">
            <w:pPr>
              <w:pStyle w:val="34"/>
              <w:bidi w:val="0"/>
              <w:rPr>
                <w:rFonts w:hint="default"/>
                <w:color w:val="auto"/>
                <w:lang w:val="en-US" w:eastAsia="zh-CN"/>
              </w:rPr>
            </w:pPr>
            <w:r>
              <w:rPr>
                <w:rFonts w:hint="eastAsia"/>
                <w:color w:val="auto"/>
                <w:lang w:val="en-US" w:eastAsia="zh-CN"/>
              </w:rPr>
              <w:t>T14</w:t>
            </w:r>
          </w:p>
        </w:tc>
      </w:tr>
      <w:tr w14:paraId="4E00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79B960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经纬度</w:t>
            </w:r>
          </w:p>
        </w:tc>
        <w:tc>
          <w:tcPr>
            <w:tcW w:w="0" w:type="auto"/>
            <w:vAlign w:val="center"/>
          </w:tcPr>
          <w:p w14:paraId="47319FFA">
            <w:pPr>
              <w:bidi w:val="0"/>
              <w:rPr>
                <w:rFonts w:hint="eastAsia" w:eastAsia="宋体" w:cs="Times New Roman"/>
                <w:color w:val="auto"/>
                <w:sz w:val="21"/>
                <w:szCs w:val="21"/>
                <w:lang w:val="en-US" w:eastAsia="zh-CN"/>
              </w:rPr>
            </w:pPr>
            <w:r>
              <w:rPr>
                <w:rFonts w:hint="eastAsia"/>
                <w:color w:val="auto"/>
                <w:lang w:val="en-US" w:eastAsia="zh-CN"/>
              </w:rPr>
              <w:t>******</w:t>
            </w:r>
          </w:p>
        </w:tc>
        <w:tc>
          <w:tcPr>
            <w:tcW w:w="0" w:type="auto"/>
            <w:vAlign w:val="center"/>
          </w:tcPr>
          <w:p w14:paraId="50833A89">
            <w:pPr>
              <w:bidi w:val="0"/>
              <w:rPr>
                <w:rFonts w:hint="eastAsia" w:eastAsia="宋体" w:cs="Times New Roman"/>
                <w:color w:val="auto"/>
                <w:sz w:val="21"/>
                <w:szCs w:val="21"/>
                <w:highlight w:val="none"/>
                <w:lang w:val="en-US" w:eastAsia="zh-CN"/>
              </w:rPr>
            </w:pPr>
            <w:r>
              <w:rPr>
                <w:rFonts w:hint="eastAsia"/>
                <w:color w:val="auto"/>
                <w:lang w:val="en-US" w:eastAsia="zh-CN"/>
              </w:rPr>
              <w:t>******</w:t>
            </w:r>
          </w:p>
        </w:tc>
        <w:tc>
          <w:tcPr>
            <w:tcW w:w="0" w:type="auto"/>
            <w:vAlign w:val="center"/>
          </w:tcPr>
          <w:p w14:paraId="7517AF8E">
            <w:pPr>
              <w:bidi w:val="0"/>
              <w:rPr>
                <w:rFonts w:hint="eastAsia" w:eastAsia="宋体" w:cs="Times New Roman"/>
                <w:color w:val="auto"/>
                <w:sz w:val="21"/>
                <w:szCs w:val="21"/>
                <w:highlight w:val="none"/>
                <w:lang w:val="en-US" w:eastAsia="zh-CN"/>
              </w:rPr>
            </w:pPr>
            <w:r>
              <w:rPr>
                <w:rFonts w:hint="eastAsia"/>
                <w:color w:val="auto"/>
                <w:lang w:val="en-US" w:eastAsia="zh-CN"/>
              </w:rPr>
              <w:t>******</w:t>
            </w:r>
          </w:p>
        </w:tc>
      </w:tr>
      <w:tr w14:paraId="3D44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193B1A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层次</w:t>
            </w:r>
          </w:p>
        </w:tc>
        <w:tc>
          <w:tcPr>
            <w:tcW w:w="0" w:type="auto"/>
            <w:shd w:val="clear" w:color="auto" w:fill="auto"/>
            <w:vAlign w:val="center"/>
          </w:tcPr>
          <w:p w14:paraId="6C2A596F">
            <w:pPr>
              <w:pStyle w:val="34"/>
              <w:bidi w:val="0"/>
              <w:rPr>
                <w:rFonts w:hint="eastAsia"/>
                <w:color w:val="auto"/>
                <w:lang w:val="en-US" w:eastAsia="zh-CN"/>
              </w:rPr>
            </w:pPr>
            <w:r>
              <w:rPr>
                <w:rFonts w:hint="eastAsia"/>
                <w:color w:val="auto"/>
                <w:lang w:val="en-US" w:eastAsia="zh-CN"/>
              </w:rPr>
              <w:t>0~0.2m</w:t>
            </w:r>
          </w:p>
        </w:tc>
        <w:tc>
          <w:tcPr>
            <w:tcW w:w="0" w:type="auto"/>
            <w:shd w:val="clear" w:color="auto" w:fill="auto"/>
            <w:vAlign w:val="center"/>
          </w:tcPr>
          <w:p w14:paraId="3FEEFFA1">
            <w:pPr>
              <w:pStyle w:val="34"/>
              <w:bidi w:val="0"/>
              <w:rPr>
                <w:rFonts w:hint="eastAsia"/>
                <w:color w:val="auto"/>
                <w:lang w:val="en-US" w:eastAsia="zh-CN"/>
              </w:rPr>
            </w:pPr>
            <w:r>
              <w:rPr>
                <w:rFonts w:hint="eastAsia"/>
                <w:color w:val="auto"/>
                <w:lang w:val="en-US" w:eastAsia="zh-CN"/>
              </w:rPr>
              <w:t>0~0.2m</w:t>
            </w:r>
          </w:p>
        </w:tc>
        <w:tc>
          <w:tcPr>
            <w:tcW w:w="0" w:type="auto"/>
            <w:shd w:val="clear" w:color="auto" w:fill="auto"/>
            <w:vAlign w:val="center"/>
          </w:tcPr>
          <w:p w14:paraId="5A8CC519">
            <w:pPr>
              <w:pStyle w:val="34"/>
              <w:bidi w:val="0"/>
              <w:rPr>
                <w:rFonts w:hint="eastAsia"/>
                <w:color w:val="auto"/>
                <w:lang w:val="en-US" w:eastAsia="zh-CN"/>
              </w:rPr>
            </w:pPr>
            <w:r>
              <w:rPr>
                <w:rFonts w:hint="eastAsia"/>
                <w:color w:val="auto"/>
                <w:lang w:val="en-US" w:eastAsia="zh-CN"/>
              </w:rPr>
              <w:t>0~0.2m</w:t>
            </w:r>
          </w:p>
        </w:tc>
      </w:tr>
      <w:tr w14:paraId="6E03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61B0B03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现场记录</w:t>
            </w:r>
          </w:p>
        </w:tc>
        <w:tc>
          <w:tcPr>
            <w:tcW w:w="0" w:type="auto"/>
            <w:shd w:val="clear" w:color="auto" w:fill="auto"/>
            <w:vAlign w:val="center"/>
          </w:tcPr>
          <w:p w14:paraId="773F0E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颜色</w:t>
            </w:r>
          </w:p>
        </w:tc>
        <w:tc>
          <w:tcPr>
            <w:tcW w:w="1740" w:type="dxa"/>
            <w:vAlign w:val="center"/>
          </w:tcPr>
          <w:p w14:paraId="6F0F96D8">
            <w:pPr>
              <w:pStyle w:val="34"/>
              <w:bidi w:val="0"/>
              <w:rPr>
                <w:rFonts w:hint="eastAsia"/>
                <w:color w:val="auto"/>
                <w:lang w:val="en-US" w:eastAsia="zh-CN"/>
              </w:rPr>
            </w:pPr>
            <w:r>
              <w:rPr>
                <w:rFonts w:hint="default"/>
                <w:color w:val="auto"/>
                <w:lang w:val="en-US" w:eastAsia="zh-CN"/>
              </w:rPr>
              <w:t>黄棕</w:t>
            </w:r>
          </w:p>
        </w:tc>
        <w:tc>
          <w:tcPr>
            <w:tcW w:w="1830" w:type="dxa"/>
            <w:vAlign w:val="center"/>
          </w:tcPr>
          <w:p w14:paraId="35EC4074">
            <w:pPr>
              <w:pStyle w:val="34"/>
              <w:bidi w:val="0"/>
              <w:rPr>
                <w:rFonts w:hint="eastAsia"/>
                <w:color w:val="auto"/>
                <w:lang w:val="en-US" w:eastAsia="zh-CN"/>
              </w:rPr>
            </w:pPr>
            <w:r>
              <w:rPr>
                <w:rFonts w:hint="default"/>
                <w:color w:val="auto"/>
                <w:lang w:val="en-US" w:eastAsia="zh-CN"/>
              </w:rPr>
              <w:t>黄棕</w:t>
            </w:r>
          </w:p>
        </w:tc>
        <w:tc>
          <w:tcPr>
            <w:tcW w:w="1808" w:type="dxa"/>
            <w:vAlign w:val="center"/>
          </w:tcPr>
          <w:p w14:paraId="4933E1F3">
            <w:pPr>
              <w:pStyle w:val="34"/>
              <w:bidi w:val="0"/>
              <w:rPr>
                <w:rFonts w:hint="eastAsia"/>
                <w:color w:val="auto"/>
                <w:lang w:val="en-US" w:eastAsia="zh-CN"/>
              </w:rPr>
            </w:pPr>
            <w:r>
              <w:rPr>
                <w:rFonts w:hint="default"/>
                <w:color w:val="auto"/>
                <w:lang w:val="en-US" w:eastAsia="zh-CN"/>
              </w:rPr>
              <w:t>黄棕</w:t>
            </w:r>
          </w:p>
        </w:tc>
      </w:tr>
      <w:tr w14:paraId="08A3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9858A8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2CC534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结构</w:t>
            </w:r>
          </w:p>
        </w:tc>
        <w:tc>
          <w:tcPr>
            <w:tcW w:w="1740" w:type="dxa"/>
            <w:vAlign w:val="center"/>
          </w:tcPr>
          <w:p w14:paraId="5436C280">
            <w:pPr>
              <w:pStyle w:val="34"/>
              <w:bidi w:val="0"/>
              <w:rPr>
                <w:rFonts w:hint="eastAsia"/>
                <w:color w:val="auto"/>
                <w:lang w:val="en-US" w:eastAsia="zh-CN"/>
              </w:rPr>
            </w:pPr>
            <w:r>
              <w:rPr>
                <w:rFonts w:hint="eastAsia"/>
                <w:color w:val="auto"/>
                <w:lang w:val="en-US" w:eastAsia="zh-CN"/>
              </w:rPr>
              <w:t>固体</w:t>
            </w:r>
          </w:p>
        </w:tc>
        <w:tc>
          <w:tcPr>
            <w:tcW w:w="1830" w:type="dxa"/>
            <w:vAlign w:val="center"/>
          </w:tcPr>
          <w:p w14:paraId="6046E2E1">
            <w:pPr>
              <w:pStyle w:val="34"/>
              <w:bidi w:val="0"/>
              <w:rPr>
                <w:rFonts w:hint="eastAsia"/>
                <w:color w:val="auto"/>
                <w:lang w:val="en-US" w:eastAsia="zh-CN"/>
              </w:rPr>
            </w:pPr>
            <w:r>
              <w:rPr>
                <w:rFonts w:hint="eastAsia"/>
                <w:color w:val="auto"/>
                <w:lang w:val="en-US" w:eastAsia="zh-CN"/>
              </w:rPr>
              <w:t>固体</w:t>
            </w:r>
          </w:p>
        </w:tc>
        <w:tc>
          <w:tcPr>
            <w:tcW w:w="1808" w:type="dxa"/>
            <w:vAlign w:val="center"/>
          </w:tcPr>
          <w:p w14:paraId="622D06CC">
            <w:pPr>
              <w:pStyle w:val="34"/>
              <w:bidi w:val="0"/>
              <w:rPr>
                <w:rFonts w:hint="eastAsia"/>
                <w:color w:val="auto"/>
                <w:lang w:val="en-US" w:eastAsia="zh-CN"/>
              </w:rPr>
            </w:pPr>
            <w:r>
              <w:rPr>
                <w:rFonts w:hint="eastAsia"/>
                <w:color w:val="auto"/>
                <w:lang w:val="en-US" w:eastAsia="zh-CN"/>
              </w:rPr>
              <w:t>固体</w:t>
            </w:r>
          </w:p>
        </w:tc>
      </w:tr>
      <w:tr w14:paraId="0B9B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70BADC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14D471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质地</w:t>
            </w:r>
          </w:p>
        </w:tc>
        <w:tc>
          <w:tcPr>
            <w:tcW w:w="1740" w:type="dxa"/>
            <w:vAlign w:val="center"/>
          </w:tcPr>
          <w:p w14:paraId="67A0FB04">
            <w:pPr>
              <w:pStyle w:val="34"/>
              <w:bidi w:val="0"/>
              <w:rPr>
                <w:rFonts w:hint="eastAsia"/>
                <w:color w:val="auto"/>
                <w:lang w:val="en-US" w:eastAsia="zh-CN"/>
              </w:rPr>
            </w:pPr>
            <w:r>
              <w:rPr>
                <w:rFonts w:hint="default"/>
                <w:color w:val="auto"/>
                <w:lang w:val="en-US" w:eastAsia="zh-CN"/>
              </w:rPr>
              <w:t>砂土</w:t>
            </w:r>
          </w:p>
        </w:tc>
        <w:tc>
          <w:tcPr>
            <w:tcW w:w="1830" w:type="dxa"/>
            <w:vAlign w:val="center"/>
          </w:tcPr>
          <w:p w14:paraId="0A60BFB6">
            <w:pPr>
              <w:pStyle w:val="34"/>
              <w:bidi w:val="0"/>
              <w:rPr>
                <w:rFonts w:hint="eastAsia"/>
                <w:color w:val="auto"/>
                <w:lang w:val="en-US" w:eastAsia="zh-CN"/>
              </w:rPr>
            </w:pPr>
            <w:r>
              <w:rPr>
                <w:rFonts w:hint="default"/>
                <w:color w:val="auto"/>
                <w:lang w:val="en-US" w:eastAsia="zh-CN"/>
              </w:rPr>
              <w:t>砂土</w:t>
            </w:r>
          </w:p>
        </w:tc>
        <w:tc>
          <w:tcPr>
            <w:tcW w:w="1808" w:type="dxa"/>
            <w:vAlign w:val="center"/>
          </w:tcPr>
          <w:p w14:paraId="79E6FB67">
            <w:pPr>
              <w:pStyle w:val="34"/>
              <w:bidi w:val="0"/>
              <w:rPr>
                <w:rFonts w:hint="eastAsia"/>
                <w:color w:val="auto"/>
                <w:lang w:val="en-US" w:eastAsia="zh-CN"/>
              </w:rPr>
            </w:pPr>
            <w:r>
              <w:rPr>
                <w:rFonts w:hint="default"/>
                <w:color w:val="auto"/>
                <w:lang w:val="en-US" w:eastAsia="zh-CN"/>
              </w:rPr>
              <w:t>砂土</w:t>
            </w:r>
          </w:p>
        </w:tc>
      </w:tr>
      <w:tr w14:paraId="7CF3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0E00A2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4E80C5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砂砾含量</w:t>
            </w:r>
          </w:p>
        </w:tc>
        <w:tc>
          <w:tcPr>
            <w:tcW w:w="1740" w:type="dxa"/>
            <w:vAlign w:val="center"/>
          </w:tcPr>
          <w:p w14:paraId="72485620">
            <w:pPr>
              <w:pStyle w:val="34"/>
              <w:bidi w:val="0"/>
              <w:rPr>
                <w:rFonts w:hint="eastAsia"/>
                <w:color w:val="auto"/>
                <w:lang w:val="en-US" w:eastAsia="zh-CN"/>
              </w:rPr>
            </w:pPr>
            <w:r>
              <w:rPr>
                <w:rFonts w:hint="eastAsia"/>
                <w:color w:val="auto"/>
                <w:lang w:val="en-US" w:eastAsia="zh-CN"/>
              </w:rPr>
              <w:t>90</w:t>
            </w:r>
          </w:p>
        </w:tc>
        <w:tc>
          <w:tcPr>
            <w:tcW w:w="1830" w:type="dxa"/>
            <w:vAlign w:val="center"/>
          </w:tcPr>
          <w:p w14:paraId="3AC52157">
            <w:pPr>
              <w:pStyle w:val="34"/>
              <w:bidi w:val="0"/>
              <w:rPr>
                <w:rFonts w:hint="eastAsia"/>
                <w:color w:val="auto"/>
                <w:lang w:val="en-US" w:eastAsia="zh-CN"/>
              </w:rPr>
            </w:pPr>
            <w:r>
              <w:rPr>
                <w:rFonts w:hint="eastAsia"/>
                <w:color w:val="auto"/>
                <w:lang w:val="en-US" w:eastAsia="zh-CN"/>
              </w:rPr>
              <w:t>90</w:t>
            </w:r>
          </w:p>
        </w:tc>
        <w:tc>
          <w:tcPr>
            <w:tcW w:w="1808" w:type="dxa"/>
            <w:vAlign w:val="center"/>
          </w:tcPr>
          <w:p w14:paraId="2F46FAEF">
            <w:pPr>
              <w:pStyle w:val="34"/>
              <w:bidi w:val="0"/>
              <w:rPr>
                <w:rFonts w:hint="eastAsia"/>
                <w:color w:val="auto"/>
                <w:lang w:val="en-US" w:eastAsia="zh-CN"/>
              </w:rPr>
            </w:pPr>
            <w:r>
              <w:rPr>
                <w:rFonts w:hint="eastAsia"/>
                <w:color w:val="auto"/>
                <w:lang w:val="en-US" w:eastAsia="zh-CN"/>
              </w:rPr>
              <w:t>90</w:t>
            </w:r>
          </w:p>
        </w:tc>
      </w:tr>
      <w:tr w14:paraId="3ED0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01154D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43234D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其他异物</w:t>
            </w:r>
          </w:p>
        </w:tc>
        <w:tc>
          <w:tcPr>
            <w:tcW w:w="1740" w:type="dxa"/>
            <w:vAlign w:val="center"/>
          </w:tcPr>
          <w:p w14:paraId="5C81D48D">
            <w:pPr>
              <w:pStyle w:val="34"/>
              <w:bidi w:val="0"/>
              <w:rPr>
                <w:rFonts w:hint="eastAsia"/>
                <w:color w:val="auto"/>
                <w:lang w:val="en-US" w:eastAsia="zh-CN"/>
              </w:rPr>
            </w:pPr>
            <w:r>
              <w:rPr>
                <w:rFonts w:hint="eastAsia"/>
                <w:color w:val="auto"/>
                <w:lang w:val="en-US" w:eastAsia="zh-CN"/>
              </w:rPr>
              <w:t>/</w:t>
            </w:r>
          </w:p>
        </w:tc>
        <w:tc>
          <w:tcPr>
            <w:tcW w:w="1830" w:type="dxa"/>
            <w:vAlign w:val="center"/>
          </w:tcPr>
          <w:p w14:paraId="5CF4B1C3">
            <w:pPr>
              <w:pStyle w:val="34"/>
              <w:bidi w:val="0"/>
              <w:rPr>
                <w:rFonts w:hint="eastAsia"/>
                <w:color w:val="auto"/>
                <w:lang w:val="en-US" w:eastAsia="zh-CN"/>
              </w:rPr>
            </w:pPr>
            <w:r>
              <w:rPr>
                <w:rFonts w:hint="eastAsia"/>
                <w:color w:val="auto"/>
                <w:lang w:val="en-US" w:eastAsia="zh-CN"/>
              </w:rPr>
              <w:t>/</w:t>
            </w:r>
          </w:p>
        </w:tc>
        <w:tc>
          <w:tcPr>
            <w:tcW w:w="1808" w:type="dxa"/>
            <w:vAlign w:val="center"/>
          </w:tcPr>
          <w:p w14:paraId="5B8ABDAC">
            <w:pPr>
              <w:pStyle w:val="34"/>
              <w:bidi w:val="0"/>
              <w:rPr>
                <w:rFonts w:hint="eastAsia"/>
                <w:color w:val="auto"/>
                <w:lang w:val="en-US" w:eastAsia="zh-CN"/>
              </w:rPr>
            </w:pPr>
            <w:r>
              <w:rPr>
                <w:rFonts w:hint="eastAsia"/>
                <w:color w:val="auto"/>
                <w:lang w:val="en-US" w:eastAsia="zh-CN"/>
              </w:rPr>
              <w:t>/</w:t>
            </w:r>
          </w:p>
        </w:tc>
      </w:tr>
      <w:tr w14:paraId="2482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1CE40E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实验室测定</w:t>
            </w:r>
          </w:p>
        </w:tc>
        <w:tc>
          <w:tcPr>
            <w:tcW w:w="0" w:type="auto"/>
            <w:shd w:val="clear" w:color="auto" w:fill="auto"/>
            <w:vAlign w:val="center"/>
          </w:tcPr>
          <w:p w14:paraId="33D18B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pH</w:t>
            </w:r>
          </w:p>
        </w:tc>
        <w:tc>
          <w:tcPr>
            <w:tcW w:w="1740" w:type="dxa"/>
            <w:vAlign w:val="center"/>
          </w:tcPr>
          <w:p w14:paraId="0FEA4FCF">
            <w:pPr>
              <w:pStyle w:val="34"/>
              <w:bidi w:val="0"/>
              <w:rPr>
                <w:rFonts w:hint="eastAsia"/>
                <w:color w:val="auto"/>
                <w:lang w:val="en-US" w:eastAsia="zh-CN"/>
              </w:rPr>
            </w:pPr>
            <w:r>
              <w:rPr>
                <w:rFonts w:hint="eastAsia"/>
                <w:color w:val="auto"/>
                <w:lang w:val="en-US" w:eastAsia="zh-CN"/>
              </w:rPr>
              <w:t>8.36</w:t>
            </w:r>
          </w:p>
        </w:tc>
        <w:tc>
          <w:tcPr>
            <w:tcW w:w="1830" w:type="dxa"/>
            <w:vAlign w:val="center"/>
          </w:tcPr>
          <w:p w14:paraId="4AABDD69">
            <w:pPr>
              <w:pStyle w:val="34"/>
              <w:bidi w:val="0"/>
              <w:rPr>
                <w:rFonts w:hint="eastAsia"/>
                <w:color w:val="auto"/>
                <w:lang w:val="en-US" w:eastAsia="zh-CN"/>
              </w:rPr>
            </w:pPr>
            <w:r>
              <w:rPr>
                <w:rFonts w:hint="eastAsia"/>
                <w:color w:val="auto"/>
                <w:lang w:val="en-US" w:eastAsia="zh-CN"/>
              </w:rPr>
              <w:t>8.32</w:t>
            </w:r>
          </w:p>
        </w:tc>
        <w:tc>
          <w:tcPr>
            <w:tcW w:w="1808" w:type="dxa"/>
            <w:vAlign w:val="center"/>
          </w:tcPr>
          <w:p w14:paraId="0F9D183A">
            <w:pPr>
              <w:pStyle w:val="34"/>
              <w:bidi w:val="0"/>
              <w:rPr>
                <w:rFonts w:hint="eastAsia"/>
                <w:color w:val="auto"/>
                <w:lang w:val="en-US" w:eastAsia="zh-CN"/>
              </w:rPr>
            </w:pPr>
            <w:r>
              <w:rPr>
                <w:rFonts w:hint="eastAsia"/>
                <w:color w:val="auto"/>
                <w:lang w:val="en-US" w:eastAsia="zh-CN"/>
              </w:rPr>
              <w:t>8.32</w:t>
            </w:r>
          </w:p>
        </w:tc>
      </w:tr>
      <w:tr w14:paraId="18EF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6A32BC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016F631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阳离子交换量</w:t>
            </w:r>
          </w:p>
        </w:tc>
        <w:tc>
          <w:tcPr>
            <w:tcW w:w="1740" w:type="dxa"/>
            <w:vAlign w:val="center"/>
          </w:tcPr>
          <w:p w14:paraId="6AF8E83B">
            <w:pPr>
              <w:pStyle w:val="34"/>
              <w:bidi w:val="0"/>
              <w:rPr>
                <w:rFonts w:hint="eastAsia"/>
                <w:color w:val="auto"/>
                <w:lang w:val="en-US" w:eastAsia="zh-CN"/>
              </w:rPr>
            </w:pPr>
            <w:r>
              <w:rPr>
                <w:rFonts w:hint="eastAsia"/>
                <w:color w:val="auto"/>
                <w:lang w:val="en-US" w:eastAsia="zh-CN"/>
              </w:rPr>
              <w:t>8.2</w:t>
            </w:r>
          </w:p>
        </w:tc>
        <w:tc>
          <w:tcPr>
            <w:tcW w:w="1830" w:type="dxa"/>
            <w:vAlign w:val="center"/>
          </w:tcPr>
          <w:p w14:paraId="00E58090">
            <w:pPr>
              <w:pStyle w:val="34"/>
              <w:bidi w:val="0"/>
              <w:rPr>
                <w:rFonts w:hint="eastAsia"/>
                <w:color w:val="auto"/>
                <w:lang w:val="en-US" w:eastAsia="zh-CN"/>
              </w:rPr>
            </w:pPr>
            <w:r>
              <w:rPr>
                <w:rFonts w:hint="eastAsia"/>
                <w:color w:val="auto"/>
                <w:lang w:val="en-US" w:eastAsia="zh-CN"/>
              </w:rPr>
              <w:t>8.0</w:t>
            </w:r>
          </w:p>
        </w:tc>
        <w:tc>
          <w:tcPr>
            <w:tcW w:w="1808" w:type="dxa"/>
            <w:vAlign w:val="center"/>
          </w:tcPr>
          <w:p w14:paraId="5C1C7DB6">
            <w:pPr>
              <w:pStyle w:val="34"/>
              <w:bidi w:val="0"/>
              <w:rPr>
                <w:rFonts w:hint="eastAsia"/>
                <w:color w:val="auto"/>
                <w:lang w:val="en-US" w:eastAsia="zh-CN"/>
              </w:rPr>
            </w:pPr>
            <w:r>
              <w:rPr>
                <w:rFonts w:hint="eastAsia"/>
                <w:color w:val="auto"/>
                <w:lang w:val="en-US" w:eastAsia="zh-CN"/>
              </w:rPr>
              <w:t>8.0</w:t>
            </w:r>
          </w:p>
        </w:tc>
      </w:tr>
      <w:tr w14:paraId="7C27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98070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7D08B21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氧化还原电位</w:t>
            </w:r>
          </w:p>
        </w:tc>
        <w:tc>
          <w:tcPr>
            <w:tcW w:w="1740" w:type="dxa"/>
            <w:vAlign w:val="center"/>
          </w:tcPr>
          <w:p w14:paraId="6A2F0A0C">
            <w:pPr>
              <w:pStyle w:val="34"/>
              <w:bidi w:val="0"/>
              <w:rPr>
                <w:rFonts w:hint="eastAsia"/>
                <w:color w:val="auto"/>
                <w:lang w:val="en-US" w:eastAsia="zh-CN"/>
              </w:rPr>
            </w:pPr>
            <w:r>
              <w:rPr>
                <w:rFonts w:hint="eastAsia"/>
                <w:color w:val="auto"/>
                <w:lang w:val="en-US" w:eastAsia="zh-CN"/>
              </w:rPr>
              <w:t>406</w:t>
            </w:r>
          </w:p>
        </w:tc>
        <w:tc>
          <w:tcPr>
            <w:tcW w:w="1830" w:type="dxa"/>
            <w:vAlign w:val="center"/>
          </w:tcPr>
          <w:p w14:paraId="093CDF83">
            <w:pPr>
              <w:pStyle w:val="34"/>
              <w:bidi w:val="0"/>
              <w:rPr>
                <w:rFonts w:hint="eastAsia"/>
                <w:color w:val="auto"/>
                <w:lang w:val="en-US" w:eastAsia="zh-CN"/>
              </w:rPr>
            </w:pPr>
            <w:r>
              <w:rPr>
                <w:rFonts w:hint="eastAsia"/>
                <w:color w:val="auto"/>
                <w:lang w:val="en-US" w:eastAsia="zh-CN"/>
              </w:rPr>
              <w:t>396</w:t>
            </w:r>
          </w:p>
        </w:tc>
        <w:tc>
          <w:tcPr>
            <w:tcW w:w="1808" w:type="dxa"/>
            <w:vAlign w:val="center"/>
          </w:tcPr>
          <w:p w14:paraId="540E2222">
            <w:pPr>
              <w:pStyle w:val="34"/>
              <w:bidi w:val="0"/>
              <w:rPr>
                <w:rFonts w:hint="eastAsia"/>
                <w:color w:val="auto"/>
                <w:lang w:val="en-US" w:eastAsia="zh-CN"/>
              </w:rPr>
            </w:pPr>
            <w:r>
              <w:rPr>
                <w:rFonts w:hint="eastAsia"/>
                <w:color w:val="auto"/>
                <w:lang w:val="en-US" w:eastAsia="zh-CN"/>
              </w:rPr>
              <w:t>374</w:t>
            </w:r>
          </w:p>
        </w:tc>
      </w:tr>
      <w:tr w14:paraId="4462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3AC2BAC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09903E0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饱和导水率/(cm/s)</w:t>
            </w:r>
          </w:p>
        </w:tc>
        <w:tc>
          <w:tcPr>
            <w:tcW w:w="1740" w:type="dxa"/>
            <w:vAlign w:val="center"/>
          </w:tcPr>
          <w:p w14:paraId="73E81A21">
            <w:pPr>
              <w:pStyle w:val="34"/>
              <w:bidi w:val="0"/>
              <w:rPr>
                <w:rFonts w:hint="eastAsia"/>
                <w:color w:val="auto"/>
                <w:lang w:val="en-US" w:eastAsia="zh-CN"/>
              </w:rPr>
            </w:pPr>
            <w:r>
              <w:rPr>
                <w:rFonts w:hint="eastAsia"/>
                <w:color w:val="auto"/>
                <w:lang w:val="en-US" w:eastAsia="zh-CN"/>
              </w:rPr>
              <w:t>598</w:t>
            </w:r>
          </w:p>
        </w:tc>
        <w:tc>
          <w:tcPr>
            <w:tcW w:w="1830" w:type="dxa"/>
            <w:vAlign w:val="center"/>
          </w:tcPr>
          <w:p w14:paraId="67ADE36E">
            <w:pPr>
              <w:pStyle w:val="34"/>
              <w:bidi w:val="0"/>
              <w:rPr>
                <w:rFonts w:hint="eastAsia"/>
                <w:color w:val="auto"/>
                <w:lang w:val="en-US" w:eastAsia="zh-CN"/>
              </w:rPr>
            </w:pPr>
            <w:r>
              <w:rPr>
                <w:rFonts w:hint="eastAsia"/>
                <w:color w:val="auto"/>
                <w:lang w:val="en-US" w:eastAsia="zh-CN"/>
              </w:rPr>
              <w:t>564</w:t>
            </w:r>
          </w:p>
        </w:tc>
        <w:tc>
          <w:tcPr>
            <w:tcW w:w="1808" w:type="dxa"/>
            <w:vAlign w:val="center"/>
          </w:tcPr>
          <w:p w14:paraId="50F7DBCD">
            <w:pPr>
              <w:pStyle w:val="34"/>
              <w:bidi w:val="0"/>
              <w:rPr>
                <w:rFonts w:hint="eastAsia"/>
                <w:color w:val="auto"/>
                <w:lang w:val="en-US" w:eastAsia="zh-CN"/>
              </w:rPr>
            </w:pPr>
            <w:r>
              <w:rPr>
                <w:rFonts w:hint="eastAsia"/>
                <w:color w:val="auto"/>
                <w:lang w:val="en-US" w:eastAsia="zh-CN"/>
              </w:rPr>
              <w:t>533</w:t>
            </w:r>
          </w:p>
        </w:tc>
      </w:tr>
      <w:tr w14:paraId="6874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0002B1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65E7B67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土壤容重/(kg/m</w:t>
            </w:r>
            <w:r>
              <w:rPr>
                <w:rFonts w:hint="eastAsia" w:cs="Times New Roman"/>
                <w:color w:val="auto"/>
                <w:sz w:val="21"/>
                <w:szCs w:val="22"/>
                <w:vertAlign w:val="superscript"/>
                <w:lang w:val="en-US" w:eastAsia="zh-CN"/>
              </w:rPr>
              <w:t>3</w:t>
            </w:r>
            <w:r>
              <w:rPr>
                <w:rFonts w:hint="eastAsia" w:cs="Times New Roman"/>
                <w:color w:val="auto"/>
                <w:sz w:val="21"/>
                <w:szCs w:val="22"/>
                <w:vertAlign w:val="baseline"/>
                <w:lang w:val="en-US" w:eastAsia="zh-CN"/>
              </w:rPr>
              <w:t>)</w:t>
            </w:r>
          </w:p>
        </w:tc>
        <w:tc>
          <w:tcPr>
            <w:tcW w:w="1740" w:type="dxa"/>
            <w:vAlign w:val="center"/>
          </w:tcPr>
          <w:p w14:paraId="77EA05B8">
            <w:pPr>
              <w:pStyle w:val="34"/>
              <w:bidi w:val="0"/>
              <w:rPr>
                <w:rFonts w:hint="eastAsia"/>
                <w:color w:val="auto"/>
                <w:lang w:val="en-US" w:eastAsia="zh-CN"/>
              </w:rPr>
            </w:pPr>
            <w:r>
              <w:rPr>
                <w:rFonts w:hint="eastAsia"/>
                <w:color w:val="auto"/>
                <w:lang w:val="en-US" w:eastAsia="zh-CN"/>
              </w:rPr>
              <w:t>1.3</w:t>
            </w:r>
          </w:p>
        </w:tc>
        <w:tc>
          <w:tcPr>
            <w:tcW w:w="1830" w:type="dxa"/>
            <w:vAlign w:val="center"/>
          </w:tcPr>
          <w:p w14:paraId="65BBBC78">
            <w:pPr>
              <w:pStyle w:val="34"/>
              <w:bidi w:val="0"/>
              <w:rPr>
                <w:rFonts w:hint="eastAsia"/>
                <w:color w:val="auto"/>
                <w:lang w:val="en-US" w:eastAsia="zh-CN"/>
              </w:rPr>
            </w:pPr>
            <w:r>
              <w:rPr>
                <w:rFonts w:hint="eastAsia"/>
                <w:color w:val="auto"/>
                <w:lang w:val="en-US" w:eastAsia="zh-CN"/>
              </w:rPr>
              <w:t>1.3</w:t>
            </w:r>
          </w:p>
        </w:tc>
        <w:tc>
          <w:tcPr>
            <w:tcW w:w="1808" w:type="dxa"/>
            <w:vAlign w:val="center"/>
          </w:tcPr>
          <w:p w14:paraId="5490F924">
            <w:pPr>
              <w:pStyle w:val="34"/>
              <w:bidi w:val="0"/>
              <w:rPr>
                <w:rFonts w:hint="eastAsia"/>
                <w:color w:val="auto"/>
                <w:lang w:val="en-US" w:eastAsia="zh-CN"/>
              </w:rPr>
            </w:pPr>
            <w:r>
              <w:rPr>
                <w:rFonts w:hint="eastAsia"/>
                <w:color w:val="auto"/>
                <w:lang w:val="en-US" w:eastAsia="zh-CN"/>
              </w:rPr>
              <w:t>1.3</w:t>
            </w:r>
          </w:p>
        </w:tc>
      </w:tr>
      <w:tr w14:paraId="73C5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888EA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1639D78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孔隙度</w:t>
            </w:r>
          </w:p>
        </w:tc>
        <w:tc>
          <w:tcPr>
            <w:tcW w:w="1740" w:type="dxa"/>
            <w:vAlign w:val="center"/>
          </w:tcPr>
          <w:p w14:paraId="379F38F7">
            <w:pPr>
              <w:pStyle w:val="34"/>
              <w:bidi w:val="0"/>
              <w:rPr>
                <w:rFonts w:hint="eastAsia"/>
                <w:color w:val="auto"/>
                <w:lang w:val="en-US" w:eastAsia="zh-CN"/>
              </w:rPr>
            </w:pPr>
            <w:r>
              <w:rPr>
                <w:rFonts w:hint="eastAsia"/>
                <w:color w:val="auto"/>
                <w:lang w:val="en-US" w:eastAsia="zh-CN"/>
              </w:rPr>
              <w:t>31</w:t>
            </w:r>
          </w:p>
        </w:tc>
        <w:tc>
          <w:tcPr>
            <w:tcW w:w="1830" w:type="dxa"/>
            <w:vAlign w:val="center"/>
          </w:tcPr>
          <w:p w14:paraId="4E28286B">
            <w:pPr>
              <w:pStyle w:val="34"/>
              <w:bidi w:val="0"/>
              <w:rPr>
                <w:rFonts w:hint="eastAsia"/>
                <w:color w:val="auto"/>
                <w:lang w:val="en-US" w:eastAsia="zh-CN"/>
              </w:rPr>
            </w:pPr>
            <w:r>
              <w:rPr>
                <w:rFonts w:hint="eastAsia"/>
                <w:color w:val="auto"/>
                <w:lang w:val="en-US" w:eastAsia="zh-CN"/>
              </w:rPr>
              <w:t>31</w:t>
            </w:r>
          </w:p>
        </w:tc>
        <w:tc>
          <w:tcPr>
            <w:tcW w:w="1808" w:type="dxa"/>
            <w:vAlign w:val="center"/>
          </w:tcPr>
          <w:p w14:paraId="0A402816">
            <w:pPr>
              <w:pStyle w:val="34"/>
              <w:bidi w:val="0"/>
              <w:rPr>
                <w:rFonts w:hint="eastAsia"/>
                <w:color w:val="auto"/>
                <w:lang w:val="en-US" w:eastAsia="zh-CN"/>
              </w:rPr>
            </w:pPr>
            <w:r>
              <w:rPr>
                <w:rFonts w:hint="eastAsia"/>
                <w:color w:val="auto"/>
                <w:lang w:val="en-US" w:eastAsia="zh-CN"/>
              </w:rPr>
              <w:t>31</w:t>
            </w:r>
          </w:p>
        </w:tc>
      </w:tr>
      <w:tr w14:paraId="180F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146CC8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点号</w:t>
            </w:r>
          </w:p>
        </w:tc>
        <w:tc>
          <w:tcPr>
            <w:tcW w:w="0" w:type="auto"/>
            <w:vAlign w:val="center"/>
          </w:tcPr>
          <w:p w14:paraId="3F372A11">
            <w:pPr>
              <w:pStyle w:val="34"/>
              <w:bidi w:val="0"/>
              <w:rPr>
                <w:rFonts w:hint="default"/>
                <w:color w:val="auto"/>
                <w:lang w:val="en-US" w:eastAsia="zh-CN"/>
              </w:rPr>
            </w:pPr>
            <w:r>
              <w:rPr>
                <w:rFonts w:hint="eastAsia"/>
                <w:color w:val="auto"/>
                <w:lang w:val="en-US" w:eastAsia="zh-CN"/>
              </w:rPr>
              <w:t>T15</w:t>
            </w:r>
          </w:p>
        </w:tc>
        <w:tc>
          <w:tcPr>
            <w:tcW w:w="0" w:type="auto"/>
            <w:vAlign w:val="center"/>
          </w:tcPr>
          <w:p w14:paraId="3831DF4A">
            <w:pPr>
              <w:pStyle w:val="34"/>
              <w:bidi w:val="0"/>
              <w:rPr>
                <w:rFonts w:hint="default"/>
                <w:color w:val="auto"/>
                <w:lang w:val="en-US" w:eastAsia="zh-CN"/>
              </w:rPr>
            </w:pPr>
            <w:r>
              <w:rPr>
                <w:rFonts w:hint="eastAsia"/>
                <w:color w:val="auto"/>
                <w:lang w:val="en-US" w:eastAsia="zh-CN"/>
              </w:rPr>
              <w:t>T16</w:t>
            </w:r>
          </w:p>
        </w:tc>
        <w:tc>
          <w:tcPr>
            <w:tcW w:w="0" w:type="auto"/>
            <w:vAlign w:val="center"/>
          </w:tcPr>
          <w:p w14:paraId="0C223188">
            <w:pPr>
              <w:pStyle w:val="34"/>
              <w:bidi w:val="0"/>
              <w:rPr>
                <w:rFonts w:hint="default"/>
                <w:color w:val="auto"/>
                <w:lang w:val="en-US" w:eastAsia="zh-CN"/>
              </w:rPr>
            </w:pPr>
            <w:r>
              <w:rPr>
                <w:rFonts w:hint="eastAsia"/>
                <w:color w:val="auto"/>
                <w:lang w:val="en-US" w:eastAsia="zh-CN"/>
              </w:rPr>
              <w:t>/</w:t>
            </w:r>
          </w:p>
        </w:tc>
      </w:tr>
      <w:tr w14:paraId="4EFA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3B40E6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bidi="ar-SA"/>
              </w:rPr>
            </w:pPr>
            <w:r>
              <w:rPr>
                <w:rFonts w:hint="eastAsia" w:ascii="Times New Roman" w:hAnsi="Times New Roman" w:eastAsia="宋体" w:cs="Times New Roman"/>
                <w:color w:val="auto"/>
                <w:sz w:val="21"/>
                <w:szCs w:val="22"/>
                <w:vertAlign w:val="baseline"/>
                <w:lang w:val="en-US" w:eastAsia="zh-CN" w:bidi="ar-SA"/>
              </w:rPr>
              <w:t>经纬度</w:t>
            </w:r>
          </w:p>
        </w:tc>
        <w:tc>
          <w:tcPr>
            <w:tcW w:w="0" w:type="auto"/>
            <w:vAlign w:val="center"/>
          </w:tcPr>
          <w:p w14:paraId="680B4295">
            <w:pPr>
              <w:bidi w:val="0"/>
              <w:rPr>
                <w:rFonts w:hint="eastAsia" w:eastAsia="宋体" w:cs="Times New Roman"/>
                <w:color w:val="auto"/>
                <w:sz w:val="21"/>
                <w:szCs w:val="21"/>
                <w:lang w:val="en-US" w:eastAsia="zh-CN"/>
              </w:rPr>
            </w:pPr>
            <w:r>
              <w:rPr>
                <w:rFonts w:hint="eastAsia"/>
                <w:color w:val="auto"/>
                <w:lang w:val="en-US" w:eastAsia="zh-CN"/>
              </w:rPr>
              <w:t>******</w:t>
            </w:r>
          </w:p>
        </w:tc>
        <w:tc>
          <w:tcPr>
            <w:tcW w:w="0" w:type="auto"/>
            <w:vAlign w:val="center"/>
          </w:tcPr>
          <w:p w14:paraId="3FA0C33B">
            <w:pPr>
              <w:bidi w:val="0"/>
              <w:rPr>
                <w:rFonts w:hint="eastAsia" w:eastAsia="宋体" w:cs="Times New Roman"/>
                <w:color w:val="auto"/>
                <w:sz w:val="21"/>
                <w:szCs w:val="21"/>
                <w:highlight w:val="none"/>
                <w:lang w:val="en-US" w:eastAsia="zh-CN"/>
              </w:rPr>
            </w:pPr>
            <w:r>
              <w:rPr>
                <w:rFonts w:hint="eastAsia"/>
                <w:color w:val="auto"/>
                <w:lang w:val="en-US" w:eastAsia="zh-CN"/>
              </w:rPr>
              <w:t>******</w:t>
            </w:r>
          </w:p>
        </w:tc>
        <w:tc>
          <w:tcPr>
            <w:tcW w:w="0" w:type="auto"/>
            <w:vAlign w:val="center"/>
          </w:tcPr>
          <w:p w14:paraId="77803629">
            <w:pPr>
              <w:pStyle w:val="34"/>
              <w:bidi w:val="0"/>
              <w:rPr>
                <w:rFonts w:hint="eastAsia"/>
                <w:color w:val="auto"/>
                <w:lang w:val="en-US" w:eastAsia="zh-CN"/>
              </w:rPr>
            </w:pPr>
            <w:r>
              <w:rPr>
                <w:rFonts w:hint="eastAsia"/>
                <w:color w:val="auto"/>
                <w:lang w:val="en-US" w:eastAsia="zh-CN"/>
              </w:rPr>
              <w:t>/</w:t>
            </w:r>
          </w:p>
        </w:tc>
      </w:tr>
      <w:tr w14:paraId="11A5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4" w:type="dxa"/>
            <w:gridSpan w:val="2"/>
            <w:vAlign w:val="center"/>
          </w:tcPr>
          <w:p w14:paraId="41E356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层次</w:t>
            </w:r>
          </w:p>
        </w:tc>
        <w:tc>
          <w:tcPr>
            <w:tcW w:w="0" w:type="auto"/>
            <w:shd w:val="clear" w:color="auto" w:fill="auto"/>
            <w:vAlign w:val="center"/>
          </w:tcPr>
          <w:p w14:paraId="6153B584">
            <w:pPr>
              <w:pStyle w:val="34"/>
              <w:bidi w:val="0"/>
              <w:rPr>
                <w:rFonts w:hint="eastAsia"/>
                <w:color w:val="auto"/>
                <w:lang w:val="en-US" w:eastAsia="zh-CN"/>
              </w:rPr>
            </w:pPr>
            <w:r>
              <w:rPr>
                <w:rFonts w:hint="eastAsia"/>
                <w:color w:val="auto"/>
                <w:lang w:val="en-US" w:eastAsia="zh-CN"/>
              </w:rPr>
              <w:t>0~0.2m</w:t>
            </w:r>
          </w:p>
        </w:tc>
        <w:tc>
          <w:tcPr>
            <w:tcW w:w="0" w:type="auto"/>
            <w:shd w:val="clear" w:color="auto" w:fill="auto"/>
            <w:vAlign w:val="center"/>
          </w:tcPr>
          <w:p w14:paraId="3D113B82">
            <w:pPr>
              <w:pStyle w:val="34"/>
              <w:bidi w:val="0"/>
              <w:rPr>
                <w:rFonts w:hint="eastAsia"/>
                <w:color w:val="auto"/>
                <w:lang w:val="en-US" w:eastAsia="zh-CN"/>
              </w:rPr>
            </w:pPr>
            <w:r>
              <w:rPr>
                <w:rFonts w:hint="eastAsia"/>
                <w:color w:val="auto"/>
                <w:lang w:val="en-US" w:eastAsia="zh-CN"/>
              </w:rPr>
              <w:t>0~0.2m</w:t>
            </w:r>
          </w:p>
        </w:tc>
        <w:tc>
          <w:tcPr>
            <w:tcW w:w="0" w:type="auto"/>
            <w:vAlign w:val="center"/>
          </w:tcPr>
          <w:p w14:paraId="53DB9BA2">
            <w:pPr>
              <w:pStyle w:val="34"/>
              <w:bidi w:val="0"/>
              <w:rPr>
                <w:rFonts w:hint="eastAsia"/>
                <w:color w:val="auto"/>
                <w:lang w:val="en-US" w:eastAsia="zh-CN"/>
              </w:rPr>
            </w:pPr>
            <w:r>
              <w:rPr>
                <w:rFonts w:hint="eastAsia"/>
                <w:color w:val="auto"/>
                <w:lang w:val="en-US" w:eastAsia="zh-CN"/>
              </w:rPr>
              <w:t>/</w:t>
            </w:r>
          </w:p>
        </w:tc>
      </w:tr>
      <w:tr w14:paraId="71F3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195D03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现场记录</w:t>
            </w:r>
          </w:p>
        </w:tc>
        <w:tc>
          <w:tcPr>
            <w:tcW w:w="0" w:type="auto"/>
            <w:shd w:val="clear" w:color="auto" w:fill="auto"/>
            <w:vAlign w:val="center"/>
          </w:tcPr>
          <w:p w14:paraId="0E8B8F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颜色</w:t>
            </w:r>
          </w:p>
        </w:tc>
        <w:tc>
          <w:tcPr>
            <w:tcW w:w="1740" w:type="dxa"/>
            <w:vAlign w:val="center"/>
          </w:tcPr>
          <w:p w14:paraId="3A03B77D">
            <w:pPr>
              <w:pStyle w:val="34"/>
              <w:bidi w:val="0"/>
              <w:rPr>
                <w:rFonts w:hint="eastAsia"/>
                <w:color w:val="auto"/>
                <w:lang w:val="en-US" w:eastAsia="zh-CN"/>
              </w:rPr>
            </w:pPr>
            <w:r>
              <w:rPr>
                <w:rFonts w:hint="default"/>
                <w:color w:val="auto"/>
                <w:lang w:val="en-US" w:eastAsia="zh-CN"/>
              </w:rPr>
              <w:t>黄棕</w:t>
            </w:r>
          </w:p>
        </w:tc>
        <w:tc>
          <w:tcPr>
            <w:tcW w:w="1830" w:type="dxa"/>
            <w:vAlign w:val="center"/>
          </w:tcPr>
          <w:p w14:paraId="07B46D88">
            <w:pPr>
              <w:pStyle w:val="34"/>
              <w:bidi w:val="0"/>
              <w:rPr>
                <w:rFonts w:hint="eastAsia"/>
                <w:color w:val="auto"/>
                <w:lang w:val="en-US" w:eastAsia="zh-CN"/>
              </w:rPr>
            </w:pPr>
            <w:r>
              <w:rPr>
                <w:rFonts w:hint="default"/>
                <w:color w:val="auto"/>
                <w:lang w:val="en-US" w:eastAsia="zh-CN"/>
              </w:rPr>
              <w:t>黄棕</w:t>
            </w:r>
          </w:p>
        </w:tc>
        <w:tc>
          <w:tcPr>
            <w:tcW w:w="1808" w:type="dxa"/>
            <w:vAlign w:val="center"/>
          </w:tcPr>
          <w:p w14:paraId="61A026F8">
            <w:pPr>
              <w:pStyle w:val="34"/>
              <w:bidi w:val="0"/>
              <w:rPr>
                <w:rFonts w:hint="eastAsia"/>
                <w:color w:val="auto"/>
                <w:lang w:val="en-US" w:eastAsia="zh-CN"/>
              </w:rPr>
            </w:pPr>
            <w:r>
              <w:rPr>
                <w:rFonts w:hint="eastAsia"/>
                <w:color w:val="auto"/>
                <w:lang w:val="en-US" w:eastAsia="zh-CN"/>
              </w:rPr>
              <w:t>/</w:t>
            </w:r>
          </w:p>
        </w:tc>
      </w:tr>
      <w:tr w14:paraId="6495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27FD81F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45F591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结构</w:t>
            </w:r>
          </w:p>
        </w:tc>
        <w:tc>
          <w:tcPr>
            <w:tcW w:w="1740" w:type="dxa"/>
            <w:vAlign w:val="center"/>
          </w:tcPr>
          <w:p w14:paraId="32D9F3A6">
            <w:pPr>
              <w:pStyle w:val="34"/>
              <w:bidi w:val="0"/>
              <w:rPr>
                <w:rFonts w:hint="eastAsia"/>
                <w:color w:val="auto"/>
                <w:lang w:val="en-US" w:eastAsia="zh-CN"/>
              </w:rPr>
            </w:pPr>
            <w:r>
              <w:rPr>
                <w:rFonts w:hint="eastAsia"/>
                <w:color w:val="auto"/>
                <w:lang w:val="en-US" w:eastAsia="zh-CN"/>
              </w:rPr>
              <w:t>固体</w:t>
            </w:r>
          </w:p>
        </w:tc>
        <w:tc>
          <w:tcPr>
            <w:tcW w:w="1830" w:type="dxa"/>
            <w:vAlign w:val="center"/>
          </w:tcPr>
          <w:p w14:paraId="25FDE766">
            <w:pPr>
              <w:pStyle w:val="34"/>
              <w:bidi w:val="0"/>
              <w:rPr>
                <w:rFonts w:hint="eastAsia"/>
                <w:color w:val="auto"/>
                <w:lang w:val="en-US" w:eastAsia="zh-CN"/>
              </w:rPr>
            </w:pPr>
            <w:r>
              <w:rPr>
                <w:rFonts w:hint="eastAsia"/>
                <w:color w:val="auto"/>
                <w:lang w:val="en-US" w:eastAsia="zh-CN"/>
              </w:rPr>
              <w:t>固体</w:t>
            </w:r>
          </w:p>
        </w:tc>
        <w:tc>
          <w:tcPr>
            <w:tcW w:w="1808" w:type="dxa"/>
            <w:vAlign w:val="center"/>
          </w:tcPr>
          <w:p w14:paraId="502E9EA0">
            <w:pPr>
              <w:pStyle w:val="34"/>
              <w:bidi w:val="0"/>
              <w:rPr>
                <w:rFonts w:hint="eastAsia"/>
                <w:color w:val="auto"/>
                <w:lang w:val="en-US" w:eastAsia="zh-CN"/>
              </w:rPr>
            </w:pPr>
            <w:r>
              <w:rPr>
                <w:rFonts w:hint="eastAsia"/>
                <w:color w:val="auto"/>
                <w:lang w:val="en-US" w:eastAsia="zh-CN"/>
              </w:rPr>
              <w:t>/</w:t>
            </w:r>
          </w:p>
        </w:tc>
      </w:tr>
      <w:tr w14:paraId="4588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7B48C6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2D9D8F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质地</w:t>
            </w:r>
          </w:p>
        </w:tc>
        <w:tc>
          <w:tcPr>
            <w:tcW w:w="1740" w:type="dxa"/>
            <w:vAlign w:val="center"/>
          </w:tcPr>
          <w:p w14:paraId="1E493731">
            <w:pPr>
              <w:pStyle w:val="34"/>
              <w:bidi w:val="0"/>
              <w:rPr>
                <w:rFonts w:hint="eastAsia"/>
                <w:color w:val="auto"/>
                <w:lang w:val="en-US" w:eastAsia="zh-CN"/>
              </w:rPr>
            </w:pPr>
            <w:r>
              <w:rPr>
                <w:rFonts w:hint="default"/>
                <w:color w:val="auto"/>
                <w:lang w:val="en-US" w:eastAsia="zh-CN"/>
              </w:rPr>
              <w:t>砂土</w:t>
            </w:r>
          </w:p>
        </w:tc>
        <w:tc>
          <w:tcPr>
            <w:tcW w:w="1830" w:type="dxa"/>
            <w:vAlign w:val="center"/>
          </w:tcPr>
          <w:p w14:paraId="7AA6C877">
            <w:pPr>
              <w:pStyle w:val="34"/>
              <w:bidi w:val="0"/>
              <w:rPr>
                <w:rFonts w:hint="eastAsia"/>
                <w:color w:val="auto"/>
                <w:lang w:val="en-US" w:eastAsia="zh-CN"/>
              </w:rPr>
            </w:pPr>
            <w:r>
              <w:rPr>
                <w:rFonts w:hint="default"/>
                <w:color w:val="auto"/>
                <w:lang w:val="en-US" w:eastAsia="zh-CN"/>
              </w:rPr>
              <w:t>砂土</w:t>
            </w:r>
          </w:p>
        </w:tc>
        <w:tc>
          <w:tcPr>
            <w:tcW w:w="1808" w:type="dxa"/>
            <w:vAlign w:val="center"/>
          </w:tcPr>
          <w:p w14:paraId="4E85D095">
            <w:pPr>
              <w:pStyle w:val="34"/>
              <w:bidi w:val="0"/>
              <w:rPr>
                <w:rFonts w:hint="eastAsia"/>
                <w:color w:val="auto"/>
                <w:lang w:val="en-US" w:eastAsia="zh-CN"/>
              </w:rPr>
            </w:pPr>
            <w:r>
              <w:rPr>
                <w:rFonts w:hint="eastAsia"/>
                <w:color w:val="auto"/>
                <w:lang w:val="en-US" w:eastAsia="zh-CN"/>
              </w:rPr>
              <w:t>/</w:t>
            </w:r>
          </w:p>
        </w:tc>
      </w:tr>
      <w:tr w14:paraId="44B4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A5853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6CBD707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砂砾含量</w:t>
            </w:r>
          </w:p>
        </w:tc>
        <w:tc>
          <w:tcPr>
            <w:tcW w:w="1740" w:type="dxa"/>
            <w:vAlign w:val="center"/>
          </w:tcPr>
          <w:p w14:paraId="3D8CF446">
            <w:pPr>
              <w:pStyle w:val="34"/>
              <w:bidi w:val="0"/>
              <w:rPr>
                <w:rFonts w:hint="eastAsia"/>
                <w:color w:val="auto"/>
                <w:lang w:val="en-US" w:eastAsia="zh-CN"/>
              </w:rPr>
            </w:pPr>
            <w:r>
              <w:rPr>
                <w:rFonts w:hint="eastAsia"/>
                <w:color w:val="auto"/>
                <w:lang w:val="en-US" w:eastAsia="zh-CN"/>
              </w:rPr>
              <w:t>90</w:t>
            </w:r>
          </w:p>
        </w:tc>
        <w:tc>
          <w:tcPr>
            <w:tcW w:w="1830" w:type="dxa"/>
            <w:vAlign w:val="center"/>
          </w:tcPr>
          <w:p w14:paraId="1E3FA224">
            <w:pPr>
              <w:pStyle w:val="34"/>
              <w:bidi w:val="0"/>
              <w:rPr>
                <w:rFonts w:hint="eastAsia"/>
                <w:color w:val="auto"/>
                <w:lang w:val="en-US" w:eastAsia="zh-CN"/>
              </w:rPr>
            </w:pPr>
            <w:r>
              <w:rPr>
                <w:rFonts w:hint="eastAsia"/>
                <w:color w:val="auto"/>
                <w:lang w:val="en-US" w:eastAsia="zh-CN"/>
              </w:rPr>
              <w:t>90</w:t>
            </w:r>
          </w:p>
        </w:tc>
        <w:tc>
          <w:tcPr>
            <w:tcW w:w="1808" w:type="dxa"/>
            <w:vAlign w:val="center"/>
          </w:tcPr>
          <w:p w14:paraId="12760260">
            <w:pPr>
              <w:pStyle w:val="34"/>
              <w:bidi w:val="0"/>
              <w:rPr>
                <w:rFonts w:hint="eastAsia"/>
                <w:color w:val="auto"/>
                <w:lang w:val="en-US" w:eastAsia="zh-CN"/>
              </w:rPr>
            </w:pPr>
            <w:r>
              <w:rPr>
                <w:rFonts w:hint="eastAsia"/>
                <w:color w:val="auto"/>
                <w:lang w:val="en-US" w:eastAsia="zh-CN"/>
              </w:rPr>
              <w:t>/</w:t>
            </w:r>
          </w:p>
        </w:tc>
      </w:tr>
      <w:tr w14:paraId="6E3D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51C56B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734A1A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其他异物</w:t>
            </w:r>
          </w:p>
        </w:tc>
        <w:tc>
          <w:tcPr>
            <w:tcW w:w="1740" w:type="dxa"/>
            <w:vAlign w:val="center"/>
          </w:tcPr>
          <w:p w14:paraId="147CB4EE">
            <w:pPr>
              <w:pStyle w:val="34"/>
              <w:bidi w:val="0"/>
              <w:rPr>
                <w:rFonts w:hint="eastAsia"/>
                <w:color w:val="auto"/>
                <w:lang w:val="en-US" w:eastAsia="zh-CN"/>
              </w:rPr>
            </w:pPr>
            <w:r>
              <w:rPr>
                <w:rFonts w:hint="eastAsia"/>
                <w:color w:val="auto"/>
                <w:lang w:val="en-US" w:eastAsia="zh-CN"/>
              </w:rPr>
              <w:t>/</w:t>
            </w:r>
          </w:p>
        </w:tc>
        <w:tc>
          <w:tcPr>
            <w:tcW w:w="1830" w:type="dxa"/>
            <w:vAlign w:val="center"/>
          </w:tcPr>
          <w:p w14:paraId="16D916D4">
            <w:pPr>
              <w:pStyle w:val="34"/>
              <w:bidi w:val="0"/>
              <w:rPr>
                <w:rFonts w:hint="eastAsia"/>
                <w:color w:val="auto"/>
                <w:lang w:val="en-US" w:eastAsia="zh-CN"/>
              </w:rPr>
            </w:pPr>
            <w:r>
              <w:rPr>
                <w:rFonts w:hint="eastAsia"/>
                <w:color w:val="auto"/>
                <w:lang w:val="en-US" w:eastAsia="zh-CN"/>
              </w:rPr>
              <w:t>/</w:t>
            </w:r>
          </w:p>
        </w:tc>
        <w:tc>
          <w:tcPr>
            <w:tcW w:w="1808" w:type="dxa"/>
            <w:vAlign w:val="center"/>
          </w:tcPr>
          <w:p w14:paraId="7B11476A">
            <w:pPr>
              <w:pStyle w:val="34"/>
              <w:bidi w:val="0"/>
              <w:rPr>
                <w:rFonts w:hint="eastAsia"/>
                <w:color w:val="auto"/>
                <w:lang w:val="en-US" w:eastAsia="zh-CN"/>
              </w:rPr>
            </w:pPr>
            <w:r>
              <w:rPr>
                <w:rFonts w:hint="eastAsia"/>
                <w:color w:val="auto"/>
                <w:lang w:val="en-US" w:eastAsia="zh-CN"/>
              </w:rPr>
              <w:t>/</w:t>
            </w:r>
          </w:p>
        </w:tc>
      </w:tr>
      <w:tr w14:paraId="6A9C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vAlign w:val="center"/>
          </w:tcPr>
          <w:p w14:paraId="72D264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r>
              <w:rPr>
                <w:rFonts w:hint="eastAsia" w:cs="Times New Roman"/>
                <w:color w:val="auto"/>
                <w:sz w:val="21"/>
                <w:szCs w:val="22"/>
                <w:vertAlign w:val="baseline"/>
                <w:lang w:val="en-US" w:eastAsia="zh-CN"/>
              </w:rPr>
              <w:t>实验室测定</w:t>
            </w:r>
          </w:p>
        </w:tc>
        <w:tc>
          <w:tcPr>
            <w:tcW w:w="0" w:type="auto"/>
            <w:shd w:val="clear" w:color="auto" w:fill="auto"/>
            <w:vAlign w:val="center"/>
          </w:tcPr>
          <w:p w14:paraId="4D7E07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pH</w:t>
            </w:r>
          </w:p>
        </w:tc>
        <w:tc>
          <w:tcPr>
            <w:tcW w:w="1740" w:type="dxa"/>
            <w:vAlign w:val="center"/>
          </w:tcPr>
          <w:p w14:paraId="78876C04">
            <w:pPr>
              <w:pStyle w:val="34"/>
              <w:bidi w:val="0"/>
              <w:rPr>
                <w:rFonts w:hint="eastAsia"/>
                <w:color w:val="auto"/>
                <w:lang w:val="en-US" w:eastAsia="zh-CN"/>
              </w:rPr>
            </w:pPr>
            <w:r>
              <w:rPr>
                <w:rFonts w:hint="eastAsia"/>
                <w:color w:val="auto"/>
                <w:lang w:val="en-US" w:eastAsia="zh-CN"/>
              </w:rPr>
              <w:t>8.72</w:t>
            </w:r>
          </w:p>
        </w:tc>
        <w:tc>
          <w:tcPr>
            <w:tcW w:w="1830" w:type="dxa"/>
            <w:vAlign w:val="center"/>
          </w:tcPr>
          <w:p w14:paraId="7CFE727A">
            <w:pPr>
              <w:pStyle w:val="34"/>
              <w:bidi w:val="0"/>
              <w:rPr>
                <w:rFonts w:hint="eastAsia"/>
                <w:color w:val="auto"/>
                <w:lang w:val="en-US" w:eastAsia="zh-CN"/>
              </w:rPr>
            </w:pPr>
            <w:r>
              <w:rPr>
                <w:rFonts w:hint="eastAsia"/>
                <w:color w:val="auto"/>
                <w:lang w:val="en-US" w:eastAsia="zh-CN"/>
              </w:rPr>
              <w:t>8.68</w:t>
            </w:r>
          </w:p>
        </w:tc>
        <w:tc>
          <w:tcPr>
            <w:tcW w:w="1808" w:type="dxa"/>
            <w:vAlign w:val="center"/>
          </w:tcPr>
          <w:p w14:paraId="72C7DD37">
            <w:pPr>
              <w:pStyle w:val="34"/>
              <w:bidi w:val="0"/>
              <w:rPr>
                <w:rFonts w:hint="eastAsia"/>
                <w:color w:val="auto"/>
                <w:lang w:val="en-US" w:eastAsia="zh-CN"/>
              </w:rPr>
            </w:pPr>
            <w:r>
              <w:rPr>
                <w:rFonts w:hint="eastAsia"/>
                <w:color w:val="auto"/>
                <w:lang w:val="en-US" w:eastAsia="zh-CN"/>
              </w:rPr>
              <w:t>/</w:t>
            </w:r>
          </w:p>
        </w:tc>
      </w:tr>
      <w:tr w14:paraId="76FB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773040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071B59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阳离子交换量</w:t>
            </w:r>
          </w:p>
        </w:tc>
        <w:tc>
          <w:tcPr>
            <w:tcW w:w="1740" w:type="dxa"/>
            <w:vAlign w:val="center"/>
          </w:tcPr>
          <w:p w14:paraId="12343D25">
            <w:pPr>
              <w:pStyle w:val="34"/>
              <w:bidi w:val="0"/>
              <w:rPr>
                <w:rFonts w:hint="eastAsia"/>
                <w:color w:val="auto"/>
                <w:lang w:val="en-US" w:eastAsia="zh-CN"/>
              </w:rPr>
            </w:pPr>
            <w:r>
              <w:rPr>
                <w:rFonts w:hint="eastAsia"/>
                <w:color w:val="auto"/>
                <w:lang w:val="en-US" w:eastAsia="zh-CN"/>
              </w:rPr>
              <w:t>8.4</w:t>
            </w:r>
          </w:p>
        </w:tc>
        <w:tc>
          <w:tcPr>
            <w:tcW w:w="1830" w:type="dxa"/>
            <w:vAlign w:val="center"/>
          </w:tcPr>
          <w:p w14:paraId="59B5AF2D">
            <w:pPr>
              <w:pStyle w:val="34"/>
              <w:bidi w:val="0"/>
              <w:rPr>
                <w:rFonts w:hint="eastAsia"/>
                <w:color w:val="auto"/>
                <w:lang w:val="en-US" w:eastAsia="zh-CN"/>
              </w:rPr>
            </w:pPr>
            <w:r>
              <w:rPr>
                <w:rFonts w:hint="eastAsia"/>
                <w:color w:val="auto"/>
                <w:lang w:val="en-US" w:eastAsia="zh-CN"/>
              </w:rPr>
              <w:t>8.2</w:t>
            </w:r>
          </w:p>
        </w:tc>
        <w:tc>
          <w:tcPr>
            <w:tcW w:w="1808" w:type="dxa"/>
            <w:vAlign w:val="center"/>
          </w:tcPr>
          <w:p w14:paraId="1E8FC249">
            <w:pPr>
              <w:pStyle w:val="34"/>
              <w:bidi w:val="0"/>
              <w:rPr>
                <w:rFonts w:hint="eastAsia"/>
                <w:color w:val="auto"/>
                <w:lang w:val="en-US" w:eastAsia="zh-CN"/>
              </w:rPr>
            </w:pPr>
            <w:r>
              <w:rPr>
                <w:rFonts w:hint="eastAsia"/>
                <w:color w:val="auto"/>
                <w:lang w:val="en-US" w:eastAsia="zh-CN"/>
              </w:rPr>
              <w:t>/</w:t>
            </w:r>
          </w:p>
        </w:tc>
      </w:tr>
      <w:tr w14:paraId="7A07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B01E7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34B40B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氧化还原电位</w:t>
            </w:r>
          </w:p>
        </w:tc>
        <w:tc>
          <w:tcPr>
            <w:tcW w:w="1740" w:type="dxa"/>
            <w:vAlign w:val="center"/>
          </w:tcPr>
          <w:p w14:paraId="2E1473AA">
            <w:pPr>
              <w:pStyle w:val="34"/>
              <w:bidi w:val="0"/>
              <w:rPr>
                <w:rFonts w:hint="eastAsia"/>
                <w:color w:val="auto"/>
                <w:lang w:val="en-US" w:eastAsia="zh-CN"/>
              </w:rPr>
            </w:pPr>
            <w:r>
              <w:rPr>
                <w:rFonts w:hint="eastAsia"/>
                <w:color w:val="auto"/>
                <w:lang w:val="en-US" w:eastAsia="zh-CN"/>
              </w:rPr>
              <w:t>387</w:t>
            </w:r>
          </w:p>
        </w:tc>
        <w:tc>
          <w:tcPr>
            <w:tcW w:w="1830" w:type="dxa"/>
            <w:vAlign w:val="center"/>
          </w:tcPr>
          <w:p w14:paraId="42FA0466">
            <w:pPr>
              <w:pStyle w:val="34"/>
              <w:bidi w:val="0"/>
              <w:rPr>
                <w:rFonts w:hint="eastAsia"/>
                <w:color w:val="auto"/>
                <w:lang w:val="en-US" w:eastAsia="zh-CN"/>
              </w:rPr>
            </w:pPr>
            <w:r>
              <w:rPr>
                <w:rFonts w:hint="eastAsia"/>
                <w:color w:val="auto"/>
                <w:lang w:val="en-US" w:eastAsia="zh-CN"/>
              </w:rPr>
              <w:t>352</w:t>
            </w:r>
          </w:p>
        </w:tc>
        <w:tc>
          <w:tcPr>
            <w:tcW w:w="1808" w:type="dxa"/>
            <w:vAlign w:val="center"/>
          </w:tcPr>
          <w:p w14:paraId="16124ACE">
            <w:pPr>
              <w:pStyle w:val="34"/>
              <w:bidi w:val="0"/>
              <w:rPr>
                <w:rFonts w:hint="eastAsia"/>
                <w:color w:val="auto"/>
                <w:lang w:val="en-US" w:eastAsia="zh-CN"/>
              </w:rPr>
            </w:pPr>
            <w:r>
              <w:rPr>
                <w:rFonts w:hint="eastAsia"/>
                <w:color w:val="auto"/>
                <w:lang w:val="en-US" w:eastAsia="zh-CN"/>
              </w:rPr>
              <w:t>/</w:t>
            </w:r>
          </w:p>
        </w:tc>
      </w:tr>
      <w:tr w14:paraId="0C15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90F78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244CBC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饱和导水率/(cm/s)</w:t>
            </w:r>
          </w:p>
        </w:tc>
        <w:tc>
          <w:tcPr>
            <w:tcW w:w="1740" w:type="dxa"/>
            <w:vAlign w:val="center"/>
          </w:tcPr>
          <w:p w14:paraId="5A46499A">
            <w:pPr>
              <w:pStyle w:val="34"/>
              <w:bidi w:val="0"/>
              <w:rPr>
                <w:rFonts w:hint="eastAsia"/>
                <w:color w:val="auto"/>
                <w:lang w:val="en-US" w:eastAsia="zh-CN"/>
              </w:rPr>
            </w:pPr>
            <w:r>
              <w:rPr>
                <w:rFonts w:hint="eastAsia"/>
                <w:color w:val="auto"/>
                <w:lang w:val="en-US" w:eastAsia="zh-CN"/>
              </w:rPr>
              <w:t>551</w:t>
            </w:r>
          </w:p>
        </w:tc>
        <w:tc>
          <w:tcPr>
            <w:tcW w:w="1830" w:type="dxa"/>
            <w:vAlign w:val="center"/>
          </w:tcPr>
          <w:p w14:paraId="50B8A4F7">
            <w:pPr>
              <w:pStyle w:val="34"/>
              <w:bidi w:val="0"/>
              <w:rPr>
                <w:rFonts w:hint="eastAsia"/>
                <w:color w:val="auto"/>
                <w:lang w:val="en-US" w:eastAsia="zh-CN"/>
              </w:rPr>
            </w:pPr>
            <w:r>
              <w:rPr>
                <w:rFonts w:hint="eastAsia"/>
                <w:color w:val="auto"/>
                <w:lang w:val="en-US" w:eastAsia="zh-CN"/>
              </w:rPr>
              <w:t>544</w:t>
            </w:r>
          </w:p>
        </w:tc>
        <w:tc>
          <w:tcPr>
            <w:tcW w:w="1808" w:type="dxa"/>
            <w:vAlign w:val="center"/>
          </w:tcPr>
          <w:p w14:paraId="00D8C59F">
            <w:pPr>
              <w:pStyle w:val="34"/>
              <w:bidi w:val="0"/>
              <w:rPr>
                <w:rFonts w:hint="eastAsia"/>
                <w:color w:val="auto"/>
                <w:lang w:val="en-US" w:eastAsia="zh-CN"/>
              </w:rPr>
            </w:pPr>
            <w:r>
              <w:rPr>
                <w:rFonts w:hint="eastAsia"/>
                <w:color w:val="auto"/>
                <w:lang w:val="en-US" w:eastAsia="zh-CN"/>
              </w:rPr>
              <w:t>/</w:t>
            </w:r>
          </w:p>
        </w:tc>
      </w:tr>
      <w:tr w14:paraId="64EB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10E0C2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4506F4D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土壤容重/(kg/m</w:t>
            </w:r>
            <w:r>
              <w:rPr>
                <w:rFonts w:hint="eastAsia" w:cs="Times New Roman"/>
                <w:color w:val="auto"/>
                <w:sz w:val="21"/>
                <w:szCs w:val="22"/>
                <w:vertAlign w:val="superscript"/>
                <w:lang w:val="en-US" w:eastAsia="zh-CN"/>
              </w:rPr>
              <w:t>3</w:t>
            </w:r>
            <w:r>
              <w:rPr>
                <w:rFonts w:hint="eastAsia" w:cs="Times New Roman"/>
                <w:color w:val="auto"/>
                <w:sz w:val="21"/>
                <w:szCs w:val="22"/>
                <w:vertAlign w:val="baseline"/>
                <w:lang w:val="en-US" w:eastAsia="zh-CN"/>
              </w:rPr>
              <w:t>)</w:t>
            </w:r>
          </w:p>
        </w:tc>
        <w:tc>
          <w:tcPr>
            <w:tcW w:w="1740" w:type="dxa"/>
            <w:vAlign w:val="center"/>
          </w:tcPr>
          <w:p w14:paraId="0188A195">
            <w:pPr>
              <w:pStyle w:val="34"/>
              <w:bidi w:val="0"/>
              <w:rPr>
                <w:rFonts w:hint="eastAsia"/>
                <w:color w:val="auto"/>
                <w:lang w:val="en-US" w:eastAsia="zh-CN"/>
              </w:rPr>
            </w:pPr>
            <w:r>
              <w:rPr>
                <w:rFonts w:hint="eastAsia"/>
                <w:color w:val="auto"/>
                <w:lang w:val="en-US" w:eastAsia="zh-CN"/>
              </w:rPr>
              <w:t>1.3</w:t>
            </w:r>
          </w:p>
        </w:tc>
        <w:tc>
          <w:tcPr>
            <w:tcW w:w="1830" w:type="dxa"/>
            <w:vAlign w:val="center"/>
          </w:tcPr>
          <w:p w14:paraId="76515392">
            <w:pPr>
              <w:pStyle w:val="34"/>
              <w:bidi w:val="0"/>
              <w:rPr>
                <w:rFonts w:hint="eastAsia"/>
                <w:color w:val="auto"/>
                <w:lang w:val="en-US" w:eastAsia="zh-CN"/>
              </w:rPr>
            </w:pPr>
            <w:r>
              <w:rPr>
                <w:rFonts w:hint="eastAsia"/>
                <w:color w:val="auto"/>
                <w:lang w:val="en-US" w:eastAsia="zh-CN"/>
              </w:rPr>
              <w:t>1.3</w:t>
            </w:r>
          </w:p>
        </w:tc>
        <w:tc>
          <w:tcPr>
            <w:tcW w:w="1808" w:type="dxa"/>
            <w:vAlign w:val="center"/>
          </w:tcPr>
          <w:p w14:paraId="56B4CC4E">
            <w:pPr>
              <w:pStyle w:val="34"/>
              <w:bidi w:val="0"/>
              <w:rPr>
                <w:rFonts w:hint="eastAsia"/>
                <w:color w:val="auto"/>
                <w:lang w:val="en-US" w:eastAsia="zh-CN"/>
              </w:rPr>
            </w:pPr>
            <w:r>
              <w:rPr>
                <w:rFonts w:hint="eastAsia"/>
                <w:color w:val="auto"/>
                <w:lang w:val="en-US" w:eastAsia="zh-CN"/>
              </w:rPr>
              <w:t>/</w:t>
            </w:r>
          </w:p>
        </w:tc>
      </w:tr>
      <w:tr w14:paraId="5676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continue"/>
            <w:vAlign w:val="center"/>
          </w:tcPr>
          <w:p w14:paraId="736A87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2"/>
                <w:vertAlign w:val="baseline"/>
                <w:lang w:val="en-US" w:eastAsia="zh-CN"/>
              </w:rPr>
            </w:pPr>
          </w:p>
        </w:tc>
        <w:tc>
          <w:tcPr>
            <w:tcW w:w="0" w:type="auto"/>
            <w:shd w:val="clear" w:color="auto" w:fill="auto"/>
            <w:vAlign w:val="center"/>
          </w:tcPr>
          <w:p w14:paraId="6290BE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2"/>
                <w:vertAlign w:val="baseline"/>
                <w:lang w:val="en-US" w:eastAsia="zh-CN" w:bidi="ar-SA"/>
              </w:rPr>
            </w:pPr>
            <w:r>
              <w:rPr>
                <w:rFonts w:hint="eastAsia" w:cs="Times New Roman"/>
                <w:color w:val="auto"/>
                <w:sz w:val="21"/>
                <w:szCs w:val="22"/>
                <w:vertAlign w:val="baseline"/>
                <w:lang w:val="en-US" w:eastAsia="zh-CN"/>
              </w:rPr>
              <w:t>孔隙度</w:t>
            </w:r>
          </w:p>
        </w:tc>
        <w:tc>
          <w:tcPr>
            <w:tcW w:w="1740" w:type="dxa"/>
            <w:vAlign w:val="center"/>
          </w:tcPr>
          <w:p w14:paraId="54C5DA6B">
            <w:pPr>
              <w:pStyle w:val="34"/>
              <w:bidi w:val="0"/>
              <w:rPr>
                <w:rFonts w:hint="eastAsia"/>
                <w:color w:val="auto"/>
                <w:lang w:val="en-US" w:eastAsia="zh-CN"/>
              </w:rPr>
            </w:pPr>
            <w:r>
              <w:rPr>
                <w:rFonts w:hint="eastAsia"/>
                <w:color w:val="auto"/>
                <w:lang w:val="en-US" w:eastAsia="zh-CN"/>
              </w:rPr>
              <w:t>34</w:t>
            </w:r>
          </w:p>
        </w:tc>
        <w:tc>
          <w:tcPr>
            <w:tcW w:w="1830" w:type="dxa"/>
            <w:vAlign w:val="center"/>
          </w:tcPr>
          <w:p w14:paraId="192476A1">
            <w:pPr>
              <w:pStyle w:val="34"/>
              <w:bidi w:val="0"/>
              <w:rPr>
                <w:rFonts w:hint="eastAsia"/>
                <w:color w:val="auto"/>
                <w:lang w:val="en-US" w:eastAsia="zh-CN"/>
              </w:rPr>
            </w:pPr>
            <w:r>
              <w:rPr>
                <w:rFonts w:hint="eastAsia"/>
                <w:color w:val="auto"/>
                <w:lang w:val="en-US" w:eastAsia="zh-CN"/>
              </w:rPr>
              <w:t>31</w:t>
            </w:r>
          </w:p>
        </w:tc>
        <w:tc>
          <w:tcPr>
            <w:tcW w:w="1808" w:type="dxa"/>
            <w:vAlign w:val="center"/>
          </w:tcPr>
          <w:p w14:paraId="080D848A">
            <w:pPr>
              <w:pStyle w:val="34"/>
              <w:bidi w:val="0"/>
              <w:rPr>
                <w:rFonts w:hint="eastAsia"/>
                <w:color w:val="auto"/>
                <w:lang w:val="en-US" w:eastAsia="zh-CN"/>
              </w:rPr>
            </w:pPr>
            <w:r>
              <w:rPr>
                <w:rFonts w:hint="eastAsia"/>
                <w:color w:val="auto"/>
                <w:lang w:val="en-US" w:eastAsia="zh-CN"/>
              </w:rPr>
              <w:t>/</w:t>
            </w:r>
          </w:p>
        </w:tc>
      </w:tr>
    </w:tbl>
    <w:p w14:paraId="196D80FF">
      <w:pPr>
        <w:bidi w:val="0"/>
        <w:jc w:val="center"/>
        <w:rPr>
          <w:rFonts w:hint="eastAsia"/>
          <w:b/>
          <w:bCs/>
          <w:color w:val="auto"/>
        </w:rPr>
      </w:pPr>
    </w:p>
    <w:p w14:paraId="00CF2E1E">
      <w:pPr>
        <w:bidi w:val="0"/>
        <w:jc w:val="center"/>
        <w:rPr>
          <w:rFonts w:hint="eastAsia"/>
          <w:b/>
          <w:bCs/>
          <w:color w:val="auto"/>
        </w:rPr>
      </w:pPr>
    </w:p>
    <w:p w14:paraId="147683F4">
      <w:pPr>
        <w:bidi w:val="0"/>
        <w:jc w:val="center"/>
        <w:rPr>
          <w:rFonts w:hint="default"/>
          <w:b/>
          <w:bCs/>
          <w:color w:val="auto"/>
          <w:lang w:val="en-US" w:eastAsia="zh-CN"/>
        </w:rPr>
      </w:pPr>
      <w:r>
        <w:rPr>
          <w:rFonts w:hint="eastAsia"/>
          <w:b/>
          <w:bCs/>
          <w:color w:val="auto"/>
        </w:rPr>
        <w:t>表</w:t>
      </w:r>
      <w:r>
        <w:rPr>
          <w:rFonts w:hint="eastAsia"/>
          <w:b/>
          <w:bCs/>
          <w:color w:val="auto"/>
          <w:lang w:val="en-US" w:eastAsia="zh-CN"/>
        </w:rPr>
        <w:t>4.2-15（b）</w:t>
      </w:r>
      <w:r>
        <w:rPr>
          <w:rFonts w:hint="eastAsia"/>
          <w:b/>
          <w:bCs/>
          <w:color w:val="auto"/>
        </w:rPr>
        <w:t xml:space="preserve"> </w:t>
      </w:r>
      <w:r>
        <w:rPr>
          <w:rFonts w:hint="eastAsia"/>
          <w:b/>
          <w:bCs/>
          <w:color w:val="auto"/>
          <w:lang w:val="en-US" w:eastAsia="zh-CN"/>
        </w:rPr>
        <w:t xml:space="preserve"> 土体构型</w:t>
      </w:r>
    </w:p>
    <w:tbl>
      <w:tblPr>
        <w:tblStyle w:val="27"/>
        <w:tblW w:w="47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090"/>
        <w:gridCol w:w="3660"/>
        <w:gridCol w:w="949"/>
      </w:tblGrid>
      <w:tr w14:paraId="38F8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noWrap w:val="0"/>
            <w:vAlign w:val="center"/>
          </w:tcPr>
          <w:p w14:paraId="5149B3DA">
            <w:pPr>
              <w:pStyle w:val="6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点号</w:t>
            </w:r>
          </w:p>
        </w:tc>
        <w:tc>
          <w:tcPr>
            <w:tcW w:w="1812" w:type="pct"/>
            <w:noWrap w:val="0"/>
            <w:vAlign w:val="center"/>
          </w:tcPr>
          <w:p w14:paraId="37E49805">
            <w:pPr>
              <w:pStyle w:val="6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景观照片</w:t>
            </w:r>
          </w:p>
        </w:tc>
        <w:tc>
          <w:tcPr>
            <w:tcW w:w="2146" w:type="pct"/>
            <w:noWrap w:val="0"/>
            <w:vAlign w:val="center"/>
          </w:tcPr>
          <w:p w14:paraId="66D9BF52">
            <w:pPr>
              <w:pStyle w:val="6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土壤剖面</w:t>
            </w:r>
          </w:p>
          <w:p w14:paraId="58A1D7D3">
            <w:pPr>
              <w:pStyle w:val="6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照片</w:t>
            </w:r>
          </w:p>
        </w:tc>
        <w:tc>
          <w:tcPr>
            <w:tcW w:w="556" w:type="pct"/>
            <w:noWrap w:val="0"/>
            <w:vAlign w:val="center"/>
          </w:tcPr>
          <w:p w14:paraId="4A07BC42">
            <w:pPr>
              <w:pStyle w:val="6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层次</w:t>
            </w:r>
          </w:p>
        </w:tc>
      </w:tr>
      <w:tr w14:paraId="7C1F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exact"/>
        </w:trPr>
        <w:tc>
          <w:tcPr>
            <w:tcW w:w="483" w:type="pct"/>
            <w:vMerge w:val="restart"/>
            <w:noWrap w:val="0"/>
            <w:vAlign w:val="center"/>
          </w:tcPr>
          <w:p w14:paraId="74737760">
            <w:pPr>
              <w:pStyle w:val="6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T1</w:t>
            </w:r>
          </w:p>
        </w:tc>
        <w:tc>
          <w:tcPr>
            <w:tcW w:w="1812" w:type="pct"/>
            <w:vMerge w:val="restart"/>
            <w:noWrap w:val="0"/>
            <w:vAlign w:val="center"/>
          </w:tcPr>
          <w:p w14:paraId="462D4B4D">
            <w:pPr>
              <w:bidi w:val="0"/>
              <w:jc w:val="center"/>
              <w:rPr>
                <w:rFonts w:hint="default"/>
                <w:color w:val="auto"/>
              </w:rPr>
            </w:pPr>
          </w:p>
        </w:tc>
        <w:tc>
          <w:tcPr>
            <w:tcW w:w="2146" w:type="pct"/>
            <w:noWrap w:val="0"/>
            <w:vAlign w:val="center"/>
          </w:tcPr>
          <w:p w14:paraId="197D4D17">
            <w:pPr>
              <w:bidi w:val="0"/>
              <w:jc w:val="center"/>
              <w:rPr>
                <w:rFonts w:hint="default"/>
                <w:color w:val="auto"/>
              </w:rPr>
            </w:pPr>
          </w:p>
        </w:tc>
        <w:tc>
          <w:tcPr>
            <w:tcW w:w="556" w:type="pct"/>
            <w:noWrap w:val="0"/>
            <w:vAlign w:val="center"/>
          </w:tcPr>
          <w:p w14:paraId="0176A990">
            <w:pPr>
              <w:pStyle w:val="34"/>
              <w:bidi w:val="0"/>
              <w:rPr>
                <w:rFonts w:hint="default"/>
                <w:color w:val="auto"/>
              </w:rPr>
            </w:pPr>
            <w:r>
              <w:rPr>
                <w:rFonts w:hint="eastAsia"/>
                <w:color w:val="auto"/>
                <w:lang w:val="en-US" w:eastAsia="zh-CN"/>
              </w:rPr>
              <w:t>0~0.5m</w:t>
            </w:r>
          </w:p>
        </w:tc>
      </w:tr>
      <w:tr w14:paraId="371F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exact"/>
        </w:trPr>
        <w:tc>
          <w:tcPr>
            <w:tcW w:w="483" w:type="pct"/>
            <w:vMerge w:val="continue"/>
            <w:noWrap w:val="0"/>
            <w:vAlign w:val="center"/>
          </w:tcPr>
          <w:p w14:paraId="714566EA">
            <w:pPr>
              <w:pStyle w:val="60"/>
              <w:rPr>
                <w:rFonts w:hint="default" w:ascii="Times New Roman" w:hAnsi="Times New Roman" w:cs="Times New Roman"/>
                <w:b w:val="0"/>
                <w:bCs w:val="0"/>
                <w:color w:val="auto"/>
                <w:sz w:val="21"/>
                <w:szCs w:val="21"/>
              </w:rPr>
            </w:pPr>
          </w:p>
        </w:tc>
        <w:tc>
          <w:tcPr>
            <w:tcW w:w="1812" w:type="pct"/>
            <w:vMerge w:val="continue"/>
            <w:noWrap w:val="0"/>
            <w:vAlign w:val="center"/>
          </w:tcPr>
          <w:p w14:paraId="12CFC047">
            <w:pPr>
              <w:pStyle w:val="60"/>
              <w:rPr>
                <w:rFonts w:hint="default" w:ascii="Times New Roman" w:hAnsi="Times New Roman" w:cs="Times New Roman"/>
                <w:b w:val="0"/>
                <w:bCs w:val="0"/>
                <w:color w:val="auto"/>
                <w:sz w:val="21"/>
                <w:szCs w:val="21"/>
              </w:rPr>
            </w:pPr>
          </w:p>
        </w:tc>
        <w:tc>
          <w:tcPr>
            <w:tcW w:w="2146" w:type="pct"/>
            <w:noWrap w:val="0"/>
            <w:vAlign w:val="center"/>
          </w:tcPr>
          <w:p w14:paraId="669139E0">
            <w:pPr>
              <w:bidi w:val="0"/>
              <w:jc w:val="center"/>
              <w:rPr>
                <w:rFonts w:hint="default"/>
                <w:color w:val="auto"/>
              </w:rPr>
            </w:pPr>
          </w:p>
        </w:tc>
        <w:tc>
          <w:tcPr>
            <w:tcW w:w="556" w:type="pct"/>
            <w:noWrap w:val="0"/>
            <w:vAlign w:val="center"/>
          </w:tcPr>
          <w:p w14:paraId="0D975B5F">
            <w:pPr>
              <w:pStyle w:val="34"/>
              <w:bidi w:val="0"/>
              <w:rPr>
                <w:rFonts w:hint="default"/>
                <w:color w:val="auto"/>
              </w:rPr>
            </w:pPr>
            <w:r>
              <w:rPr>
                <w:rFonts w:hint="eastAsia"/>
                <w:color w:val="auto"/>
                <w:lang w:val="en-US" w:eastAsia="zh-CN"/>
              </w:rPr>
              <w:t>0.5~1.5m</w:t>
            </w:r>
          </w:p>
        </w:tc>
      </w:tr>
      <w:tr w14:paraId="3B6A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2" w:hRule="exact"/>
        </w:trPr>
        <w:tc>
          <w:tcPr>
            <w:tcW w:w="483" w:type="pct"/>
            <w:vMerge w:val="continue"/>
            <w:noWrap w:val="0"/>
            <w:vAlign w:val="center"/>
          </w:tcPr>
          <w:p w14:paraId="1D55BB43">
            <w:pPr>
              <w:pStyle w:val="60"/>
              <w:rPr>
                <w:rFonts w:hint="default" w:ascii="Times New Roman" w:hAnsi="Times New Roman" w:cs="Times New Roman"/>
                <w:b w:val="0"/>
                <w:bCs w:val="0"/>
                <w:color w:val="auto"/>
                <w:sz w:val="21"/>
                <w:szCs w:val="21"/>
              </w:rPr>
            </w:pPr>
          </w:p>
        </w:tc>
        <w:tc>
          <w:tcPr>
            <w:tcW w:w="1812" w:type="pct"/>
            <w:vMerge w:val="continue"/>
            <w:noWrap w:val="0"/>
            <w:vAlign w:val="center"/>
          </w:tcPr>
          <w:p w14:paraId="222AB6D8">
            <w:pPr>
              <w:pStyle w:val="60"/>
              <w:rPr>
                <w:rFonts w:hint="default" w:ascii="Times New Roman" w:hAnsi="Times New Roman" w:cs="Times New Roman"/>
                <w:b w:val="0"/>
                <w:bCs w:val="0"/>
                <w:color w:val="auto"/>
                <w:sz w:val="21"/>
                <w:szCs w:val="21"/>
              </w:rPr>
            </w:pPr>
          </w:p>
        </w:tc>
        <w:tc>
          <w:tcPr>
            <w:tcW w:w="2146" w:type="pct"/>
            <w:noWrap w:val="0"/>
            <w:vAlign w:val="center"/>
          </w:tcPr>
          <w:p w14:paraId="07BBD6F9">
            <w:pPr>
              <w:bidi w:val="0"/>
              <w:jc w:val="center"/>
              <w:rPr>
                <w:rFonts w:hint="default"/>
                <w:color w:val="auto"/>
              </w:rPr>
            </w:pPr>
          </w:p>
        </w:tc>
        <w:tc>
          <w:tcPr>
            <w:tcW w:w="556" w:type="pct"/>
            <w:noWrap w:val="0"/>
            <w:vAlign w:val="center"/>
          </w:tcPr>
          <w:p w14:paraId="584364BF">
            <w:pPr>
              <w:pStyle w:val="34"/>
              <w:bidi w:val="0"/>
              <w:rPr>
                <w:rFonts w:hint="default"/>
                <w:color w:val="auto"/>
              </w:rPr>
            </w:pPr>
            <w:r>
              <w:rPr>
                <w:rFonts w:hint="eastAsia"/>
                <w:color w:val="auto"/>
                <w:lang w:val="en-US" w:eastAsia="zh-CN"/>
              </w:rPr>
              <w:t>1.5~3.0m</w:t>
            </w:r>
          </w:p>
        </w:tc>
      </w:tr>
      <w:tr w14:paraId="6427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9" w:hRule="exact"/>
        </w:trPr>
        <w:tc>
          <w:tcPr>
            <w:tcW w:w="483" w:type="pct"/>
            <w:vMerge w:val="restart"/>
            <w:noWrap w:val="0"/>
            <w:vAlign w:val="center"/>
          </w:tcPr>
          <w:p w14:paraId="33911EE5">
            <w:pPr>
              <w:bidi w:val="0"/>
              <w:jc w:val="center"/>
              <w:rPr>
                <w:rFonts w:hint="default" w:eastAsia="宋体"/>
                <w:color w:val="auto"/>
                <w:lang w:val="en-US" w:eastAsia="zh-CN"/>
              </w:rPr>
            </w:pPr>
            <w:r>
              <w:rPr>
                <w:rFonts w:hint="eastAsia"/>
                <w:color w:val="auto"/>
                <w:lang w:val="en-US" w:eastAsia="zh-CN"/>
              </w:rPr>
              <w:t>T2</w:t>
            </w:r>
          </w:p>
        </w:tc>
        <w:tc>
          <w:tcPr>
            <w:tcW w:w="1812" w:type="pct"/>
            <w:vMerge w:val="restart"/>
            <w:noWrap w:val="0"/>
            <w:vAlign w:val="center"/>
          </w:tcPr>
          <w:p w14:paraId="47329598">
            <w:pPr>
              <w:bidi w:val="0"/>
              <w:jc w:val="center"/>
              <w:rPr>
                <w:rFonts w:hint="default"/>
                <w:color w:val="auto"/>
              </w:rPr>
            </w:pPr>
          </w:p>
        </w:tc>
        <w:tc>
          <w:tcPr>
            <w:tcW w:w="2146" w:type="pct"/>
            <w:noWrap w:val="0"/>
            <w:vAlign w:val="center"/>
          </w:tcPr>
          <w:p w14:paraId="01690E40">
            <w:pPr>
              <w:bidi w:val="0"/>
              <w:jc w:val="center"/>
              <w:rPr>
                <w:rFonts w:hint="default"/>
                <w:color w:val="auto"/>
              </w:rPr>
            </w:pPr>
          </w:p>
        </w:tc>
        <w:tc>
          <w:tcPr>
            <w:tcW w:w="556" w:type="pct"/>
            <w:shd w:val="clear" w:color="auto" w:fill="auto"/>
            <w:noWrap w:val="0"/>
            <w:vAlign w:val="center"/>
          </w:tcPr>
          <w:p w14:paraId="1E6BEDB1">
            <w:pPr>
              <w:pStyle w:val="34"/>
              <w:bidi w:val="0"/>
              <w:rPr>
                <w:rFonts w:hint="default" w:ascii="Times New Roman" w:hAnsi="Times New Roman" w:eastAsia="宋体" w:cs="Times New Roman"/>
                <w:color w:val="auto"/>
                <w:sz w:val="21"/>
                <w:szCs w:val="22"/>
                <w:lang w:val="en-US" w:eastAsia="zh-CN" w:bidi="ar-SA"/>
              </w:rPr>
            </w:pPr>
            <w:r>
              <w:rPr>
                <w:rFonts w:hint="eastAsia"/>
                <w:color w:val="auto"/>
                <w:lang w:val="en-US" w:eastAsia="zh-CN"/>
              </w:rPr>
              <w:t>0~0.5m</w:t>
            </w:r>
          </w:p>
        </w:tc>
      </w:tr>
      <w:tr w14:paraId="1DD7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exact"/>
        </w:trPr>
        <w:tc>
          <w:tcPr>
            <w:tcW w:w="483" w:type="pct"/>
            <w:vMerge w:val="continue"/>
            <w:noWrap w:val="0"/>
            <w:vAlign w:val="center"/>
          </w:tcPr>
          <w:p w14:paraId="24183BB7">
            <w:pPr>
              <w:bidi w:val="0"/>
              <w:jc w:val="center"/>
              <w:rPr>
                <w:rFonts w:hint="default"/>
                <w:color w:val="auto"/>
              </w:rPr>
            </w:pPr>
          </w:p>
        </w:tc>
        <w:tc>
          <w:tcPr>
            <w:tcW w:w="1812" w:type="pct"/>
            <w:vMerge w:val="continue"/>
            <w:noWrap w:val="0"/>
            <w:vAlign w:val="center"/>
          </w:tcPr>
          <w:p w14:paraId="1FDBA63E">
            <w:pPr>
              <w:pStyle w:val="60"/>
              <w:rPr>
                <w:rFonts w:hint="default" w:ascii="Times New Roman" w:hAnsi="Times New Roman" w:cs="Times New Roman"/>
                <w:b w:val="0"/>
                <w:bCs w:val="0"/>
                <w:color w:val="auto"/>
                <w:sz w:val="21"/>
                <w:szCs w:val="21"/>
              </w:rPr>
            </w:pPr>
          </w:p>
        </w:tc>
        <w:tc>
          <w:tcPr>
            <w:tcW w:w="2146" w:type="pct"/>
            <w:noWrap w:val="0"/>
            <w:vAlign w:val="center"/>
          </w:tcPr>
          <w:p w14:paraId="4E017588">
            <w:pPr>
              <w:bidi w:val="0"/>
              <w:jc w:val="center"/>
              <w:rPr>
                <w:rFonts w:hint="default"/>
                <w:color w:val="auto"/>
              </w:rPr>
            </w:pPr>
          </w:p>
        </w:tc>
        <w:tc>
          <w:tcPr>
            <w:tcW w:w="556" w:type="pct"/>
            <w:shd w:val="clear" w:color="auto" w:fill="auto"/>
            <w:noWrap w:val="0"/>
            <w:vAlign w:val="center"/>
          </w:tcPr>
          <w:p w14:paraId="258BFCE1">
            <w:pPr>
              <w:pStyle w:val="34"/>
              <w:bidi w:val="0"/>
              <w:rPr>
                <w:rFonts w:hint="default" w:ascii="Times New Roman" w:hAnsi="Times New Roman" w:eastAsia="宋体" w:cs="Times New Roman"/>
                <w:color w:val="auto"/>
                <w:sz w:val="21"/>
                <w:szCs w:val="22"/>
                <w:lang w:val="en-US" w:eastAsia="zh-CN" w:bidi="ar-SA"/>
              </w:rPr>
            </w:pPr>
            <w:r>
              <w:rPr>
                <w:rFonts w:hint="eastAsia"/>
                <w:color w:val="auto"/>
                <w:lang w:val="en-US" w:eastAsia="zh-CN"/>
              </w:rPr>
              <w:t>0.5~1.5m</w:t>
            </w:r>
          </w:p>
        </w:tc>
      </w:tr>
      <w:tr w14:paraId="788E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exact"/>
        </w:trPr>
        <w:tc>
          <w:tcPr>
            <w:tcW w:w="483" w:type="pct"/>
            <w:vMerge w:val="continue"/>
            <w:noWrap w:val="0"/>
            <w:vAlign w:val="center"/>
          </w:tcPr>
          <w:p w14:paraId="288E90BB">
            <w:pPr>
              <w:bidi w:val="0"/>
              <w:jc w:val="center"/>
              <w:rPr>
                <w:rFonts w:hint="default"/>
                <w:color w:val="auto"/>
              </w:rPr>
            </w:pPr>
          </w:p>
        </w:tc>
        <w:tc>
          <w:tcPr>
            <w:tcW w:w="1812" w:type="pct"/>
            <w:vMerge w:val="continue"/>
            <w:noWrap w:val="0"/>
            <w:vAlign w:val="center"/>
          </w:tcPr>
          <w:p w14:paraId="0329B403">
            <w:pPr>
              <w:pStyle w:val="60"/>
              <w:rPr>
                <w:rFonts w:hint="default" w:ascii="Times New Roman" w:hAnsi="Times New Roman" w:cs="Times New Roman"/>
                <w:b w:val="0"/>
                <w:bCs w:val="0"/>
                <w:color w:val="auto"/>
                <w:sz w:val="21"/>
                <w:szCs w:val="21"/>
              </w:rPr>
            </w:pPr>
          </w:p>
        </w:tc>
        <w:tc>
          <w:tcPr>
            <w:tcW w:w="2146" w:type="pct"/>
            <w:noWrap w:val="0"/>
            <w:vAlign w:val="center"/>
          </w:tcPr>
          <w:p w14:paraId="246377BD">
            <w:pPr>
              <w:bidi w:val="0"/>
              <w:jc w:val="center"/>
              <w:rPr>
                <w:rFonts w:hint="default"/>
                <w:color w:val="auto"/>
              </w:rPr>
            </w:pPr>
          </w:p>
        </w:tc>
        <w:tc>
          <w:tcPr>
            <w:tcW w:w="556" w:type="pct"/>
            <w:shd w:val="clear" w:color="auto" w:fill="auto"/>
            <w:noWrap w:val="0"/>
            <w:vAlign w:val="center"/>
          </w:tcPr>
          <w:p w14:paraId="7006CDC5">
            <w:pPr>
              <w:pStyle w:val="34"/>
              <w:bidi w:val="0"/>
              <w:rPr>
                <w:rFonts w:hint="default" w:ascii="Times New Roman" w:hAnsi="Times New Roman" w:eastAsia="宋体" w:cs="Times New Roman"/>
                <w:color w:val="auto"/>
                <w:sz w:val="21"/>
                <w:szCs w:val="22"/>
                <w:lang w:val="en-US" w:eastAsia="zh-CN" w:bidi="ar-SA"/>
              </w:rPr>
            </w:pPr>
            <w:r>
              <w:rPr>
                <w:rFonts w:hint="eastAsia"/>
                <w:color w:val="auto"/>
                <w:lang w:val="en-US" w:eastAsia="zh-CN"/>
              </w:rPr>
              <w:t>1.5~3.0m</w:t>
            </w:r>
          </w:p>
        </w:tc>
      </w:tr>
      <w:tr w14:paraId="2A4D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83" w:type="pct"/>
            <w:vMerge w:val="restart"/>
            <w:noWrap w:val="0"/>
            <w:vAlign w:val="center"/>
          </w:tcPr>
          <w:p w14:paraId="19982BB1">
            <w:pPr>
              <w:bidi w:val="0"/>
              <w:jc w:val="center"/>
              <w:rPr>
                <w:rFonts w:hint="default" w:eastAsia="宋体"/>
                <w:color w:val="auto"/>
                <w:lang w:val="en-US" w:eastAsia="zh-CN"/>
              </w:rPr>
            </w:pPr>
            <w:r>
              <w:rPr>
                <w:rFonts w:hint="eastAsia"/>
                <w:color w:val="auto"/>
                <w:lang w:val="en-US" w:eastAsia="zh-CN"/>
              </w:rPr>
              <w:t>T3</w:t>
            </w:r>
          </w:p>
        </w:tc>
        <w:tc>
          <w:tcPr>
            <w:tcW w:w="1812" w:type="pct"/>
            <w:vMerge w:val="restart"/>
            <w:noWrap w:val="0"/>
            <w:vAlign w:val="center"/>
          </w:tcPr>
          <w:p w14:paraId="07738B9E">
            <w:pPr>
              <w:bidi w:val="0"/>
              <w:jc w:val="center"/>
              <w:rPr>
                <w:rFonts w:hint="default"/>
                <w:color w:val="auto"/>
              </w:rPr>
            </w:pPr>
            <w:r>
              <w:rPr>
                <w:rFonts w:hint="eastAsia"/>
                <w:color w:val="auto"/>
                <w:lang w:val="en-US" w:eastAsia="zh-CN"/>
              </w:rPr>
              <w:t>/</w:t>
            </w:r>
          </w:p>
        </w:tc>
        <w:tc>
          <w:tcPr>
            <w:tcW w:w="2146" w:type="pct"/>
            <w:noWrap w:val="0"/>
            <w:vAlign w:val="center"/>
          </w:tcPr>
          <w:p w14:paraId="3BAFCFA2">
            <w:pPr>
              <w:bidi w:val="0"/>
              <w:jc w:val="center"/>
              <w:rPr>
                <w:rFonts w:hint="default"/>
                <w:color w:val="auto"/>
              </w:rPr>
            </w:pPr>
          </w:p>
        </w:tc>
        <w:tc>
          <w:tcPr>
            <w:tcW w:w="556" w:type="pct"/>
            <w:shd w:val="clear" w:color="auto" w:fill="auto"/>
            <w:noWrap w:val="0"/>
            <w:vAlign w:val="center"/>
          </w:tcPr>
          <w:p w14:paraId="53024AFA">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0~0.5m</w:t>
            </w:r>
          </w:p>
        </w:tc>
      </w:tr>
      <w:tr w14:paraId="5CE7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exact"/>
        </w:trPr>
        <w:tc>
          <w:tcPr>
            <w:tcW w:w="483" w:type="pct"/>
            <w:vMerge w:val="continue"/>
          </w:tcPr>
          <w:p w14:paraId="7B1004FC">
            <w:pPr>
              <w:bidi w:val="0"/>
              <w:jc w:val="center"/>
              <w:rPr>
                <w:rFonts w:hint="default"/>
                <w:color w:val="auto"/>
              </w:rPr>
            </w:pPr>
          </w:p>
        </w:tc>
        <w:tc>
          <w:tcPr>
            <w:tcW w:w="1812" w:type="pct"/>
            <w:vMerge w:val="continue"/>
          </w:tcPr>
          <w:p w14:paraId="026F079B">
            <w:pPr>
              <w:pStyle w:val="60"/>
              <w:rPr>
                <w:rFonts w:hint="default" w:ascii="Times New Roman" w:hAnsi="Times New Roman" w:cs="Times New Roman"/>
                <w:b w:val="0"/>
                <w:bCs w:val="0"/>
                <w:color w:val="auto"/>
                <w:sz w:val="21"/>
                <w:szCs w:val="21"/>
              </w:rPr>
            </w:pPr>
          </w:p>
        </w:tc>
        <w:tc>
          <w:tcPr>
            <w:tcW w:w="0" w:type="auto"/>
            <w:vAlign w:val="center"/>
          </w:tcPr>
          <w:p w14:paraId="3A886334">
            <w:pPr>
              <w:bidi w:val="0"/>
              <w:jc w:val="center"/>
              <w:rPr>
                <w:rFonts w:hint="default"/>
                <w:color w:val="auto"/>
              </w:rPr>
            </w:pPr>
          </w:p>
        </w:tc>
        <w:tc>
          <w:tcPr>
            <w:tcW w:w="0" w:type="auto"/>
            <w:shd w:val="clear" w:color="auto" w:fill="auto"/>
            <w:vAlign w:val="center"/>
          </w:tcPr>
          <w:p w14:paraId="161552BE">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0.5~1.5m</w:t>
            </w:r>
          </w:p>
        </w:tc>
      </w:tr>
      <w:tr w14:paraId="6B47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exact"/>
        </w:trPr>
        <w:tc>
          <w:tcPr>
            <w:tcW w:w="483" w:type="pct"/>
            <w:vMerge w:val="continue"/>
          </w:tcPr>
          <w:p w14:paraId="01B205A4">
            <w:pPr>
              <w:bidi w:val="0"/>
              <w:jc w:val="center"/>
              <w:rPr>
                <w:rFonts w:hint="default"/>
                <w:color w:val="auto"/>
              </w:rPr>
            </w:pPr>
          </w:p>
        </w:tc>
        <w:tc>
          <w:tcPr>
            <w:tcW w:w="1812" w:type="pct"/>
            <w:vMerge w:val="continue"/>
          </w:tcPr>
          <w:p w14:paraId="32E566EB">
            <w:pPr>
              <w:pStyle w:val="60"/>
              <w:rPr>
                <w:rFonts w:hint="default" w:ascii="Times New Roman" w:hAnsi="Times New Roman" w:cs="Times New Roman"/>
                <w:b w:val="0"/>
                <w:bCs w:val="0"/>
                <w:color w:val="auto"/>
                <w:sz w:val="21"/>
                <w:szCs w:val="21"/>
              </w:rPr>
            </w:pPr>
          </w:p>
        </w:tc>
        <w:tc>
          <w:tcPr>
            <w:tcW w:w="0" w:type="auto"/>
            <w:vAlign w:val="center"/>
          </w:tcPr>
          <w:p w14:paraId="1D1EF6D6">
            <w:pPr>
              <w:bidi w:val="0"/>
              <w:jc w:val="center"/>
              <w:rPr>
                <w:rFonts w:hint="default"/>
                <w:color w:val="auto"/>
              </w:rPr>
            </w:pPr>
          </w:p>
        </w:tc>
        <w:tc>
          <w:tcPr>
            <w:tcW w:w="0" w:type="auto"/>
            <w:shd w:val="clear" w:color="auto" w:fill="auto"/>
            <w:vAlign w:val="center"/>
          </w:tcPr>
          <w:p w14:paraId="190B5926">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1.5~3.0m</w:t>
            </w:r>
          </w:p>
        </w:tc>
      </w:tr>
      <w:tr w14:paraId="39D0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exact"/>
        </w:trPr>
        <w:tc>
          <w:tcPr>
            <w:tcW w:w="483" w:type="pct"/>
            <w:vMerge w:val="restart"/>
            <w:vAlign w:val="center"/>
          </w:tcPr>
          <w:p w14:paraId="17A8ED30">
            <w:pPr>
              <w:bidi w:val="0"/>
              <w:jc w:val="center"/>
              <w:rPr>
                <w:rFonts w:hint="default" w:eastAsia="宋体"/>
                <w:color w:val="auto"/>
                <w:lang w:val="en-US" w:eastAsia="zh-CN"/>
              </w:rPr>
            </w:pPr>
            <w:r>
              <w:rPr>
                <w:rFonts w:hint="eastAsia"/>
                <w:color w:val="auto"/>
                <w:lang w:val="en-US" w:eastAsia="zh-CN"/>
              </w:rPr>
              <w:t>T4</w:t>
            </w:r>
          </w:p>
        </w:tc>
        <w:tc>
          <w:tcPr>
            <w:tcW w:w="1812" w:type="pct"/>
            <w:vMerge w:val="restart"/>
            <w:vAlign w:val="center"/>
          </w:tcPr>
          <w:p w14:paraId="1BA06CFA">
            <w:pPr>
              <w:bidi w:val="0"/>
              <w:jc w:val="center"/>
              <w:rPr>
                <w:rFonts w:hint="default"/>
                <w:color w:val="auto"/>
              </w:rPr>
            </w:pPr>
          </w:p>
        </w:tc>
        <w:tc>
          <w:tcPr>
            <w:tcW w:w="0" w:type="auto"/>
            <w:vAlign w:val="center"/>
          </w:tcPr>
          <w:p w14:paraId="5FF892D1">
            <w:pPr>
              <w:bidi w:val="0"/>
              <w:jc w:val="center"/>
              <w:rPr>
                <w:rFonts w:hint="default"/>
                <w:color w:val="auto"/>
              </w:rPr>
            </w:pPr>
          </w:p>
        </w:tc>
        <w:tc>
          <w:tcPr>
            <w:tcW w:w="0" w:type="auto"/>
            <w:shd w:val="clear" w:color="auto" w:fill="auto"/>
            <w:vAlign w:val="center"/>
          </w:tcPr>
          <w:p w14:paraId="499791B6">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0~0.5m</w:t>
            </w:r>
          </w:p>
        </w:tc>
      </w:tr>
      <w:tr w14:paraId="74BC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exact"/>
        </w:trPr>
        <w:tc>
          <w:tcPr>
            <w:tcW w:w="483" w:type="pct"/>
            <w:vMerge w:val="continue"/>
          </w:tcPr>
          <w:p w14:paraId="0CB46041">
            <w:pPr>
              <w:bidi w:val="0"/>
              <w:jc w:val="center"/>
              <w:rPr>
                <w:rFonts w:hint="default"/>
                <w:color w:val="auto"/>
              </w:rPr>
            </w:pPr>
          </w:p>
        </w:tc>
        <w:tc>
          <w:tcPr>
            <w:tcW w:w="1812" w:type="pct"/>
            <w:vMerge w:val="continue"/>
          </w:tcPr>
          <w:p w14:paraId="1898C428">
            <w:pPr>
              <w:bidi w:val="0"/>
              <w:jc w:val="center"/>
              <w:rPr>
                <w:rFonts w:hint="default"/>
                <w:color w:val="auto"/>
              </w:rPr>
            </w:pPr>
          </w:p>
        </w:tc>
        <w:tc>
          <w:tcPr>
            <w:tcW w:w="0" w:type="auto"/>
            <w:vAlign w:val="center"/>
          </w:tcPr>
          <w:p w14:paraId="1C3FA6F6">
            <w:pPr>
              <w:bidi w:val="0"/>
              <w:jc w:val="center"/>
              <w:rPr>
                <w:rFonts w:hint="default"/>
                <w:color w:val="auto"/>
              </w:rPr>
            </w:pPr>
          </w:p>
        </w:tc>
        <w:tc>
          <w:tcPr>
            <w:tcW w:w="0" w:type="auto"/>
            <w:shd w:val="clear" w:color="auto" w:fill="auto"/>
            <w:vAlign w:val="center"/>
          </w:tcPr>
          <w:p w14:paraId="1581EC00">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0.5~1.5m</w:t>
            </w:r>
          </w:p>
        </w:tc>
      </w:tr>
      <w:tr w14:paraId="7C6C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2" w:hRule="exact"/>
        </w:trPr>
        <w:tc>
          <w:tcPr>
            <w:tcW w:w="483" w:type="pct"/>
            <w:vMerge w:val="continue"/>
          </w:tcPr>
          <w:p w14:paraId="348BEF23">
            <w:pPr>
              <w:bidi w:val="0"/>
              <w:jc w:val="center"/>
              <w:rPr>
                <w:rFonts w:hint="default"/>
                <w:color w:val="auto"/>
              </w:rPr>
            </w:pPr>
          </w:p>
        </w:tc>
        <w:tc>
          <w:tcPr>
            <w:tcW w:w="1812" w:type="pct"/>
            <w:vMerge w:val="continue"/>
          </w:tcPr>
          <w:p w14:paraId="5FE3DC56">
            <w:pPr>
              <w:bidi w:val="0"/>
              <w:jc w:val="center"/>
              <w:rPr>
                <w:rFonts w:hint="default"/>
                <w:color w:val="auto"/>
              </w:rPr>
            </w:pPr>
          </w:p>
        </w:tc>
        <w:tc>
          <w:tcPr>
            <w:tcW w:w="0" w:type="auto"/>
            <w:vAlign w:val="center"/>
          </w:tcPr>
          <w:p w14:paraId="7AD00565">
            <w:pPr>
              <w:bidi w:val="0"/>
              <w:jc w:val="center"/>
              <w:rPr>
                <w:rFonts w:hint="default"/>
                <w:color w:val="auto"/>
              </w:rPr>
            </w:pPr>
          </w:p>
        </w:tc>
        <w:tc>
          <w:tcPr>
            <w:tcW w:w="0" w:type="auto"/>
            <w:shd w:val="clear" w:color="auto" w:fill="auto"/>
            <w:vAlign w:val="center"/>
          </w:tcPr>
          <w:p w14:paraId="2F6DD947">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1.5~3.0m</w:t>
            </w:r>
          </w:p>
        </w:tc>
      </w:tr>
      <w:tr w14:paraId="7A02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8" w:hRule="exact"/>
        </w:trPr>
        <w:tc>
          <w:tcPr>
            <w:tcW w:w="483" w:type="pct"/>
            <w:vMerge w:val="restart"/>
            <w:vAlign w:val="center"/>
          </w:tcPr>
          <w:p w14:paraId="63701B0B">
            <w:pPr>
              <w:bidi w:val="0"/>
              <w:jc w:val="center"/>
              <w:rPr>
                <w:rFonts w:hint="default" w:eastAsia="宋体"/>
                <w:color w:val="auto"/>
                <w:lang w:val="en-US" w:eastAsia="zh-CN"/>
              </w:rPr>
            </w:pPr>
            <w:r>
              <w:rPr>
                <w:rFonts w:hint="eastAsia"/>
                <w:color w:val="auto"/>
                <w:lang w:val="en-US" w:eastAsia="zh-CN"/>
              </w:rPr>
              <w:t>T5</w:t>
            </w:r>
          </w:p>
        </w:tc>
        <w:tc>
          <w:tcPr>
            <w:tcW w:w="1812" w:type="pct"/>
            <w:vMerge w:val="restart"/>
            <w:vAlign w:val="center"/>
          </w:tcPr>
          <w:p w14:paraId="32E20917">
            <w:pPr>
              <w:bidi w:val="0"/>
              <w:jc w:val="center"/>
              <w:rPr>
                <w:rFonts w:hint="default"/>
                <w:color w:val="auto"/>
              </w:rPr>
            </w:pPr>
          </w:p>
        </w:tc>
        <w:tc>
          <w:tcPr>
            <w:tcW w:w="0" w:type="auto"/>
            <w:vAlign w:val="center"/>
          </w:tcPr>
          <w:p w14:paraId="12E082D5">
            <w:pPr>
              <w:bidi w:val="0"/>
              <w:jc w:val="center"/>
              <w:rPr>
                <w:rFonts w:hint="default"/>
                <w:color w:val="auto"/>
              </w:rPr>
            </w:pPr>
          </w:p>
        </w:tc>
        <w:tc>
          <w:tcPr>
            <w:tcW w:w="0" w:type="auto"/>
            <w:shd w:val="clear" w:color="auto" w:fill="auto"/>
            <w:vAlign w:val="center"/>
          </w:tcPr>
          <w:p w14:paraId="14C97D01">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0~0.5m</w:t>
            </w:r>
          </w:p>
        </w:tc>
      </w:tr>
      <w:tr w14:paraId="0CAF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exact"/>
        </w:trPr>
        <w:tc>
          <w:tcPr>
            <w:tcW w:w="483" w:type="pct"/>
            <w:vMerge w:val="continue"/>
          </w:tcPr>
          <w:p w14:paraId="697CCE71">
            <w:pPr>
              <w:bidi w:val="0"/>
              <w:jc w:val="center"/>
              <w:rPr>
                <w:rFonts w:hint="default"/>
                <w:color w:val="auto"/>
              </w:rPr>
            </w:pPr>
          </w:p>
        </w:tc>
        <w:tc>
          <w:tcPr>
            <w:tcW w:w="1812" w:type="pct"/>
            <w:vMerge w:val="continue"/>
          </w:tcPr>
          <w:p w14:paraId="1902DC1F">
            <w:pPr>
              <w:bidi w:val="0"/>
              <w:jc w:val="center"/>
              <w:rPr>
                <w:rFonts w:hint="default"/>
                <w:color w:val="auto"/>
              </w:rPr>
            </w:pPr>
          </w:p>
        </w:tc>
        <w:tc>
          <w:tcPr>
            <w:tcW w:w="0" w:type="auto"/>
            <w:vAlign w:val="center"/>
          </w:tcPr>
          <w:p w14:paraId="18D34FC9">
            <w:pPr>
              <w:bidi w:val="0"/>
              <w:jc w:val="center"/>
              <w:rPr>
                <w:rFonts w:hint="default"/>
                <w:color w:val="auto"/>
              </w:rPr>
            </w:pPr>
          </w:p>
        </w:tc>
        <w:tc>
          <w:tcPr>
            <w:tcW w:w="0" w:type="auto"/>
            <w:shd w:val="clear" w:color="auto" w:fill="auto"/>
            <w:vAlign w:val="center"/>
          </w:tcPr>
          <w:p w14:paraId="063826D2">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0.5~1.5m</w:t>
            </w:r>
          </w:p>
        </w:tc>
      </w:tr>
      <w:tr w14:paraId="6D19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exact"/>
        </w:trPr>
        <w:tc>
          <w:tcPr>
            <w:tcW w:w="483" w:type="pct"/>
            <w:vMerge w:val="continue"/>
          </w:tcPr>
          <w:p w14:paraId="317EFB1C">
            <w:pPr>
              <w:bidi w:val="0"/>
              <w:jc w:val="center"/>
              <w:rPr>
                <w:rFonts w:hint="default"/>
                <w:color w:val="auto"/>
              </w:rPr>
            </w:pPr>
          </w:p>
        </w:tc>
        <w:tc>
          <w:tcPr>
            <w:tcW w:w="1812" w:type="pct"/>
            <w:vMerge w:val="continue"/>
          </w:tcPr>
          <w:p w14:paraId="1520C7DD">
            <w:pPr>
              <w:bidi w:val="0"/>
              <w:jc w:val="center"/>
              <w:rPr>
                <w:rFonts w:hint="default"/>
                <w:color w:val="auto"/>
              </w:rPr>
            </w:pPr>
          </w:p>
        </w:tc>
        <w:tc>
          <w:tcPr>
            <w:tcW w:w="0" w:type="auto"/>
            <w:vAlign w:val="center"/>
          </w:tcPr>
          <w:p w14:paraId="319EB4D9">
            <w:pPr>
              <w:bidi w:val="0"/>
              <w:jc w:val="center"/>
              <w:rPr>
                <w:rFonts w:hint="default"/>
                <w:color w:val="auto"/>
              </w:rPr>
            </w:pPr>
          </w:p>
        </w:tc>
        <w:tc>
          <w:tcPr>
            <w:tcW w:w="0" w:type="auto"/>
            <w:shd w:val="clear" w:color="auto" w:fill="auto"/>
            <w:vAlign w:val="center"/>
          </w:tcPr>
          <w:p w14:paraId="4CCF27BA">
            <w:pPr>
              <w:pStyle w:val="34"/>
              <w:bidi w:val="0"/>
              <w:rPr>
                <w:rFonts w:hint="eastAsia" w:ascii="Times New Roman" w:hAnsi="Times New Roman" w:eastAsia="宋体" w:cs="Times New Roman"/>
                <w:color w:val="auto"/>
                <w:sz w:val="21"/>
                <w:szCs w:val="22"/>
                <w:lang w:val="en-US" w:eastAsia="zh-CN" w:bidi="ar-SA"/>
              </w:rPr>
            </w:pPr>
            <w:r>
              <w:rPr>
                <w:rFonts w:hint="eastAsia"/>
                <w:color w:val="auto"/>
                <w:lang w:val="en-US" w:eastAsia="zh-CN"/>
              </w:rPr>
              <w:t>1.5~3.0m</w:t>
            </w:r>
          </w:p>
        </w:tc>
      </w:tr>
    </w:tbl>
    <w:p w14:paraId="6706CEFC">
      <w:pPr>
        <w:pStyle w:val="5"/>
        <w:bidi w:val="0"/>
        <w:rPr>
          <w:rFonts w:hint="default"/>
          <w:color w:val="auto"/>
          <w:lang w:val="en-US" w:eastAsia="zh-CN"/>
        </w:rPr>
      </w:pPr>
      <w:r>
        <w:rPr>
          <w:rFonts w:hint="eastAsia"/>
          <w:color w:val="auto"/>
          <w:lang w:val="en-US" w:eastAsia="zh-CN"/>
        </w:rPr>
        <w:t>4.2.6生态环境现状调查与评价</w:t>
      </w:r>
    </w:p>
    <w:p w14:paraId="1CAC2424">
      <w:pPr>
        <w:pStyle w:val="6"/>
        <w:bidi w:val="0"/>
        <w:rPr>
          <w:rFonts w:hint="default"/>
          <w:color w:val="auto"/>
          <w:lang w:val="en-US" w:eastAsia="zh-CN"/>
        </w:rPr>
      </w:pPr>
      <w:bookmarkStart w:id="220" w:name="_Toc2771"/>
      <w:r>
        <w:rPr>
          <w:rFonts w:hint="eastAsia"/>
          <w:color w:val="auto"/>
          <w:lang w:val="en-US" w:eastAsia="zh-CN"/>
        </w:rPr>
        <w:t>4.2.6.1调查方法、调查范围</w:t>
      </w:r>
      <w:bookmarkEnd w:id="220"/>
      <w:r>
        <w:rPr>
          <w:rFonts w:hint="eastAsia"/>
          <w:color w:val="auto"/>
          <w:lang w:val="en-US" w:eastAsia="zh-CN"/>
        </w:rPr>
        <w:t>及调查内容</w:t>
      </w:r>
    </w:p>
    <w:p w14:paraId="497CF6E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bookmarkStart w:id="221" w:name="_Toc11768"/>
      <w:bookmarkStart w:id="222" w:name="_Toc25859"/>
      <w:r>
        <w:rPr>
          <w:rFonts w:hint="eastAsia"/>
          <w:color w:val="auto"/>
          <w:sz w:val="24"/>
          <w:szCs w:val="28"/>
          <w:lang w:val="en-US" w:eastAsia="zh-CN"/>
        </w:rPr>
        <w:t>1、调查方法</w:t>
      </w:r>
      <w:bookmarkEnd w:id="221"/>
      <w:bookmarkEnd w:id="222"/>
    </w:p>
    <w:p w14:paraId="60D3100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color w:val="auto"/>
          <w:sz w:val="24"/>
          <w:szCs w:val="28"/>
          <w:lang w:val="en-US" w:eastAsia="zh-CN"/>
        </w:rPr>
        <w:t>采用现场调查、资料收集与卫星遥感影像解译相结合的方法采用3S相结合的空间信息技术，进行</w:t>
      </w:r>
      <w:r>
        <w:rPr>
          <w:rFonts w:hint="eastAsia"/>
          <w:color w:val="auto"/>
          <w:sz w:val="24"/>
          <w:szCs w:val="28"/>
          <w:lang w:val="en-US" w:eastAsia="zh-CN"/>
        </w:rPr>
        <w:t>地貌</w:t>
      </w:r>
      <w:r>
        <w:rPr>
          <w:color w:val="auto"/>
          <w:sz w:val="24"/>
          <w:szCs w:val="28"/>
          <w:lang w:val="en-US" w:eastAsia="zh-CN"/>
        </w:rPr>
        <w:t>类型的数字化判读，完成数字化的植被类型图和土地利用图</w:t>
      </w:r>
      <w:r>
        <w:rPr>
          <w:rFonts w:hint="eastAsia"/>
          <w:color w:val="auto"/>
          <w:sz w:val="24"/>
          <w:szCs w:val="28"/>
          <w:lang w:val="en-US" w:eastAsia="zh-CN"/>
        </w:rPr>
        <w:t>。</w:t>
      </w:r>
    </w:p>
    <w:p w14:paraId="3D220EA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lang w:val="en-US" w:eastAsia="zh-CN"/>
        </w:rPr>
      </w:pPr>
      <w:bookmarkStart w:id="223" w:name="_Toc8334"/>
      <w:r>
        <w:rPr>
          <w:color w:val="auto"/>
          <w:sz w:val="24"/>
          <w:szCs w:val="28"/>
          <w:lang w:val="en-US" w:eastAsia="zh-CN"/>
        </w:rPr>
        <w:t>（1）现场调查</w:t>
      </w:r>
      <w:bookmarkEnd w:id="223"/>
    </w:p>
    <w:p w14:paraId="5E9802F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lang w:val="en-US" w:eastAsia="zh-CN"/>
        </w:rPr>
      </w:pPr>
      <w:r>
        <w:rPr>
          <w:color w:val="auto"/>
          <w:sz w:val="24"/>
          <w:szCs w:val="28"/>
          <w:lang w:val="en-US" w:eastAsia="zh-CN"/>
        </w:rPr>
        <w:t>通过对评价区现场调查，识别植物种类、记录植被盖度和野外调查中发现的动物，了解掌握评价区野生动植物的分布状况，并调查环境敏感点现状等相关情况。</w:t>
      </w:r>
    </w:p>
    <w:p w14:paraId="5617E11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bookmarkStart w:id="224" w:name="_Toc27219"/>
      <w:r>
        <w:rPr>
          <w:rFonts w:hint="eastAsia"/>
          <w:color w:val="auto"/>
          <w:sz w:val="24"/>
          <w:szCs w:val="28"/>
          <w:lang w:val="en-US" w:eastAsia="zh-CN"/>
        </w:rPr>
        <w:t>（2）资料收集</w:t>
      </w:r>
      <w:bookmarkEnd w:id="224"/>
    </w:p>
    <w:p w14:paraId="5F206836">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收集《新疆生态功能区划》《新疆植物志》《新疆脊椎动物简志》等。</w:t>
      </w:r>
    </w:p>
    <w:p w14:paraId="248EE7D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bookmarkStart w:id="225" w:name="_Toc12300"/>
      <w:bookmarkStart w:id="226" w:name="_Toc21849"/>
      <w:r>
        <w:rPr>
          <w:rFonts w:hint="eastAsia"/>
          <w:color w:val="auto"/>
          <w:sz w:val="24"/>
          <w:szCs w:val="28"/>
          <w:lang w:val="en-US" w:eastAsia="zh-CN"/>
        </w:rPr>
        <w:t>2、调查范围</w:t>
      </w:r>
      <w:bookmarkEnd w:id="225"/>
      <w:bookmarkEnd w:id="226"/>
    </w:p>
    <w:p w14:paraId="5D5F92A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根据2.5.6章节，本工程生态影响评价范围如下：</w:t>
      </w:r>
    </w:p>
    <w:p w14:paraId="6A71B01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本工程以采油井场厂界周围50m范围、管线工程两侧外延300m为评价范围，故本工程调查范围为评价范围。</w:t>
      </w:r>
    </w:p>
    <w:p w14:paraId="39240D88">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3、调查内容</w:t>
      </w:r>
    </w:p>
    <w:p w14:paraId="5550ED3B">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评价区自然地理和生态现状调查，如：地貌、海拔、土壤类型、植被类型及空间分布、植被生物量、植被覆盖度等情况。</w:t>
      </w:r>
    </w:p>
    <w:p w14:paraId="63166D5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评价区自然系统生态完整性调查。</w:t>
      </w:r>
    </w:p>
    <w:p w14:paraId="6407E7A9">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敏感生态目标现状调查，如生态保护红线区、国家公园、沙化封禁保护区、自然保护区、公益林、天然林等。</w:t>
      </w:r>
    </w:p>
    <w:p w14:paraId="585C585C">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项目区的水土流失、沙化情况。</w:t>
      </w:r>
    </w:p>
    <w:p w14:paraId="35CC8E03">
      <w:pPr>
        <w:pStyle w:val="6"/>
        <w:bidi w:val="0"/>
        <w:rPr>
          <w:rFonts w:hint="default"/>
          <w:color w:val="auto"/>
          <w:lang w:val="en-US" w:eastAsia="zh-CN"/>
        </w:rPr>
      </w:pPr>
      <w:bookmarkStart w:id="227" w:name="_Toc9067"/>
      <w:bookmarkStart w:id="228" w:name="_Toc2100"/>
      <w:r>
        <w:rPr>
          <w:rFonts w:hint="eastAsia"/>
          <w:color w:val="auto"/>
          <w:lang w:val="en-US" w:eastAsia="zh-CN"/>
        </w:rPr>
        <w:t>4.2.6.2区域生态功能调查</w:t>
      </w:r>
      <w:bookmarkEnd w:id="227"/>
      <w:bookmarkEnd w:id="228"/>
    </w:p>
    <w:p w14:paraId="3049B27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4"/>
        </w:rPr>
        <w:t>根据《新疆生态功能区划》，本工程所在区域属于准噶尔盆地温性荒漠与绿洲农业生态区，准噶尔盆地北部灌木半灌木荒漠生态亚区，白杨河河谷林、乌尔禾雅丹地貌保护生态功能区。工程所在区生态功能区的主要生态服务功能、生态敏感因子、主要生态环境问题和主要保护目标见表</w:t>
      </w:r>
      <w:r>
        <w:rPr>
          <w:rFonts w:hint="eastAsia" w:ascii="Times New Roman" w:hAnsi="Times New Roman" w:eastAsia="宋体" w:cs="Times New Roman"/>
          <w:color w:val="auto"/>
          <w:sz w:val="24"/>
          <w:szCs w:val="24"/>
          <w:lang w:val="en-US" w:eastAsia="zh-CN"/>
        </w:rPr>
        <w:t>4.2-1</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w:t>
      </w:r>
    </w:p>
    <w:p w14:paraId="781F8963">
      <w:pPr>
        <w:pStyle w:val="43"/>
        <w:bidi w:val="0"/>
        <w:rPr>
          <w:rFonts w:hint="default"/>
          <w:color w:val="auto"/>
        </w:rPr>
      </w:pPr>
      <w:r>
        <w:rPr>
          <w:rFonts w:hint="default"/>
          <w:color w:val="auto"/>
        </w:rPr>
        <w:t>表</w:t>
      </w:r>
      <w:r>
        <w:rPr>
          <w:rFonts w:hint="eastAsia"/>
          <w:color w:val="auto"/>
          <w:lang w:val="en-US" w:eastAsia="zh-CN"/>
        </w:rPr>
        <w:t>4.2-16</w:t>
      </w:r>
      <w:r>
        <w:rPr>
          <w:rFonts w:hint="default"/>
          <w:color w:val="auto"/>
        </w:rPr>
        <w:t xml:space="preserve">  项目区生态功能区划</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3"/>
        <w:gridCol w:w="1456"/>
        <w:gridCol w:w="6329"/>
      </w:tblGrid>
      <w:tr w14:paraId="2E49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1" w:type="pct"/>
            <w:vMerge w:val="restart"/>
            <w:noWrap w:val="0"/>
            <w:vAlign w:val="center"/>
          </w:tcPr>
          <w:p w14:paraId="3E469B1E">
            <w:pPr>
              <w:bidi w:val="0"/>
              <w:rPr>
                <w:rFonts w:hint="default"/>
                <w:color w:val="auto"/>
              </w:rPr>
            </w:pPr>
            <w:r>
              <w:rPr>
                <w:rFonts w:hint="default"/>
                <w:color w:val="auto"/>
              </w:rPr>
              <w:t>生态功能分区单元</w:t>
            </w:r>
          </w:p>
        </w:tc>
        <w:tc>
          <w:tcPr>
            <w:tcW w:w="828" w:type="pct"/>
            <w:noWrap w:val="0"/>
            <w:vAlign w:val="center"/>
          </w:tcPr>
          <w:p w14:paraId="36D4D71A">
            <w:pPr>
              <w:bidi w:val="0"/>
              <w:rPr>
                <w:rFonts w:hint="default"/>
                <w:color w:val="auto"/>
              </w:rPr>
            </w:pPr>
            <w:r>
              <w:rPr>
                <w:rFonts w:hint="default"/>
                <w:color w:val="auto"/>
              </w:rPr>
              <w:t>生态区</w:t>
            </w:r>
          </w:p>
        </w:tc>
        <w:tc>
          <w:tcPr>
            <w:tcW w:w="3600" w:type="pct"/>
            <w:noWrap w:val="0"/>
            <w:vAlign w:val="center"/>
          </w:tcPr>
          <w:p w14:paraId="1001FF69">
            <w:pPr>
              <w:bidi w:val="0"/>
              <w:rPr>
                <w:rFonts w:hint="default"/>
                <w:color w:val="auto"/>
              </w:rPr>
            </w:pPr>
            <w:r>
              <w:rPr>
                <w:rFonts w:hint="default"/>
                <w:color w:val="auto"/>
              </w:rPr>
              <w:t>准噶尔盆地温性荒漠与绿洲农业生态区（II）</w:t>
            </w:r>
          </w:p>
        </w:tc>
      </w:tr>
      <w:tr w14:paraId="2D5D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1" w:type="pct"/>
            <w:vMerge w:val="continue"/>
            <w:noWrap w:val="0"/>
            <w:vAlign w:val="center"/>
          </w:tcPr>
          <w:p w14:paraId="02C5F368">
            <w:pPr>
              <w:bidi w:val="0"/>
              <w:rPr>
                <w:rFonts w:hint="default"/>
                <w:color w:val="auto"/>
              </w:rPr>
            </w:pPr>
          </w:p>
        </w:tc>
        <w:tc>
          <w:tcPr>
            <w:tcW w:w="828" w:type="pct"/>
            <w:noWrap w:val="0"/>
            <w:vAlign w:val="center"/>
          </w:tcPr>
          <w:p w14:paraId="59F92F6E">
            <w:pPr>
              <w:bidi w:val="0"/>
              <w:rPr>
                <w:rFonts w:hint="default"/>
                <w:color w:val="auto"/>
              </w:rPr>
            </w:pPr>
            <w:r>
              <w:rPr>
                <w:rFonts w:hint="default"/>
                <w:color w:val="auto"/>
              </w:rPr>
              <w:t>生态亚区</w:t>
            </w:r>
          </w:p>
        </w:tc>
        <w:tc>
          <w:tcPr>
            <w:tcW w:w="3600" w:type="pct"/>
            <w:noWrap w:val="0"/>
            <w:vAlign w:val="center"/>
          </w:tcPr>
          <w:p w14:paraId="3E2C5B83">
            <w:pPr>
              <w:bidi w:val="0"/>
              <w:rPr>
                <w:rFonts w:hint="default"/>
                <w:color w:val="auto"/>
              </w:rPr>
            </w:pPr>
            <w:r>
              <w:rPr>
                <w:rFonts w:hint="default"/>
                <w:color w:val="auto"/>
              </w:rPr>
              <w:t>准噶尔盆地</w:t>
            </w:r>
            <w:r>
              <w:rPr>
                <w:rFonts w:hint="eastAsia"/>
                <w:color w:val="auto"/>
                <w:lang w:val="en-US" w:eastAsia="zh-CN"/>
              </w:rPr>
              <w:t>北</w:t>
            </w:r>
            <w:r>
              <w:rPr>
                <w:rFonts w:hint="default"/>
                <w:color w:val="auto"/>
              </w:rPr>
              <w:t>部</w:t>
            </w:r>
            <w:r>
              <w:rPr>
                <w:rFonts w:hint="eastAsia"/>
                <w:color w:val="auto"/>
                <w:lang w:val="en-US" w:eastAsia="zh-CN"/>
              </w:rPr>
              <w:t>灌木半灌木荒漠</w:t>
            </w:r>
            <w:r>
              <w:rPr>
                <w:rFonts w:hint="default"/>
                <w:color w:val="auto"/>
              </w:rPr>
              <w:t>生态亚区（II</w:t>
            </w:r>
            <w:r>
              <w:rPr>
                <w:rFonts w:hint="eastAsia"/>
                <w:color w:val="auto"/>
                <w:vertAlign w:val="subscript"/>
                <w:lang w:val="en-US" w:eastAsia="zh-CN"/>
              </w:rPr>
              <w:t>1</w:t>
            </w:r>
            <w:r>
              <w:rPr>
                <w:rFonts w:hint="default"/>
                <w:color w:val="auto"/>
              </w:rPr>
              <w:t>）</w:t>
            </w:r>
          </w:p>
        </w:tc>
      </w:tr>
      <w:tr w14:paraId="6FB4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1" w:type="pct"/>
            <w:vMerge w:val="continue"/>
            <w:noWrap w:val="0"/>
            <w:vAlign w:val="center"/>
          </w:tcPr>
          <w:p w14:paraId="14CF412C">
            <w:pPr>
              <w:bidi w:val="0"/>
              <w:rPr>
                <w:rFonts w:hint="default"/>
                <w:color w:val="auto"/>
              </w:rPr>
            </w:pPr>
          </w:p>
        </w:tc>
        <w:tc>
          <w:tcPr>
            <w:tcW w:w="828" w:type="pct"/>
            <w:noWrap w:val="0"/>
            <w:vAlign w:val="center"/>
          </w:tcPr>
          <w:p w14:paraId="31F244E0">
            <w:pPr>
              <w:bidi w:val="0"/>
              <w:rPr>
                <w:rFonts w:hint="default"/>
                <w:color w:val="auto"/>
              </w:rPr>
            </w:pPr>
            <w:r>
              <w:rPr>
                <w:rFonts w:hint="default"/>
                <w:color w:val="auto"/>
              </w:rPr>
              <w:t>生态功能区</w:t>
            </w:r>
          </w:p>
        </w:tc>
        <w:tc>
          <w:tcPr>
            <w:tcW w:w="3600" w:type="pct"/>
            <w:noWrap w:val="0"/>
            <w:vAlign w:val="center"/>
          </w:tcPr>
          <w:p w14:paraId="5DA5B749">
            <w:pPr>
              <w:bidi w:val="0"/>
              <w:rPr>
                <w:rFonts w:hint="eastAsia"/>
                <w:color w:val="auto"/>
                <w:lang w:eastAsia="zh-CN"/>
              </w:rPr>
            </w:pPr>
            <w:r>
              <w:rPr>
                <w:rFonts w:hint="eastAsia"/>
                <w:color w:val="auto"/>
                <w:lang w:val="en-US" w:eastAsia="zh-CN"/>
              </w:rPr>
              <w:t>白杨河河谷林、乌尔禾雅丹地貌保护</w:t>
            </w:r>
            <w:r>
              <w:rPr>
                <w:rFonts w:hint="default"/>
                <w:color w:val="auto"/>
              </w:rPr>
              <w:t>生态功能区</w:t>
            </w:r>
            <w:r>
              <w:rPr>
                <w:rFonts w:hint="eastAsia"/>
                <w:color w:val="auto"/>
                <w:lang w:eastAsia="zh-CN"/>
              </w:rPr>
              <w:t>（</w:t>
            </w:r>
            <w:r>
              <w:rPr>
                <w:rFonts w:hint="eastAsia"/>
                <w:color w:val="auto"/>
                <w:lang w:val="en-US" w:eastAsia="zh-CN"/>
              </w:rPr>
              <w:t>16</w:t>
            </w:r>
            <w:r>
              <w:rPr>
                <w:rFonts w:hint="eastAsia"/>
                <w:color w:val="auto"/>
                <w:lang w:eastAsia="zh-CN"/>
              </w:rPr>
              <w:t>）</w:t>
            </w:r>
          </w:p>
        </w:tc>
      </w:tr>
      <w:tr w14:paraId="026E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99" w:type="pct"/>
            <w:gridSpan w:val="2"/>
            <w:noWrap w:val="0"/>
            <w:vAlign w:val="center"/>
          </w:tcPr>
          <w:p w14:paraId="594D1EF3">
            <w:pPr>
              <w:bidi w:val="0"/>
              <w:rPr>
                <w:rFonts w:hint="default"/>
                <w:color w:val="auto"/>
              </w:rPr>
            </w:pPr>
            <w:r>
              <w:rPr>
                <w:rFonts w:hint="default"/>
                <w:color w:val="auto"/>
              </w:rPr>
              <w:t>主要生态服务功能</w:t>
            </w:r>
          </w:p>
        </w:tc>
        <w:tc>
          <w:tcPr>
            <w:tcW w:w="3600" w:type="pct"/>
            <w:noWrap w:val="0"/>
            <w:vAlign w:val="center"/>
          </w:tcPr>
          <w:p w14:paraId="3BA88549">
            <w:pPr>
              <w:bidi w:val="0"/>
              <w:rPr>
                <w:rFonts w:hint="default"/>
                <w:color w:val="auto"/>
                <w:lang w:val="en-US" w:eastAsia="zh-CN"/>
              </w:rPr>
            </w:pPr>
            <w:r>
              <w:rPr>
                <w:rFonts w:hint="eastAsia"/>
                <w:color w:val="auto"/>
                <w:lang w:val="en-US" w:eastAsia="zh-CN"/>
              </w:rPr>
              <w:t>土壤保持、景观多样性维护、旅游</w:t>
            </w:r>
          </w:p>
        </w:tc>
      </w:tr>
      <w:tr w14:paraId="0C55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99" w:type="pct"/>
            <w:gridSpan w:val="2"/>
            <w:noWrap w:val="0"/>
            <w:vAlign w:val="center"/>
          </w:tcPr>
          <w:p w14:paraId="54224476">
            <w:pPr>
              <w:bidi w:val="0"/>
              <w:rPr>
                <w:rFonts w:hint="default"/>
                <w:color w:val="auto"/>
              </w:rPr>
            </w:pPr>
            <w:r>
              <w:rPr>
                <w:rFonts w:hint="default"/>
                <w:color w:val="auto"/>
              </w:rPr>
              <w:t>主要生态环境问题</w:t>
            </w:r>
          </w:p>
        </w:tc>
        <w:tc>
          <w:tcPr>
            <w:tcW w:w="3600" w:type="pct"/>
            <w:noWrap w:val="0"/>
            <w:vAlign w:val="center"/>
          </w:tcPr>
          <w:p w14:paraId="56E4FDBD">
            <w:pPr>
              <w:bidi w:val="0"/>
              <w:rPr>
                <w:rFonts w:hint="default"/>
                <w:color w:val="auto"/>
                <w:lang w:val="en-US" w:eastAsia="zh-CN"/>
              </w:rPr>
            </w:pPr>
            <w:r>
              <w:rPr>
                <w:rFonts w:hint="eastAsia"/>
                <w:color w:val="auto"/>
                <w:lang w:val="en-US" w:eastAsia="zh-CN"/>
              </w:rPr>
              <w:t>河谷林衰败、土壤风蚀、滥挖甘草和肉苁蓉、自然景观受损</w:t>
            </w:r>
          </w:p>
        </w:tc>
      </w:tr>
      <w:tr w14:paraId="02E6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99" w:type="pct"/>
            <w:gridSpan w:val="2"/>
            <w:noWrap w:val="0"/>
            <w:vAlign w:val="center"/>
          </w:tcPr>
          <w:p w14:paraId="7182A4BF">
            <w:pPr>
              <w:bidi w:val="0"/>
              <w:rPr>
                <w:rFonts w:hint="default"/>
                <w:color w:val="auto"/>
              </w:rPr>
            </w:pPr>
            <w:r>
              <w:rPr>
                <w:rFonts w:hint="default"/>
                <w:color w:val="auto"/>
              </w:rPr>
              <w:t>生态敏感因子敏感程度</w:t>
            </w:r>
          </w:p>
        </w:tc>
        <w:tc>
          <w:tcPr>
            <w:tcW w:w="3600" w:type="pct"/>
            <w:noWrap w:val="0"/>
            <w:vAlign w:val="center"/>
          </w:tcPr>
          <w:p w14:paraId="1BAED36D">
            <w:pPr>
              <w:bidi w:val="0"/>
              <w:rPr>
                <w:rFonts w:hint="default"/>
                <w:color w:val="auto"/>
                <w:lang w:val="en-US" w:eastAsia="zh-CN"/>
              </w:rPr>
            </w:pPr>
            <w:r>
              <w:rPr>
                <w:rFonts w:hint="eastAsia"/>
                <w:color w:val="auto"/>
                <w:lang w:val="en-US" w:eastAsia="zh-CN"/>
              </w:rPr>
              <w:t>土地沙漠化轻度敏感、土壤侵蚀极度敏感</w:t>
            </w:r>
          </w:p>
        </w:tc>
      </w:tr>
      <w:tr w14:paraId="5F16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99" w:type="pct"/>
            <w:gridSpan w:val="2"/>
            <w:noWrap w:val="0"/>
            <w:vAlign w:val="center"/>
          </w:tcPr>
          <w:p w14:paraId="4044F536">
            <w:pPr>
              <w:bidi w:val="0"/>
              <w:rPr>
                <w:rFonts w:hint="default"/>
                <w:color w:val="auto"/>
              </w:rPr>
            </w:pPr>
            <w:r>
              <w:rPr>
                <w:rFonts w:hint="default"/>
                <w:color w:val="auto"/>
              </w:rPr>
              <w:t>保护目标</w:t>
            </w:r>
          </w:p>
        </w:tc>
        <w:tc>
          <w:tcPr>
            <w:tcW w:w="3600" w:type="pct"/>
            <w:noWrap w:val="0"/>
            <w:vAlign w:val="center"/>
          </w:tcPr>
          <w:p w14:paraId="61CD51E7">
            <w:pPr>
              <w:bidi w:val="0"/>
              <w:rPr>
                <w:rFonts w:hint="default"/>
                <w:color w:val="auto"/>
                <w:lang w:val="en-US" w:eastAsia="zh-CN"/>
              </w:rPr>
            </w:pPr>
            <w:r>
              <w:rPr>
                <w:rFonts w:hint="eastAsia"/>
                <w:color w:val="auto"/>
                <w:lang w:val="en-US" w:eastAsia="zh-CN"/>
              </w:rPr>
              <w:t>保护河谷林、保护地貌景观</w:t>
            </w:r>
          </w:p>
        </w:tc>
      </w:tr>
      <w:tr w14:paraId="394D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99" w:type="pct"/>
            <w:gridSpan w:val="2"/>
            <w:noWrap w:val="0"/>
            <w:vAlign w:val="center"/>
          </w:tcPr>
          <w:p w14:paraId="05BF4322">
            <w:pPr>
              <w:bidi w:val="0"/>
              <w:rPr>
                <w:rFonts w:hint="default"/>
                <w:color w:val="auto"/>
              </w:rPr>
            </w:pPr>
            <w:r>
              <w:rPr>
                <w:rFonts w:hint="default"/>
                <w:color w:val="auto"/>
              </w:rPr>
              <w:t>保护措施</w:t>
            </w:r>
          </w:p>
        </w:tc>
        <w:tc>
          <w:tcPr>
            <w:tcW w:w="3600" w:type="pct"/>
            <w:noWrap w:val="0"/>
            <w:vAlign w:val="center"/>
          </w:tcPr>
          <w:p w14:paraId="5B1140E1">
            <w:pPr>
              <w:bidi w:val="0"/>
              <w:rPr>
                <w:rFonts w:hint="default"/>
                <w:color w:val="auto"/>
                <w:lang w:val="en-US" w:eastAsia="zh-CN"/>
              </w:rPr>
            </w:pPr>
            <w:r>
              <w:rPr>
                <w:rFonts w:hint="eastAsia"/>
                <w:color w:val="auto"/>
                <w:lang w:val="en-US" w:eastAsia="zh-CN"/>
              </w:rPr>
              <w:t>河谷林封育保护、增加生态用水、旅游建设与自然景观相协调</w:t>
            </w:r>
          </w:p>
        </w:tc>
      </w:tr>
      <w:tr w14:paraId="4098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99" w:type="pct"/>
            <w:gridSpan w:val="2"/>
            <w:noWrap w:val="0"/>
            <w:vAlign w:val="center"/>
          </w:tcPr>
          <w:p w14:paraId="68D68F01">
            <w:pPr>
              <w:bidi w:val="0"/>
              <w:rPr>
                <w:rFonts w:hint="default" w:eastAsia="宋体"/>
                <w:color w:val="auto"/>
                <w:lang w:val="en-US" w:eastAsia="zh-CN"/>
              </w:rPr>
            </w:pPr>
            <w:r>
              <w:rPr>
                <w:rFonts w:hint="eastAsia"/>
                <w:color w:val="auto"/>
                <w:lang w:val="en-US" w:eastAsia="zh-CN"/>
              </w:rPr>
              <w:t>适宜发展方向</w:t>
            </w:r>
          </w:p>
        </w:tc>
        <w:tc>
          <w:tcPr>
            <w:tcW w:w="3600" w:type="pct"/>
            <w:noWrap w:val="0"/>
            <w:vAlign w:val="center"/>
          </w:tcPr>
          <w:p w14:paraId="07E8B784">
            <w:pPr>
              <w:bidi w:val="0"/>
              <w:rPr>
                <w:rFonts w:hint="default"/>
                <w:color w:val="auto"/>
                <w:lang w:val="en-US" w:eastAsia="zh-CN"/>
              </w:rPr>
            </w:pPr>
            <w:r>
              <w:rPr>
                <w:rFonts w:hint="eastAsia"/>
                <w:color w:val="auto"/>
                <w:lang w:val="en-US" w:eastAsia="zh-CN"/>
              </w:rPr>
              <w:t>复壮河谷林，合理发展旅游业</w:t>
            </w:r>
          </w:p>
        </w:tc>
      </w:tr>
    </w:tbl>
    <w:p w14:paraId="19BFC003">
      <w:pPr>
        <w:pStyle w:val="6"/>
        <w:bidi w:val="0"/>
        <w:rPr>
          <w:rFonts w:hint="default"/>
          <w:color w:val="auto"/>
          <w:lang w:val="en-US" w:eastAsia="zh-CN"/>
        </w:rPr>
      </w:pPr>
      <w:r>
        <w:rPr>
          <w:rFonts w:hint="eastAsia"/>
          <w:color w:val="auto"/>
          <w:lang w:val="en-US" w:eastAsia="zh-CN"/>
        </w:rPr>
        <w:t>4.2.6.3生态系统调查</w:t>
      </w:r>
    </w:p>
    <w:p w14:paraId="5B74E50F">
      <w:pPr>
        <w:pStyle w:val="11"/>
        <w:bidi w:val="0"/>
        <w:rPr>
          <w:rFonts w:hint="default" w:eastAsia="宋体"/>
          <w:color w:val="auto"/>
          <w:lang w:val="en-US" w:eastAsia="zh-CN"/>
        </w:rPr>
      </w:pPr>
      <w:r>
        <w:rPr>
          <w:rFonts w:hint="eastAsia"/>
          <w:color w:val="auto"/>
          <w:lang w:val="en-US" w:eastAsia="zh-CN"/>
        </w:rPr>
        <w:t>1、生态系统类型</w:t>
      </w:r>
    </w:p>
    <w:p w14:paraId="2859D897">
      <w:pPr>
        <w:pStyle w:val="11"/>
        <w:bidi w:val="0"/>
        <w:rPr>
          <w:rFonts w:hint="eastAsia"/>
          <w:color w:val="auto"/>
        </w:rPr>
      </w:pPr>
      <w:r>
        <w:rPr>
          <w:rFonts w:hint="eastAsia"/>
          <w:color w:val="auto"/>
        </w:rPr>
        <w:t>评价区属大陆性干旱、半干旱气候，该区域气候干燥，降水稀少。夏季炎热；冬季干冷；春季升温快而不稳；秋季降温迅速。年温差和日温较差大。光照充足，热量丰富，蒸发强烈，无霜期较长，风沙活动频繁。</w:t>
      </w:r>
    </w:p>
    <w:p w14:paraId="438E49AF">
      <w:pPr>
        <w:pStyle w:val="11"/>
        <w:bidi w:val="0"/>
        <w:rPr>
          <w:rFonts w:hint="eastAsia"/>
          <w:color w:val="auto"/>
        </w:rPr>
      </w:pPr>
      <w:r>
        <w:rPr>
          <w:rFonts w:hint="eastAsia"/>
          <w:color w:val="auto"/>
        </w:rPr>
        <w:t>评价区内土壤类型主要为灰棕漠土</w:t>
      </w:r>
      <w:r>
        <w:rPr>
          <w:rFonts w:hint="eastAsia"/>
          <w:color w:val="auto"/>
          <w:lang w:eastAsia="zh-CN"/>
        </w:rPr>
        <w:t>，</w:t>
      </w:r>
      <w:r>
        <w:rPr>
          <w:rFonts w:hint="eastAsia"/>
          <w:color w:val="auto"/>
          <w:lang w:val="en-US" w:eastAsia="zh-CN"/>
        </w:rPr>
        <w:t>其次为盐化草甸土和荒漠风沙土</w:t>
      </w:r>
      <w:r>
        <w:rPr>
          <w:rFonts w:hint="eastAsia"/>
          <w:color w:val="auto"/>
        </w:rPr>
        <w:t>。自然植被主要是梭梭、珍珠猪毛菜等。动物种群多为荒漠鸟类、爬行类和啮齿类动物。生态系统类型以荒漠生态系统为主。</w:t>
      </w:r>
    </w:p>
    <w:p w14:paraId="0685FBFC">
      <w:pPr>
        <w:pStyle w:val="11"/>
        <w:bidi w:val="0"/>
        <w:rPr>
          <w:rFonts w:hint="default" w:eastAsia="宋体"/>
          <w:color w:val="auto"/>
          <w:lang w:val="en-US" w:eastAsia="zh-CN"/>
        </w:rPr>
      </w:pPr>
      <w:r>
        <w:rPr>
          <w:rFonts w:hint="eastAsia"/>
          <w:color w:val="auto"/>
          <w:lang w:val="en-US" w:eastAsia="zh-CN"/>
        </w:rPr>
        <w:t>2、生态系统特点</w:t>
      </w:r>
    </w:p>
    <w:p w14:paraId="6AFB3AA9">
      <w:pPr>
        <w:pStyle w:val="11"/>
        <w:bidi w:val="0"/>
        <w:rPr>
          <w:rFonts w:hint="eastAsia"/>
          <w:color w:val="auto"/>
        </w:rPr>
      </w:pPr>
      <w:r>
        <w:rPr>
          <w:rFonts w:hint="eastAsia"/>
          <w:color w:val="auto"/>
        </w:rPr>
        <w:t>荒漠生态系统异质性程度低，结构单一，其稳定性差，抗外界干扰能力弱。荒漠气候极其干旱，甚至终年无雨，昼夜温差可高达25～30℃，大风和沙暴较多。各种荒漠植物以其独特的方式适应环境：超旱生植物根系发达、叶退化，以便多吸收水分、减少水分散失；肉质植物有很多贮水细胞，白天气孔关闭，减少水分蒸腾，只吸收光能进行光合作用，夜间气孔开放吸收二氧化碳；短生植物在有降雨时利用短暂的较湿润期迅速完成从萌发到结果的过程，以种子或地下器官度过不利时期；耐盐植物可直接利用盐碱浓度较高的水分，有的还能将盐分贮存在体内或从体表排出。此外，一些沙丘植物的茎基部和根有角质层、纤维鞘结构，可防止被炽热的沙粒灼伤。</w:t>
      </w:r>
    </w:p>
    <w:p w14:paraId="26C2BF11">
      <w:pPr>
        <w:pStyle w:val="11"/>
        <w:bidi w:val="0"/>
        <w:rPr>
          <w:rFonts w:hint="eastAsia"/>
          <w:color w:val="auto"/>
        </w:rPr>
      </w:pPr>
      <w:r>
        <w:rPr>
          <w:rFonts w:hint="eastAsia"/>
          <w:color w:val="auto"/>
        </w:rPr>
        <w:t>荒漠中的爬行动物和啮齿动物都在地下穴居生活，昼伏使出，听觉极其灵敏，有些种类不需饮水，仅靠食物中的水分便可存活，有的则可依靠休眠度过极端干旱期。</w:t>
      </w:r>
    </w:p>
    <w:p w14:paraId="0D0EC151">
      <w:pPr>
        <w:pStyle w:val="6"/>
        <w:bidi w:val="0"/>
        <w:rPr>
          <w:rFonts w:hint="default"/>
          <w:color w:val="auto"/>
          <w:lang w:val="en-US" w:eastAsia="zh-CN"/>
        </w:rPr>
      </w:pPr>
      <w:r>
        <w:rPr>
          <w:rFonts w:hint="eastAsia"/>
          <w:color w:val="auto"/>
          <w:lang w:val="en-US" w:eastAsia="zh-CN"/>
        </w:rPr>
        <w:t>4.2.6.4土地利用现状调查</w:t>
      </w:r>
    </w:p>
    <w:p w14:paraId="4EE83886">
      <w:pPr>
        <w:pStyle w:val="33"/>
        <w:bidi w:val="0"/>
        <w:rPr>
          <w:rFonts w:hint="default"/>
          <w:color w:val="auto"/>
          <w:lang w:val="en-US" w:eastAsia="zh-CN"/>
        </w:rPr>
      </w:pPr>
      <w:r>
        <w:rPr>
          <w:rFonts w:hint="default"/>
          <w:color w:val="auto"/>
        </w:rPr>
        <w:t>根据现场调查</w:t>
      </w:r>
      <w:r>
        <w:rPr>
          <w:rFonts w:hint="default"/>
          <w:color w:val="auto"/>
          <w:lang w:val="en-US" w:eastAsia="zh-CN"/>
        </w:rPr>
        <w:t>与</w:t>
      </w:r>
      <w:r>
        <w:rPr>
          <w:rFonts w:hint="default"/>
          <w:color w:val="auto"/>
        </w:rPr>
        <w:t>遥感调查结果，采用图形叠加法对评价范围内的生态现状进行分析，即将遥感影像与平面布置图进行叠加，并参照《土地利用现状分类》（GB</w:t>
      </w:r>
      <w:r>
        <w:rPr>
          <w:rFonts w:hint="eastAsia"/>
          <w:color w:val="auto"/>
          <w:lang w:val="en-US" w:eastAsia="zh-CN"/>
        </w:rPr>
        <w:t>/</w:t>
      </w:r>
      <w:r>
        <w:rPr>
          <w:rFonts w:hint="default"/>
          <w:color w:val="auto"/>
        </w:rPr>
        <w:t>T21010-2017），以确定评价范围内土地利用类型，并统计各类土地利用类型的面积，将成果绘制成土地利用现状图</w:t>
      </w:r>
      <w:r>
        <w:rPr>
          <w:rFonts w:hint="eastAsia"/>
          <w:color w:val="auto"/>
          <w:lang w:eastAsia="zh-CN"/>
        </w:rPr>
        <w:t>，</w:t>
      </w:r>
      <w:r>
        <w:rPr>
          <w:rFonts w:hint="eastAsia"/>
          <w:color w:val="auto"/>
          <w:lang w:val="en-US" w:eastAsia="zh-CN"/>
        </w:rPr>
        <w:t>见附图12</w:t>
      </w:r>
      <w:r>
        <w:rPr>
          <w:rFonts w:hint="default"/>
          <w:color w:val="auto"/>
        </w:rPr>
        <w:t>。</w:t>
      </w:r>
    </w:p>
    <w:p w14:paraId="7BBB60A6">
      <w:pPr>
        <w:pStyle w:val="33"/>
        <w:bidi w:val="0"/>
        <w:rPr>
          <w:rFonts w:hint="default"/>
          <w:color w:val="auto"/>
        </w:rPr>
      </w:pPr>
      <w:r>
        <w:rPr>
          <w:rFonts w:hint="default"/>
          <w:color w:val="auto"/>
        </w:rPr>
        <w:t>根据项目土地利用现状图及现场勘查，评价区土地利用类型主要包括</w:t>
      </w:r>
      <w:r>
        <w:rPr>
          <w:rFonts w:hint="eastAsia"/>
          <w:color w:val="auto"/>
          <w:lang w:val="en-US" w:eastAsia="zh-CN"/>
        </w:rPr>
        <w:t>灌木林地、天然牧草地、</w:t>
      </w:r>
      <w:r>
        <w:rPr>
          <w:rFonts w:hint="default"/>
          <w:color w:val="auto"/>
        </w:rPr>
        <w:t>其他草地、采矿用地及公路用地等，其中</w:t>
      </w:r>
      <w:r>
        <w:rPr>
          <w:rFonts w:hint="eastAsia"/>
          <w:color w:val="auto"/>
          <w:lang w:val="en-US" w:eastAsia="zh-CN"/>
        </w:rPr>
        <w:t>天然牧</w:t>
      </w:r>
      <w:r>
        <w:rPr>
          <w:rFonts w:hint="default"/>
          <w:color w:val="auto"/>
        </w:rPr>
        <w:t>草地占总评价区面积的</w:t>
      </w:r>
      <w:r>
        <w:rPr>
          <w:rFonts w:hint="eastAsia"/>
          <w:color w:val="auto"/>
          <w:lang w:val="en-US" w:eastAsia="zh-CN"/>
        </w:rPr>
        <w:t>45.83</w:t>
      </w:r>
      <w:r>
        <w:rPr>
          <w:rFonts w:hint="default"/>
          <w:color w:val="auto"/>
        </w:rPr>
        <w:t>%。本</w:t>
      </w:r>
      <w:r>
        <w:rPr>
          <w:rFonts w:hint="eastAsia"/>
          <w:color w:val="auto"/>
          <w:lang w:val="en-US" w:eastAsia="zh-CN"/>
        </w:rPr>
        <w:t>工程</w:t>
      </w:r>
      <w:r>
        <w:rPr>
          <w:rFonts w:hint="default"/>
          <w:color w:val="auto"/>
        </w:rPr>
        <w:t>土地利用类型</w:t>
      </w:r>
      <w:r>
        <w:rPr>
          <w:rFonts w:hint="eastAsia"/>
          <w:color w:val="auto"/>
          <w:lang w:val="en-US" w:eastAsia="zh-CN"/>
        </w:rPr>
        <w:t>统计见表</w:t>
      </w:r>
      <w:r>
        <w:rPr>
          <w:rFonts w:hint="default"/>
          <w:color w:val="auto"/>
        </w:rPr>
        <w:t>4.</w:t>
      </w:r>
      <w:r>
        <w:rPr>
          <w:rFonts w:hint="eastAsia"/>
          <w:color w:val="auto"/>
          <w:lang w:val="en-US" w:eastAsia="zh-CN"/>
        </w:rPr>
        <w:t>2-17</w:t>
      </w:r>
      <w:r>
        <w:rPr>
          <w:rFonts w:hint="default"/>
          <w:color w:val="auto"/>
        </w:rPr>
        <w:t>。</w:t>
      </w:r>
    </w:p>
    <w:p w14:paraId="3570339B">
      <w:pPr>
        <w:pStyle w:val="43"/>
        <w:bidi w:val="0"/>
        <w:rPr>
          <w:rFonts w:hint="default"/>
          <w:color w:val="auto"/>
        </w:rPr>
      </w:pPr>
      <w:r>
        <w:rPr>
          <w:rFonts w:hint="default"/>
          <w:color w:val="auto"/>
        </w:rPr>
        <w:t>表4</w:t>
      </w:r>
      <w:r>
        <w:rPr>
          <w:rFonts w:hint="eastAsia"/>
          <w:color w:val="auto"/>
          <w:lang w:val="en-US" w:eastAsia="zh-CN"/>
        </w:rPr>
        <w:t>.2-17</w:t>
      </w:r>
      <w:r>
        <w:rPr>
          <w:rFonts w:hint="default"/>
          <w:color w:val="auto"/>
        </w:rPr>
        <w:t xml:space="preserve">  评价区土地利用类型统计表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8"/>
        <w:gridCol w:w="2983"/>
        <w:gridCol w:w="2983"/>
      </w:tblGrid>
      <w:tr w14:paraId="71FA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01A1264B">
            <w:pPr>
              <w:pStyle w:val="34"/>
              <w:bidi w:val="0"/>
              <w:rPr>
                <w:rFonts w:hint="default"/>
                <w:b/>
                <w:bCs/>
                <w:color w:val="auto"/>
              </w:rPr>
            </w:pPr>
            <w:r>
              <w:rPr>
                <w:rFonts w:hint="default"/>
                <w:b/>
                <w:bCs/>
                <w:color w:val="auto"/>
              </w:rPr>
              <w:t>植被类型</w:t>
            </w:r>
          </w:p>
        </w:tc>
        <w:tc>
          <w:tcPr>
            <w:tcW w:w="2983" w:type="dxa"/>
            <w:vAlign w:val="top"/>
          </w:tcPr>
          <w:p w14:paraId="1707256B">
            <w:pPr>
              <w:pStyle w:val="34"/>
              <w:bidi w:val="0"/>
              <w:rPr>
                <w:rFonts w:hint="default"/>
                <w:b/>
                <w:bCs/>
                <w:color w:val="auto"/>
              </w:rPr>
            </w:pPr>
            <w:r>
              <w:rPr>
                <w:rFonts w:hint="eastAsia"/>
                <w:b/>
                <w:bCs/>
                <w:color w:val="auto"/>
                <w:lang w:val="en-US" w:eastAsia="zh-CN"/>
              </w:rPr>
              <w:t>评价范围</w:t>
            </w:r>
            <w:r>
              <w:rPr>
                <w:rFonts w:hint="default"/>
                <w:b/>
                <w:bCs/>
                <w:color w:val="auto"/>
              </w:rPr>
              <w:t>面积（hm</w:t>
            </w:r>
            <w:r>
              <w:rPr>
                <w:rFonts w:hint="default"/>
                <w:b/>
                <w:bCs/>
                <w:color w:val="auto"/>
                <w:vertAlign w:val="superscript"/>
              </w:rPr>
              <w:t>2</w:t>
            </w:r>
            <w:r>
              <w:rPr>
                <w:rFonts w:hint="default"/>
                <w:b/>
                <w:bCs/>
                <w:color w:val="auto"/>
              </w:rPr>
              <w:t>）</w:t>
            </w:r>
          </w:p>
        </w:tc>
        <w:tc>
          <w:tcPr>
            <w:tcW w:w="2983" w:type="dxa"/>
            <w:vAlign w:val="top"/>
          </w:tcPr>
          <w:p w14:paraId="269D3250">
            <w:pPr>
              <w:pStyle w:val="34"/>
              <w:bidi w:val="0"/>
              <w:rPr>
                <w:rFonts w:hint="default"/>
                <w:b/>
                <w:bCs/>
                <w:color w:val="auto"/>
              </w:rPr>
            </w:pPr>
            <w:r>
              <w:rPr>
                <w:rFonts w:hint="default"/>
                <w:b/>
                <w:bCs/>
                <w:color w:val="auto"/>
              </w:rPr>
              <w:t>占评价区面积比例（%）</w:t>
            </w:r>
          </w:p>
        </w:tc>
      </w:tr>
      <w:tr w14:paraId="012D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658DF199">
            <w:pPr>
              <w:pStyle w:val="34"/>
              <w:bidi w:val="0"/>
              <w:rPr>
                <w:rFonts w:hint="default"/>
                <w:color w:val="auto"/>
              </w:rPr>
            </w:pPr>
            <w:r>
              <w:rPr>
                <w:rFonts w:hint="default"/>
                <w:color w:val="auto"/>
              </w:rPr>
              <w:t>其他草地</w:t>
            </w:r>
          </w:p>
        </w:tc>
        <w:tc>
          <w:tcPr>
            <w:tcW w:w="2841" w:type="dxa"/>
            <w:vAlign w:val="center"/>
          </w:tcPr>
          <w:p w14:paraId="25FD8F3D">
            <w:pPr>
              <w:pStyle w:val="34"/>
              <w:bidi w:val="0"/>
              <w:rPr>
                <w:rFonts w:hint="default" w:eastAsia="宋体"/>
                <w:color w:val="auto"/>
                <w:lang w:val="en-US" w:eastAsia="zh-CN"/>
              </w:rPr>
            </w:pPr>
            <w:r>
              <w:rPr>
                <w:rFonts w:hint="eastAsia"/>
                <w:color w:val="auto"/>
                <w:lang w:val="en-US" w:eastAsia="zh-CN"/>
              </w:rPr>
              <w:t>105.6963</w:t>
            </w:r>
          </w:p>
        </w:tc>
        <w:tc>
          <w:tcPr>
            <w:tcW w:w="2841" w:type="dxa"/>
            <w:vAlign w:val="center"/>
          </w:tcPr>
          <w:p w14:paraId="0A09E68E">
            <w:pPr>
              <w:pStyle w:val="34"/>
              <w:bidi w:val="0"/>
              <w:rPr>
                <w:rFonts w:hint="default" w:eastAsia="宋体"/>
                <w:color w:val="auto"/>
                <w:lang w:val="en-US" w:eastAsia="zh-CN"/>
              </w:rPr>
            </w:pPr>
            <w:r>
              <w:rPr>
                <w:rFonts w:hint="eastAsia"/>
                <w:color w:val="auto"/>
                <w:lang w:val="en-US" w:eastAsia="zh-CN"/>
              </w:rPr>
              <w:t>17.01</w:t>
            </w:r>
          </w:p>
        </w:tc>
      </w:tr>
      <w:tr w14:paraId="11D4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572ECD37">
            <w:pPr>
              <w:pStyle w:val="34"/>
              <w:bidi w:val="0"/>
              <w:rPr>
                <w:rFonts w:hint="eastAsia" w:eastAsia="宋体"/>
                <w:color w:val="auto"/>
                <w:lang w:val="en-US" w:eastAsia="zh-CN"/>
              </w:rPr>
            </w:pPr>
            <w:r>
              <w:rPr>
                <w:rFonts w:hint="eastAsia"/>
                <w:color w:val="auto"/>
                <w:lang w:val="en-US" w:eastAsia="zh-CN"/>
              </w:rPr>
              <w:t>灌木林地</w:t>
            </w:r>
          </w:p>
        </w:tc>
        <w:tc>
          <w:tcPr>
            <w:tcW w:w="2841" w:type="dxa"/>
            <w:vAlign w:val="center"/>
          </w:tcPr>
          <w:p w14:paraId="3F8018CC">
            <w:pPr>
              <w:pStyle w:val="34"/>
              <w:bidi w:val="0"/>
              <w:rPr>
                <w:rFonts w:hint="default" w:eastAsia="宋体"/>
                <w:color w:val="auto"/>
                <w:lang w:val="en-US" w:eastAsia="zh-CN"/>
              </w:rPr>
            </w:pPr>
            <w:r>
              <w:rPr>
                <w:rFonts w:hint="eastAsia"/>
                <w:color w:val="auto"/>
                <w:lang w:val="en-US" w:eastAsia="zh-CN"/>
              </w:rPr>
              <w:t>130.6941</w:t>
            </w:r>
          </w:p>
        </w:tc>
        <w:tc>
          <w:tcPr>
            <w:tcW w:w="2841" w:type="dxa"/>
            <w:vAlign w:val="center"/>
          </w:tcPr>
          <w:p w14:paraId="758D0C46">
            <w:pPr>
              <w:pStyle w:val="34"/>
              <w:bidi w:val="0"/>
              <w:rPr>
                <w:rFonts w:hint="default" w:eastAsia="宋体"/>
                <w:color w:val="auto"/>
                <w:lang w:val="en-US" w:eastAsia="zh-CN"/>
              </w:rPr>
            </w:pPr>
            <w:r>
              <w:rPr>
                <w:rFonts w:hint="eastAsia"/>
                <w:color w:val="auto"/>
                <w:lang w:val="en-US" w:eastAsia="zh-CN"/>
              </w:rPr>
              <w:t>21.04</w:t>
            </w:r>
          </w:p>
        </w:tc>
      </w:tr>
      <w:tr w14:paraId="64E1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4CCBC27D">
            <w:pPr>
              <w:pStyle w:val="34"/>
              <w:bidi w:val="0"/>
              <w:rPr>
                <w:rFonts w:hint="default" w:eastAsia="宋体"/>
                <w:color w:val="auto"/>
                <w:lang w:val="en-US" w:eastAsia="zh-CN"/>
              </w:rPr>
            </w:pPr>
            <w:r>
              <w:rPr>
                <w:rFonts w:hint="eastAsia"/>
                <w:color w:val="auto"/>
                <w:lang w:val="en-US" w:eastAsia="zh-CN"/>
              </w:rPr>
              <w:t>天然牧草地</w:t>
            </w:r>
          </w:p>
        </w:tc>
        <w:tc>
          <w:tcPr>
            <w:tcW w:w="2841" w:type="dxa"/>
            <w:vAlign w:val="center"/>
          </w:tcPr>
          <w:p w14:paraId="7D103857">
            <w:pPr>
              <w:pStyle w:val="34"/>
              <w:bidi w:val="0"/>
              <w:rPr>
                <w:rFonts w:hint="default" w:eastAsia="宋体"/>
                <w:color w:val="auto"/>
                <w:lang w:val="en-US" w:eastAsia="zh-CN"/>
              </w:rPr>
            </w:pPr>
            <w:r>
              <w:rPr>
                <w:rFonts w:hint="eastAsia"/>
                <w:color w:val="auto"/>
                <w:lang w:val="en-US" w:eastAsia="zh-CN"/>
              </w:rPr>
              <w:t>284.7132</w:t>
            </w:r>
          </w:p>
        </w:tc>
        <w:tc>
          <w:tcPr>
            <w:tcW w:w="2841" w:type="dxa"/>
            <w:vAlign w:val="center"/>
          </w:tcPr>
          <w:p w14:paraId="489434E3">
            <w:pPr>
              <w:pStyle w:val="34"/>
              <w:bidi w:val="0"/>
              <w:rPr>
                <w:rFonts w:hint="default" w:eastAsia="宋体"/>
                <w:color w:val="auto"/>
                <w:lang w:val="en-US" w:eastAsia="zh-CN"/>
              </w:rPr>
            </w:pPr>
            <w:r>
              <w:rPr>
                <w:rFonts w:hint="eastAsia"/>
                <w:color w:val="auto"/>
                <w:lang w:val="en-US" w:eastAsia="zh-CN"/>
              </w:rPr>
              <w:t>45.83</w:t>
            </w:r>
          </w:p>
        </w:tc>
      </w:tr>
      <w:tr w14:paraId="1ACA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2D4FC6E6">
            <w:pPr>
              <w:pStyle w:val="34"/>
              <w:bidi w:val="0"/>
              <w:rPr>
                <w:rFonts w:hint="default"/>
                <w:color w:val="auto"/>
              </w:rPr>
            </w:pPr>
            <w:r>
              <w:rPr>
                <w:rFonts w:hint="default"/>
                <w:color w:val="auto"/>
              </w:rPr>
              <w:t>采矿用地</w:t>
            </w:r>
          </w:p>
        </w:tc>
        <w:tc>
          <w:tcPr>
            <w:tcW w:w="2841" w:type="dxa"/>
            <w:vAlign w:val="center"/>
          </w:tcPr>
          <w:p w14:paraId="5852A594">
            <w:pPr>
              <w:pStyle w:val="34"/>
              <w:bidi w:val="0"/>
              <w:rPr>
                <w:rFonts w:hint="default" w:eastAsia="宋体"/>
                <w:color w:val="auto"/>
                <w:lang w:val="en-US" w:eastAsia="zh-CN"/>
              </w:rPr>
            </w:pPr>
            <w:r>
              <w:rPr>
                <w:rFonts w:hint="eastAsia"/>
                <w:color w:val="auto"/>
                <w:lang w:val="en-US" w:eastAsia="zh-CN"/>
              </w:rPr>
              <w:t>46.1034</w:t>
            </w:r>
          </w:p>
        </w:tc>
        <w:tc>
          <w:tcPr>
            <w:tcW w:w="2841" w:type="dxa"/>
            <w:vAlign w:val="center"/>
          </w:tcPr>
          <w:p w14:paraId="28485592">
            <w:pPr>
              <w:pStyle w:val="34"/>
              <w:bidi w:val="0"/>
              <w:rPr>
                <w:rFonts w:hint="default" w:eastAsia="宋体"/>
                <w:color w:val="auto"/>
                <w:lang w:val="en-US" w:eastAsia="zh-CN"/>
              </w:rPr>
            </w:pPr>
            <w:r>
              <w:rPr>
                <w:rFonts w:hint="eastAsia"/>
                <w:color w:val="auto"/>
                <w:lang w:val="en-US" w:eastAsia="zh-CN"/>
              </w:rPr>
              <w:t>7.42</w:t>
            </w:r>
          </w:p>
        </w:tc>
      </w:tr>
      <w:tr w14:paraId="2E19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37144C24">
            <w:pPr>
              <w:pStyle w:val="34"/>
              <w:bidi w:val="0"/>
              <w:rPr>
                <w:rFonts w:hint="default"/>
                <w:color w:val="auto"/>
              </w:rPr>
            </w:pPr>
            <w:r>
              <w:rPr>
                <w:rFonts w:hint="eastAsia"/>
                <w:color w:val="auto"/>
                <w:lang w:val="en-US" w:eastAsia="zh-CN"/>
              </w:rPr>
              <w:t>道路</w:t>
            </w:r>
            <w:r>
              <w:rPr>
                <w:rFonts w:hint="default"/>
                <w:color w:val="auto"/>
              </w:rPr>
              <w:t>用地</w:t>
            </w:r>
          </w:p>
        </w:tc>
        <w:tc>
          <w:tcPr>
            <w:tcW w:w="2841" w:type="dxa"/>
            <w:vAlign w:val="center"/>
          </w:tcPr>
          <w:p w14:paraId="5C7C3C0B">
            <w:pPr>
              <w:pStyle w:val="34"/>
              <w:bidi w:val="0"/>
              <w:rPr>
                <w:rFonts w:hint="default" w:eastAsia="宋体"/>
                <w:color w:val="auto"/>
                <w:lang w:val="en-US" w:eastAsia="zh-CN"/>
              </w:rPr>
            </w:pPr>
            <w:r>
              <w:rPr>
                <w:rFonts w:hint="eastAsia"/>
                <w:color w:val="auto"/>
                <w:lang w:val="en-US" w:eastAsia="zh-CN"/>
              </w:rPr>
              <w:t>3.5892</w:t>
            </w:r>
          </w:p>
        </w:tc>
        <w:tc>
          <w:tcPr>
            <w:tcW w:w="2841" w:type="dxa"/>
            <w:vAlign w:val="center"/>
          </w:tcPr>
          <w:p w14:paraId="16751501">
            <w:pPr>
              <w:pStyle w:val="34"/>
              <w:bidi w:val="0"/>
              <w:rPr>
                <w:rFonts w:hint="default" w:eastAsia="宋体"/>
                <w:color w:val="auto"/>
                <w:lang w:val="en-US" w:eastAsia="zh-CN"/>
              </w:rPr>
            </w:pPr>
            <w:r>
              <w:rPr>
                <w:rFonts w:hint="eastAsia"/>
                <w:color w:val="auto"/>
                <w:lang w:val="en-US" w:eastAsia="zh-CN"/>
              </w:rPr>
              <w:t>0.58</w:t>
            </w:r>
          </w:p>
        </w:tc>
      </w:tr>
      <w:tr w14:paraId="1571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7BC9E01C">
            <w:pPr>
              <w:pStyle w:val="34"/>
              <w:bidi w:val="0"/>
              <w:rPr>
                <w:rFonts w:hint="default"/>
                <w:color w:val="auto"/>
                <w:lang w:val="en-US" w:eastAsia="zh-CN"/>
              </w:rPr>
            </w:pPr>
            <w:r>
              <w:rPr>
                <w:rFonts w:hint="eastAsia"/>
                <w:color w:val="auto"/>
                <w:lang w:val="en-US" w:eastAsia="zh-CN"/>
              </w:rPr>
              <w:t>未利用地（裸土地、裸岩石砾地）</w:t>
            </w:r>
          </w:p>
        </w:tc>
        <w:tc>
          <w:tcPr>
            <w:tcW w:w="2841" w:type="dxa"/>
            <w:vAlign w:val="center"/>
          </w:tcPr>
          <w:p w14:paraId="3A86E60B">
            <w:pPr>
              <w:pStyle w:val="34"/>
              <w:bidi w:val="0"/>
              <w:rPr>
                <w:rFonts w:hint="default"/>
                <w:color w:val="auto"/>
                <w:lang w:val="en-US" w:eastAsia="zh-CN"/>
              </w:rPr>
            </w:pPr>
            <w:r>
              <w:rPr>
                <w:rFonts w:hint="eastAsia"/>
                <w:color w:val="auto"/>
                <w:lang w:val="en-US" w:eastAsia="zh-CN"/>
              </w:rPr>
              <w:t>50.5038</w:t>
            </w:r>
          </w:p>
        </w:tc>
        <w:tc>
          <w:tcPr>
            <w:tcW w:w="2841" w:type="dxa"/>
            <w:vAlign w:val="center"/>
          </w:tcPr>
          <w:p w14:paraId="71AA1E0A">
            <w:pPr>
              <w:pStyle w:val="34"/>
              <w:bidi w:val="0"/>
              <w:rPr>
                <w:rFonts w:hint="default" w:eastAsia="宋体"/>
                <w:color w:val="auto"/>
                <w:lang w:val="en-US" w:eastAsia="zh-CN"/>
              </w:rPr>
            </w:pPr>
            <w:r>
              <w:rPr>
                <w:rFonts w:hint="eastAsia"/>
                <w:color w:val="auto"/>
                <w:lang w:val="en-US" w:eastAsia="zh-CN"/>
              </w:rPr>
              <w:t>8.12</w:t>
            </w:r>
          </w:p>
        </w:tc>
      </w:tr>
      <w:tr w14:paraId="26D9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Align w:val="center"/>
          </w:tcPr>
          <w:p w14:paraId="0A6BDA5A">
            <w:pPr>
              <w:pStyle w:val="34"/>
              <w:bidi w:val="0"/>
              <w:rPr>
                <w:rFonts w:hint="default"/>
                <w:color w:val="auto"/>
              </w:rPr>
            </w:pPr>
            <w:r>
              <w:rPr>
                <w:rFonts w:hint="default"/>
                <w:color w:val="auto"/>
              </w:rPr>
              <w:t>合计</w:t>
            </w:r>
          </w:p>
        </w:tc>
        <w:tc>
          <w:tcPr>
            <w:tcW w:w="2841" w:type="dxa"/>
            <w:vAlign w:val="center"/>
          </w:tcPr>
          <w:p w14:paraId="5F4AC804">
            <w:pPr>
              <w:pStyle w:val="34"/>
              <w:bidi w:val="0"/>
              <w:rPr>
                <w:rFonts w:hint="default" w:eastAsia="宋体"/>
                <w:color w:val="auto"/>
                <w:lang w:val="en-US" w:eastAsia="zh-CN"/>
              </w:rPr>
            </w:pPr>
            <w:r>
              <w:rPr>
                <w:rFonts w:hint="eastAsia"/>
                <w:color w:val="auto"/>
                <w:lang w:val="en-US" w:eastAsia="zh-CN"/>
              </w:rPr>
              <w:t>621.30</w:t>
            </w:r>
          </w:p>
        </w:tc>
        <w:tc>
          <w:tcPr>
            <w:tcW w:w="2841" w:type="dxa"/>
            <w:vAlign w:val="center"/>
          </w:tcPr>
          <w:p w14:paraId="5A919866">
            <w:pPr>
              <w:pStyle w:val="34"/>
              <w:bidi w:val="0"/>
              <w:rPr>
                <w:rFonts w:hint="default" w:eastAsia="宋体"/>
                <w:color w:val="auto"/>
                <w:lang w:val="en-US" w:eastAsia="zh-CN"/>
              </w:rPr>
            </w:pPr>
            <w:r>
              <w:rPr>
                <w:rFonts w:hint="eastAsia"/>
                <w:color w:val="auto"/>
                <w:lang w:val="en-US" w:eastAsia="zh-CN"/>
              </w:rPr>
              <w:t>100</w:t>
            </w:r>
          </w:p>
        </w:tc>
      </w:tr>
    </w:tbl>
    <w:p w14:paraId="1F0E5AF1">
      <w:pPr>
        <w:pStyle w:val="6"/>
        <w:bidi w:val="0"/>
        <w:rPr>
          <w:rFonts w:hint="default"/>
          <w:color w:val="auto"/>
          <w:lang w:val="en-US" w:eastAsia="zh-CN"/>
        </w:rPr>
      </w:pPr>
      <w:r>
        <w:rPr>
          <w:rFonts w:hint="eastAsia"/>
          <w:color w:val="auto"/>
          <w:lang w:val="en-US" w:eastAsia="zh-CN"/>
        </w:rPr>
        <w:t>4.2.6.5水土流失及沙化现状调查</w:t>
      </w:r>
    </w:p>
    <w:p w14:paraId="51AB5C7D">
      <w:pPr>
        <w:pStyle w:val="33"/>
        <w:bidi w:val="0"/>
        <w:rPr>
          <w:rFonts w:hint="default" w:eastAsia="宋体"/>
          <w:color w:val="auto"/>
          <w:lang w:val="en-US" w:eastAsia="zh-CN"/>
        </w:rPr>
      </w:pPr>
      <w:r>
        <w:rPr>
          <w:rFonts w:hint="default"/>
          <w:color w:val="auto"/>
          <w:lang w:val="de-DE"/>
        </w:rPr>
        <w:t>根据《新疆维吾尔自治区水土保持区划（</w:t>
      </w:r>
      <w:r>
        <w:rPr>
          <w:rFonts w:hint="default"/>
          <w:color w:val="auto"/>
        </w:rPr>
        <w:t>2018</w:t>
      </w:r>
      <w:r>
        <w:rPr>
          <w:rFonts w:hint="eastAsia"/>
          <w:color w:val="auto"/>
          <w:lang w:val="en-US" w:eastAsia="zh-CN"/>
        </w:rPr>
        <w:t>-</w:t>
      </w:r>
      <w:r>
        <w:rPr>
          <w:rFonts w:hint="default"/>
          <w:color w:val="auto"/>
        </w:rPr>
        <w:t>2030年）</w:t>
      </w:r>
      <w:r>
        <w:rPr>
          <w:rFonts w:hint="default"/>
          <w:color w:val="auto"/>
          <w:lang w:val="de-DE"/>
        </w:rPr>
        <w:t>》，</w:t>
      </w:r>
      <w:r>
        <w:rPr>
          <w:rFonts w:hint="eastAsia"/>
          <w:color w:val="auto"/>
          <w:lang w:val="en-US" w:eastAsia="zh-CN"/>
        </w:rPr>
        <w:t>工程</w:t>
      </w:r>
      <w:r>
        <w:rPr>
          <w:rFonts w:hint="default"/>
          <w:color w:val="auto"/>
          <w:lang w:val="de-DE"/>
        </w:rPr>
        <w:t>所在</w:t>
      </w:r>
      <w:r>
        <w:rPr>
          <w:rFonts w:hint="default"/>
          <w:color w:val="auto"/>
        </w:rPr>
        <w:t>地</w:t>
      </w:r>
      <w:r>
        <w:rPr>
          <w:rFonts w:hint="eastAsia"/>
          <w:color w:val="auto"/>
          <w:lang w:val="en-US" w:eastAsia="zh-CN"/>
        </w:rPr>
        <w:t>塔城地区和布克赛尔蒙古自治县</w:t>
      </w:r>
      <w:r>
        <w:rPr>
          <w:rFonts w:hint="default"/>
          <w:color w:val="auto"/>
          <w:lang w:val="de-DE"/>
        </w:rPr>
        <w:t>属于天山北坡国家级水土流失重点预防区。此外，根据</w:t>
      </w:r>
      <w:r>
        <w:rPr>
          <w:rFonts w:hint="default"/>
          <w:color w:val="auto"/>
        </w:rPr>
        <w:t>《关于印发自治区级水土流失重点预防区和重点治理区复核划分成果的通知》（新水水保〔2019〕4号）</w:t>
      </w:r>
      <w:r>
        <w:rPr>
          <w:rFonts w:hint="default"/>
          <w:color w:val="auto"/>
          <w:lang w:val="de-DE"/>
        </w:rPr>
        <w:t>，项目所在</w:t>
      </w:r>
      <w:r>
        <w:rPr>
          <w:rFonts w:hint="default"/>
          <w:color w:val="auto"/>
        </w:rPr>
        <w:t>地属于</w:t>
      </w:r>
      <w:r>
        <w:rPr>
          <w:rFonts w:hint="default"/>
          <w:color w:val="auto"/>
          <w:lang w:val="de-DE"/>
        </w:rPr>
        <w:t>Ⅱ</w:t>
      </w:r>
      <w:r>
        <w:rPr>
          <w:rFonts w:hint="default"/>
          <w:color w:val="auto"/>
          <w:vertAlign w:val="subscript"/>
          <w:lang w:val="de-DE"/>
        </w:rPr>
        <w:t>2</w:t>
      </w:r>
      <w:r>
        <w:rPr>
          <w:rFonts w:hint="default"/>
          <w:color w:val="auto"/>
          <w:lang w:val="de-DE"/>
        </w:rPr>
        <w:t>天山北坡诸小河流域重点治理区。</w:t>
      </w:r>
      <w:r>
        <w:rPr>
          <w:rFonts w:hint="eastAsia"/>
          <w:color w:val="auto"/>
          <w:lang w:val="en-US" w:eastAsia="zh-CN"/>
        </w:rPr>
        <w:t>与古尔班通古特主体沙漠位置关系见附图13。</w:t>
      </w:r>
    </w:p>
    <w:p w14:paraId="66DBC731">
      <w:pPr>
        <w:pStyle w:val="33"/>
        <w:bidi w:val="0"/>
        <w:rPr>
          <w:rFonts w:hint="default"/>
          <w:color w:val="auto"/>
        </w:rPr>
      </w:pPr>
      <w:r>
        <w:rPr>
          <w:rFonts w:hint="default"/>
          <w:color w:val="auto"/>
        </w:rPr>
        <w:t>根据水利部</w:t>
      </w:r>
      <w:bookmarkStart w:id="229" w:name="_Hlk90903065"/>
      <w:r>
        <w:rPr>
          <w:rFonts w:hint="default"/>
          <w:color w:val="auto"/>
        </w:rPr>
        <w:t>《生产建设项目水土保持技术标准》（GB50433-2018）</w:t>
      </w:r>
      <w:bookmarkEnd w:id="229"/>
      <w:r>
        <w:rPr>
          <w:rFonts w:hint="default"/>
          <w:color w:val="auto"/>
        </w:rPr>
        <w:t>中风力侵蚀分级参考指标和《土壤侵蚀分类分级标准》（SL190-2007）中风蚀强度分级指标（见表4.</w:t>
      </w:r>
      <w:r>
        <w:rPr>
          <w:rFonts w:hint="eastAsia"/>
          <w:color w:val="auto"/>
          <w:lang w:val="en-US" w:eastAsia="zh-CN"/>
        </w:rPr>
        <w:t>2-18</w:t>
      </w:r>
      <w:r>
        <w:rPr>
          <w:rFonts w:hint="default"/>
          <w:color w:val="auto"/>
        </w:rPr>
        <w:t>），对</w:t>
      </w:r>
      <w:r>
        <w:rPr>
          <w:rFonts w:hint="eastAsia"/>
          <w:color w:val="auto"/>
          <w:lang w:val="en-US" w:eastAsia="zh-CN"/>
        </w:rPr>
        <w:t>本工程</w:t>
      </w:r>
      <w:r>
        <w:rPr>
          <w:rFonts w:hint="default"/>
          <w:color w:val="auto"/>
        </w:rPr>
        <w:t>区风力侵蚀强度进行评价。</w:t>
      </w:r>
    </w:p>
    <w:p w14:paraId="29438E9B">
      <w:pPr>
        <w:pStyle w:val="43"/>
        <w:bidi w:val="0"/>
        <w:rPr>
          <w:rFonts w:hint="default"/>
          <w:color w:val="auto"/>
        </w:rPr>
      </w:pPr>
      <w:r>
        <w:rPr>
          <w:rFonts w:hint="default"/>
          <w:color w:val="auto"/>
        </w:rPr>
        <w:t>表4</w:t>
      </w:r>
      <w:r>
        <w:rPr>
          <w:rFonts w:hint="eastAsia"/>
          <w:color w:val="auto"/>
          <w:lang w:val="en-US" w:eastAsia="zh-CN"/>
        </w:rPr>
        <w:t>.2-18</w:t>
      </w:r>
      <w:r>
        <w:rPr>
          <w:rFonts w:hint="default"/>
          <w:color w:val="auto"/>
        </w:rPr>
        <w:t xml:space="preserve">  土壤风蚀分级指标</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240"/>
        <w:gridCol w:w="2908"/>
        <w:gridCol w:w="1758"/>
        <w:gridCol w:w="1273"/>
        <w:gridCol w:w="1605"/>
      </w:tblGrid>
      <w:tr w14:paraId="4F57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706" w:type="pct"/>
            <w:vAlign w:val="center"/>
          </w:tcPr>
          <w:p w14:paraId="57486588">
            <w:pPr>
              <w:pStyle w:val="34"/>
              <w:bidi w:val="0"/>
              <w:rPr>
                <w:rFonts w:hint="default"/>
                <w:b/>
                <w:bCs/>
                <w:color w:val="auto"/>
              </w:rPr>
            </w:pPr>
            <w:r>
              <w:rPr>
                <w:rFonts w:hint="default"/>
                <w:b/>
                <w:bCs/>
                <w:color w:val="auto"/>
              </w:rPr>
              <w:t>侵蚀强度</w:t>
            </w:r>
          </w:p>
        </w:tc>
        <w:tc>
          <w:tcPr>
            <w:tcW w:w="1655" w:type="pct"/>
            <w:vAlign w:val="center"/>
          </w:tcPr>
          <w:p w14:paraId="6A1BA544">
            <w:pPr>
              <w:pStyle w:val="34"/>
              <w:bidi w:val="0"/>
              <w:rPr>
                <w:rFonts w:hint="default"/>
                <w:b/>
                <w:bCs/>
                <w:color w:val="auto"/>
              </w:rPr>
            </w:pPr>
            <w:r>
              <w:rPr>
                <w:rFonts w:hint="default"/>
                <w:b/>
                <w:bCs/>
                <w:color w:val="auto"/>
              </w:rPr>
              <w:t>床面形态（地表形态）</w:t>
            </w:r>
          </w:p>
        </w:tc>
        <w:tc>
          <w:tcPr>
            <w:tcW w:w="1000" w:type="pct"/>
            <w:vAlign w:val="center"/>
          </w:tcPr>
          <w:p w14:paraId="7EF0E505">
            <w:pPr>
              <w:pStyle w:val="34"/>
              <w:bidi w:val="0"/>
              <w:rPr>
                <w:rFonts w:hint="default"/>
                <w:b/>
                <w:bCs/>
                <w:color w:val="auto"/>
              </w:rPr>
            </w:pPr>
            <w:r>
              <w:rPr>
                <w:rFonts w:hint="default"/>
                <w:b/>
                <w:bCs/>
                <w:color w:val="auto"/>
              </w:rPr>
              <w:t>植被覆盖度（%）</w:t>
            </w:r>
          </w:p>
          <w:p w14:paraId="27A3C714">
            <w:pPr>
              <w:pStyle w:val="34"/>
              <w:bidi w:val="0"/>
              <w:rPr>
                <w:rFonts w:hint="default"/>
                <w:b/>
                <w:bCs/>
                <w:color w:val="auto"/>
              </w:rPr>
            </w:pPr>
            <w:r>
              <w:rPr>
                <w:rFonts w:hint="default"/>
                <w:b/>
                <w:bCs/>
                <w:color w:val="auto"/>
              </w:rPr>
              <w:t>（非流沙面积）</w:t>
            </w:r>
          </w:p>
        </w:tc>
        <w:tc>
          <w:tcPr>
            <w:tcW w:w="724" w:type="pct"/>
            <w:vAlign w:val="center"/>
          </w:tcPr>
          <w:p w14:paraId="6A286188">
            <w:pPr>
              <w:pStyle w:val="34"/>
              <w:bidi w:val="0"/>
              <w:rPr>
                <w:rFonts w:hint="default"/>
                <w:b/>
                <w:bCs/>
                <w:color w:val="auto"/>
              </w:rPr>
            </w:pPr>
            <w:r>
              <w:rPr>
                <w:rFonts w:hint="default"/>
                <w:b/>
                <w:bCs/>
                <w:color w:val="auto"/>
              </w:rPr>
              <w:t>风蚀厚度</w:t>
            </w:r>
          </w:p>
          <w:p w14:paraId="3C6F8CFF">
            <w:pPr>
              <w:pStyle w:val="34"/>
              <w:bidi w:val="0"/>
              <w:rPr>
                <w:rFonts w:hint="default"/>
                <w:b/>
                <w:bCs/>
                <w:color w:val="auto"/>
              </w:rPr>
            </w:pPr>
            <w:r>
              <w:rPr>
                <w:rFonts w:hint="default"/>
                <w:b/>
                <w:bCs/>
                <w:color w:val="auto"/>
              </w:rPr>
              <w:t>（mm/a）</w:t>
            </w:r>
          </w:p>
        </w:tc>
        <w:tc>
          <w:tcPr>
            <w:tcW w:w="913" w:type="pct"/>
            <w:vAlign w:val="center"/>
          </w:tcPr>
          <w:p w14:paraId="71D72373">
            <w:pPr>
              <w:pStyle w:val="34"/>
              <w:bidi w:val="0"/>
              <w:rPr>
                <w:rFonts w:hint="default"/>
                <w:b/>
                <w:bCs/>
                <w:color w:val="auto"/>
              </w:rPr>
            </w:pPr>
            <w:r>
              <w:rPr>
                <w:rFonts w:hint="default"/>
                <w:b/>
                <w:bCs/>
                <w:color w:val="auto"/>
              </w:rPr>
              <w:t>侵蚀模数</w:t>
            </w:r>
          </w:p>
          <w:p w14:paraId="45A41C16">
            <w:pPr>
              <w:pStyle w:val="34"/>
              <w:bidi w:val="0"/>
              <w:rPr>
                <w:rFonts w:hint="default"/>
                <w:b/>
                <w:bCs/>
                <w:color w:val="auto"/>
              </w:rPr>
            </w:pPr>
            <w:r>
              <w:rPr>
                <w:rFonts w:hint="default"/>
                <w:b/>
                <w:bCs/>
                <w:color w:val="auto"/>
              </w:rPr>
              <w:t>[t/(km</w:t>
            </w:r>
            <w:r>
              <w:rPr>
                <w:rFonts w:hint="default"/>
                <w:b/>
                <w:bCs/>
                <w:color w:val="auto"/>
                <w:vertAlign w:val="superscript"/>
              </w:rPr>
              <w:t>2</w:t>
            </w:r>
            <w:r>
              <w:rPr>
                <w:rFonts w:hint="default"/>
                <w:b/>
                <w:bCs/>
                <w:color w:val="auto"/>
              </w:rPr>
              <w:t>·a)]</w:t>
            </w:r>
          </w:p>
        </w:tc>
      </w:tr>
      <w:tr w14:paraId="32FE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706" w:type="pct"/>
            <w:vAlign w:val="center"/>
          </w:tcPr>
          <w:p w14:paraId="7F46E301">
            <w:pPr>
              <w:pStyle w:val="34"/>
              <w:bidi w:val="0"/>
              <w:rPr>
                <w:rFonts w:hint="default"/>
                <w:color w:val="auto"/>
              </w:rPr>
            </w:pPr>
            <w:r>
              <w:rPr>
                <w:rFonts w:hint="default"/>
                <w:color w:val="auto"/>
              </w:rPr>
              <w:t>微度侵蚀</w:t>
            </w:r>
          </w:p>
        </w:tc>
        <w:tc>
          <w:tcPr>
            <w:tcW w:w="1655" w:type="pct"/>
            <w:vAlign w:val="center"/>
          </w:tcPr>
          <w:p w14:paraId="7359B286">
            <w:pPr>
              <w:pStyle w:val="34"/>
              <w:bidi w:val="0"/>
              <w:rPr>
                <w:rFonts w:hint="default"/>
                <w:color w:val="auto"/>
              </w:rPr>
            </w:pPr>
            <w:r>
              <w:rPr>
                <w:rFonts w:hint="default"/>
                <w:color w:val="auto"/>
              </w:rPr>
              <w:t>固定沙丘，沙地和滩地</w:t>
            </w:r>
          </w:p>
        </w:tc>
        <w:tc>
          <w:tcPr>
            <w:tcW w:w="1000" w:type="pct"/>
            <w:vAlign w:val="center"/>
          </w:tcPr>
          <w:p w14:paraId="6CB11A0D">
            <w:pPr>
              <w:pStyle w:val="34"/>
              <w:bidi w:val="0"/>
              <w:rPr>
                <w:rFonts w:hint="default"/>
                <w:color w:val="auto"/>
              </w:rPr>
            </w:pPr>
            <w:r>
              <w:rPr>
                <w:rFonts w:hint="default"/>
                <w:color w:val="auto"/>
              </w:rPr>
              <w:t>＞70</w:t>
            </w:r>
          </w:p>
        </w:tc>
        <w:tc>
          <w:tcPr>
            <w:tcW w:w="724" w:type="pct"/>
            <w:vAlign w:val="center"/>
          </w:tcPr>
          <w:p w14:paraId="1AEF9F56">
            <w:pPr>
              <w:pStyle w:val="34"/>
              <w:bidi w:val="0"/>
              <w:rPr>
                <w:rFonts w:hint="default"/>
                <w:color w:val="auto"/>
              </w:rPr>
            </w:pPr>
            <w:r>
              <w:rPr>
                <w:rFonts w:hint="default"/>
                <w:color w:val="auto"/>
              </w:rPr>
              <w:t>＜2</w:t>
            </w:r>
          </w:p>
        </w:tc>
        <w:tc>
          <w:tcPr>
            <w:tcW w:w="913" w:type="pct"/>
            <w:vAlign w:val="center"/>
          </w:tcPr>
          <w:p w14:paraId="0390E50E">
            <w:pPr>
              <w:pStyle w:val="34"/>
              <w:bidi w:val="0"/>
              <w:rPr>
                <w:rFonts w:hint="default"/>
                <w:color w:val="auto"/>
              </w:rPr>
            </w:pPr>
            <w:r>
              <w:rPr>
                <w:rFonts w:hint="default"/>
                <w:color w:val="auto"/>
              </w:rPr>
              <w:t>＜200</w:t>
            </w:r>
          </w:p>
        </w:tc>
      </w:tr>
      <w:tr w14:paraId="53CB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706" w:type="pct"/>
            <w:vAlign w:val="center"/>
          </w:tcPr>
          <w:p w14:paraId="4D7060D6">
            <w:pPr>
              <w:pStyle w:val="34"/>
              <w:bidi w:val="0"/>
              <w:rPr>
                <w:rFonts w:hint="default"/>
                <w:color w:val="auto"/>
              </w:rPr>
            </w:pPr>
            <w:r>
              <w:rPr>
                <w:rFonts w:hint="default"/>
                <w:color w:val="auto"/>
              </w:rPr>
              <w:t>轻度侵蚀</w:t>
            </w:r>
          </w:p>
        </w:tc>
        <w:tc>
          <w:tcPr>
            <w:tcW w:w="1655" w:type="pct"/>
            <w:vAlign w:val="center"/>
          </w:tcPr>
          <w:p w14:paraId="0724A2C2">
            <w:pPr>
              <w:pStyle w:val="34"/>
              <w:bidi w:val="0"/>
              <w:rPr>
                <w:rFonts w:hint="default"/>
                <w:color w:val="auto"/>
              </w:rPr>
            </w:pPr>
            <w:r>
              <w:rPr>
                <w:rFonts w:hint="default"/>
                <w:color w:val="auto"/>
              </w:rPr>
              <w:t>固定沙丘，半固定沙丘，沙地</w:t>
            </w:r>
          </w:p>
        </w:tc>
        <w:tc>
          <w:tcPr>
            <w:tcW w:w="1000" w:type="pct"/>
            <w:vAlign w:val="center"/>
          </w:tcPr>
          <w:p w14:paraId="5076AF4B">
            <w:pPr>
              <w:pStyle w:val="34"/>
              <w:bidi w:val="0"/>
              <w:rPr>
                <w:rFonts w:hint="default"/>
                <w:color w:val="auto"/>
              </w:rPr>
            </w:pPr>
            <w:r>
              <w:rPr>
                <w:rFonts w:hint="default"/>
                <w:color w:val="auto"/>
              </w:rPr>
              <w:t>70-50</w:t>
            </w:r>
          </w:p>
        </w:tc>
        <w:tc>
          <w:tcPr>
            <w:tcW w:w="724" w:type="pct"/>
            <w:vAlign w:val="center"/>
          </w:tcPr>
          <w:p w14:paraId="053E0091">
            <w:pPr>
              <w:pStyle w:val="34"/>
              <w:bidi w:val="0"/>
              <w:rPr>
                <w:rFonts w:hint="default"/>
                <w:color w:val="auto"/>
              </w:rPr>
            </w:pPr>
            <w:r>
              <w:rPr>
                <w:rFonts w:hint="default"/>
                <w:color w:val="auto"/>
              </w:rPr>
              <w:t>2-10</w:t>
            </w:r>
          </w:p>
        </w:tc>
        <w:tc>
          <w:tcPr>
            <w:tcW w:w="913" w:type="pct"/>
            <w:vAlign w:val="center"/>
          </w:tcPr>
          <w:p w14:paraId="0D44A126">
            <w:pPr>
              <w:pStyle w:val="34"/>
              <w:bidi w:val="0"/>
              <w:rPr>
                <w:rFonts w:hint="default"/>
                <w:color w:val="auto"/>
              </w:rPr>
            </w:pPr>
            <w:r>
              <w:rPr>
                <w:rFonts w:hint="default"/>
                <w:color w:val="auto"/>
              </w:rPr>
              <w:t>200-2500</w:t>
            </w:r>
          </w:p>
        </w:tc>
      </w:tr>
      <w:tr w14:paraId="124E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706" w:type="pct"/>
            <w:vAlign w:val="center"/>
          </w:tcPr>
          <w:p w14:paraId="1063FB0B">
            <w:pPr>
              <w:pStyle w:val="34"/>
              <w:bidi w:val="0"/>
              <w:rPr>
                <w:rFonts w:hint="default"/>
                <w:color w:val="auto"/>
              </w:rPr>
            </w:pPr>
            <w:r>
              <w:rPr>
                <w:rFonts w:hint="default"/>
                <w:color w:val="auto"/>
              </w:rPr>
              <w:t>中度侵蚀</w:t>
            </w:r>
          </w:p>
        </w:tc>
        <w:tc>
          <w:tcPr>
            <w:tcW w:w="1655" w:type="pct"/>
            <w:vAlign w:val="center"/>
          </w:tcPr>
          <w:p w14:paraId="30CFCBA0">
            <w:pPr>
              <w:pStyle w:val="34"/>
              <w:bidi w:val="0"/>
              <w:rPr>
                <w:rFonts w:hint="default"/>
                <w:color w:val="auto"/>
              </w:rPr>
            </w:pPr>
            <w:r>
              <w:rPr>
                <w:rFonts w:hint="default"/>
                <w:color w:val="auto"/>
              </w:rPr>
              <w:t>半固定沙丘，沙地</w:t>
            </w:r>
          </w:p>
        </w:tc>
        <w:tc>
          <w:tcPr>
            <w:tcW w:w="1000" w:type="pct"/>
            <w:vAlign w:val="center"/>
          </w:tcPr>
          <w:p w14:paraId="67F61986">
            <w:pPr>
              <w:pStyle w:val="34"/>
              <w:bidi w:val="0"/>
              <w:rPr>
                <w:rFonts w:hint="default"/>
                <w:color w:val="auto"/>
              </w:rPr>
            </w:pPr>
            <w:r>
              <w:rPr>
                <w:rFonts w:hint="default"/>
                <w:color w:val="auto"/>
              </w:rPr>
              <w:t>50-30</w:t>
            </w:r>
          </w:p>
        </w:tc>
        <w:tc>
          <w:tcPr>
            <w:tcW w:w="724" w:type="pct"/>
            <w:vAlign w:val="center"/>
          </w:tcPr>
          <w:p w14:paraId="05AAE078">
            <w:pPr>
              <w:pStyle w:val="34"/>
              <w:bidi w:val="0"/>
              <w:rPr>
                <w:rFonts w:hint="default"/>
                <w:color w:val="auto"/>
              </w:rPr>
            </w:pPr>
            <w:r>
              <w:rPr>
                <w:rFonts w:hint="default"/>
                <w:color w:val="auto"/>
              </w:rPr>
              <w:t>10-25</w:t>
            </w:r>
          </w:p>
        </w:tc>
        <w:tc>
          <w:tcPr>
            <w:tcW w:w="913" w:type="pct"/>
            <w:vAlign w:val="center"/>
          </w:tcPr>
          <w:p w14:paraId="5AC36098">
            <w:pPr>
              <w:pStyle w:val="34"/>
              <w:bidi w:val="0"/>
              <w:rPr>
                <w:rFonts w:hint="default"/>
                <w:color w:val="auto"/>
              </w:rPr>
            </w:pPr>
            <w:r>
              <w:rPr>
                <w:rFonts w:hint="default"/>
                <w:color w:val="auto"/>
              </w:rPr>
              <w:t>2500-5000</w:t>
            </w:r>
          </w:p>
        </w:tc>
      </w:tr>
      <w:tr w14:paraId="705B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706" w:type="pct"/>
            <w:vAlign w:val="center"/>
          </w:tcPr>
          <w:p w14:paraId="7BC6C955">
            <w:pPr>
              <w:pStyle w:val="34"/>
              <w:bidi w:val="0"/>
              <w:rPr>
                <w:rFonts w:hint="default"/>
                <w:color w:val="auto"/>
              </w:rPr>
            </w:pPr>
            <w:r>
              <w:rPr>
                <w:rFonts w:hint="default"/>
                <w:color w:val="auto"/>
              </w:rPr>
              <w:t>强度侵蚀</w:t>
            </w:r>
          </w:p>
        </w:tc>
        <w:tc>
          <w:tcPr>
            <w:tcW w:w="1655" w:type="pct"/>
            <w:vAlign w:val="center"/>
          </w:tcPr>
          <w:p w14:paraId="6088789D">
            <w:pPr>
              <w:pStyle w:val="34"/>
              <w:bidi w:val="0"/>
              <w:rPr>
                <w:rFonts w:hint="default"/>
                <w:color w:val="auto"/>
              </w:rPr>
            </w:pPr>
            <w:r>
              <w:rPr>
                <w:rFonts w:hint="default"/>
                <w:color w:val="auto"/>
              </w:rPr>
              <w:t>半固定沙丘，流动沙丘，沙地</w:t>
            </w:r>
          </w:p>
        </w:tc>
        <w:tc>
          <w:tcPr>
            <w:tcW w:w="1000" w:type="pct"/>
            <w:vAlign w:val="center"/>
          </w:tcPr>
          <w:p w14:paraId="0247D6C4">
            <w:pPr>
              <w:pStyle w:val="34"/>
              <w:bidi w:val="0"/>
              <w:rPr>
                <w:rFonts w:hint="default"/>
                <w:color w:val="auto"/>
              </w:rPr>
            </w:pPr>
            <w:r>
              <w:rPr>
                <w:rFonts w:hint="default"/>
                <w:color w:val="auto"/>
              </w:rPr>
              <w:t>30-10</w:t>
            </w:r>
          </w:p>
        </w:tc>
        <w:tc>
          <w:tcPr>
            <w:tcW w:w="724" w:type="pct"/>
            <w:vAlign w:val="center"/>
          </w:tcPr>
          <w:p w14:paraId="48701EE7">
            <w:pPr>
              <w:pStyle w:val="34"/>
              <w:bidi w:val="0"/>
              <w:rPr>
                <w:rFonts w:hint="default"/>
                <w:color w:val="auto"/>
              </w:rPr>
            </w:pPr>
            <w:r>
              <w:rPr>
                <w:rFonts w:hint="default"/>
                <w:color w:val="auto"/>
              </w:rPr>
              <w:t>25-50</w:t>
            </w:r>
          </w:p>
        </w:tc>
        <w:tc>
          <w:tcPr>
            <w:tcW w:w="913" w:type="pct"/>
            <w:vAlign w:val="center"/>
          </w:tcPr>
          <w:p w14:paraId="11D41CFB">
            <w:pPr>
              <w:pStyle w:val="34"/>
              <w:bidi w:val="0"/>
              <w:rPr>
                <w:rFonts w:hint="default"/>
                <w:color w:val="auto"/>
              </w:rPr>
            </w:pPr>
            <w:r>
              <w:rPr>
                <w:rFonts w:hint="default"/>
                <w:color w:val="auto"/>
              </w:rPr>
              <w:t>5000-8000</w:t>
            </w:r>
          </w:p>
        </w:tc>
      </w:tr>
      <w:tr w14:paraId="5DA7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706" w:type="pct"/>
            <w:vAlign w:val="center"/>
          </w:tcPr>
          <w:p w14:paraId="61FA7678">
            <w:pPr>
              <w:pStyle w:val="34"/>
              <w:bidi w:val="0"/>
              <w:rPr>
                <w:rFonts w:hint="default"/>
                <w:color w:val="auto"/>
              </w:rPr>
            </w:pPr>
            <w:r>
              <w:rPr>
                <w:rFonts w:hint="default"/>
                <w:color w:val="auto"/>
              </w:rPr>
              <w:t>极强度侵蚀</w:t>
            </w:r>
          </w:p>
        </w:tc>
        <w:tc>
          <w:tcPr>
            <w:tcW w:w="1655" w:type="pct"/>
            <w:vAlign w:val="center"/>
          </w:tcPr>
          <w:p w14:paraId="75C4EAD2">
            <w:pPr>
              <w:pStyle w:val="34"/>
              <w:bidi w:val="0"/>
              <w:rPr>
                <w:rFonts w:hint="default"/>
                <w:color w:val="auto"/>
              </w:rPr>
            </w:pPr>
            <w:r>
              <w:rPr>
                <w:rFonts w:hint="default"/>
                <w:color w:val="auto"/>
              </w:rPr>
              <w:t>流动沙丘，沙地</w:t>
            </w:r>
          </w:p>
        </w:tc>
        <w:tc>
          <w:tcPr>
            <w:tcW w:w="1000" w:type="pct"/>
            <w:vAlign w:val="center"/>
          </w:tcPr>
          <w:p w14:paraId="29657D1A">
            <w:pPr>
              <w:pStyle w:val="34"/>
              <w:bidi w:val="0"/>
              <w:rPr>
                <w:rFonts w:hint="default"/>
                <w:color w:val="auto"/>
              </w:rPr>
            </w:pPr>
            <w:r>
              <w:rPr>
                <w:rFonts w:hint="default"/>
                <w:color w:val="auto"/>
              </w:rPr>
              <w:t>＜10</w:t>
            </w:r>
          </w:p>
        </w:tc>
        <w:tc>
          <w:tcPr>
            <w:tcW w:w="724" w:type="pct"/>
            <w:vAlign w:val="center"/>
          </w:tcPr>
          <w:p w14:paraId="1D2C323A">
            <w:pPr>
              <w:pStyle w:val="34"/>
              <w:bidi w:val="0"/>
              <w:rPr>
                <w:rFonts w:hint="default"/>
                <w:color w:val="auto"/>
              </w:rPr>
            </w:pPr>
            <w:r>
              <w:rPr>
                <w:rFonts w:hint="default"/>
                <w:color w:val="auto"/>
              </w:rPr>
              <w:t>20-100</w:t>
            </w:r>
          </w:p>
        </w:tc>
        <w:tc>
          <w:tcPr>
            <w:tcW w:w="913" w:type="pct"/>
            <w:vAlign w:val="center"/>
          </w:tcPr>
          <w:p w14:paraId="7BAA3DC6">
            <w:pPr>
              <w:pStyle w:val="34"/>
              <w:bidi w:val="0"/>
              <w:rPr>
                <w:rFonts w:hint="default"/>
                <w:color w:val="auto"/>
              </w:rPr>
            </w:pPr>
            <w:r>
              <w:rPr>
                <w:rFonts w:hint="default"/>
                <w:color w:val="auto"/>
              </w:rPr>
              <w:t>8000-15000</w:t>
            </w:r>
          </w:p>
        </w:tc>
      </w:tr>
      <w:tr w14:paraId="11BE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706" w:type="pct"/>
            <w:vAlign w:val="center"/>
          </w:tcPr>
          <w:p w14:paraId="1945338D">
            <w:pPr>
              <w:pStyle w:val="34"/>
              <w:bidi w:val="0"/>
              <w:rPr>
                <w:rFonts w:hint="default"/>
                <w:color w:val="auto"/>
              </w:rPr>
            </w:pPr>
            <w:r>
              <w:rPr>
                <w:rFonts w:hint="default"/>
                <w:color w:val="auto"/>
              </w:rPr>
              <w:t>剧烈侵蚀</w:t>
            </w:r>
          </w:p>
        </w:tc>
        <w:tc>
          <w:tcPr>
            <w:tcW w:w="1655" w:type="pct"/>
            <w:vAlign w:val="center"/>
          </w:tcPr>
          <w:p w14:paraId="523CF78D">
            <w:pPr>
              <w:pStyle w:val="34"/>
              <w:bidi w:val="0"/>
              <w:rPr>
                <w:rFonts w:hint="default"/>
                <w:color w:val="auto"/>
              </w:rPr>
            </w:pPr>
            <w:r>
              <w:rPr>
                <w:rFonts w:hint="default"/>
                <w:color w:val="auto"/>
              </w:rPr>
              <w:t>大片流动沙丘</w:t>
            </w:r>
          </w:p>
        </w:tc>
        <w:tc>
          <w:tcPr>
            <w:tcW w:w="1000" w:type="pct"/>
            <w:vAlign w:val="center"/>
          </w:tcPr>
          <w:p w14:paraId="3FFDA055">
            <w:pPr>
              <w:pStyle w:val="34"/>
              <w:bidi w:val="0"/>
              <w:rPr>
                <w:rFonts w:hint="default"/>
                <w:color w:val="auto"/>
              </w:rPr>
            </w:pPr>
            <w:r>
              <w:rPr>
                <w:rFonts w:hint="default"/>
                <w:color w:val="auto"/>
              </w:rPr>
              <w:t>＜10</w:t>
            </w:r>
          </w:p>
        </w:tc>
        <w:tc>
          <w:tcPr>
            <w:tcW w:w="724" w:type="pct"/>
            <w:vAlign w:val="center"/>
          </w:tcPr>
          <w:p w14:paraId="1C403972">
            <w:pPr>
              <w:pStyle w:val="34"/>
              <w:bidi w:val="0"/>
              <w:rPr>
                <w:rFonts w:hint="default"/>
                <w:color w:val="auto"/>
              </w:rPr>
            </w:pPr>
            <w:r>
              <w:rPr>
                <w:rFonts w:hint="default"/>
                <w:color w:val="auto"/>
              </w:rPr>
              <w:t>＞100</w:t>
            </w:r>
          </w:p>
        </w:tc>
        <w:tc>
          <w:tcPr>
            <w:tcW w:w="913" w:type="pct"/>
            <w:vAlign w:val="center"/>
          </w:tcPr>
          <w:p w14:paraId="7254774F">
            <w:pPr>
              <w:pStyle w:val="34"/>
              <w:bidi w:val="0"/>
              <w:rPr>
                <w:rFonts w:hint="default"/>
                <w:color w:val="auto"/>
              </w:rPr>
            </w:pPr>
            <w:r>
              <w:rPr>
                <w:rFonts w:hint="default"/>
                <w:color w:val="auto"/>
              </w:rPr>
              <w:t>＞15000</w:t>
            </w:r>
          </w:p>
        </w:tc>
      </w:tr>
    </w:tbl>
    <w:p w14:paraId="429EAA9C">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风力侵蚀分级参考指标，结合项目区的地理位置、地形地貌、气候特征、土壤、植被及周围环境特点等具体情况进行分析，评价区气候干旱，降雨量不大，年均降水量88.5mm，蒸发量大，土壤长期处于干旱状态。</w:t>
      </w:r>
    </w:p>
    <w:p w14:paraId="0751A759">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综上，区域因降雨引起水蚀的情况在评价区极其微弱，区域以风力侵蚀为主，水土流失类型为中度风力侵蚀。</w:t>
      </w:r>
    </w:p>
    <w:p w14:paraId="07F958CB">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根据《土壤侵蚀分类分级标准》（SL190-2007）中风蚀强度分级指标，结合油田开发区的风蚀强度及油田建设过程中的土地占用情况，估算出开发过程中的水土流失量如下：</w:t>
      </w:r>
    </w:p>
    <w:p w14:paraId="4E102E0A">
      <w:pPr>
        <w:pStyle w:val="5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项目区域按中度侵蚀风蚀厚度18</w:t>
      </w:r>
      <w:bookmarkStart w:id="230" w:name="_Hlk93667298"/>
      <w:r>
        <w:rPr>
          <w:rFonts w:hint="default" w:ascii="Times New Roman" w:hAnsi="Times New Roman" w:cs="Times New Roman"/>
          <w:color w:val="auto"/>
          <w:sz w:val="24"/>
          <w:szCs w:val="24"/>
        </w:rPr>
        <w:t>mm/a</w:t>
      </w:r>
      <w:bookmarkEnd w:id="230"/>
      <w:r>
        <w:rPr>
          <w:rFonts w:hint="default" w:ascii="Times New Roman" w:hAnsi="Times New Roman" w:cs="Times New Roman"/>
          <w:color w:val="auto"/>
          <w:sz w:val="24"/>
          <w:szCs w:val="24"/>
        </w:rPr>
        <w:t>进行计算，</w:t>
      </w:r>
      <w:bookmarkStart w:id="231" w:name="_Hlk93667351"/>
      <w:r>
        <w:rPr>
          <w:rFonts w:hint="default" w:ascii="Times New Roman" w:hAnsi="Times New Roman" w:cs="Times New Roman"/>
          <w:color w:val="auto"/>
          <w:sz w:val="24"/>
          <w:szCs w:val="24"/>
        </w:rPr>
        <w:t>侵蚀模数为3800t/(km</w:t>
      </w:r>
      <w:r>
        <w:rPr>
          <w:rFonts w:hint="default" w:ascii="Times New Roman" w:hAnsi="Times New Roman" w:cs="Times New Roman"/>
          <w:color w:val="auto"/>
          <w:sz w:val="24"/>
          <w:szCs w:val="24"/>
          <w:vertAlign w:val="superscript"/>
        </w:rPr>
        <w:t>2</w:t>
      </w:r>
      <w:r>
        <w:rPr>
          <w:rFonts w:hint="default" w:ascii="Times New Roman" w:hAnsi="Times New Roman" w:cs="Times New Roman"/>
          <w:b/>
          <w:color w:val="auto"/>
        </w:rPr>
        <w:t>·</w:t>
      </w:r>
      <w:r>
        <w:rPr>
          <w:rFonts w:hint="default" w:ascii="Times New Roman" w:hAnsi="Times New Roman" w:cs="Times New Roman"/>
          <w:color w:val="auto"/>
          <w:sz w:val="24"/>
          <w:szCs w:val="24"/>
        </w:rPr>
        <w:t>a)</w:t>
      </w:r>
      <w:bookmarkEnd w:id="231"/>
      <w:r>
        <w:rPr>
          <w:rFonts w:hint="default" w:ascii="Times New Roman" w:hAnsi="Times New Roman" w:cs="Times New Roman"/>
          <w:color w:val="auto"/>
          <w:sz w:val="24"/>
          <w:szCs w:val="24"/>
        </w:rPr>
        <w:t>。在地面工程建设过程中，</w:t>
      </w:r>
      <w:r>
        <w:rPr>
          <w:rFonts w:hint="eastAsia" w:ascii="Times New Roman" w:hAnsi="Times New Roman" w:cs="Times New Roman"/>
          <w:color w:val="auto"/>
          <w:sz w:val="24"/>
          <w:szCs w:val="24"/>
          <w:lang w:val="en-US" w:eastAsia="zh-CN"/>
        </w:rPr>
        <w:t>未利用地</w:t>
      </w:r>
      <w:r>
        <w:rPr>
          <w:rFonts w:hint="default" w:ascii="Times New Roman" w:hAnsi="Times New Roman" w:cs="Times New Roman"/>
          <w:color w:val="auto"/>
          <w:sz w:val="24"/>
          <w:szCs w:val="24"/>
        </w:rPr>
        <w:t>临时占地面积为</w:t>
      </w:r>
      <w:r>
        <w:rPr>
          <w:rFonts w:hint="eastAsia" w:ascii="Times New Roman" w:hAnsi="Times New Roman" w:cs="Times New Roman"/>
          <w:color w:val="auto"/>
          <w:sz w:val="24"/>
          <w:szCs w:val="24"/>
          <w:lang w:val="en-US" w:eastAsia="zh-CN"/>
        </w:rPr>
        <w:t>137960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，地面被扰动后失去地表保护层，下层的细小物质成为风蚀的主要对象，所造成的水土流失量为</w:t>
      </w:r>
      <w:r>
        <w:rPr>
          <w:rFonts w:hint="eastAsia" w:ascii="Times New Roman" w:hAnsi="Times New Roman" w:cs="Times New Roman"/>
          <w:color w:val="auto"/>
          <w:sz w:val="24"/>
          <w:szCs w:val="24"/>
          <w:lang w:val="en-US" w:eastAsia="zh-CN"/>
        </w:rPr>
        <w:t>524.2</w:t>
      </w:r>
      <w:r>
        <w:rPr>
          <w:rFonts w:hint="default" w:ascii="Times New Roman" w:hAnsi="Times New Roman" w:cs="Times New Roman"/>
          <w:color w:val="auto"/>
          <w:sz w:val="24"/>
          <w:szCs w:val="24"/>
        </w:rPr>
        <w:t>t/a。随着细土物质不断被吹蚀，以后每年可吹物质减少，风蚀量将逐年降低，直到地表重新形成新的保护层后才能消失。</w:t>
      </w:r>
    </w:p>
    <w:p w14:paraId="0F03A835">
      <w:pPr>
        <w:pStyle w:val="6"/>
        <w:bidi w:val="0"/>
        <w:rPr>
          <w:rFonts w:hint="default"/>
          <w:color w:val="auto"/>
          <w:lang w:val="en-US" w:eastAsia="zh-CN"/>
        </w:rPr>
      </w:pPr>
      <w:r>
        <w:rPr>
          <w:rFonts w:hint="eastAsia"/>
          <w:color w:val="auto"/>
          <w:lang w:val="en-US" w:eastAsia="zh-CN"/>
        </w:rPr>
        <w:t>4.2.6.6陆生植物资源调查</w:t>
      </w:r>
    </w:p>
    <w:p w14:paraId="3B83E170">
      <w:pPr>
        <w:pStyle w:val="11"/>
        <w:bidi w:val="0"/>
        <w:rPr>
          <w:rFonts w:hint="default" w:eastAsia="宋体"/>
          <w:color w:val="auto"/>
          <w:lang w:val="en-US" w:eastAsia="zh-CN"/>
        </w:rPr>
      </w:pPr>
      <w:r>
        <w:rPr>
          <w:rFonts w:hint="eastAsia"/>
          <w:color w:val="auto"/>
          <w:lang w:val="en-US" w:eastAsia="zh-CN"/>
        </w:rPr>
        <w:t>1、植被区划</w:t>
      </w:r>
    </w:p>
    <w:p w14:paraId="4CC9FF55">
      <w:pPr>
        <w:pStyle w:val="11"/>
        <w:bidi w:val="0"/>
        <w:rPr>
          <w:rFonts w:hint="default" w:eastAsia="宋体"/>
          <w:color w:val="auto"/>
          <w:lang w:val="en-US" w:eastAsia="zh-CN"/>
        </w:rPr>
      </w:pPr>
      <w:r>
        <w:rPr>
          <w:rFonts w:hint="eastAsia"/>
          <w:color w:val="auto"/>
          <w:lang w:val="en-US" w:eastAsia="zh-CN"/>
        </w:rPr>
        <w:t>根据《中国地理图集》（由王静爱、左伟编制），本工程位于I泛北植物区-B亚洲荒漠植物亚区-4.中亚西部地区-b准噶尔亚地区。</w:t>
      </w:r>
    </w:p>
    <w:p w14:paraId="0652620F">
      <w:pPr>
        <w:pStyle w:val="11"/>
        <w:bidi w:val="0"/>
        <w:rPr>
          <w:rFonts w:hint="default" w:eastAsia="宋体"/>
          <w:color w:val="auto"/>
          <w:lang w:val="en-US" w:eastAsia="zh-CN"/>
        </w:rPr>
      </w:pPr>
      <w:r>
        <w:rPr>
          <w:rFonts w:hint="eastAsia"/>
          <w:color w:val="auto"/>
          <w:lang w:val="en-US" w:eastAsia="zh-CN"/>
        </w:rPr>
        <w:t>2、主要植被类型</w:t>
      </w:r>
    </w:p>
    <w:p w14:paraId="3BD547B3">
      <w:pPr>
        <w:pStyle w:val="11"/>
        <w:bidi w:val="0"/>
        <w:rPr>
          <w:rFonts w:hint="eastAsia" w:cs="Times New Roman"/>
          <w:color w:val="auto"/>
          <w:sz w:val="24"/>
          <w:szCs w:val="24"/>
          <w:lang w:val="en-US" w:eastAsia="zh-CN"/>
        </w:rPr>
      </w:pPr>
      <w:r>
        <w:rPr>
          <w:rFonts w:ascii="宋体" w:hAnsi="宋体" w:eastAsia="宋体" w:cs="宋体"/>
          <w:color w:val="auto"/>
          <w:sz w:val="24"/>
          <w:szCs w:val="24"/>
        </w:rPr>
        <w:t>区域内气候干旱，</w:t>
      </w:r>
      <w:r>
        <w:rPr>
          <w:rFonts w:hint="eastAsia" w:ascii="宋体" w:hAnsi="宋体" w:eastAsia="宋体" w:cs="宋体"/>
          <w:color w:val="auto"/>
          <w:sz w:val="24"/>
          <w:szCs w:val="24"/>
          <w:lang w:val="en-US" w:eastAsia="zh-CN"/>
        </w:rPr>
        <w:t>大部分区域植被稀疏，</w:t>
      </w:r>
      <w:r>
        <w:rPr>
          <w:rFonts w:ascii="宋体" w:hAnsi="宋体" w:eastAsia="宋体" w:cs="宋体"/>
          <w:color w:val="auto"/>
          <w:sz w:val="24"/>
          <w:szCs w:val="24"/>
        </w:rPr>
        <w:t>植物群落较为单一，项目区发育着以梭梭灌丛为建群种所组成的水平地带性荒漠植被，主要组成植物有梭梭、</w:t>
      </w:r>
      <w:r>
        <w:rPr>
          <w:rFonts w:hint="eastAsia" w:ascii="宋体" w:hAnsi="宋体" w:cs="宋体"/>
          <w:color w:val="auto"/>
          <w:sz w:val="24"/>
          <w:szCs w:val="24"/>
          <w:lang w:val="en-US" w:eastAsia="zh-CN"/>
        </w:rPr>
        <w:t>盐生草等</w:t>
      </w:r>
      <w:r>
        <w:rPr>
          <w:rFonts w:ascii="宋体" w:hAnsi="宋体" w:eastAsia="宋体" w:cs="宋体"/>
          <w:color w:val="auto"/>
          <w:sz w:val="24"/>
          <w:szCs w:val="24"/>
        </w:rPr>
        <w:t>。</w:t>
      </w:r>
      <w:r>
        <w:rPr>
          <w:rFonts w:hint="default" w:ascii="Times New Roman" w:hAnsi="Times New Roman" w:eastAsia="宋体" w:cs="Times New Roman"/>
          <w:color w:val="auto"/>
          <w:sz w:val="24"/>
          <w:szCs w:val="24"/>
        </w:rPr>
        <w:t>植被类型的遥感影像特征见</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REF _Ref170391935 \h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4.2</w:t>
      </w:r>
      <w:r>
        <w:rPr>
          <w:rFonts w:hint="default" w:ascii="Times New Roman" w:hAnsi="Times New Roman" w:eastAsia="宋体" w:cs="Times New Roman"/>
          <w:color w:val="auto"/>
          <w:sz w:val="24"/>
          <w:szCs w:val="24"/>
        </w:rPr>
        <w:noBreakHyphen/>
      </w: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lang w:eastAsia="zh-CN"/>
        </w:rPr>
        <w:t>，</w:t>
      </w:r>
      <w:r>
        <w:rPr>
          <w:rFonts w:hint="eastAsia" w:ascii="宋体" w:hAnsi="宋体" w:cs="宋体"/>
          <w:color w:val="auto"/>
          <w:sz w:val="24"/>
          <w:szCs w:val="24"/>
          <w:lang w:val="en-US" w:eastAsia="zh-CN"/>
        </w:rPr>
        <w:t>植</w:t>
      </w:r>
      <w:r>
        <w:rPr>
          <w:rFonts w:hint="default" w:ascii="Times New Roman" w:hAnsi="Times New Roman" w:cs="Times New Roman"/>
          <w:color w:val="auto"/>
          <w:sz w:val="24"/>
          <w:szCs w:val="24"/>
          <w:lang w:val="en-US" w:eastAsia="zh-CN"/>
        </w:rPr>
        <w:t>被情况见表4.2-</w:t>
      </w:r>
      <w:r>
        <w:rPr>
          <w:rFonts w:hint="eastAsia" w:cs="Times New Roman"/>
          <w:color w:val="auto"/>
          <w:sz w:val="24"/>
          <w:szCs w:val="24"/>
          <w:lang w:val="en-US" w:eastAsia="zh-CN"/>
        </w:rPr>
        <w:t>20，植被类型图见附图14。</w:t>
      </w:r>
    </w:p>
    <w:p w14:paraId="10C85620">
      <w:pPr>
        <w:pStyle w:val="43"/>
        <w:bidi w:val="0"/>
        <w:rPr>
          <w:color w:val="auto"/>
        </w:rPr>
      </w:pPr>
      <w:bookmarkStart w:id="232" w:name="_Ref170391935"/>
      <w:r>
        <w:rPr>
          <w:color w:val="auto"/>
        </w:rPr>
        <w:t>表</w:t>
      </w:r>
      <w:bookmarkEnd w:id="232"/>
      <w:r>
        <w:rPr>
          <w:rFonts w:hint="eastAsia"/>
          <w:color w:val="auto"/>
          <w:lang w:val="en-US" w:eastAsia="zh-CN"/>
        </w:rPr>
        <w:t>4.2-19</w:t>
      </w:r>
      <w:r>
        <w:rPr>
          <w:color w:val="auto"/>
        </w:rPr>
        <w:t xml:space="preserve">  植被类型遥感解译标志</w:t>
      </w:r>
    </w:p>
    <w:tbl>
      <w:tblPr>
        <w:tblStyle w:val="2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51" w:type="dxa"/>
          <w:bottom w:w="0" w:type="dxa"/>
          <w:right w:w="51" w:type="dxa"/>
        </w:tblCellMar>
      </w:tblPr>
      <w:tblGrid>
        <w:gridCol w:w="1734"/>
        <w:gridCol w:w="7096"/>
      </w:tblGrid>
      <w:tr w14:paraId="3970F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1" w:type="dxa"/>
            <w:bottom w:w="0" w:type="dxa"/>
            <w:right w:w="51" w:type="dxa"/>
          </w:tblCellMar>
        </w:tblPrEx>
        <w:trPr>
          <w:trHeight w:val="369" w:hRule="atLeast"/>
        </w:trPr>
        <w:tc>
          <w:tcPr>
            <w:tcW w:w="98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A60DEF8">
            <w:pPr>
              <w:keepNext w:val="0"/>
              <w:keepLines w:val="0"/>
              <w:pageBreakBefore w:val="0"/>
              <w:widowControl/>
              <w:kinsoku/>
              <w:wordWrap/>
              <w:overflowPunct/>
              <w:topLinePunct w:val="0"/>
              <w:autoSpaceDE w:val="0"/>
              <w:autoSpaceDN w:val="0"/>
              <w:bidi w:val="0"/>
              <w:adjustRightInd w:val="0"/>
              <w:snapToGrid/>
              <w:spacing w:line="300" w:lineRule="exact"/>
              <w:ind w:firstLine="0"/>
              <w:jc w:val="center"/>
              <w:textAlignment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植被类型</w:t>
            </w:r>
          </w:p>
        </w:tc>
        <w:tc>
          <w:tcPr>
            <w:tcW w:w="4017"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18C2094">
            <w:pPr>
              <w:keepNext w:val="0"/>
              <w:keepLines w:val="0"/>
              <w:pageBreakBefore w:val="0"/>
              <w:widowControl/>
              <w:kinsoku/>
              <w:wordWrap/>
              <w:overflowPunct/>
              <w:topLinePunct w:val="0"/>
              <w:autoSpaceDE w:val="0"/>
              <w:autoSpaceDN w:val="0"/>
              <w:bidi w:val="0"/>
              <w:adjustRightInd w:val="0"/>
              <w:snapToGrid/>
              <w:spacing w:line="300" w:lineRule="exact"/>
              <w:ind w:firstLine="0"/>
              <w:jc w:val="center"/>
              <w:textAlignment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遥感影像特征</w:t>
            </w:r>
          </w:p>
        </w:tc>
      </w:tr>
      <w:tr w14:paraId="501D5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1" w:type="dxa"/>
            <w:bottom w:w="0" w:type="dxa"/>
            <w:right w:w="51" w:type="dxa"/>
          </w:tblCellMar>
        </w:tblPrEx>
        <w:trPr>
          <w:trHeight w:val="369" w:hRule="atLeast"/>
        </w:trPr>
        <w:tc>
          <w:tcPr>
            <w:tcW w:w="982" w:type="pct"/>
            <w:tcBorders>
              <w:top w:val="single" w:color="000000" w:sz="2" w:space="0"/>
              <w:left w:val="single" w:color="000000" w:sz="2" w:space="0"/>
              <w:bottom w:val="single" w:color="000000" w:sz="2" w:space="0"/>
              <w:right w:val="single" w:color="000000" w:sz="2" w:space="0"/>
            </w:tcBorders>
            <w:vAlign w:val="center"/>
          </w:tcPr>
          <w:p w14:paraId="23B856D3">
            <w:pPr>
              <w:keepNext w:val="0"/>
              <w:keepLines w:val="0"/>
              <w:pageBreakBefore w:val="0"/>
              <w:widowControl/>
              <w:kinsoku/>
              <w:wordWrap/>
              <w:overflowPunct/>
              <w:topLinePunct w:val="0"/>
              <w:autoSpaceDE w:val="0"/>
              <w:autoSpaceDN w:val="0"/>
              <w:bidi w:val="0"/>
              <w:adjustRightInd w:val="0"/>
              <w:snapToGrid/>
              <w:spacing w:line="300" w:lineRule="exact"/>
              <w:ind w:firstLine="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草甸</w:t>
            </w:r>
          </w:p>
        </w:tc>
        <w:tc>
          <w:tcPr>
            <w:tcW w:w="4017" w:type="pct"/>
            <w:tcBorders>
              <w:top w:val="single" w:color="000000" w:sz="2" w:space="0"/>
              <w:left w:val="single" w:color="000000" w:sz="2" w:space="0"/>
              <w:bottom w:val="single" w:color="000000" w:sz="2" w:space="0"/>
              <w:right w:val="single" w:color="000000" w:sz="2" w:space="0"/>
            </w:tcBorders>
            <w:vAlign w:val="center"/>
          </w:tcPr>
          <w:p w14:paraId="6BA88C5D">
            <w:pPr>
              <w:keepNext w:val="0"/>
              <w:keepLines w:val="0"/>
              <w:pageBreakBefore w:val="0"/>
              <w:widowControl/>
              <w:kinsoku/>
              <w:wordWrap/>
              <w:overflowPunct/>
              <w:topLinePunct w:val="0"/>
              <w:autoSpaceDE w:val="0"/>
              <w:autoSpaceDN w:val="0"/>
              <w:bidi w:val="0"/>
              <w:adjustRightInd w:val="0"/>
              <w:snapToGrid/>
              <w:spacing w:line="300" w:lineRule="exact"/>
              <w:ind w:firstLine="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遥感影像上呈</w:t>
            </w:r>
            <w:r>
              <w:rPr>
                <w:rFonts w:hint="eastAsia" w:ascii="Times New Roman" w:hAnsi="Times New Roman" w:eastAsia="宋体" w:cs="Times New Roman"/>
                <w:color w:val="auto"/>
                <w:sz w:val="21"/>
                <w:szCs w:val="21"/>
                <w:lang w:val="en-US" w:eastAsia="zh-CN"/>
              </w:rPr>
              <w:t>翠</w:t>
            </w:r>
            <w:r>
              <w:rPr>
                <w:rFonts w:ascii="Times New Roman" w:hAnsi="Times New Roman" w:eastAsia="宋体" w:cs="Times New Roman"/>
                <w:color w:val="auto"/>
                <w:sz w:val="21"/>
                <w:szCs w:val="21"/>
              </w:rPr>
              <w:t>绿色状斑块、绿色草状斑块，影像表面</w:t>
            </w:r>
            <w:r>
              <w:rPr>
                <w:rFonts w:hint="eastAsia" w:ascii="Times New Roman" w:hAnsi="Times New Roman" w:eastAsia="宋体" w:cs="Times New Roman"/>
                <w:color w:val="auto"/>
                <w:sz w:val="21"/>
                <w:szCs w:val="21"/>
                <w:lang w:val="en-US" w:eastAsia="zh-CN"/>
              </w:rPr>
              <w:t>光滑</w:t>
            </w:r>
            <w:r>
              <w:rPr>
                <w:rFonts w:ascii="Times New Roman" w:hAnsi="Times New Roman" w:eastAsia="宋体" w:cs="Times New Roman"/>
                <w:color w:val="auto"/>
                <w:sz w:val="21"/>
                <w:szCs w:val="21"/>
              </w:rPr>
              <w:t>。</w:t>
            </w:r>
          </w:p>
        </w:tc>
      </w:tr>
      <w:tr w14:paraId="7BDEC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1" w:type="dxa"/>
            <w:bottom w:w="0" w:type="dxa"/>
            <w:right w:w="51" w:type="dxa"/>
          </w:tblCellMar>
        </w:tblPrEx>
        <w:trPr>
          <w:trHeight w:val="369" w:hRule="atLeast"/>
        </w:trPr>
        <w:tc>
          <w:tcPr>
            <w:tcW w:w="982" w:type="pct"/>
            <w:tcBorders>
              <w:top w:val="single" w:color="000000" w:sz="2" w:space="0"/>
              <w:left w:val="single" w:color="000000" w:sz="2" w:space="0"/>
              <w:bottom w:val="single" w:color="000000" w:sz="2" w:space="0"/>
              <w:right w:val="single" w:color="000000" w:sz="2" w:space="0"/>
            </w:tcBorders>
            <w:vAlign w:val="center"/>
          </w:tcPr>
          <w:p w14:paraId="284DEF30">
            <w:pPr>
              <w:keepNext w:val="0"/>
              <w:keepLines w:val="0"/>
              <w:pageBreakBefore w:val="0"/>
              <w:widowControl/>
              <w:kinsoku/>
              <w:wordWrap/>
              <w:overflowPunct/>
              <w:topLinePunct w:val="0"/>
              <w:autoSpaceDE w:val="0"/>
              <w:autoSpaceDN w:val="0"/>
              <w:bidi w:val="0"/>
              <w:adjustRightInd w:val="0"/>
              <w:snapToGrid/>
              <w:spacing w:line="300" w:lineRule="exact"/>
              <w:ind w:firstLine="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荒漠</w:t>
            </w:r>
          </w:p>
        </w:tc>
        <w:tc>
          <w:tcPr>
            <w:tcW w:w="4017" w:type="pct"/>
            <w:tcBorders>
              <w:top w:val="single" w:color="000000" w:sz="2" w:space="0"/>
              <w:left w:val="single" w:color="000000" w:sz="2" w:space="0"/>
              <w:bottom w:val="single" w:color="000000" w:sz="2" w:space="0"/>
              <w:right w:val="single" w:color="000000" w:sz="2" w:space="0"/>
            </w:tcBorders>
            <w:vAlign w:val="center"/>
          </w:tcPr>
          <w:p w14:paraId="622200E7">
            <w:pPr>
              <w:keepNext w:val="0"/>
              <w:keepLines w:val="0"/>
              <w:pageBreakBefore w:val="0"/>
              <w:widowControl/>
              <w:kinsoku/>
              <w:wordWrap/>
              <w:overflowPunct/>
              <w:topLinePunct w:val="0"/>
              <w:autoSpaceDE w:val="0"/>
              <w:autoSpaceDN w:val="0"/>
              <w:bidi w:val="0"/>
              <w:adjustRightInd w:val="0"/>
              <w:snapToGrid/>
              <w:spacing w:line="300" w:lineRule="exact"/>
              <w:ind w:firstLine="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遥感</w:t>
            </w:r>
            <w:r>
              <w:rPr>
                <w:rFonts w:hint="eastAsia" w:ascii="Times New Roman" w:hAnsi="Times New Roman" w:eastAsia="宋体" w:cs="Times New Roman"/>
                <w:color w:val="auto"/>
                <w:sz w:val="21"/>
                <w:szCs w:val="21"/>
                <w:lang w:val="en-US" w:eastAsia="zh-CN"/>
              </w:rPr>
              <w:t>影像</w:t>
            </w:r>
            <w:r>
              <w:rPr>
                <w:rFonts w:ascii="Times New Roman" w:hAnsi="Times New Roman" w:eastAsia="宋体" w:cs="Times New Roman"/>
                <w:color w:val="auto"/>
                <w:sz w:val="21"/>
                <w:szCs w:val="21"/>
              </w:rPr>
              <w:t>上呈</w:t>
            </w:r>
            <w:r>
              <w:rPr>
                <w:rFonts w:hint="eastAsia" w:ascii="Times New Roman" w:hAnsi="Times New Roman" w:eastAsia="宋体" w:cs="Times New Roman"/>
                <w:color w:val="auto"/>
                <w:sz w:val="21"/>
                <w:szCs w:val="21"/>
                <w:lang w:val="en-US" w:eastAsia="zh-CN"/>
              </w:rPr>
              <w:t>绿褐</w:t>
            </w:r>
            <w:r>
              <w:rPr>
                <w:rFonts w:ascii="Times New Roman" w:hAnsi="Times New Roman" w:eastAsia="宋体" w:cs="Times New Roman"/>
                <w:color w:val="auto"/>
                <w:sz w:val="21"/>
                <w:szCs w:val="21"/>
              </w:rPr>
              <w:t>色斑块，表面光滑。</w:t>
            </w:r>
          </w:p>
        </w:tc>
      </w:tr>
      <w:tr w14:paraId="081FD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1" w:type="dxa"/>
            <w:bottom w:w="0" w:type="dxa"/>
            <w:right w:w="51" w:type="dxa"/>
          </w:tblCellMar>
        </w:tblPrEx>
        <w:trPr>
          <w:trHeight w:val="369" w:hRule="atLeast"/>
        </w:trPr>
        <w:tc>
          <w:tcPr>
            <w:tcW w:w="982" w:type="pct"/>
            <w:tcBorders>
              <w:top w:val="single" w:color="000000" w:sz="2" w:space="0"/>
              <w:left w:val="single" w:color="000000" w:sz="2" w:space="0"/>
              <w:bottom w:val="single" w:color="000000" w:sz="2" w:space="0"/>
              <w:right w:val="single" w:color="000000" w:sz="2" w:space="0"/>
            </w:tcBorders>
            <w:vAlign w:val="center"/>
          </w:tcPr>
          <w:p w14:paraId="199025A4">
            <w:pPr>
              <w:keepNext w:val="0"/>
              <w:keepLines w:val="0"/>
              <w:pageBreakBefore w:val="0"/>
              <w:widowControl/>
              <w:kinsoku/>
              <w:wordWrap/>
              <w:overflowPunct/>
              <w:topLinePunct w:val="0"/>
              <w:autoSpaceDE w:val="0"/>
              <w:autoSpaceDN w:val="0"/>
              <w:bidi w:val="0"/>
              <w:adjustRightInd w:val="0"/>
              <w:snapToGrid/>
              <w:spacing w:line="300" w:lineRule="exact"/>
              <w:ind w:firstLine="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水域</w:t>
            </w:r>
          </w:p>
        </w:tc>
        <w:tc>
          <w:tcPr>
            <w:tcW w:w="4017" w:type="pct"/>
            <w:tcBorders>
              <w:top w:val="single" w:color="000000" w:sz="2" w:space="0"/>
              <w:left w:val="single" w:color="000000" w:sz="2" w:space="0"/>
              <w:bottom w:val="single" w:color="000000" w:sz="2" w:space="0"/>
              <w:right w:val="single" w:color="000000" w:sz="2" w:space="0"/>
            </w:tcBorders>
            <w:vAlign w:val="center"/>
          </w:tcPr>
          <w:p w14:paraId="47F7761F">
            <w:pPr>
              <w:keepNext w:val="0"/>
              <w:keepLines w:val="0"/>
              <w:pageBreakBefore w:val="0"/>
              <w:widowControl/>
              <w:kinsoku/>
              <w:wordWrap/>
              <w:overflowPunct/>
              <w:topLinePunct w:val="0"/>
              <w:autoSpaceDE w:val="0"/>
              <w:autoSpaceDN w:val="0"/>
              <w:bidi w:val="0"/>
              <w:adjustRightInd w:val="0"/>
              <w:snapToGrid/>
              <w:spacing w:line="300" w:lineRule="exact"/>
              <w:ind w:firstLine="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遥感影像上呈</w:t>
            </w:r>
            <w:r>
              <w:rPr>
                <w:rFonts w:hint="eastAsia" w:ascii="Times New Roman" w:hAnsi="Times New Roman" w:eastAsia="宋体" w:cs="Times New Roman"/>
                <w:color w:val="auto"/>
                <w:sz w:val="21"/>
                <w:szCs w:val="21"/>
                <w:lang w:val="en-US" w:eastAsia="zh-CN"/>
              </w:rPr>
              <w:t>淡</w:t>
            </w:r>
            <w:r>
              <w:rPr>
                <w:rFonts w:ascii="Times New Roman" w:hAnsi="Times New Roman" w:eastAsia="宋体" w:cs="Times New Roman"/>
                <w:color w:val="auto"/>
                <w:sz w:val="21"/>
                <w:szCs w:val="21"/>
              </w:rPr>
              <w:t>蓝色树形斑块，具斑点状影纹，排列规则，影像表面光滑。</w:t>
            </w:r>
          </w:p>
        </w:tc>
      </w:tr>
    </w:tbl>
    <w:p w14:paraId="0415B19F">
      <w:pPr>
        <w:pStyle w:val="32"/>
        <w:ind w:left="480" w:firstLine="42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w:t>
      </w:r>
      <w:r>
        <w:rPr>
          <w:rFonts w:hint="eastAsia" w:cs="Times New Roman"/>
          <w:color w:val="auto"/>
          <w:sz w:val="21"/>
          <w:szCs w:val="21"/>
          <w:lang w:val="en-US" w:eastAsia="zh-CN"/>
        </w:rPr>
        <w:t>4.2-20</w:t>
      </w:r>
      <w:r>
        <w:rPr>
          <w:rFonts w:hint="default" w:ascii="Times New Roman" w:hAnsi="Times New Roman" w:cs="Times New Roman"/>
          <w:color w:val="auto"/>
          <w:sz w:val="21"/>
          <w:szCs w:val="21"/>
        </w:rPr>
        <w:t xml:space="preserve">  评价区主要</w:t>
      </w:r>
      <w:r>
        <w:rPr>
          <w:rFonts w:hint="eastAsia" w:cs="Times New Roman"/>
          <w:color w:val="auto"/>
          <w:sz w:val="21"/>
          <w:szCs w:val="21"/>
          <w:lang w:val="en-US" w:eastAsia="zh-CN"/>
        </w:rPr>
        <w:t>植被</w:t>
      </w:r>
      <w:r>
        <w:rPr>
          <w:rFonts w:hint="default" w:ascii="Times New Roman" w:hAnsi="Times New Roman" w:cs="Times New Roman"/>
          <w:color w:val="auto"/>
          <w:sz w:val="21"/>
          <w:szCs w:val="21"/>
        </w:rPr>
        <w:t>及分布</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12"/>
        <w:gridCol w:w="4199"/>
        <w:gridCol w:w="2277"/>
      </w:tblGrid>
      <w:tr w14:paraId="756E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15BF833E">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中文名</w:t>
            </w:r>
          </w:p>
        </w:tc>
        <w:tc>
          <w:tcPr>
            <w:tcW w:w="2388" w:type="pct"/>
            <w:noWrap w:val="0"/>
            <w:vAlign w:val="center"/>
          </w:tcPr>
          <w:p w14:paraId="5C15FB38">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学名</w:t>
            </w:r>
          </w:p>
        </w:tc>
        <w:tc>
          <w:tcPr>
            <w:tcW w:w="1295" w:type="pct"/>
            <w:noWrap w:val="0"/>
            <w:vAlign w:val="center"/>
          </w:tcPr>
          <w:p w14:paraId="41371D0B">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分布</w:t>
            </w:r>
          </w:p>
        </w:tc>
      </w:tr>
      <w:tr w14:paraId="2515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31129DF1">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梭梭</w:t>
            </w:r>
          </w:p>
        </w:tc>
        <w:tc>
          <w:tcPr>
            <w:tcW w:w="2388" w:type="pct"/>
            <w:noWrap w:val="0"/>
            <w:vAlign w:val="center"/>
          </w:tcPr>
          <w:p w14:paraId="2DC448EF">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jc w:val="center"/>
              <w:textAlignment w:val="auto"/>
              <w:rPr>
                <w:rFonts w:hint="default" w:ascii="Times New Roman" w:hAnsi="Times New Roman" w:cs="Times New Roman"/>
                <w:i/>
                <w:iCs/>
                <w:color w:val="auto"/>
                <w:sz w:val="21"/>
                <w:szCs w:val="21"/>
              </w:rPr>
            </w:pPr>
            <w:r>
              <w:rPr>
                <w:rFonts w:hint="default" w:ascii="Times New Roman" w:hAnsi="Times New Roman" w:eastAsia="宋体" w:cs="Times New Roman"/>
                <w:i/>
                <w:iCs/>
                <w:color w:val="auto"/>
                <w:sz w:val="21"/>
                <w:szCs w:val="21"/>
              </w:rPr>
              <w:t>Haloxylon</w:t>
            </w:r>
            <w:r>
              <w:rPr>
                <w:rFonts w:hint="eastAsia" w:ascii="Times New Roman" w:hAnsi="Times New Roman" w:eastAsia="宋体" w:cs="Times New Roman"/>
                <w:i/>
                <w:iCs/>
                <w:color w:val="auto"/>
                <w:sz w:val="21"/>
                <w:szCs w:val="21"/>
                <w:lang w:val="en-US" w:eastAsia="zh-CN"/>
              </w:rPr>
              <w:t xml:space="preserve"> </w:t>
            </w:r>
            <w:r>
              <w:rPr>
                <w:rFonts w:hint="default" w:ascii="Times New Roman" w:hAnsi="Times New Roman" w:eastAsia="宋体" w:cs="Times New Roman"/>
                <w:i/>
                <w:iCs/>
                <w:color w:val="auto"/>
                <w:sz w:val="21"/>
                <w:szCs w:val="21"/>
              </w:rPr>
              <w:t>ammodendron</w:t>
            </w:r>
          </w:p>
        </w:tc>
        <w:tc>
          <w:tcPr>
            <w:tcW w:w="1295" w:type="pct"/>
            <w:noWrap w:val="0"/>
            <w:vAlign w:val="center"/>
          </w:tcPr>
          <w:p w14:paraId="4DBF58B8">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w:t>
            </w:r>
          </w:p>
        </w:tc>
      </w:tr>
      <w:tr w14:paraId="19FC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705EF570">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sz w:val="21"/>
                <w:szCs w:val="21"/>
                <w:lang w:val="en-US" w:eastAsia="zh-CN"/>
              </w:rPr>
              <w:t>盐节木</w:t>
            </w:r>
          </w:p>
        </w:tc>
        <w:tc>
          <w:tcPr>
            <w:tcW w:w="2388" w:type="pct"/>
            <w:noWrap w:val="0"/>
            <w:vAlign w:val="center"/>
          </w:tcPr>
          <w:p w14:paraId="4A1A02B4">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i/>
                <w:iCs/>
                <w:color w:val="auto"/>
                <w:kern w:val="0"/>
                <w:sz w:val="21"/>
                <w:szCs w:val="21"/>
                <w:lang w:val="en-US" w:eastAsia="zh-CN" w:bidi="ar-SA"/>
              </w:rPr>
            </w:pPr>
            <w:r>
              <w:rPr>
                <w:rFonts w:hint="default" w:ascii="Times New Roman" w:hAnsi="Times New Roman" w:eastAsia="宋体" w:cs="Times New Roman"/>
                <w:i/>
                <w:iCs/>
                <w:color w:val="auto"/>
                <w:sz w:val="21"/>
                <w:szCs w:val="21"/>
              </w:rPr>
              <w:t>Halocnemum</w:t>
            </w:r>
            <w:r>
              <w:rPr>
                <w:rFonts w:hint="eastAsia" w:ascii="Times New Roman" w:hAnsi="Times New Roman" w:eastAsia="宋体" w:cs="Times New Roman"/>
                <w:i/>
                <w:iCs/>
                <w:color w:val="auto"/>
                <w:sz w:val="21"/>
                <w:szCs w:val="21"/>
                <w:lang w:val="en-US" w:eastAsia="zh-CN"/>
              </w:rPr>
              <w:t xml:space="preserve"> </w:t>
            </w:r>
            <w:r>
              <w:rPr>
                <w:rFonts w:hint="eastAsia" w:ascii="Times New Roman" w:hAnsi="Times New Roman" w:eastAsia="宋体" w:cs="Times New Roman"/>
                <w:i/>
                <w:iCs/>
                <w:color w:val="auto"/>
                <w:sz w:val="21"/>
                <w:szCs w:val="21"/>
              </w:rPr>
              <w:t>strobilaceum</w:t>
            </w:r>
          </w:p>
        </w:tc>
        <w:tc>
          <w:tcPr>
            <w:tcW w:w="1295" w:type="pct"/>
            <w:noWrap w:val="0"/>
            <w:vAlign w:val="center"/>
          </w:tcPr>
          <w:p w14:paraId="3EEFABBD">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w:t>
            </w:r>
          </w:p>
        </w:tc>
      </w:tr>
      <w:tr w14:paraId="328B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676CF760">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盐生草</w:t>
            </w:r>
          </w:p>
        </w:tc>
        <w:tc>
          <w:tcPr>
            <w:tcW w:w="2388" w:type="pct"/>
            <w:noWrap w:val="0"/>
            <w:vAlign w:val="center"/>
          </w:tcPr>
          <w:p w14:paraId="3C436CB6">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i/>
                <w:iCs/>
                <w:color w:val="auto"/>
                <w:kern w:val="0"/>
                <w:sz w:val="21"/>
                <w:szCs w:val="21"/>
                <w:lang w:val="en-US" w:eastAsia="zh-CN" w:bidi="ar-SA"/>
              </w:rPr>
            </w:pPr>
            <w:r>
              <w:rPr>
                <w:rFonts w:hint="default" w:ascii="Times New Roman" w:hAnsi="Times New Roman" w:cs="Times New Roman"/>
                <w:i/>
                <w:iCs/>
                <w:color w:val="auto"/>
                <w:sz w:val="21"/>
                <w:szCs w:val="21"/>
              </w:rPr>
              <w:t>Halogeton glomeratus</w:t>
            </w:r>
          </w:p>
        </w:tc>
        <w:tc>
          <w:tcPr>
            <w:tcW w:w="1295" w:type="pct"/>
            <w:noWrap w:val="0"/>
            <w:vAlign w:val="center"/>
          </w:tcPr>
          <w:p w14:paraId="1ACCEEEA">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w:t>
            </w:r>
          </w:p>
        </w:tc>
      </w:tr>
      <w:tr w14:paraId="1935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3E7E8C29">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sz w:val="21"/>
                <w:szCs w:val="21"/>
                <w:lang w:val="en-US" w:eastAsia="zh-CN"/>
              </w:rPr>
              <w:t>盐爪爪</w:t>
            </w:r>
          </w:p>
        </w:tc>
        <w:tc>
          <w:tcPr>
            <w:tcW w:w="2388" w:type="pct"/>
            <w:noWrap w:val="0"/>
            <w:vAlign w:val="center"/>
          </w:tcPr>
          <w:p w14:paraId="77EBC845">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i/>
                <w:iCs/>
                <w:color w:val="auto"/>
                <w:kern w:val="0"/>
                <w:sz w:val="21"/>
                <w:szCs w:val="21"/>
                <w:lang w:val="en-US" w:eastAsia="zh-CN" w:bidi="ar-SA"/>
              </w:rPr>
            </w:pPr>
            <w:r>
              <w:rPr>
                <w:rFonts w:hint="default" w:ascii="Times New Roman" w:hAnsi="Times New Roman" w:eastAsia="宋体" w:cs="Times New Roman"/>
                <w:i/>
                <w:iCs/>
                <w:color w:val="auto"/>
                <w:sz w:val="21"/>
                <w:szCs w:val="21"/>
              </w:rPr>
              <w:t>Kalidium</w:t>
            </w:r>
            <w:r>
              <w:rPr>
                <w:rFonts w:hint="eastAsia" w:ascii="Times New Roman" w:hAnsi="Times New Roman" w:eastAsia="宋体" w:cs="Times New Roman"/>
                <w:i/>
                <w:iCs/>
                <w:color w:val="auto"/>
                <w:sz w:val="21"/>
                <w:szCs w:val="21"/>
                <w:lang w:val="en-US" w:eastAsia="zh-CN"/>
              </w:rPr>
              <w:t xml:space="preserve"> </w:t>
            </w:r>
            <w:r>
              <w:rPr>
                <w:rFonts w:hint="eastAsia" w:ascii="Times New Roman" w:hAnsi="Times New Roman" w:eastAsia="宋体" w:cs="Times New Roman"/>
                <w:i/>
                <w:iCs/>
                <w:color w:val="auto"/>
                <w:sz w:val="21"/>
                <w:szCs w:val="21"/>
              </w:rPr>
              <w:t>foliatum</w:t>
            </w:r>
          </w:p>
        </w:tc>
        <w:tc>
          <w:tcPr>
            <w:tcW w:w="1295" w:type="pct"/>
            <w:noWrap w:val="0"/>
            <w:vAlign w:val="center"/>
          </w:tcPr>
          <w:p w14:paraId="31EAB5FE">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w:t>
            </w:r>
          </w:p>
        </w:tc>
      </w:tr>
      <w:tr w14:paraId="2ACB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70B83344">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雾冰藜</w:t>
            </w:r>
          </w:p>
        </w:tc>
        <w:tc>
          <w:tcPr>
            <w:tcW w:w="2388" w:type="pct"/>
            <w:noWrap w:val="0"/>
            <w:vAlign w:val="center"/>
          </w:tcPr>
          <w:p w14:paraId="0B8FAC9E">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i/>
                <w:iCs/>
                <w:color w:val="auto"/>
                <w:sz w:val="21"/>
                <w:szCs w:val="21"/>
              </w:rPr>
            </w:pPr>
            <w:r>
              <w:rPr>
                <w:rFonts w:hint="default" w:ascii="Times New Roman" w:hAnsi="Times New Roman" w:eastAsia="宋体" w:cs="Times New Roman"/>
                <w:i/>
                <w:iCs/>
                <w:color w:val="auto"/>
                <w:sz w:val="21"/>
                <w:szCs w:val="21"/>
              </w:rPr>
              <w:t>Grubovia</w:t>
            </w:r>
            <w:r>
              <w:rPr>
                <w:rFonts w:hint="eastAsia" w:ascii="Times New Roman" w:hAnsi="Times New Roman" w:eastAsia="宋体" w:cs="Times New Roman"/>
                <w:i/>
                <w:iCs/>
                <w:color w:val="auto"/>
                <w:sz w:val="21"/>
                <w:szCs w:val="21"/>
                <w:lang w:val="en-US" w:eastAsia="zh-CN"/>
              </w:rPr>
              <w:t xml:space="preserve"> </w:t>
            </w:r>
            <w:r>
              <w:rPr>
                <w:rFonts w:hint="eastAsia" w:ascii="Times New Roman" w:hAnsi="Times New Roman" w:eastAsia="宋体" w:cs="Times New Roman"/>
                <w:i/>
                <w:iCs/>
                <w:color w:val="auto"/>
                <w:sz w:val="21"/>
                <w:szCs w:val="21"/>
              </w:rPr>
              <w:t>dasyphylla</w:t>
            </w:r>
          </w:p>
        </w:tc>
        <w:tc>
          <w:tcPr>
            <w:tcW w:w="1295" w:type="pct"/>
            <w:noWrap w:val="0"/>
            <w:vAlign w:val="center"/>
          </w:tcPr>
          <w:p w14:paraId="7655D8D1">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p>
        </w:tc>
      </w:tr>
      <w:tr w14:paraId="382A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16D62805">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蒺藜</w:t>
            </w:r>
          </w:p>
        </w:tc>
        <w:tc>
          <w:tcPr>
            <w:tcW w:w="2388" w:type="pct"/>
            <w:noWrap w:val="0"/>
            <w:vAlign w:val="center"/>
          </w:tcPr>
          <w:p w14:paraId="24002650">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i/>
                <w:iCs/>
                <w:color w:val="auto"/>
                <w:sz w:val="21"/>
                <w:szCs w:val="21"/>
              </w:rPr>
            </w:pPr>
            <w:r>
              <w:rPr>
                <w:rFonts w:hint="default" w:ascii="Times New Roman" w:hAnsi="Times New Roman" w:eastAsia="宋体" w:cs="Times New Roman"/>
                <w:i/>
                <w:iCs/>
                <w:color w:val="auto"/>
                <w:sz w:val="21"/>
                <w:szCs w:val="21"/>
              </w:rPr>
              <w:t>Tribulus</w:t>
            </w:r>
            <w:r>
              <w:rPr>
                <w:rFonts w:hint="eastAsia" w:ascii="Times New Roman" w:hAnsi="Times New Roman" w:eastAsia="宋体" w:cs="Times New Roman"/>
                <w:i/>
                <w:iCs/>
                <w:color w:val="auto"/>
                <w:sz w:val="21"/>
                <w:szCs w:val="21"/>
                <w:lang w:val="en-US" w:eastAsia="zh-CN"/>
              </w:rPr>
              <w:t xml:space="preserve"> </w:t>
            </w:r>
            <w:r>
              <w:rPr>
                <w:rFonts w:hint="eastAsia" w:ascii="Times New Roman" w:hAnsi="Times New Roman" w:eastAsia="宋体" w:cs="Times New Roman"/>
                <w:i/>
                <w:iCs/>
                <w:color w:val="auto"/>
                <w:sz w:val="21"/>
                <w:szCs w:val="21"/>
              </w:rPr>
              <w:t>terrestris</w:t>
            </w:r>
          </w:p>
        </w:tc>
        <w:tc>
          <w:tcPr>
            <w:tcW w:w="1295" w:type="pct"/>
            <w:noWrap w:val="0"/>
            <w:vAlign w:val="center"/>
          </w:tcPr>
          <w:p w14:paraId="3FF456B7">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i/>
                <w:iCs/>
                <w:color w:val="auto"/>
                <w:sz w:val="21"/>
                <w:szCs w:val="21"/>
              </w:rPr>
            </w:pPr>
            <w:r>
              <w:rPr>
                <w:rFonts w:hint="default" w:ascii="Times New Roman" w:hAnsi="Times New Roman" w:cs="Times New Roman"/>
                <w:color w:val="auto"/>
                <w:sz w:val="21"/>
                <w:szCs w:val="21"/>
              </w:rPr>
              <w:t>＋＋</w:t>
            </w:r>
          </w:p>
        </w:tc>
      </w:tr>
      <w:tr w14:paraId="62D7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315" w:type="pct"/>
            <w:noWrap w:val="0"/>
            <w:vAlign w:val="center"/>
          </w:tcPr>
          <w:p w14:paraId="04A681E8">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肥叶碱蓬</w:t>
            </w:r>
          </w:p>
        </w:tc>
        <w:tc>
          <w:tcPr>
            <w:tcW w:w="2388" w:type="pct"/>
            <w:noWrap w:val="0"/>
            <w:vAlign w:val="center"/>
          </w:tcPr>
          <w:p w14:paraId="21FC8E4A">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i/>
                <w:iCs/>
                <w:color w:val="auto"/>
                <w:sz w:val="21"/>
                <w:szCs w:val="21"/>
              </w:rPr>
            </w:pPr>
            <w:r>
              <w:rPr>
                <w:rFonts w:hint="default" w:ascii="Times New Roman" w:hAnsi="Times New Roman" w:eastAsia="宋体" w:cs="Times New Roman"/>
                <w:i/>
                <w:iCs/>
                <w:color w:val="auto"/>
                <w:sz w:val="21"/>
                <w:szCs w:val="21"/>
              </w:rPr>
              <w:t>Suaeda</w:t>
            </w:r>
            <w:r>
              <w:rPr>
                <w:rFonts w:hint="eastAsia" w:ascii="Times New Roman" w:hAnsi="Times New Roman" w:eastAsia="宋体" w:cs="Times New Roman"/>
                <w:i/>
                <w:iCs/>
                <w:color w:val="auto"/>
                <w:sz w:val="21"/>
                <w:szCs w:val="21"/>
                <w:lang w:val="en-US" w:eastAsia="zh-CN"/>
              </w:rPr>
              <w:t xml:space="preserve"> </w:t>
            </w:r>
            <w:r>
              <w:rPr>
                <w:rFonts w:hint="eastAsia" w:ascii="Times New Roman" w:hAnsi="Times New Roman" w:eastAsia="宋体" w:cs="Times New Roman"/>
                <w:i/>
                <w:iCs/>
                <w:color w:val="auto"/>
                <w:sz w:val="21"/>
                <w:szCs w:val="21"/>
              </w:rPr>
              <w:t>kossinskyi</w:t>
            </w:r>
          </w:p>
        </w:tc>
        <w:tc>
          <w:tcPr>
            <w:tcW w:w="1295" w:type="pct"/>
            <w:noWrap w:val="0"/>
            <w:vAlign w:val="center"/>
          </w:tcPr>
          <w:p w14:paraId="63CB6B64">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355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190E5774">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猪毛菜</w:t>
            </w:r>
          </w:p>
        </w:tc>
        <w:tc>
          <w:tcPr>
            <w:tcW w:w="2388" w:type="pct"/>
            <w:noWrap w:val="0"/>
            <w:vAlign w:val="center"/>
          </w:tcPr>
          <w:p w14:paraId="7208B5E1">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i/>
                <w:iCs/>
                <w:color w:val="auto"/>
                <w:sz w:val="21"/>
                <w:szCs w:val="21"/>
              </w:rPr>
            </w:pPr>
            <w:r>
              <w:rPr>
                <w:rFonts w:hint="default" w:ascii="Times New Roman" w:hAnsi="Times New Roman" w:eastAsia="宋体" w:cs="Times New Roman"/>
                <w:i/>
                <w:iCs/>
                <w:color w:val="auto"/>
                <w:sz w:val="21"/>
                <w:szCs w:val="21"/>
              </w:rPr>
              <w:t>Salsolaspp.</w:t>
            </w:r>
          </w:p>
        </w:tc>
        <w:tc>
          <w:tcPr>
            <w:tcW w:w="1295" w:type="pct"/>
            <w:noWrap w:val="0"/>
            <w:vAlign w:val="center"/>
          </w:tcPr>
          <w:p w14:paraId="0E5787B0">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DA0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0BEA0CB9">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芦苇</w:t>
            </w:r>
          </w:p>
        </w:tc>
        <w:tc>
          <w:tcPr>
            <w:tcW w:w="2388" w:type="pct"/>
            <w:noWrap w:val="0"/>
            <w:vAlign w:val="center"/>
          </w:tcPr>
          <w:p w14:paraId="654FA9C3">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i/>
                <w:iCs/>
                <w:color w:val="auto"/>
                <w:sz w:val="21"/>
                <w:szCs w:val="21"/>
              </w:rPr>
            </w:pPr>
            <w:r>
              <w:rPr>
                <w:rStyle w:val="30"/>
                <w:rFonts w:hint="default" w:ascii="Times New Roman" w:hAnsi="Times New Roman" w:eastAsia="宋体" w:cs="Times New Roman"/>
                <w:i/>
                <w:iCs/>
                <w:caps w:val="0"/>
                <w:color w:val="auto"/>
                <w:spacing w:val="0"/>
                <w:sz w:val="21"/>
                <w:szCs w:val="21"/>
              </w:rPr>
              <w:t>Phragmites australis</w:t>
            </w:r>
            <w:r>
              <w:rPr>
                <w:rFonts w:hint="default" w:ascii="Times New Roman" w:hAnsi="Times New Roman" w:eastAsia="宋体" w:cs="Times New Roman"/>
                <w:i/>
                <w:iCs/>
                <w:caps w:val="0"/>
                <w:color w:val="auto"/>
                <w:spacing w:val="0"/>
                <w:sz w:val="21"/>
                <w:szCs w:val="21"/>
              </w:rPr>
              <w:t>(Cav.) Trin. ex Steud</w:t>
            </w:r>
          </w:p>
        </w:tc>
        <w:tc>
          <w:tcPr>
            <w:tcW w:w="1295" w:type="pct"/>
            <w:noWrap w:val="0"/>
            <w:vAlign w:val="center"/>
          </w:tcPr>
          <w:p w14:paraId="30168A88">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w:t>
            </w:r>
          </w:p>
        </w:tc>
      </w:tr>
      <w:tr w14:paraId="6BA3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15" w:type="pct"/>
            <w:noWrap w:val="0"/>
            <w:vAlign w:val="center"/>
          </w:tcPr>
          <w:p w14:paraId="2FEF6706">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i/>
                <w:iCs/>
                <w:caps w:val="0"/>
                <w:color w:val="auto"/>
                <w:spacing w:val="0"/>
                <w:sz w:val="21"/>
                <w:szCs w:val="21"/>
                <w:lang w:val="en-US" w:eastAsia="zh-CN"/>
              </w:rPr>
            </w:pPr>
            <w:r>
              <w:rPr>
                <w:rFonts w:hint="eastAsia" w:ascii="Times New Roman" w:hAnsi="Times New Roman" w:cs="Times New Roman"/>
                <w:color w:val="auto"/>
                <w:sz w:val="21"/>
                <w:szCs w:val="21"/>
                <w:lang w:val="en-US" w:eastAsia="zh-CN"/>
              </w:rPr>
              <w:t>胡杨</w:t>
            </w:r>
          </w:p>
        </w:tc>
        <w:tc>
          <w:tcPr>
            <w:tcW w:w="2388" w:type="pct"/>
            <w:noWrap w:val="0"/>
            <w:vAlign w:val="center"/>
          </w:tcPr>
          <w:p w14:paraId="593723C6">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i/>
                <w:iCs/>
                <w:caps w:val="0"/>
                <w:color w:val="auto"/>
                <w:spacing w:val="0"/>
                <w:sz w:val="21"/>
                <w:szCs w:val="21"/>
              </w:rPr>
            </w:pPr>
            <w:r>
              <w:rPr>
                <w:rFonts w:hint="default" w:ascii="Times New Roman" w:hAnsi="Times New Roman" w:eastAsia="宋体" w:cs="Times New Roman"/>
                <w:i/>
                <w:iCs/>
                <w:caps w:val="0"/>
                <w:color w:val="auto"/>
                <w:spacing w:val="0"/>
                <w:sz w:val="21"/>
                <w:szCs w:val="21"/>
              </w:rPr>
              <w:t>Populus</w:t>
            </w:r>
            <w:r>
              <w:rPr>
                <w:rFonts w:hint="eastAsia" w:ascii="Times New Roman" w:hAnsi="Times New Roman" w:eastAsia="宋体" w:cs="Times New Roman"/>
                <w:i/>
                <w:iCs/>
                <w:caps w:val="0"/>
                <w:color w:val="auto"/>
                <w:spacing w:val="0"/>
                <w:sz w:val="21"/>
                <w:szCs w:val="21"/>
              </w:rPr>
              <w:t> euphratica</w:t>
            </w:r>
            <w:r>
              <w:rPr>
                <w:rFonts w:hint="eastAsia" w:ascii="Times New Roman" w:hAnsi="Times New Roman" w:eastAsia="宋体" w:cs="Times New Roman"/>
                <w:i/>
                <w:iCs/>
                <w:caps w:val="0"/>
                <w:color w:val="auto"/>
                <w:spacing w:val="0"/>
                <w:sz w:val="21"/>
                <w:szCs w:val="21"/>
                <w:lang w:val="en-US" w:eastAsia="zh-CN"/>
              </w:rPr>
              <w:t xml:space="preserve"> </w:t>
            </w:r>
            <w:r>
              <w:rPr>
                <w:rFonts w:hint="eastAsia" w:ascii="Times New Roman" w:hAnsi="Times New Roman" w:eastAsia="宋体" w:cs="Times New Roman"/>
                <w:i/>
                <w:iCs/>
                <w:caps w:val="0"/>
                <w:color w:val="auto"/>
                <w:spacing w:val="0"/>
                <w:sz w:val="21"/>
                <w:szCs w:val="21"/>
              </w:rPr>
              <w:t>Oliv</w:t>
            </w:r>
          </w:p>
        </w:tc>
        <w:tc>
          <w:tcPr>
            <w:tcW w:w="1295" w:type="pct"/>
            <w:noWrap w:val="0"/>
            <w:vAlign w:val="center"/>
          </w:tcPr>
          <w:p w14:paraId="10686B52">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w:t>
            </w:r>
          </w:p>
        </w:tc>
      </w:tr>
    </w:tbl>
    <w:p w14:paraId="50804A0D">
      <w:pPr>
        <w:pStyle w:val="11"/>
        <w:bidi w:val="0"/>
        <w:rPr>
          <w:color w:val="auto"/>
        </w:rPr>
      </w:pPr>
      <w:r>
        <w:rPr>
          <w:rFonts w:hint="default" w:ascii="Times New Roman" w:hAnsi="Times New Roman" w:cs="Times New Roman"/>
          <w:color w:val="auto"/>
          <w:sz w:val="24"/>
          <w:szCs w:val="28"/>
          <w:lang w:val="en-US" w:eastAsia="zh-CN"/>
        </w:rPr>
        <w:t>根据《国家重点保护野生植物名录》和《新疆维吾尔自治区重点保护野生植物名录》（新政发</w:t>
      </w:r>
      <w:r>
        <w:rPr>
          <w:rFonts w:hint="default" w:ascii="Times New Roman" w:hAnsi="Times New Roman" w:eastAsia="宋体" w:cs="Times New Roman"/>
          <w:color w:val="auto"/>
          <w:sz w:val="24"/>
          <w:szCs w:val="28"/>
          <w:lang w:val="en-US" w:eastAsia="zh-CN"/>
        </w:rPr>
        <w:t>〔2023〕63号</w:t>
      </w:r>
      <w:r>
        <w:rPr>
          <w:rFonts w:hint="default" w:ascii="Times New Roman" w:hAnsi="Times New Roman" w:cs="Times New Roman"/>
          <w:color w:val="auto"/>
          <w:sz w:val="24"/>
          <w:szCs w:val="28"/>
          <w:lang w:val="en-US" w:eastAsia="zh-CN"/>
        </w:rPr>
        <w:t>）</w:t>
      </w:r>
      <w:r>
        <w:rPr>
          <w:rFonts w:hint="eastAsia" w:cs="Times New Roman"/>
          <w:color w:val="auto"/>
          <w:sz w:val="24"/>
          <w:szCs w:val="28"/>
          <w:lang w:val="en-US" w:eastAsia="zh-CN"/>
        </w:rPr>
        <w:t>，项目占地范围内无国家重点保护野生植物。</w:t>
      </w:r>
    </w:p>
    <w:p w14:paraId="548CB4AD">
      <w:pPr>
        <w:pStyle w:val="6"/>
        <w:bidi w:val="0"/>
        <w:rPr>
          <w:rFonts w:hint="default"/>
          <w:color w:val="auto"/>
          <w:lang w:val="en-US" w:eastAsia="zh-CN"/>
        </w:rPr>
      </w:pPr>
      <w:r>
        <w:rPr>
          <w:rFonts w:hint="eastAsia"/>
          <w:color w:val="auto"/>
          <w:lang w:val="en-US" w:eastAsia="zh-CN"/>
        </w:rPr>
        <w:t>4.2.6.7陆生动物资源调查</w:t>
      </w:r>
    </w:p>
    <w:p w14:paraId="490ACCDF">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按中国动物地理区划的分级标准，项目区属古北界、中亚亚界、蒙新区、西部荒漠亚区、准噶尔盆地小区。因该区域地处内陆盆地，气候极端干燥，按气候区划为酷热干旱区，野生动物的栖息生境极为简单，主要为荒漠（包括土漠与沙漠等）。在整个项目区域内，野生动物分布的环境主要为沙质荒漠区（即沙丘分布区）和梭梭林荒漠区。</w:t>
      </w:r>
    </w:p>
    <w:p w14:paraId="745A98DF">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在沙质荒漠区，因干旱和食物短缺，加之乔灌木植被少，无栖息及躲藏之地，野生动物分布数量较少，尤其是大型野生脊椎动物，在该区域野外考察中仅多见啮齿类活动的痕迹。</w:t>
      </w:r>
    </w:p>
    <w:p w14:paraId="35229A44">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在梭梭林荒漠区内，植物多为梭梭，群落盖度较高，成为荒漠动物活动及栖息的场所。</w:t>
      </w:r>
    </w:p>
    <w:p w14:paraId="0D926E4F">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区域内栖息主要野生脊椎动物36种，其中爬行类5种、鸟类14种、哺乳类17种，具体见表4.</w:t>
      </w:r>
      <w:r>
        <w:rPr>
          <w:rFonts w:hint="eastAsia" w:ascii="Times New Roman" w:hAnsi="Times New Roman" w:cs="Times New Roman"/>
          <w:color w:val="auto"/>
          <w:sz w:val="24"/>
          <w:szCs w:val="32"/>
          <w:lang w:val="en-US" w:eastAsia="zh-CN"/>
        </w:rPr>
        <w:t>2-2</w:t>
      </w:r>
      <w:r>
        <w:rPr>
          <w:rFonts w:hint="eastAsia" w:cs="Times New Roman"/>
          <w:color w:val="auto"/>
          <w:sz w:val="24"/>
          <w:szCs w:val="32"/>
          <w:lang w:val="en-US" w:eastAsia="zh-CN"/>
        </w:rPr>
        <w:t>1</w:t>
      </w:r>
      <w:r>
        <w:rPr>
          <w:rFonts w:hint="default" w:ascii="Times New Roman" w:hAnsi="Times New Roman" w:eastAsia="宋体" w:cs="Times New Roman"/>
          <w:color w:val="auto"/>
          <w:sz w:val="24"/>
          <w:szCs w:val="32"/>
        </w:rPr>
        <w:t>。爬行类的蜥蜴和哺乳类的啮齿动物是项目区内主要建群种动物。</w:t>
      </w:r>
    </w:p>
    <w:p w14:paraId="2A62F30D">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24"/>
        </w:rPr>
        <w:t>根据《国家重点保护野生动物名录》（2021年版），</w:t>
      </w:r>
      <w:r>
        <w:rPr>
          <w:rFonts w:hint="default" w:ascii="Times New Roman" w:hAnsi="Times New Roman" w:eastAsia="宋体" w:cs="Times New Roman"/>
          <w:color w:val="auto"/>
          <w:sz w:val="24"/>
          <w:szCs w:val="24"/>
          <w:lang w:val="en-US" w:eastAsia="zh-CN"/>
        </w:rPr>
        <w:t>蒙古野驴</w:t>
      </w:r>
      <w:r>
        <w:rPr>
          <w:rFonts w:hint="default" w:ascii="Times New Roman" w:hAnsi="Times New Roman" w:eastAsia="宋体" w:cs="Times New Roman"/>
          <w:color w:val="auto"/>
          <w:sz w:val="24"/>
          <w:szCs w:val="24"/>
        </w:rPr>
        <w:t>为国家</w:t>
      </w:r>
      <w:r>
        <w:rPr>
          <w:rFonts w:hint="eastAsia" w:ascii="Times New Roman" w:hAnsi="Times New Roman" w:cs="Times New Roman"/>
          <w:color w:val="auto"/>
          <w:sz w:val="24"/>
          <w:szCs w:val="24"/>
          <w:lang w:val="en-US" w:eastAsia="zh-CN"/>
        </w:rPr>
        <w:t>一</w:t>
      </w:r>
      <w:r>
        <w:rPr>
          <w:rFonts w:hint="default" w:ascii="Times New Roman" w:hAnsi="Times New Roman" w:eastAsia="宋体" w:cs="Times New Roman"/>
          <w:color w:val="auto"/>
          <w:sz w:val="24"/>
          <w:szCs w:val="24"/>
        </w:rPr>
        <w:t>级重点保护野生动物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狼、沙狐、赤狐、鹅喉羚、草原斑猫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兔狲</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云雀、红隼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黑腹沙鸡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棕尾鵟为国家</w:t>
      </w:r>
      <w:r>
        <w:rPr>
          <w:rFonts w:hint="eastAsia" w:ascii="Times New Roman" w:hAnsi="Times New Roman" w:cs="Times New Roman"/>
          <w:color w:val="auto"/>
          <w:sz w:val="24"/>
          <w:szCs w:val="24"/>
          <w:lang w:val="en-US" w:eastAsia="zh-CN"/>
        </w:rPr>
        <w:t>二</w:t>
      </w:r>
      <w:r>
        <w:rPr>
          <w:rFonts w:hint="default" w:ascii="Times New Roman" w:hAnsi="Times New Roman" w:eastAsia="宋体" w:cs="Times New Roman"/>
          <w:color w:val="auto"/>
          <w:sz w:val="24"/>
          <w:szCs w:val="24"/>
        </w:rPr>
        <w:t>级重点保护野生动物；根据《新疆维吾尔自治区重点保护野生动物名录（修订）》（新政发〔2022〕75号），虎鼬为自治区Ⅰ级重点保护野生动物。</w:t>
      </w:r>
      <w:r>
        <w:rPr>
          <w:rFonts w:hint="default" w:ascii="Times New Roman" w:hAnsi="Times New Roman" w:eastAsia="宋体" w:cs="Times New Roman"/>
          <w:color w:val="auto"/>
          <w:sz w:val="24"/>
          <w:szCs w:val="32"/>
        </w:rPr>
        <w:t>具体野生动物保护级别见表4.</w:t>
      </w:r>
      <w:r>
        <w:rPr>
          <w:rFonts w:hint="eastAsia" w:ascii="Times New Roman" w:hAnsi="Times New Roman" w:cs="Times New Roman"/>
          <w:color w:val="auto"/>
          <w:sz w:val="24"/>
          <w:szCs w:val="32"/>
          <w:lang w:val="en-US" w:eastAsia="zh-CN"/>
        </w:rPr>
        <w:t>2-2</w:t>
      </w:r>
      <w:r>
        <w:rPr>
          <w:rFonts w:hint="eastAsia" w:cs="Times New Roman"/>
          <w:color w:val="auto"/>
          <w:sz w:val="24"/>
          <w:szCs w:val="32"/>
          <w:lang w:val="en-US" w:eastAsia="zh-CN"/>
        </w:rPr>
        <w:t>2</w:t>
      </w:r>
      <w:r>
        <w:rPr>
          <w:rFonts w:hint="default" w:ascii="Times New Roman" w:hAnsi="Times New Roman" w:eastAsia="宋体" w:cs="Times New Roman"/>
          <w:color w:val="auto"/>
          <w:sz w:val="24"/>
          <w:szCs w:val="32"/>
        </w:rPr>
        <w:t>。</w:t>
      </w:r>
    </w:p>
    <w:p w14:paraId="58B198D0">
      <w:pPr>
        <w:pStyle w:val="43"/>
        <w:bidi w:val="0"/>
        <w:rPr>
          <w:rFonts w:hint="default" w:ascii="Times New Roman" w:hAnsi="Times New Roman" w:cs="Times New Roman"/>
          <w:b/>
          <w:bCs/>
          <w:color w:val="auto"/>
          <w:szCs w:val="21"/>
        </w:rPr>
      </w:pPr>
      <w:r>
        <w:rPr>
          <w:rFonts w:hint="default"/>
          <w:color w:val="auto"/>
        </w:rPr>
        <w:t>表4.</w:t>
      </w:r>
      <w:r>
        <w:rPr>
          <w:rFonts w:hint="eastAsia"/>
          <w:color w:val="auto"/>
          <w:lang w:val="en-US" w:eastAsia="zh-CN"/>
        </w:rPr>
        <w:t>2-21</w:t>
      </w:r>
      <w:r>
        <w:rPr>
          <w:rFonts w:hint="default"/>
          <w:color w:val="auto"/>
        </w:rPr>
        <w:t xml:space="preserve"> </w:t>
      </w:r>
      <w:r>
        <w:rPr>
          <w:rFonts w:hint="default"/>
          <w:color w:val="auto"/>
          <w:lang w:val="en-US"/>
        </w:rPr>
        <w:t xml:space="preserve"> </w:t>
      </w:r>
      <w:r>
        <w:rPr>
          <w:rFonts w:hint="default"/>
          <w:color w:val="auto"/>
        </w:rPr>
        <w:t>项目区主要脊椎动物的种类及分布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3260"/>
        <w:gridCol w:w="1276"/>
        <w:gridCol w:w="1213"/>
      </w:tblGrid>
      <w:tr w14:paraId="667F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restart"/>
            <w:vAlign w:val="center"/>
          </w:tcPr>
          <w:p w14:paraId="494B6978">
            <w:pPr>
              <w:pStyle w:val="1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中文名</w:t>
            </w:r>
          </w:p>
        </w:tc>
        <w:tc>
          <w:tcPr>
            <w:tcW w:w="3260" w:type="dxa"/>
            <w:vMerge w:val="restart"/>
            <w:vAlign w:val="center"/>
          </w:tcPr>
          <w:p w14:paraId="61DE3D0A">
            <w:pPr>
              <w:pStyle w:val="1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学名</w:t>
            </w:r>
          </w:p>
        </w:tc>
        <w:tc>
          <w:tcPr>
            <w:tcW w:w="2489" w:type="dxa"/>
            <w:gridSpan w:val="2"/>
            <w:vAlign w:val="center"/>
          </w:tcPr>
          <w:p w14:paraId="7A2D9598">
            <w:pPr>
              <w:pStyle w:val="1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分布</w:t>
            </w:r>
          </w:p>
        </w:tc>
      </w:tr>
      <w:tr w14:paraId="2F48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continue"/>
            <w:vAlign w:val="center"/>
          </w:tcPr>
          <w:p w14:paraId="6C6B50B1">
            <w:pPr>
              <w:pStyle w:val="19"/>
              <w:rPr>
                <w:rFonts w:hint="default" w:ascii="Times New Roman" w:hAnsi="Times New Roman" w:eastAsia="宋体" w:cs="Times New Roman"/>
                <w:b/>
                <w:bCs w:val="0"/>
                <w:color w:val="auto"/>
              </w:rPr>
            </w:pPr>
          </w:p>
        </w:tc>
        <w:tc>
          <w:tcPr>
            <w:tcW w:w="3260" w:type="dxa"/>
            <w:vMerge w:val="continue"/>
            <w:vAlign w:val="center"/>
          </w:tcPr>
          <w:p w14:paraId="24AB8CD0">
            <w:pPr>
              <w:pStyle w:val="19"/>
              <w:rPr>
                <w:rFonts w:hint="default" w:ascii="Times New Roman" w:hAnsi="Times New Roman" w:eastAsia="宋体" w:cs="Times New Roman"/>
                <w:b/>
                <w:bCs w:val="0"/>
                <w:color w:val="auto"/>
              </w:rPr>
            </w:pPr>
          </w:p>
        </w:tc>
        <w:tc>
          <w:tcPr>
            <w:tcW w:w="1276" w:type="dxa"/>
            <w:vAlign w:val="center"/>
          </w:tcPr>
          <w:p w14:paraId="3F77CB5B">
            <w:pPr>
              <w:pStyle w:val="1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沙质荒漠</w:t>
            </w:r>
          </w:p>
        </w:tc>
        <w:tc>
          <w:tcPr>
            <w:tcW w:w="1213" w:type="dxa"/>
            <w:vAlign w:val="center"/>
          </w:tcPr>
          <w:p w14:paraId="2F38C4CC">
            <w:pPr>
              <w:pStyle w:val="1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壤质荒漠</w:t>
            </w:r>
          </w:p>
        </w:tc>
      </w:tr>
      <w:tr w14:paraId="0DCD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vAlign w:val="center"/>
          </w:tcPr>
          <w:p w14:paraId="4DF9275C">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一、</w:t>
            </w:r>
            <w:r>
              <w:rPr>
                <w:rFonts w:hint="default" w:ascii="Times New Roman" w:hAnsi="Times New Roman" w:eastAsia="宋体" w:cs="Times New Roman"/>
                <w:color w:val="auto"/>
                <w:lang w:eastAsia="zh-CN"/>
              </w:rPr>
              <w:t>爬行类</w:t>
            </w:r>
          </w:p>
        </w:tc>
      </w:tr>
      <w:tr w14:paraId="7568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1A1DA782">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1.变色沙蜥</w:t>
            </w:r>
          </w:p>
        </w:tc>
        <w:tc>
          <w:tcPr>
            <w:tcW w:w="3260" w:type="dxa"/>
            <w:vAlign w:val="center"/>
          </w:tcPr>
          <w:p w14:paraId="7ADC133F">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Phrynocephalus versicoloor</w:t>
            </w:r>
          </w:p>
        </w:tc>
        <w:tc>
          <w:tcPr>
            <w:tcW w:w="1276" w:type="dxa"/>
            <w:vAlign w:val="center"/>
          </w:tcPr>
          <w:p w14:paraId="1B7DEF71">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040A5DF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5BC7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5F9B0A49">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2.东疆沙蜥</w:t>
            </w:r>
          </w:p>
        </w:tc>
        <w:tc>
          <w:tcPr>
            <w:tcW w:w="3260" w:type="dxa"/>
            <w:vAlign w:val="center"/>
          </w:tcPr>
          <w:p w14:paraId="39F99C26">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P．grumgriximaloi</w:t>
            </w:r>
          </w:p>
        </w:tc>
        <w:tc>
          <w:tcPr>
            <w:tcW w:w="1276" w:type="dxa"/>
            <w:vAlign w:val="center"/>
          </w:tcPr>
          <w:p w14:paraId="72051607">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21CCCFA9">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2912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5C8BF9B5">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3.快步麻蜥</w:t>
            </w:r>
          </w:p>
        </w:tc>
        <w:tc>
          <w:tcPr>
            <w:tcW w:w="3260" w:type="dxa"/>
            <w:vAlign w:val="center"/>
          </w:tcPr>
          <w:p w14:paraId="14BA1726">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Eremisa velos</w:t>
            </w:r>
          </w:p>
        </w:tc>
        <w:tc>
          <w:tcPr>
            <w:tcW w:w="1276" w:type="dxa"/>
            <w:vAlign w:val="center"/>
          </w:tcPr>
          <w:p w14:paraId="36799A32">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3F4F52BF">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13BF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4BD7AD52">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4.东方沙蟒</w:t>
            </w:r>
          </w:p>
        </w:tc>
        <w:tc>
          <w:tcPr>
            <w:tcW w:w="3260" w:type="dxa"/>
            <w:vAlign w:val="center"/>
          </w:tcPr>
          <w:p w14:paraId="0E455CF7">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Erys tataricus</w:t>
            </w:r>
          </w:p>
        </w:tc>
        <w:tc>
          <w:tcPr>
            <w:tcW w:w="1276" w:type="dxa"/>
            <w:vAlign w:val="center"/>
          </w:tcPr>
          <w:p w14:paraId="71C7EE35">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48DEB308">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207E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2066048F">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5.黄脊游蛇</w:t>
            </w:r>
          </w:p>
        </w:tc>
        <w:tc>
          <w:tcPr>
            <w:tcW w:w="3260" w:type="dxa"/>
            <w:vAlign w:val="center"/>
          </w:tcPr>
          <w:p w14:paraId="157555E3">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Coluber spinalis</w:t>
            </w:r>
          </w:p>
        </w:tc>
        <w:tc>
          <w:tcPr>
            <w:tcW w:w="1276" w:type="dxa"/>
            <w:vAlign w:val="center"/>
          </w:tcPr>
          <w:p w14:paraId="15AF8C22">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571F054F">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11AB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vAlign w:val="center"/>
          </w:tcPr>
          <w:p w14:paraId="599DFC7A">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二、鸟类</w:t>
            </w:r>
          </w:p>
        </w:tc>
      </w:tr>
      <w:tr w14:paraId="789D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158AE69A">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6.鸢</w:t>
            </w:r>
          </w:p>
        </w:tc>
        <w:tc>
          <w:tcPr>
            <w:tcW w:w="3260" w:type="dxa"/>
            <w:vAlign w:val="center"/>
          </w:tcPr>
          <w:p w14:paraId="7615953E">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Milvus korschum</w:t>
            </w:r>
          </w:p>
        </w:tc>
        <w:tc>
          <w:tcPr>
            <w:tcW w:w="1276" w:type="dxa"/>
            <w:vAlign w:val="center"/>
          </w:tcPr>
          <w:p w14:paraId="0FC96896">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6962ACBF">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539F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355B6C5A">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7.雀鹰</w:t>
            </w:r>
          </w:p>
        </w:tc>
        <w:tc>
          <w:tcPr>
            <w:tcW w:w="3260" w:type="dxa"/>
            <w:vAlign w:val="center"/>
          </w:tcPr>
          <w:p w14:paraId="5F5A0E0E">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Accipiter nisus</w:t>
            </w:r>
          </w:p>
        </w:tc>
        <w:tc>
          <w:tcPr>
            <w:tcW w:w="1276" w:type="dxa"/>
            <w:vAlign w:val="center"/>
          </w:tcPr>
          <w:p w14:paraId="705DAFD4">
            <w:pPr>
              <w:pStyle w:val="19"/>
              <w:rPr>
                <w:rFonts w:hint="default" w:ascii="Times New Roman" w:hAnsi="Times New Roman" w:eastAsia="宋体" w:cs="Times New Roman"/>
                <w:color w:val="auto"/>
              </w:rPr>
            </w:pPr>
          </w:p>
        </w:tc>
        <w:tc>
          <w:tcPr>
            <w:tcW w:w="1213" w:type="dxa"/>
            <w:vAlign w:val="center"/>
          </w:tcPr>
          <w:p w14:paraId="0414EF0B">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18DD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231EC558">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8.草原鹞</w:t>
            </w:r>
          </w:p>
        </w:tc>
        <w:tc>
          <w:tcPr>
            <w:tcW w:w="3260" w:type="dxa"/>
            <w:vAlign w:val="center"/>
          </w:tcPr>
          <w:p w14:paraId="54878291">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Circus macrourus</w:t>
            </w:r>
          </w:p>
        </w:tc>
        <w:tc>
          <w:tcPr>
            <w:tcW w:w="1276" w:type="dxa"/>
            <w:vAlign w:val="center"/>
          </w:tcPr>
          <w:p w14:paraId="3F3F20C1">
            <w:pPr>
              <w:pStyle w:val="19"/>
              <w:rPr>
                <w:rFonts w:hint="default" w:ascii="Times New Roman" w:hAnsi="Times New Roman" w:eastAsia="宋体" w:cs="Times New Roman"/>
                <w:color w:val="auto"/>
              </w:rPr>
            </w:pPr>
          </w:p>
        </w:tc>
        <w:tc>
          <w:tcPr>
            <w:tcW w:w="1213" w:type="dxa"/>
            <w:vAlign w:val="center"/>
          </w:tcPr>
          <w:p w14:paraId="30D6E6DA">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AC3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5036700E">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9.棕尾鵟</w:t>
            </w:r>
          </w:p>
        </w:tc>
        <w:tc>
          <w:tcPr>
            <w:tcW w:w="3260" w:type="dxa"/>
            <w:vAlign w:val="center"/>
          </w:tcPr>
          <w:p w14:paraId="50996A72">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Buteo rufinus</w:t>
            </w:r>
          </w:p>
        </w:tc>
        <w:tc>
          <w:tcPr>
            <w:tcW w:w="1276" w:type="dxa"/>
            <w:vAlign w:val="center"/>
          </w:tcPr>
          <w:p w14:paraId="590E2F3D">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534D4D70">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0C2E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760D5532">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10.红隼</w:t>
            </w:r>
          </w:p>
        </w:tc>
        <w:tc>
          <w:tcPr>
            <w:tcW w:w="3260" w:type="dxa"/>
            <w:vAlign w:val="center"/>
          </w:tcPr>
          <w:p w14:paraId="7A4803F9">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Syrrhaptes paradoxus</w:t>
            </w:r>
          </w:p>
        </w:tc>
        <w:tc>
          <w:tcPr>
            <w:tcW w:w="1276" w:type="dxa"/>
            <w:vAlign w:val="center"/>
          </w:tcPr>
          <w:p w14:paraId="3FF470AD">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205C0799">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021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326B0939">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11.毛脚沙鸡</w:t>
            </w:r>
          </w:p>
        </w:tc>
        <w:tc>
          <w:tcPr>
            <w:tcW w:w="3260" w:type="dxa"/>
            <w:vAlign w:val="center"/>
          </w:tcPr>
          <w:p w14:paraId="6DFAB808">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Syrrhaptes paradoxus</w:t>
            </w:r>
          </w:p>
        </w:tc>
        <w:tc>
          <w:tcPr>
            <w:tcW w:w="1276" w:type="dxa"/>
            <w:vAlign w:val="center"/>
          </w:tcPr>
          <w:p w14:paraId="08AE38E9">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06EBAFC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25DB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72CCBC27">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12.黑腹沙鸡</w:t>
            </w:r>
          </w:p>
        </w:tc>
        <w:tc>
          <w:tcPr>
            <w:tcW w:w="3260" w:type="dxa"/>
            <w:vAlign w:val="center"/>
          </w:tcPr>
          <w:p w14:paraId="738B0FA6">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Pterocles orientalis</w:t>
            </w:r>
          </w:p>
        </w:tc>
        <w:tc>
          <w:tcPr>
            <w:tcW w:w="1276" w:type="dxa"/>
            <w:vAlign w:val="center"/>
          </w:tcPr>
          <w:p w14:paraId="7074C758">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6C487028">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121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1180D14D">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13.短趾沙百灵</w:t>
            </w:r>
          </w:p>
        </w:tc>
        <w:tc>
          <w:tcPr>
            <w:tcW w:w="3260" w:type="dxa"/>
            <w:vAlign w:val="center"/>
          </w:tcPr>
          <w:p w14:paraId="1AAE55BE">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Calandrella cinerea</w:t>
            </w:r>
          </w:p>
        </w:tc>
        <w:tc>
          <w:tcPr>
            <w:tcW w:w="1276" w:type="dxa"/>
            <w:vAlign w:val="center"/>
          </w:tcPr>
          <w:p w14:paraId="44F3E7E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60C7835D">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CCC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6ABB87E7">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14.小沙百灵</w:t>
            </w:r>
          </w:p>
        </w:tc>
        <w:tc>
          <w:tcPr>
            <w:tcW w:w="3260" w:type="dxa"/>
            <w:vAlign w:val="center"/>
          </w:tcPr>
          <w:p w14:paraId="5A44D991">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C．rufescens</w:t>
            </w:r>
          </w:p>
        </w:tc>
        <w:tc>
          <w:tcPr>
            <w:tcW w:w="1276" w:type="dxa"/>
            <w:vAlign w:val="center"/>
          </w:tcPr>
          <w:p w14:paraId="11E439D6">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1F8D10B1">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4F2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4DB7CDB1">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15.凤头百灵</w:t>
            </w:r>
          </w:p>
        </w:tc>
        <w:tc>
          <w:tcPr>
            <w:tcW w:w="3260" w:type="dxa"/>
            <w:vAlign w:val="center"/>
          </w:tcPr>
          <w:p w14:paraId="10E860CE">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Galerida cristata</w:t>
            </w:r>
          </w:p>
        </w:tc>
        <w:tc>
          <w:tcPr>
            <w:tcW w:w="1276" w:type="dxa"/>
            <w:vAlign w:val="center"/>
          </w:tcPr>
          <w:p w14:paraId="14CFD596">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667A9834">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5BB9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2CB618DB">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16.云雀</w:t>
            </w:r>
          </w:p>
        </w:tc>
        <w:tc>
          <w:tcPr>
            <w:tcW w:w="3260" w:type="dxa"/>
            <w:vAlign w:val="center"/>
          </w:tcPr>
          <w:p w14:paraId="38DBF0C2">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Alauda arvensis</w:t>
            </w:r>
          </w:p>
        </w:tc>
        <w:tc>
          <w:tcPr>
            <w:tcW w:w="1276" w:type="dxa"/>
            <w:vAlign w:val="center"/>
          </w:tcPr>
          <w:p w14:paraId="407DDFA0">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7F68602B">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575A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49CC7978">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17.沙即鸟</w:t>
            </w:r>
          </w:p>
        </w:tc>
        <w:tc>
          <w:tcPr>
            <w:tcW w:w="3260" w:type="dxa"/>
            <w:vAlign w:val="center"/>
          </w:tcPr>
          <w:p w14:paraId="6302DD23">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Oenanthe isabellina</w:t>
            </w:r>
          </w:p>
        </w:tc>
        <w:tc>
          <w:tcPr>
            <w:tcW w:w="1276" w:type="dxa"/>
            <w:vAlign w:val="center"/>
          </w:tcPr>
          <w:p w14:paraId="7A400C56">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59081856">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7EB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5CB14D79">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18.红尾伯劳</w:t>
            </w:r>
          </w:p>
        </w:tc>
        <w:tc>
          <w:tcPr>
            <w:tcW w:w="3260" w:type="dxa"/>
            <w:vAlign w:val="center"/>
          </w:tcPr>
          <w:p w14:paraId="5BA7ECB0">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Lanius cristatus</w:t>
            </w:r>
          </w:p>
        </w:tc>
        <w:tc>
          <w:tcPr>
            <w:tcW w:w="1276" w:type="dxa"/>
            <w:vAlign w:val="center"/>
          </w:tcPr>
          <w:p w14:paraId="574D06CE">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0B8B1CF0">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DA6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0C77A22C">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19.黑尾地鸦</w:t>
            </w:r>
          </w:p>
        </w:tc>
        <w:tc>
          <w:tcPr>
            <w:tcW w:w="3260" w:type="dxa"/>
            <w:vAlign w:val="center"/>
          </w:tcPr>
          <w:p w14:paraId="60409863">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Podoces hendersoni</w:t>
            </w:r>
          </w:p>
        </w:tc>
        <w:tc>
          <w:tcPr>
            <w:tcW w:w="1276" w:type="dxa"/>
            <w:vAlign w:val="center"/>
          </w:tcPr>
          <w:p w14:paraId="35A4D22D">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450D3E97">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B2B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vAlign w:val="center"/>
          </w:tcPr>
          <w:p w14:paraId="4D9B1E04">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三、哺乳类</w:t>
            </w:r>
          </w:p>
        </w:tc>
      </w:tr>
      <w:tr w14:paraId="2C1E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38895BFE">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20.大耳虫胃</w:t>
            </w:r>
          </w:p>
        </w:tc>
        <w:tc>
          <w:tcPr>
            <w:tcW w:w="3260" w:type="dxa"/>
            <w:vAlign w:val="center"/>
          </w:tcPr>
          <w:p w14:paraId="07ABAFAD">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Hemiechinus auritus</w:t>
            </w:r>
          </w:p>
        </w:tc>
        <w:tc>
          <w:tcPr>
            <w:tcW w:w="1276" w:type="dxa"/>
            <w:vAlign w:val="center"/>
          </w:tcPr>
          <w:p w14:paraId="0E479882">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2131F84B">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821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6D886ABC">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21.狼</w:t>
            </w:r>
          </w:p>
        </w:tc>
        <w:tc>
          <w:tcPr>
            <w:tcW w:w="3260" w:type="dxa"/>
            <w:vAlign w:val="center"/>
          </w:tcPr>
          <w:p w14:paraId="032B8738">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Canis lupus</w:t>
            </w:r>
          </w:p>
        </w:tc>
        <w:tc>
          <w:tcPr>
            <w:tcW w:w="1276" w:type="dxa"/>
            <w:vAlign w:val="center"/>
          </w:tcPr>
          <w:p w14:paraId="472211B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7C48E04D">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6999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41C8B151">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22.沙狐</w:t>
            </w:r>
          </w:p>
        </w:tc>
        <w:tc>
          <w:tcPr>
            <w:tcW w:w="3260" w:type="dxa"/>
            <w:vAlign w:val="center"/>
          </w:tcPr>
          <w:p w14:paraId="79A42F33">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Vulpes corsac</w:t>
            </w:r>
          </w:p>
        </w:tc>
        <w:tc>
          <w:tcPr>
            <w:tcW w:w="1276" w:type="dxa"/>
            <w:vAlign w:val="center"/>
          </w:tcPr>
          <w:p w14:paraId="6FD9DFFC">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149E4882">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7F47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39E52BCD">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23.兔狲</w:t>
            </w:r>
          </w:p>
        </w:tc>
        <w:tc>
          <w:tcPr>
            <w:tcW w:w="3260" w:type="dxa"/>
            <w:vAlign w:val="center"/>
          </w:tcPr>
          <w:p w14:paraId="63D26D3B">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Felis mamul</w:t>
            </w:r>
          </w:p>
        </w:tc>
        <w:tc>
          <w:tcPr>
            <w:tcW w:w="1276" w:type="dxa"/>
            <w:vAlign w:val="center"/>
          </w:tcPr>
          <w:p w14:paraId="51E4FDED">
            <w:pPr>
              <w:pStyle w:val="19"/>
              <w:rPr>
                <w:rFonts w:hint="default" w:ascii="Times New Roman" w:hAnsi="Times New Roman" w:eastAsia="宋体" w:cs="Times New Roman"/>
                <w:color w:val="auto"/>
              </w:rPr>
            </w:pPr>
          </w:p>
        </w:tc>
        <w:tc>
          <w:tcPr>
            <w:tcW w:w="1213" w:type="dxa"/>
            <w:vAlign w:val="center"/>
          </w:tcPr>
          <w:p w14:paraId="169C1F06">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948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1D775C0A">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24.草原斑猫</w:t>
            </w:r>
          </w:p>
        </w:tc>
        <w:tc>
          <w:tcPr>
            <w:tcW w:w="3260" w:type="dxa"/>
            <w:vAlign w:val="center"/>
          </w:tcPr>
          <w:p w14:paraId="04094EAF">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F．libyca</w:t>
            </w:r>
          </w:p>
        </w:tc>
        <w:tc>
          <w:tcPr>
            <w:tcW w:w="1276" w:type="dxa"/>
            <w:vAlign w:val="center"/>
          </w:tcPr>
          <w:p w14:paraId="253C71E7">
            <w:pPr>
              <w:pStyle w:val="19"/>
              <w:rPr>
                <w:rFonts w:hint="default" w:ascii="Times New Roman" w:hAnsi="Times New Roman" w:eastAsia="宋体" w:cs="Times New Roman"/>
                <w:color w:val="auto"/>
              </w:rPr>
            </w:pPr>
          </w:p>
        </w:tc>
        <w:tc>
          <w:tcPr>
            <w:tcW w:w="1213" w:type="dxa"/>
            <w:vAlign w:val="center"/>
          </w:tcPr>
          <w:p w14:paraId="65070589">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7AAF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0DA2666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25.虎鼬</w:t>
            </w:r>
          </w:p>
        </w:tc>
        <w:tc>
          <w:tcPr>
            <w:tcW w:w="3260" w:type="dxa"/>
            <w:vAlign w:val="center"/>
          </w:tcPr>
          <w:p w14:paraId="69DA5543">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Vormela peregusna</w:t>
            </w:r>
          </w:p>
        </w:tc>
        <w:tc>
          <w:tcPr>
            <w:tcW w:w="1276" w:type="dxa"/>
            <w:vAlign w:val="center"/>
          </w:tcPr>
          <w:p w14:paraId="07952C04">
            <w:pPr>
              <w:pStyle w:val="19"/>
              <w:rPr>
                <w:rFonts w:hint="default" w:ascii="Times New Roman" w:hAnsi="Times New Roman" w:eastAsia="宋体" w:cs="Times New Roman"/>
                <w:color w:val="auto"/>
              </w:rPr>
            </w:pPr>
          </w:p>
        </w:tc>
        <w:tc>
          <w:tcPr>
            <w:tcW w:w="1213" w:type="dxa"/>
            <w:vAlign w:val="center"/>
          </w:tcPr>
          <w:p w14:paraId="4BBD7D5D">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71F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2D04BB5A">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26.蒙古野驴</w:t>
            </w:r>
          </w:p>
        </w:tc>
        <w:tc>
          <w:tcPr>
            <w:tcW w:w="3260" w:type="dxa"/>
            <w:vAlign w:val="center"/>
          </w:tcPr>
          <w:p w14:paraId="5BEE72EB">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Asinus hemionus</w:t>
            </w:r>
          </w:p>
        </w:tc>
        <w:tc>
          <w:tcPr>
            <w:tcW w:w="1276" w:type="dxa"/>
            <w:vAlign w:val="center"/>
          </w:tcPr>
          <w:p w14:paraId="1836AEF8">
            <w:pPr>
              <w:pStyle w:val="19"/>
              <w:rPr>
                <w:rFonts w:hint="default" w:ascii="Times New Roman" w:hAnsi="Times New Roman" w:eastAsia="宋体" w:cs="Times New Roman"/>
                <w:color w:val="auto"/>
              </w:rPr>
            </w:pPr>
          </w:p>
        </w:tc>
        <w:tc>
          <w:tcPr>
            <w:tcW w:w="1213" w:type="dxa"/>
            <w:vAlign w:val="center"/>
          </w:tcPr>
          <w:p w14:paraId="0C5D0B95">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183A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62F445EE">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27.鹅喉羚</w:t>
            </w:r>
          </w:p>
        </w:tc>
        <w:tc>
          <w:tcPr>
            <w:tcW w:w="3260" w:type="dxa"/>
            <w:vAlign w:val="center"/>
          </w:tcPr>
          <w:p w14:paraId="0772EC9E">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Gozella subgutturosa</w:t>
            </w:r>
          </w:p>
        </w:tc>
        <w:tc>
          <w:tcPr>
            <w:tcW w:w="1276" w:type="dxa"/>
            <w:vAlign w:val="center"/>
          </w:tcPr>
          <w:p w14:paraId="043F71DE">
            <w:pPr>
              <w:pStyle w:val="19"/>
              <w:rPr>
                <w:rFonts w:hint="default" w:ascii="Times New Roman" w:hAnsi="Times New Roman" w:eastAsia="宋体" w:cs="Times New Roman"/>
                <w:color w:val="auto"/>
              </w:rPr>
            </w:pPr>
          </w:p>
        </w:tc>
        <w:tc>
          <w:tcPr>
            <w:tcW w:w="1213" w:type="dxa"/>
            <w:vAlign w:val="center"/>
          </w:tcPr>
          <w:p w14:paraId="3096D177">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0A7F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798729A5">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28.草兔</w:t>
            </w:r>
          </w:p>
        </w:tc>
        <w:tc>
          <w:tcPr>
            <w:tcW w:w="3260" w:type="dxa"/>
            <w:vAlign w:val="center"/>
          </w:tcPr>
          <w:p w14:paraId="24D01D53">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Lepus capensis</w:t>
            </w:r>
          </w:p>
        </w:tc>
        <w:tc>
          <w:tcPr>
            <w:tcW w:w="1276" w:type="dxa"/>
            <w:vAlign w:val="center"/>
          </w:tcPr>
          <w:p w14:paraId="4D100BE2">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7BBB069B">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7860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481A8A9C">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29.小五趾跳鼠</w:t>
            </w:r>
          </w:p>
        </w:tc>
        <w:tc>
          <w:tcPr>
            <w:tcW w:w="3260" w:type="dxa"/>
            <w:vAlign w:val="center"/>
          </w:tcPr>
          <w:p w14:paraId="58A65322">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Allactage elater</w:t>
            </w:r>
          </w:p>
        </w:tc>
        <w:tc>
          <w:tcPr>
            <w:tcW w:w="1276" w:type="dxa"/>
            <w:vAlign w:val="center"/>
          </w:tcPr>
          <w:p w14:paraId="3DA2666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7C4A1600">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732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746C3FB4">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30.西伯利亚五趾跳鼠</w:t>
            </w:r>
          </w:p>
        </w:tc>
        <w:tc>
          <w:tcPr>
            <w:tcW w:w="3260" w:type="dxa"/>
            <w:vAlign w:val="center"/>
          </w:tcPr>
          <w:p w14:paraId="22E63815">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A．sibirica</w:t>
            </w:r>
          </w:p>
        </w:tc>
        <w:tc>
          <w:tcPr>
            <w:tcW w:w="1276" w:type="dxa"/>
            <w:vAlign w:val="center"/>
          </w:tcPr>
          <w:p w14:paraId="16AA24C5">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0419C5C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626F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3A074E05">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31.小地兔</w:t>
            </w:r>
          </w:p>
        </w:tc>
        <w:tc>
          <w:tcPr>
            <w:tcW w:w="3260" w:type="dxa"/>
            <w:vAlign w:val="center"/>
          </w:tcPr>
          <w:p w14:paraId="09C44FC2">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Alactagullus pygnaeus</w:t>
            </w:r>
          </w:p>
        </w:tc>
        <w:tc>
          <w:tcPr>
            <w:tcW w:w="1276" w:type="dxa"/>
            <w:vAlign w:val="center"/>
          </w:tcPr>
          <w:p w14:paraId="7A98CF35">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31EBC947">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8C7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336CB78B">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32.毛脚跳鼠</w:t>
            </w:r>
          </w:p>
        </w:tc>
        <w:tc>
          <w:tcPr>
            <w:tcW w:w="3260" w:type="dxa"/>
            <w:vAlign w:val="center"/>
          </w:tcPr>
          <w:p w14:paraId="5E3ED9EE">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Dipus sagitta</w:t>
            </w:r>
          </w:p>
        </w:tc>
        <w:tc>
          <w:tcPr>
            <w:tcW w:w="1276" w:type="dxa"/>
            <w:vAlign w:val="center"/>
          </w:tcPr>
          <w:p w14:paraId="735B35C4">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43D340D4">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2989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42FB047A">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33.大沙鼠</w:t>
            </w:r>
          </w:p>
        </w:tc>
        <w:tc>
          <w:tcPr>
            <w:tcW w:w="3260" w:type="dxa"/>
            <w:vAlign w:val="center"/>
          </w:tcPr>
          <w:p w14:paraId="3CD0921E">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Rhombomys opimus</w:t>
            </w:r>
          </w:p>
        </w:tc>
        <w:tc>
          <w:tcPr>
            <w:tcW w:w="1276" w:type="dxa"/>
            <w:vAlign w:val="center"/>
          </w:tcPr>
          <w:p w14:paraId="2BB45522">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37663B6D">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23B2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57E4FFC7">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34.子午沙鼠</w:t>
            </w:r>
          </w:p>
        </w:tc>
        <w:tc>
          <w:tcPr>
            <w:tcW w:w="3260" w:type="dxa"/>
            <w:vAlign w:val="center"/>
          </w:tcPr>
          <w:p w14:paraId="6E88EFDE">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Meriones meridianus</w:t>
            </w:r>
          </w:p>
        </w:tc>
        <w:tc>
          <w:tcPr>
            <w:tcW w:w="1276" w:type="dxa"/>
            <w:vAlign w:val="center"/>
          </w:tcPr>
          <w:p w14:paraId="0E0012E4">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13" w:type="dxa"/>
            <w:vAlign w:val="center"/>
          </w:tcPr>
          <w:p w14:paraId="1FB1B77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78D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6225F774">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35.红尾沙鼠</w:t>
            </w:r>
          </w:p>
        </w:tc>
        <w:tc>
          <w:tcPr>
            <w:tcW w:w="3260" w:type="dxa"/>
            <w:vAlign w:val="center"/>
          </w:tcPr>
          <w:p w14:paraId="7BB805BB">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Meriones erythrourus</w:t>
            </w:r>
          </w:p>
        </w:tc>
        <w:tc>
          <w:tcPr>
            <w:tcW w:w="1276" w:type="dxa"/>
            <w:vAlign w:val="center"/>
          </w:tcPr>
          <w:p w14:paraId="23299EF2">
            <w:pPr>
              <w:pStyle w:val="19"/>
              <w:rPr>
                <w:rFonts w:hint="default" w:ascii="Times New Roman" w:hAnsi="Times New Roman" w:eastAsia="宋体" w:cs="Times New Roman"/>
                <w:color w:val="auto"/>
              </w:rPr>
            </w:pPr>
          </w:p>
        </w:tc>
        <w:tc>
          <w:tcPr>
            <w:tcW w:w="1213" w:type="dxa"/>
            <w:vAlign w:val="center"/>
          </w:tcPr>
          <w:p w14:paraId="42AC3D69">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27CA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6D88D05B">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36.柽柳沙鼠</w:t>
            </w:r>
          </w:p>
        </w:tc>
        <w:tc>
          <w:tcPr>
            <w:tcW w:w="3260" w:type="dxa"/>
            <w:vAlign w:val="center"/>
          </w:tcPr>
          <w:p w14:paraId="33624AAD">
            <w:pPr>
              <w:pStyle w:val="19"/>
              <w:rPr>
                <w:rFonts w:hint="default" w:ascii="Times New Roman" w:hAnsi="Times New Roman" w:eastAsia="宋体" w:cs="Times New Roman"/>
                <w:i/>
                <w:iCs/>
                <w:color w:val="auto"/>
              </w:rPr>
            </w:pPr>
            <w:r>
              <w:rPr>
                <w:rFonts w:hint="default" w:ascii="Times New Roman" w:hAnsi="Times New Roman" w:eastAsia="宋体" w:cs="Times New Roman"/>
                <w:i/>
                <w:iCs/>
                <w:color w:val="auto"/>
              </w:rPr>
              <w:t>M．tamariscinus</w:t>
            </w:r>
          </w:p>
        </w:tc>
        <w:tc>
          <w:tcPr>
            <w:tcW w:w="1276" w:type="dxa"/>
            <w:vAlign w:val="center"/>
          </w:tcPr>
          <w:p w14:paraId="35C6A486">
            <w:pPr>
              <w:pStyle w:val="19"/>
              <w:rPr>
                <w:rFonts w:hint="default" w:ascii="Times New Roman" w:hAnsi="Times New Roman" w:eastAsia="宋体" w:cs="Times New Roman"/>
                <w:color w:val="auto"/>
              </w:rPr>
            </w:pPr>
          </w:p>
        </w:tc>
        <w:tc>
          <w:tcPr>
            <w:tcW w:w="1213" w:type="dxa"/>
            <w:vAlign w:val="center"/>
          </w:tcPr>
          <w:p w14:paraId="52FD5B90">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0E9A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vAlign w:val="center"/>
          </w:tcPr>
          <w:p w14:paraId="732F616B">
            <w:pPr>
              <w:pStyle w:val="19"/>
              <w:jc w:val="both"/>
              <w:rPr>
                <w:rFonts w:hint="default" w:ascii="Times New Roman" w:hAnsi="Times New Roman" w:eastAsia="宋体" w:cs="Times New Roman"/>
                <w:color w:val="auto"/>
              </w:rPr>
            </w:pPr>
            <w:r>
              <w:rPr>
                <w:rFonts w:hint="default" w:ascii="Times New Roman" w:hAnsi="Times New Roman" w:eastAsia="宋体" w:cs="Times New Roman"/>
                <w:color w:val="auto"/>
              </w:rPr>
              <w:t>注：++多见，+少见，-偶见。</w:t>
            </w:r>
          </w:p>
        </w:tc>
      </w:tr>
    </w:tbl>
    <w:p w14:paraId="4D5F142E">
      <w:pPr>
        <w:pStyle w:val="43"/>
        <w:bidi w:val="0"/>
        <w:rPr>
          <w:rFonts w:hint="default"/>
          <w:color w:val="auto"/>
        </w:rPr>
      </w:pPr>
      <w:r>
        <w:rPr>
          <w:rFonts w:hint="default"/>
          <w:color w:val="auto"/>
        </w:rPr>
        <w:t>表</w:t>
      </w:r>
      <w:r>
        <w:rPr>
          <w:rFonts w:hint="eastAsia"/>
          <w:color w:val="auto"/>
          <w:lang w:val="en-US" w:eastAsia="zh-CN"/>
        </w:rPr>
        <w:t xml:space="preserve">4.2-22 </w:t>
      </w:r>
      <w:r>
        <w:rPr>
          <w:rFonts w:hint="default"/>
          <w:color w:val="auto"/>
        </w:rPr>
        <w:t xml:space="preserve"> 项目所在区域的重点保护动物</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09"/>
        <w:gridCol w:w="2835"/>
        <w:gridCol w:w="2976"/>
        <w:gridCol w:w="930"/>
      </w:tblGrid>
      <w:tr w14:paraId="1B9C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gridSpan w:val="2"/>
            <w:vAlign w:val="center"/>
          </w:tcPr>
          <w:p w14:paraId="34C2E1C3">
            <w:pPr>
              <w:pStyle w:val="1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保护级别</w:t>
            </w:r>
          </w:p>
        </w:tc>
        <w:tc>
          <w:tcPr>
            <w:tcW w:w="2835" w:type="dxa"/>
            <w:vAlign w:val="center"/>
          </w:tcPr>
          <w:p w14:paraId="2A01D298">
            <w:pPr>
              <w:pStyle w:val="1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哺乳类</w:t>
            </w:r>
          </w:p>
        </w:tc>
        <w:tc>
          <w:tcPr>
            <w:tcW w:w="2976" w:type="dxa"/>
            <w:vAlign w:val="center"/>
          </w:tcPr>
          <w:p w14:paraId="7C88DD6A">
            <w:pPr>
              <w:pStyle w:val="1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鸟类</w:t>
            </w:r>
          </w:p>
        </w:tc>
        <w:tc>
          <w:tcPr>
            <w:tcW w:w="930" w:type="dxa"/>
            <w:vAlign w:val="center"/>
          </w:tcPr>
          <w:p w14:paraId="580A3BB4">
            <w:pPr>
              <w:pStyle w:val="1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爬行类</w:t>
            </w:r>
          </w:p>
        </w:tc>
      </w:tr>
      <w:tr w14:paraId="10D4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46" w:type="dxa"/>
            <w:vMerge w:val="restart"/>
            <w:vAlign w:val="center"/>
          </w:tcPr>
          <w:p w14:paraId="78608DF5">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国家级</w:t>
            </w:r>
          </w:p>
        </w:tc>
        <w:tc>
          <w:tcPr>
            <w:tcW w:w="709" w:type="dxa"/>
            <w:vAlign w:val="center"/>
          </w:tcPr>
          <w:p w14:paraId="51AB572F">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一级</w:t>
            </w:r>
          </w:p>
        </w:tc>
        <w:tc>
          <w:tcPr>
            <w:tcW w:w="2835" w:type="dxa"/>
            <w:vAlign w:val="center"/>
          </w:tcPr>
          <w:p w14:paraId="708A6279">
            <w:pPr>
              <w:pStyle w:val="1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2976" w:type="dxa"/>
            <w:vAlign w:val="center"/>
          </w:tcPr>
          <w:p w14:paraId="27ECD802">
            <w:pPr>
              <w:pStyle w:val="1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930" w:type="dxa"/>
            <w:vAlign w:val="center"/>
          </w:tcPr>
          <w:p w14:paraId="7F45496C">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4AD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6B2049AC">
            <w:pPr>
              <w:pStyle w:val="19"/>
              <w:rPr>
                <w:rFonts w:hint="default" w:ascii="Times New Roman" w:hAnsi="Times New Roman" w:eastAsia="宋体" w:cs="Times New Roman"/>
                <w:color w:val="auto"/>
              </w:rPr>
            </w:pPr>
          </w:p>
        </w:tc>
        <w:tc>
          <w:tcPr>
            <w:tcW w:w="709" w:type="dxa"/>
            <w:vAlign w:val="center"/>
          </w:tcPr>
          <w:p w14:paraId="342BC2A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二级</w:t>
            </w:r>
          </w:p>
        </w:tc>
        <w:tc>
          <w:tcPr>
            <w:tcW w:w="2835" w:type="dxa"/>
            <w:vAlign w:val="center"/>
          </w:tcPr>
          <w:p w14:paraId="1CF43EB5">
            <w:pPr>
              <w:pStyle w:val="1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狼、沙狐、赤狐、鹅喉羚、草原斑猫、</w:t>
            </w:r>
            <w:r>
              <w:rPr>
                <w:rFonts w:hint="default" w:ascii="Times New Roman" w:hAnsi="Times New Roman" w:eastAsia="宋体" w:cs="Times New Roman"/>
                <w:color w:val="auto"/>
                <w:sz w:val="21"/>
                <w:szCs w:val="21"/>
              </w:rPr>
              <w:t>兔狲</w:t>
            </w:r>
          </w:p>
        </w:tc>
        <w:tc>
          <w:tcPr>
            <w:tcW w:w="2976" w:type="dxa"/>
            <w:vAlign w:val="center"/>
          </w:tcPr>
          <w:p w14:paraId="3247BF73">
            <w:pPr>
              <w:pStyle w:val="1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云雀、红隼、</w:t>
            </w:r>
            <w:r>
              <w:rPr>
                <w:rFonts w:hint="default" w:ascii="Times New Roman" w:hAnsi="Times New Roman" w:eastAsia="宋体" w:cs="Times New Roman"/>
                <w:color w:val="auto"/>
                <w:sz w:val="21"/>
                <w:szCs w:val="21"/>
              </w:rPr>
              <w:t>黑腹沙鸡</w:t>
            </w:r>
            <w:r>
              <w:rPr>
                <w:rFonts w:hint="default" w:ascii="Times New Roman" w:hAnsi="Times New Roman" w:eastAsia="宋体" w:cs="Times New Roman"/>
                <w:color w:val="auto"/>
                <w:lang w:val="en-US" w:eastAsia="zh-CN"/>
              </w:rPr>
              <w:t>、棕尾鵟</w:t>
            </w:r>
          </w:p>
        </w:tc>
        <w:tc>
          <w:tcPr>
            <w:tcW w:w="930" w:type="dxa"/>
            <w:vAlign w:val="center"/>
          </w:tcPr>
          <w:p w14:paraId="6190E615">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5FB7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14:paraId="183CF250">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自治区</w:t>
            </w:r>
          </w:p>
        </w:tc>
        <w:tc>
          <w:tcPr>
            <w:tcW w:w="709" w:type="dxa"/>
            <w:vAlign w:val="center"/>
          </w:tcPr>
          <w:p w14:paraId="6523BA56">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一级</w:t>
            </w:r>
          </w:p>
        </w:tc>
        <w:tc>
          <w:tcPr>
            <w:tcW w:w="2835" w:type="dxa"/>
            <w:vAlign w:val="center"/>
          </w:tcPr>
          <w:p w14:paraId="1E9C836B">
            <w:pPr>
              <w:pStyle w:val="19"/>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虎鼬</w:t>
            </w:r>
          </w:p>
        </w:tc>
        <w:tc>
          <w:tcPr>
            <w:tcW w:w="2976" w:type="dxa"/>
            <w:vAlign w:val="center"/>
          </w:tcPr>
          <w:p w14:paraId="6EF52447">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30" w:type="dxa"/>
            <w:vAlign w:val="center"/>
          </w:tcPr>
          <w:p w14:paraId="45567FFC">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956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41D711B3">
            <w:pPr>
              <w:pStyle w:val="19"/>
              <w:rPr>
                <w:rFonts w:hint="default" w:ascii="Times New Roman" w:hAnsi="Times New Roman" w:eastAsia="宋体" w:cs="Times New Roman"/>
                <w:color w:val="auto"/>
              </w:rPr>
            </w:pPr>
          </w:p>
        </w:tc>
        <w:tc>
          <w:tcPr>
            <w:tcW w:w="709" w:type="dxa"/>
            <w:vAlign w:val="center"/>
          </w:tcPr>
          <w:p w14:paraId="635DE669">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二级</w:t>
            </w:r>
          </w:p>
        </w:tc>
        <w:tc>
          <w:tcPr>
            <w:tcW w:w="2835" w:type="dxa"/>
            <w:vAlign w:val="center"/>
          </w:tcPr>
          <w:p w14:paraId="7748F7FB">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2976" w:type="dxa"/>
            <w:vAlign w:val="center"/>
          </w:tcPr>
          <w:p w14:paraId="056591C3">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30" w:type="dxa"/>
            <w:vAlign w:val="center"/>
          </w:tcPr>
          <w:p w14:paraId="579573E8">
            <w:pPr>
              <w:pStyle w:val="19"/>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bl>
    <w:p w14:paraId="1CD8D96C">
      <w:pPr>
        <w:pStyle w:val="33"/>
        <w:bidi w:val="0"/>
        <w:rPr>
          <w:rFonts w:hint="eastAsia"/>
          <w:color w:val="auto"/>
        </w:rPr>
      </w:pPr>
      <w:r>
        <w:rPr>
          <w:color w:val="auto"/>
        </w:rPr>
        <w:t>由于准噶尔盆地严酷的气候条件，夏季酷热，冬季严寒而且极为干旱，所以野生动物种类分布较少，</w:t>
      </w:r>
      <w:r>
        <w:rPr>
          <w:rFonts w:hint="eastAsia"/>
          <w:color w:val="auto"/>
        </w:rPr>
        <w:t>本次现场调查和走访中，未发现大型野生动物和受保护野生动物。</w:t>
      </w:r>
    </w:p>
    <w:p w14:paraId="496881BE">
      <w:pPr>
        <w:pStyle w:val="6"/>
        <w:bidi w:val="0"/>
        <w:rPr>
          <w:rFonts w:hint="default"/>
          <w:color w:val="auto"/>
          <w:lang w:val="en-US" w:eastAsia="zh-CN"/>
        </w:rPr>
      </w:pPr>
      <w:r>
        <w:rPr>
          <w:rFonts w:hint="eastAsia"/>
          <w:color w:val="auto"/>
          <w:lang w:val="en-US" w:eastAsia="zh-CN"/>
        </w:rPr>
        <w:t>4.2.6.8土壤类型调查</w:t>
      </w:r>
    </w:p>
    <w:p w14:paraId="75E9B1C5">
      <w:pPr>
        <w:pStyle w:val="33"/>
        <w:bidi w:val="0"/>
        <w:rPr>
          <w:rFonts w:hint="default"/>
          <w:color w:val="auto"/>
        </w:rPr>
      </w:pPr>
      <w:r>
        <w:rPr>
          <w:rFonts w:hint="default"/>
          <w:color w:val="auto"/>
        </w:rPr>
        <w:t>评价区土壤类型主要为灰漠土，本</w:t>
      </w:r>
      <w:r>
        <w:rPr>
          <w:rFonts w:hint="eastAsia"/>
          <w:color w:val="auto"/>
          <w:lang w:val="en-US" w:eastAsia="zh-CN"/>
        </w:rPr>
        <w:t>工程</w:t>
      </w:r>
      <w:r>
        <w:rPr>
          <w:rFonts w:hint="default"/>
          <w:color w:val="auto"/>
        </w:rPr>
        <w:t>区块土壤占地类型</w:t>
      </w:r>
      <w:r>
        <w:rPr>
          <w:rFonts w:hint="eastAsia"/>
          <w:color w:val="auto"/>
          <w:lang w:val="en-US" w:eastAsia="zh-CN"/>
        </w:rPr>
        <w:t>有石膏</w:t>
      </w:r>
      <w:r>
        <w:rPr>
          <w:rFonts w:hint="default"/>
          <w:color w:val="auto"/>
        </w:rPr>
        <w:t>灰漠土</w:t>
      </w:r>
      <w:r>
        <w:rPr>
          <w:rFonts w:hint="eastAsia"/>
          <w:color w:val="auto"/>
          <w:lang w:val="en-US" w:eastAsia="zh-CN"/>
        </w:rPr>
        <w:t>和荒漠风沙土、盐化草甸土</w:t>
      </w:r>
      <w:r>
        <w:rPr>
          <w:rFonts w:hint="default"/>
          <w:color w:val="auto"/>
        </w:rPr>
        <w:t>。区域土壤类型图详见图</w:t>
      </w:r>
      <w:r>
        <w:rPr>
          <w:rFonts w:hint="eastAsia"/>
          <w:color w:val="auto"/>
          <w:lang w:val="en-US" w:eastAsia="zh-CN"/>
        </w:rPr>
        <w:t>15</w:t>
      </w:r>
      <w:r>
        <w:rPr>
          <w:rFonts w:hint="default"/>
          <w:color w:val="auto"/>
        </w:rPr>
        <w:t>。</w:t>
      </w:r>
    </w:p>
    <w:p w14:paraId="191E4B60">
      <w:pPr>
        <w:pStyle w:val="33"/>
        <w:bidi w:val="0"/>
        <w:rPr>
          <w:rFonts w:hint="default"/>
          <w:color w:val="auto"/>
        </w:rPr>
      </w:pPr>
      <w:r>
        <w:rPr>
          <w:rFonts w:hint="default"/>
          <w:color w:val="auto"/>
        </w:rPr>
        <w:t>灰漠土是新疆北部地区温带荒漠的地带性土壤，也是项目所在区域的主要土壤类型之一。灰漠土是在北疆温带地区干旱荒漠气候条件和粗骨质（砾质—砂质）成土母质上形成的，它的形成和分布与大风的作用密切相关。灰漠土分布区的平均风速多在4m/s～6m/s，最大风速可达20m/s～50m/s，平均大风日数多在70d～160d。在大风的作用下，地表细颗粒物质被强大的风力搬运殆尽，留存的砾石和砂粒在风和短暂暴雨的作用下，互相镶嵌形成部分较密实的砾幕，也就是黑褐色</w:t>
      </w:r>
      <w:r>
        <w:rPr>
          <w:rFonts w:hint="eastAsia" w:ascii="宋体" w:hAnsi="宋体" w:eastAsia="宋体" w:cs="宋体"/>
          <w:color w:val="auto"/>
        </w:rPr>
        <w:t>的“荒漠漆皮”</w:t>
      </w:r>
      <w:r>
        <w:rPr>
          <w:rFonts w:hint="default"/>
          <w:color w:val="auto"/>
        </w:rPr>
        <w:t>。因而其生产性能较差，植物生长极少，部分区域甚至为不毛之地。在灰漠土的形成过程中，砾质化作用起了主导性的作用，砾质化过程是土壤矿物质的弱风化作用与大风吹蚀作用相互结合的过程。在干旱气候条件下，成土母质的细土物质特别是粉粒和粘粒含量本来就不高，在不断遭受大风吹蚀后，致使砾石和砂粒在土壤表层的比重越来越大，粗骨性越来越强，当地表细颗粒被强大的风力搬运殆尽时，大小砾石和砂粒在风力和短暂暴雨作用下互相镶嵌形成部分较密实的砾幕。在灰棕漠的形成过程中，生物累积作用很小，土壤表层的有机质含量仅为3g/kg～5g/kg，在剖面中无明显聚积层。</w:t>
      </w:r>
    </w:p>
    <w:p w14:paraId="72BC73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Arial" w:hAnsi="Arial" w:eastAsia="宋体" w:cs="Arial"/>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4"/>
          <w:szCs w:val="24"/>
          <w:shd w:val="clear" w:fill="FFFFFF"/>
        </w:rPr>
        <w:t>风沙土剖面无明显的腐殖质层和淋溶淀积层，一般由薄而淡的腐殖质层和深厚的母质层组成，剖面构型为A-C或C型。流动阶段土壤剖面分异不明显，呈灰黄色或淡黄色，单粒状结构。固定和半固定阶段的土壤剖面层次有微弱的分化，腐殖质层（A）厚10到30厘米，地表有厚0-1毫米的褐色结皮层，棕色或灰棕色，弱块状结构。母质层（C）深厚，黄色。淡黄色或灰白色，单粒状结构。通体壤质砂土，无石灰反应</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通体为壤质砂土（砂土），色调较浅，单粒状或弱块状结构，碳酸钙含量较高，交换量低，土壤呈碱性，养分含量甚低</w:t>
      </w:r>
      <w:r>
        <w:rPr>
          <w:rFonts w:ascii="Arial" w:hAnsi="Arial" w:eastAsia="宋体" w:cs="Arial"/>
          <w:i w:val="0"/>
          <w:iCs w:val="0"/>
          <w:caps w:val="0"/>
          <w:color w:val="auto"/>
          <w:spacing w:val="0"/>
          <w:sz w:val="21"/>
          <w:szCs w:val="21"/>
          <w:shd w:val="clear" w:fill="FFFFFF"/>
        </w:rPr>
        <w:t>。</w:t>
      </w:r>
    </w:p>
    <w:p w14:paraId="402F73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i w:val="0"/>
          <w:iCs w:val="0"/>
          <w:caps w:val="0"/>
          <w:color w:val="auto"/>
          <w:spacing w:val="0"/>
          <w:sz w:val="24"/>
          <w:szCs w:val="24"/>
          <w:shd w:val="clear" w:fill="FFFFFF"/>
        </w:rPr>
        <w:t>盐化草甸土的剖面形态特征主要是灰白色的盐结皮。这种土壤类型的特点是土壤中积累了过多的可溶性盐类，导致对植物和土壤生态系统造成伤害。盐结皮的存在是盐化土壤的一个显著标志，它通常出现在地表，反映了土壤表层盐分的聚集。</w:t>
      </w:r>
    </w:p>
    <w:p w14:paraId="5797454F">
      <w:pPr>
        <w:pStyle w:val="6"/>
        <w:bidi w:val="0"/>
        <w:rPr>
          <w:rFonts w:hint="default"/>
          <w:color w:val="auto"/>
          <w:lang w:val="en-US" w:eastAsia="zh-CN"/>
        </w:rPr>
      </w:pPr>
      <w:r>
        <w:rPr>
          <w:rFonts w:hint="eastAsia"/>
          <w:color w:val="auto"/>
          <w:lang w:val="en-US" w:eastAsia="zh-CN"/>
        </w:rPr>
        <w:t>4.2.6.9生态敏感区调查</w:t>
      </w:r>
    </w:p>
    <w:p w14:paraId="24D764D4">
      <w:pPr>
        <w:pStyle w:val="11"/>
        <w:bidi w:val="0"/>
        <w:rPr>
          <w:rFonts w:hint="eastAsia" w:ascii="Times New Roman" w:hAnsi="Times New Roman" w:eastAsia="宋体"/>
          <w:color w:val="auto"/>
        </w:rPr>
      </w:pPr>
      <w:r>
        <w:rPr>
          <w:rFonts w:hint="eastAsia" w:ascii="Times New Roman" w:hAnsi="Times New Roman" w:eastAsia="宋体"/>
          <w:color w:val="auto"/>
        </w:rPr>
        <w:t>根据现场实地调查及资料收集，本调查区及油田开发区范围内不涉及自然保护区、世界文化和自然遗产地等特殊生态敏感区；不涉及森林公园、地质公园、珍稀濒危野生动植物天然集中分布区、重要水生生物的自然产卵场及索饵场、越冬场和洄游通道、天然渔场、重要湿地等重要生态敏感区。</w:t>
      </w:r>
    </w:p>
    <w:p w14:paraId="5EAB79F7">
      <w:pPr>
        <w:pStyle w:val="2"/>
        <w:bidi w:val="0"/>
        <w:rPr>
          <w:rFonts w:hint="default"/>
          <w:color w:val="auto"/>
          <w:lang w:val="en-US" w:eastAsia="zh-CN"/>
        </w:rPr>
      </w:pPr>
      <w:bookmarkStart w:id="233" w:name="_Toc21840"/>
      <w:r>
        <w:rPr>
          <w:rFonts w:hint="eastAsia"/>
          <w:color w:val="auto"/>
          <w:lang w:val="en-US" w:eastAsia="zh-CN"/>
        </w:rPr>
        <w:t>4.3环境保护目标调查</w:t>
      </w:r>
      <w:bookmarkEnd w:id="233"/>
    </w:p>
    <w:p w14:paraId="56B909FB">
      <w:pPr>
        <w:spacing w:line="360" w:lineRule="auto"/>
        <w:ind w:firstLine="480" w:firstLineChars="200"/>
        <w:rPr>
          <w:color w:val="auto"/>
        </w:rPr>
      </w:pPr>
      <w:r>
        <w:rPr>
          <w:rFonts w:hint="eastAsia" w:ascii="Times New Roman" w:hAnsi="Times New Roman"/>
          <w:color w:val="auto"/>
          <w:sz w:val="24"/>
          <w:szCs w:val="20"/>
        </w:rPr>
        <w:t>（1）</w:t>
      </w:r>
      <w:r>
        <w:rPr>
          <w:rFonts w:hint="eastAsia" w:ascii="Times New Roman" w:hAnsi="Times New Roman"/>
          <w:color w:val="auto"/>
          <w:sz w:val="24"/>
          <w:szCs w:val="20"/>
          <w:lang w:val="en-US" w:eastAsia="zh-CN"/>
        </w:rPr>
        <w:t>新疆</w:t>
      </w:r>
      <w:r>
        <w:rPr>
          <w:rFonts w:hint="eastAsia" w:ascii="Times New Roman" w:hAnsi="Times New Roman"/>
          <w:color w:val="auto"/>
          <w:sz w:val="24"/>
          <w:szCs w:val="20"/>
        </w:rPr>
        <w:t>和布克赛尔江格尔国家沙漠公园</w:t>
      </w:r>
    </w:p>
    <w:p w14:paraId="47EE28D7">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heme="minorBidi"/>
          <w:color w:val="auto"/>
          <w:kern w:val="2"/>
          <w:sz w:val="24"/>
          <w:szCs w:val="24"/>
          <w:lang w:val="en-US" w:eastAsia="zh-CN" w:bidi="ar-SA"/>
        </w:rPr>
      </w:pPr>
      <w:r>
        <w:rPr>
          <w:rFonts w:hint="eastAsia"/>
          <w:color w:val="auto"/>
          <w:szCs w:val="24"/>
        </w:rPr>
        <w:t>新疆和布克赛尔江格尔国家沙漠公园位于准噶尔盆地克拉玛依市乌尔禾区与</w:t>
      </w:r>
      <w:r>
        <w:rPr>
          <w:rFonts w:hint="eastAsia"/>
          <w:color w:val="auto"/>
          <w:szCs w:val="24"/>
          <w:lang w:eastAsia="zh-CN"/>
        </w:rPr>
        <w:t>和布克赛尔蒙古自治县</w:t>
      </w:r>
      <w:r>
        <w:rPr>
          <w:rFonts w:hint="eastAsia"/>
          <w:color w:val="auto"/>
          <w:szCs w:val="24"/>
        </w:rPr>
        <w:t>交界处，属于干旱沙区、古尔班通古特沙漠亚区，规划面积150km</w:t>
      </w:r>
      <w:r>
        <w:rPr>
          <w:color w:val="auto"/>
          <w:szCs w:val="24"/>
          <w:vertAlign w:val="superscript"/>
        </w:rPr>
        <w:t>2</w:t>
      </w:r>
      <w:r>
        <w:rPr>
          <w:rFonts w:hint="eastAsia"/>
          <w:color w:val="auto"/>
          <w:szCs w:val="24"/>
        </w:rPr>
        <w:t>，有典型风蚀景观，其隶属的古尔班通古特沙漠为我国第二大沙漠，是我国最大的固定、半固定沙漠</w:t>
      </w:r>
      <w:r>
        <w:rPr>
          <w:rFonts w:hint="eastAsia"/>
          <w:color w:val="auto"/>
          <w:szCs w:val="24"/>
          <w:lang w:eastAsia="zh-CN"/>
        </w:rPr>
        <w:t>，</w:t>
      </w:r>
      <w:r>
        <w:rPr>
          <w:color w:val="auto"/>
        </w:rPr>
        <w:t>保护沙漠景观使其不受影响和破坏</w:t>
      </w:r>
      <w:r>
        <w:rPr>
          <w:rFonts w:hint="eastAsia"/>
          <w:color w:val="auto"/>
          <w:lang w:eastAsia="zh-CN"/>
        </w:rPr>
        <w:t>。</w:t>
      </w:r>
      <w:r>
        <w:rPr>
          <w:rFonts w:hint="eastAsia"/>
          <w:color w:val="auto"/>
          <w:lang w:val="en-US" w:eastAsia="zh-CN"/>
        </w:rPr>
        <w:t>本工程赛探1管线东北侧最近距离约1.42km。</w:t>
      </w:r>
    </w:p>
    <w:p w14:paraId="79B7E36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和布克赛尔蒙古自治县水土流失重点治理区</w:t>
      </w:r>
    </w:p>
    <w:p w14:paraId="31DBEB06">
      <w:pPr>
        <w:pStyle w:val="11"/>
        <w:keepNext w:val="0"/>
        <w:keepLines w:val="0"/>
        <w:pageBreakBefore w:val="0"/>
        <w:widowControl/>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根据《塔城地区和布克赛尔蒙古自治县水土保持规划报告（2018-2030年）》，项目区水土保持区</w:t>
      </w:r>
      <w:r>
        <w:rPr>
          <w:rFonts w:hint="default" w:ascii="Times New Roman" w:hAnsi="Times New Roman" w:cs="Times New Roman"/>
          <w:color w:val="auto"/>
          <w:lang w:val="en-US" w:eastAsia="zh-CN"/>
        </w:rPr>
        <w:t>划属于北方风沙区（新甘蒙高原盆地区）Ⅱ—北疆山地盆地区（Ⅱ-3）—准噶尔盆地北部水源涵养生态维护区（Ⅱ-3-1hw）—荒漠平原风力侵蚀预防保护区—3-1盐湖风力侵蚀保护预</w:t>
      </w:r>
      <w:r>
        <w:rPr>
          <w:rFonts w:hint="eastAsia"/>
          <w:color w:val="auto"/>
          <w:lang w:val="en-US" w:eastAsia="zh-CN"/>
        </w:rPr>
        <w:t>防区。该区靠近克拉玛依地区，属于限制开发区，应以生态保育为导向，重点加强梭梭林地的保护，避免梭梭林大面积退化或死亡。</w:t>
      </w:r>
    </w:p>
    <w:p w14:paraId="40812C0A">
      <w:pPr>
        <w:pStyle w:val="11"/>
        <w:keepNext w:val="0"/>
        <w:keepLines w:val="0"/>
        <w:pageBreakBefore w:val="0"/>
        <w:widowControl/>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本工程为陆地石油开采行业，属于重要行业水土保持综合治理工程，建设单位应按照《中华人民共和国水土保持法》《生产建设项目水土保持方案管理办法》《生产建设项目水土流失防治标准》（GB/T50434-2018）等相关要求编制水土保持方案，执行一级标准。工程主体设计中应进一步优化施工工艺，加强防治措施以减小因工程建设带来的不利影响，从而减少水土流失。采取上述措施后，项目的建设符合《塔城地区和布克赛尔蒙古自治县水土保持规划报告（2018-2030年）》相关要求。</w:t>
      </w:r>
    </w:p>
    <w:p w14:paraId="41A0D04E">
      <w:pPr>
        <w:pStyle w:val="2"/>
        <w:bidi w:val="0"/>
        <w:rPr>
          <w:rFonts w:hint="default"/>
          <w:color w:val="auto"/>
          <w:lang w:val="en-US" w:eastAsia="zh-CN"/>
        </w:rPr>
      </w:pPr>
      <w:bookmarkStart w:id="234" w:name="_Toc899"/>
      <w:bookmarkStart w:id="235" w:name="_Toc26558"/>
      <w:bookmarkStart w:id="236" w:name="_Toc4959"/>
      <w:bookmarkStart w:id="237" w:name="_Toc19537"/>
      <w:bookmarkStart w:id="238" w:name="_Toc13587"/>
      <w:r>
        <w:rPr>
          <w:rFonts w:hint="eastAsia"/>
          <w:color w:val="auto"/>
          <w:lang w:val="en-US" w:eastAsia="zh-CN"/>
        </w:rPr>
        <w:t>4.4区域污染源调查</w:t>
      </w:r>
      <w:bookmarkEnd w:id="234"/>
      <w:bookmarkEnd w:id="235"/>
      <w:bookmarkEnd w:id="236"/>
      <w:bookmarkEnd w:id="237"/>
      <w:bookmarkEnd w:id="238"/>
    </w:p>
    <w:p w14:paraId="7096C46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项目所在区域主要为油田开采，区域的污染源主要为油田开采相关的生产设施，污染源的排放情况见现有工程污染物排放情况分析章节。</w:t>
      </w:r>
    </w:p>
    <w:p w14:paraId="097E6473">
      <w:pPr>
        <w:pStyle w:val="11"/>
        <w:bidi w:val="0"/>
        <w:rPr>
          <w:rFonts w:ascii="Times New Roman" w:hAnsi="Times New Roman" w:eastAsia="宋体"/>
          <w:color w:val="auto"/>
        </w:rPr>
      </w:pPr>
    </w:p>
    <w:p w14:paraId="7577261F">
      <w:pPr>
        <w:pStyle w:val="11"/>
        <w:bidi w:val="0"/>
        <w:rPr>
          <w:rFonts w:ascii="Times New Roman" w:hAnsi="Times New Roman" w:eastAsia="宋体"/>
          <w:color w:val="auto"/>
        </w:rPr>
      </w:pPr>
    </w:p>
    <w:p w14:paraId="31DB8DF2">
      <w:pPr>
        <w:pStyle w:val="11"/>
        <w:bidi w:val="0"/>
        <w:rPr>
          <w:color w:val="auto"/>
        </w:rPr>
      </w:pPr>
    </w:p>
    <w:p w14:paraId="16E08E93">
      <w:pPr>
        <w:rPr>
          <w:color w:val="auto"/>
        </w:rPr>
      </w:pPr>
      <w:r>
        <w:rPr>
          <w:color w:val="auto"/>
        </w:rPr>
        <w:br w:type="page"/>
      </w:r>
    </w:p>
    <w:p w14:paraId="0B1ED418">
      <w:pPr>
        <w:pStyle w:val="3"/>
        <w:bidi w:val="0"/>
        <w:rPr>
          <w:rFonts w:hint="default"/>
          <w:color w:val="auto"/>
          <w:lang w:val="en-US" w:eastAsia="zh-CN"/>
        </w:rPr>
      </w:pPr>
      <w:bookmarkStart w:id="239" w:name="_Toc32740"/>
      <w:bookmarkStart w:id="240" w:name="_Toc19863"/>
      <w:bookmarkStart w:id="241" w:name="_Toc32563"/>
      <w:r>
        <w:rPr>
          <w:rFonts w:hint="eastAsia"/>
          <w:color w:val="auto"/>
          <w:lang w:val="en-US" w:eastAsia="zh-CN"/>
        </w:rPr>
        <w:t>5环境影响预测与评价</w:t>
      </w:r>
      <w:bookmarkEnd w:id="239"/>
      <w:bookmarkEnd w:id="240"/>
      <w:bookmarkEnd w:id="241"/>
    </w:p>
    <w:p w14:paraId="1DB8D381">
      <w:pPr>
        <w:pStyle w:val="2"/>
        <w:bidi w:val="0"/>
        <w:rPr>
          <w:rFonts w:hint="default"/>
          <w:color w:val="auto"/>
          <w:lang w:val="en-US" w:eastAsia="zh-CN"/>
        </w:rPr>
      </w:pPr>
      <w:bookmarkStart w:id="242" w:name="_Toc8898"/>
      <w:bookmarkStart w:id="243" w:name="_Toc13676"/>
      <w:bookmarkStart w:id="244" w:name="_Toc5633"/>
      <w:bookmarkStart w:id="245" w:name="_Toc30419"/>
      <w:bookmarkStart w:id="246" w:name="_Toc6936"/>
      <w:r>
        <w:rPr>
          <w:rFonts w:hint="eastAsia"/>
          <w:color w:val="auto"/>
          <w:lang w:val="en-US" w:eastAsia="zh-CN"/>
        </w:rPr>
        <w:t>5.1施工期环境影响预测与评价</w:t>
      </w:r>
      <w:bookmarkEnd w:id="242"/>
      <w:bookmarkEnd w:id="243"/>
      <w:bookmarkEnd w:id="244"/>
      <w:bookmarkEnd w:id="245"/>
      <w:bookmarkEnd w:id="246"/>
    </w:p>
    <w:p w14:paraId="4374F8C9">
      <w:pPr>
        <w:pStyle w:val="5"/>
        <w:bidi w:val="0"/>
        <w:rPr>
          <w:rFonts w:hint="default"/>
          <w:color w:val="auto"/>
          <w:lang w:val="en-US" w:eastAsia="zh-CN"/>
        </w:rPr>
      </w:pPr>
      <w:bookmarkStart w:id="247" w:name="_Toc23939"/>
      <w:bookmarkStart w:id="248" w:name="_Toc14371"/>
      <w:r>
        <w:rPr>
          <w:rFonts w:hint="eastAsia"/>
          <w:color w:val="auto"/>
          <w:lang w:val="en-US" w:eastAsia="zh-CN"/>
        </w:rPr>
        <w:t>5.1.1施工期大气环境影响分析</w:t>
      </w:r>
      <w:bookmarkEnd w:id="247"/>
      <w:bookmarkEnd w:id="248"/>
    </w:p>
    <w:p w14:paraId="1F99EE6E">
      <w:pPr>
        <w:pStyle w:val="6"/>
        <w:bidi w:val="0"/>
        <w:rPr>
          <w:rFonts w:hint="default"/>
          <w:color w:val="auto"/>
          <w:lang w:val="en-US" w:eastAsia="zh-CN"/>
        </w:rPr>
      </w:pPr>
      <w:r>
        <w:rPr>
          <w:rFonts w:hint="eastAsia"/>
          <w:color w:val="auto"/>
          <w:lang w:val="en-US" w:eastAsia="zh-CN"/>
        </w:rPr>
        <w:t>5.1.1.1施工扬尘影响</w:t>
      </w:r>
    </w:p>
    <w:p w14:paraId="2C6E20D5">
      <w:pPr>
        <w:pStyle w:val="33"/>
        <w:bidi w:val="0"/>
        <w:rPr>
          <w:color w:val="auto"/>
        </w:rPr>
      </w:pPr>
      <w:r>
        <w:rPr>
          <w:color w:val="auto"/>
        </w:rPr>
        <w:t>项目施工期管沟、基坑开挖及基础处理、施工设备的装卸等，都会形成施工扬尘。</w:t>
      </w:r>
    </w:p>
    <w:p w14:paraId="0017153F">
      <w:pPr>
        <w:pStyle w:val="33"/>
        <w:bidi w:val="0"/>
        <w:rPr>
          <w:color w:val="auto"/>
        </w:rPr>
      </w:pPr>
      <w:r>
        <w:rPr>
          <w:color w:val="auto"/>
        </w:rPr>
        <w:t>（1）裸露地面扬尘</w:t>
      </w:r>
    </w:p>
    <w:p w14:paraId="3CDB6740">
      <w:pPr>
        <w:pStyle w:val="33"/>
        <w:bidi w:val="0"/>
        <w:rPr>
          <w:color w:val="auto"/>
        </w:rPr>
      </w:pPr>
      <w:r>
        <w:rPr>
          <w:color w:val="auto"/>
        </w:rPr>
        <w:t>施工期必然会形成一定量的裸露地面，在不利气候如大风（风速≥6m/s）条件下，扬尘会从地表进入空气。通过遮盖篷布，避免大风天作业，可以减少扬尘产生，有效降低施工期大气环境影响。</w:t>
      </w:r>
    </w:p>
    <w:p w14:paraId="2D007790">
      <w:pPr>
        <w:pStyle w:val="33"/>
        <w:bidi w:val="0"/>
        <w:rPr>
          <w:color w:val="auto"/>
        </w:rPr>
      </w:pPr>
      <w:r>
        <w:rPr>
          <w:color w:val="auto"/>
        </w:rPr>
        <w:t>（2）粗放施工形成的扬尘</w:t>
      </w:r>
    </w:p>
    <w:p w14:paraId="5A657821">
      <w:pPr>
        <w:pStyle w:val="33"/>
        <w:bidi w:val="0"/>
        <w:rPr>
          <w:color w:val="auto"/>
        </w:rPr>
      </w:pPr>
      <w:r>
        <w:rPr>
          <w:color w:val="auto"/>
        </w:rPr>
        <w:t>施工场地堆料及运输抛洒等产生的扬尘在施工高峰期会不断增多。在施工过程中，及时清理和覆盖建筑垃圾，清扫现场，冲洗出入场地的机动车等，可以降低施工扬尘的产生。</w:t>
      </w:r>
    </w:p>
    <w:p w14:paraId="49992027">
      <w:pPr>
        <w:pStyle w:val="33"/>
        <w:bidi w:val="0"/>
        <w:rPr>
          <w:color w:val="auto"/>
        </w:rPr>
      </w:pPr>
      <w:r>
        <w:rPr>
          <w:color w:val="auto"/>
        </w:rPr>
        <w:t>（3）道路扬尘</w:t>
      </w:r>
    </w:p>
    <w:p w14:paraId="57F7C21A">
      <w:pPr>
        <w:pStyle w:val="33"/>
        <w:bidi w:val="0"/>
        <w:rPr>
          <w:color w:val="auto"/>
        </w:rPr>
      </w:pPr>
      <w:r>
        <w:rPr>
          <w:color w:val="auto"/>
        </w:rPr>
        <w:t>交通运输过程中洒落于道路上的沙、土、灰、渣、建筑垃圾以及沉积在道路上的其它排放源排放的颗粒物，经来往的车辆</w:t>
      </w:r>
      <w:r>
        <w:rPr>
          <w:rFonts w:hint="eastAsia"/>
          <w:color w:val="auto"/>
          <w:lang w:eastAsia="zh-CN"/>
        </w:rPr>
        <w:t>碾压</w:t>
      </w:r>
      <w:r>
        <w:rPr>
          <w:color w:val="auto"/>
        </w:rPr>
        <w:t>后形成粒径较小的颗粒物进入空气，形成道路扬尘。</w:t>
      </w:r>
    </w:p>
    <w:p w14:paraId="597F604D">
      <w:pPr>
        <w:pStyle w:val="33"/>
        <w:bidi w:val="0"/>
        <w:rPr>
          <w:color w:val="auto"/>
        </w:rPr>
      </w:pPr>
      <w:r>
        <w:rPr>
          <w:color w:val="auto"/>
        </w:rPr>
        <w:t>经类比有关项目建设期的环境空气监测资料，施工场地扬尘影响范围基本在下风向100～150m，中心处浓度为5～10mg/m</w:t>
      </w:r>
      <w:r>
        <w:rPr>
          <w:color w:val="auto"/>
          <w:vertAlign w:val="superscript"/>
        </w:rPr>
        <w:t>3</w:t>
      </w:r>
      <w:r>
        <w:rPr>
          <w:color w:val="auto"/>
        </w:rPr>
        <w:t>。</w:t>
      </w:r>
    </w:p>
    <w:p w14:paraId="5F475046">
      <w:pPr>
        <w:pStyle w:val="33"/>
        <w:bidi w:val="0"/>
        <w:rPr>
          <w:color w:val="auto"/>
        </w:rPr>
      </w:pPr>
      <w:r>
        <w:rPr>
          <w:color w:val="auto"/>
        </w:rPr>
        <w:t>为进一步减轻施工扬尘对周边环境空气的影响，评价要求项目施工期间应严格执行如下措施要求，减少施工扬尘对周围环境的影响。</w:t>
      </w:r>
    </w:p>
    <w:p w14:paraId="456582B3">
      <w:pPr>
        <w:pStyle w:val="33"/>
        <w:bidi w:val="0"/>
        <w:rPr>
          <w:color w:val="auto"/>
        </w:rPr>
      </w:pPr>
      <w:r>
        <w:rPr>
          <w:color w:val="auto"/>
        </w:rPr>
        <w:t>①施工单位必须制定施工现场扬尘预防治理专项方案，并指定专人负责落实。</w:t>
      </w:r>
    </w:p>
    <w:p w14:paraId="34CD1F4B">
      <w:pPr>
        <w:pStyle w:val="33"/>
        <w:bidi w:val="0"/>
        <w:rPr>
          <w:color w:val="auto"/>
        </w:rPr>
      </w:pPr>
      <w:r>
        <w:rPr>
          <w:color w:val="auto"/>
        </w:rPr>
        <w:t>②施工企业要及时总结、优化扬尘治理工作经验和成果，使扬尘治理工作向科学化、规范化迈进，推动扬尘防治设施、设备向标准化、定型化、工具式、可周转利用方面发展。</w:t>
      </w:r>
    </w:p>
    <w:p w14:paraId="442C206F">
      <w:pPr>
        <w:pStyle w:val="33"/>
        <w:bidi w:val="0"/>
        <w:rPr>
          <w:color w:val="auto"/>
        </w:rPr>
      </w:pPr>
      <w:r>
        <w:rPr>
          <w:color w:val="auto"/>
        </w:rPr>
        <w:t>③施工工地周围必须设置围挡，湿法作业、场地覆盖，必须建立洒水清扫制度或雾化降尘措施，并由专人负责；施工工地内堆放水泥、灰土、砂石等易产生扬尘污染物料和建筑垃圾、工程渣土，必须采取封闭储存或严格的防风抑尘措施，如遮盖或者在库房内存放，严禁裸露。</w:t>
      </w:r>
    </w:p>
    <w:p w14:paraId="3E0FBB07">
      <w:pPr>
        <w:pStyle w:val="33"/>
        <w:bidi w:val="0"/>
        <w:rPr>
          <w:color w:val="auto"/>
        </w:rPr>
      </w:pPr>
      <w:r>
        <w:rPr>
          <w:color w:val="auto"/>
        </w:rPr>
        <w:t>④堆存、装卸、运输砂土、垃圾等易产生扬尘的作业，应当采取遮盖、围挡等措施，防止</w:t>
      </w:r>
      <w:r>
        <w:rPr>
          <w:rFonts w:hint="eastAsia"/>
          <w:color w:val="auto"/>
          <w:lang w:eastAsia="zh-CN"/>
        </w:rPr>
        <w:t>抛撒</w:t>
      </w:r>
      <w:r>
        <w:rPr>
          <w:color w:val="auto"/>
        </w:rPr>
        <w:t>、扬尘。</w:t>
      </w:r>
    </w:p>
    <w:p w14:paraId="2246ABFA">
      <w:pPr>
        <w:pStyle w:val="33"/>
        <w:bidi w:val="0"/>
        <w:rPr>
          <w:color w:val="auto"/>
        </w:rPr>
      </w:pPr>
      <w:r>
        <w:rPr>
          <w:color w:val="auto"/>
        </w:rPr>
        <w:t>采取上述措施后，通过资料查询及类比分析项目施工场地在采取防尘措施前后影响范围具体见</w:t>
      </w:r>
      <w:r>
        <w:rPr>
          <w:color w:val="auto"/>
        </w:rPr>
        <w:fldChar w:fldCharType="begin"/>
      </w:r>
      <w:r>
        <w:rPr>
          <w:color w:val="auto"/>
        </w:rPr>
        <w:instrText xml:space="preserve"> REF _Ref119162794 \h  \* MERGEFORMAT </w:instrText>
      </w:r>
      <w:r>
        <w:rPr>
          <w:color w:val="auto"/>
        </w:rPr>
        <w:fldChar w:fldCharType="separate"/>
      </w:r>
      <w:r>
        <w:rPr>
          <w:color w:val="auto"/>
        </w:rPr>
        <w:t>表</w:t>
      </w:r>
      <w:r>
        <w:rPr>
          <w:rFonts w:hint="eastAsia"/>
          <w:color w:val="auto"/>
          <w:lang w:val="en-US" w:eastAsia="zh-CN"/>
        </w:rPr>
        <w:t>5.1</w:t>
      </w:r>
      <w:r>
        <w:rPr>
          <w:color w:val="auto"/>
        </w:rPr>
        <w:noBreakHyphen/>
      </w:r>
      <w:r>
        <w:rPr>
          <w:color w:val="auto"/>
        </w:rPr>
        <w:t>1</w:t>
      </w:r>
      <w:r>
        <w:rPr>
          <w:color w:val="auto"/>
        </w:rPr>
        <w:fldChar w:fldCharType="end"/>
      </w:r>
      <w:r>
        <w:rPr>
          <w:color w:val="auto"/>
        </w:rPr>
        <w:t>。</w:t>
      </w:r>
    </w:p>
    <w:p w14:paraId="60277458">
      <w:pPr>
        <w:pStyle w:val="43"/>
        <w:bidi w:val="0"/>
        <w:rPr>
          <w:rFonts w:cs="Times New Roman"/>
          <w:color w:val="auto"/>
        </w:rPr>
      </w:pPr>
      <w:bookmarkStart w:id="249" w:name="_Ref119162794"/>
      <w:r>
        <w:rPr>
          <w:rFonts w:cs="Times New Roman"/>
          <w:color w:val="auto"/>
        </w:rPr>
        <w:t>表</w:t>
      </w:r>
      <w:r>
        <w:rPr>
          <w:rFonts w:hint="eastAsia" w:cs="Times New Roman"/>
          <w:color w:val="auto"/>
          <w:lang w:val="en-US" w:eastAsia="zh-CN"/>
        </w:rPr>
        <w:t>5.1</w:t>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249"/>
      <w:r>
        <w:rPr>
          <w:rFonts w:cs="Times New Roman"/>
          <w:color w:val="auto"/>
        </w:rPr>
        <w:t xml:space="preserve">  施工现场扬尘治理前后TSP浓度</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353"/>
        <w:gridCol w:w="816"/>
        <w:gridCol w:w="1000"/>
        <w:gridCol w:w="809"/>
        <w:gridCol w:w="809"/>
        <w:gridCol w:w="809"/>
        <w:gridCol w:w="809"/>
        <w:gridCol w:w="809"/>
        <w:gridCol w:w="810"/>
        <w:gridCol w:w="810"/>
      </w:tblGrid>
      <w:tr w14:paraId="6EDA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766" w:type="pct"/>
            <w:vMerge w:val="restart"/>
            <w:shd w:val="clear" w:color="auto" w:fill="auto"/>
            <w:vAlign w:val="center"/>
          </w:tcPr>
          <w:p w14:paraId="110178A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污染源位置</w:t>
            </w:r>
          </w:p>
        </w:tc>
        <w:tc>
          <w:tcPr>
            <w:tcW w:w="462" w:type="pct"/>
            <w:vMerge w:val="restart"/>
            <w:shd w:val="clear" w:color="auto" w:fill="auto"/>
            <w:vAlign w:val="center"/>
          </w:tcPr>
          <w:p w14:paraId="1D4F4FA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污染因素</w:t>
            </w:r>
          </w:p>
        </w:tc>
        <w:tc>
          <w:tcPr>
            <w:tcW w:w="566" w:type="pct"/>
            <w:vMerge w:val="restart"/>
            <w:shd w:val="clear" w:color="auto" w:fill="auto"/>
            <w:vAlign w:val="center"/>
          </w:tcPr>
          <w:p w14:paraId="0B3EBCD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时段</w:t>
            </w:r>
          </w:p>
        </w:tc>
        <w:tc>
          <w:tcPr>
            <w:tcW w:w="3206" w:type="pct"/>
            <w:gridSpan w:val="7"/>
            <w:shd w:val="clear" w:color="auto" w:fill="auto"/>
            <w:vAlign w:val="center"/>
          </w:tcPr>
          <w:p w14:paraId="6AC9893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距施工场界距离（m）</w:t>
            </w:r>
          </w:p>
        </w:tc>
      </w:tr>
      <w:tr w14:paraId="3CF7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766" w:type="pct"/>
            <w:vMerge w:val="continue"/>
            <w:shd w:val="clear" w:color="auto" w:fill="auto"/>
            <w:vAlign w:val="center"/>
          </w:tcPr>
          <w:p w14:paraId="78F9F0B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62" w:type="pct"/>
            <w:vMerge w:val="continue"/>
            <w:shd w:val="clear" w:color="auto" w:fill="auto"/>
            <w:vAlign w:val="center"/>
          </w:tcPr>
          <w:p w14:paraId="0F54B25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566" w:type="pct"/>
            <w:vMerge w:val="continue"/>
            <w:shd w:val="clear" w:color="auto" w:fill="auto"/>
            <w:vAlign w:val="center"/>
          </w:tcPr>
          <w:p w14:paraId="7475E39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58" w:type="pct"/>
            <w:shd w:val="clear" w:color="auto" w:fill="auto"/>
            <w:vAlign w:val="center"/>
          </w:tcPr>
          <w:p w14:paraId="6394789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458" w:type="pct"/>
            <w:shd w:val="clear" w:color="auto" w:fill="auto"/>
            <w:vAlign w:val="center"/>
          </w:tcPr>
          <w:p w14:paraId="4925EAE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30</w:t>
            </w:r>
          </w:p>
        </w:tc>
        <w:tc>
          <w:tcPr>
            <w:tcW w:w="458" w:type="pct"/>
            <w:shd w:val="clear" w:color="auto" w:fill="auto"/>
            <w:vAlign w:val="center"/>
          </w:tcPr>
          <w:p w14:paraId="727444F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50</w:t>
            </w:r>
          </w:p>
        </w:tc>
        <w:tc>
          <w:tcPr>
            <w:tcW w:w="458" w:type="pct"/>
            <w:shd w:val="clear" w:color="auto" w:fill="auto"/>
            <w:vAlign w:val="center"/>
          </w:tcPr>
          <w:p w14:paraId="11C0B04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100</w:t>
            </w:r>
          </w:p>
        </w:tc>
        <w:tc>
          <w:tcPr>
            <w:tcW w:w="458" w:type="pct"/>
            <w:shd w:val="clear" w:color="auto" w:fill="auto"/>
            <w:vAlign w:val="center"/>
          </w:tcPr>
          <w:p w14:paraId="3A89770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150</w:t>
            </w:r>
          </w:p>
        </w:tc>
        <w:tc>
          <w:tcPr>
            <w:tcW w:w="458" w:type="pct"/>
            <w:shd w:val="clear" w:color="auto" w:fill="auto"/>
            <w:vAlign w:val="center"/>
          </w:tcPr>
          <w:p w14:paraId="38EDE85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w:t>
            </w:r>
          </w:p>
        </w:tc>
        <w:tc>
          <w:tcPr>
            <w:tcW w:w="457" w:type="pct"/>
            <w:shd w:val="clear" w:color="auto" w:fill="auto"/>
            <w:vAlign w:val="center"/>
          </w:tcPr>
          <w:p w14:paraId="7011D8C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400</w:t>
            </w:r>
          </w:p>
        </w:tc>
      </w:tr>
      <w:tr w14:paraId="6F45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766" w:type="pct"/>
            <w:vMerge w:val="restart"/>
            <w:shd w:val="clear" w:color="auto" w:fill="auto"/>
            <w:vAlign w:val="center"/>
          </w:tcPr>
          <w:p w14:paraId="7DC4C0D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开挖现场、土方堆场、道路运输</w:t>
            </w:r>
          </w:p>
        </w:tc>
        <w:tc>
          <w:tcPr>
            <w:tcW w:w="462" w:type="pct"/>
            <w:vMerge w:val="restart"/>
            <w:shd w:val="clear" w:color="auto" w:fill="auto"/>
            <w:vAlign w:val="center"/>
          </w:tcPr>
          <w:p w14:paraId="3927D64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开挖</w:t>
            </w:r>
          </w:p>
          <w:p w14:paraId="29F2742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w:t>
            </w:r>
          </w:p>
        </w:tc>
        <w:tc>
          <w:tcPr>
            <w:tcW w:w="566" w:type="pct"/>
            <w:shd w:val="clear" w:color="auto" w:fill="auto"/>
            <w:vAlign w:val="center"/>
          </w:tcPr>
          <w:p w14:paraId="220E6B9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治理前</w:t>
            </w:r>
          </w:p>
        </w:tc>
        <w:tc>
          <w:tcPr>
            <w:tcW w:w="458" w:type="pct"/>
            <w:shd w:val="clear" w:color="auto" w:fill="auto"/>
            <w:vAlign w:val="center"/>
          </w:tcPr>
          <w:p w14:paraId="0BB565E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58" w:type="pct"/>
            <w:shd w:val="clear" w:color="auto" w:fill="auto"/>
            <w:vAlign w:val="center"/>
          </w:tcPr>
          <w:p w14:paraId="1EF3610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58" w:type="pct"/>
            <w:shd w:val="clear" w:color="auto" w:fill="auto"/>
            <w:vAlign w:val="center"/>
          </w:tcPr>
          <w:p w14:paraId="1F2C393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458" w:type="pct"/>
            <w:shd w:val="clear" w:color="auto" w:fill="auto"/>
            <w:vAlign w:val="center"/>
          </w:tcPr>
          <w:p w14:paraId="28070E8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458" w:type="pct"/>
            <w:shd w:val="clear" w:color="auto" w:fill="auto"/>
            <w:vAlign w:val="center"/>
          </w:tcPr>
          <w:p w14:paraId="143CCA9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58" w:type="pct"/>
            <w:shd w:val="clear" w:color="auto" w:fill="auto"/>
            <w:vAlign w:val="center"/>
          </w:tcPr>
          <w:p w14:paraId="1D6CEF5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57" w:type="pct"/>
            <w:shd w:val="clear" w:color="auto" w:fill="auto"/>
            <w:vAlign w:val="center"/>
          </w:tcPr>
          <w:p w14:paraId="484BC1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14:paraId="54C9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766" w:type="pct"/>
            <w:vMerge w:val="continue"/>
            <w:shd w:val="clear" w:color="auto" w:fill="auto"/>
            <w:vAlign w:val="center"/>
          </w:tcPr>
          <w:p w14:paraId="2506831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462" w:type="pct"/>
            <w:vMerge w:val="continue"/>
            <w:shd w:val="clear" w:color="auto" w:fill="auto"/>
            <w:vAlign w:val="center"/>
          </w:tcPr>
          <w:p w14:paraId="6F6564A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66" w:type="pct"/>
            <w:shd w:val="clear" w:color="auto" w:fill="auto"/>
            <w:vAlign w:val="center"/>
          </w:tcPr>
          <w:p w14:paraId="54CCDE9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治理后</w:t>
            </w:r>
          </w:p>
        </w:tc>
        <w:tc>
          <w:tcPr>
            <w:tcW w:w="458" w:type="pct"/>
            <w:shd w:val="clear" w:color="auto" w:fill="auto"/>
            <w:vAlign w:val="center"/>
          </w:tcPr>
          <w:p w14:paraId="166D1EF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58" w:type="pct"/>
            <w:shd w:val="clear" w:color="auto" w:fill="auto"/>
            <w:vAlign w:val="center"/>
          </w:tcPr>
          <w:p w14:paraId="2BAB63B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58" w:type="pct"/>
            <w:shd w:val="clear" w:color="auto" w:fill="auto"/>
            <w:vAlign w:val="center"/>
          </w:tcPr>
          <w:p w14:paraId="7C655A5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458" w:type="pct"/>
            <w:shd w:val="clear" w:color="auto" w:fill="auto"/>
            <w:vAlign w:val="center"/>
          </w:tcPr>
          <w:p w14:paraId="486DBF3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58" w:type="pct"/>
            <w:shd w:val="clear" w:color="auto" w:fill="auto"/>
            <w:vAlign w:val="center"/>
          </w:tcPr>
          <w:p w14:paraId="52F0089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458" w:type="pct"/>
            <w:shd w:val="clear" w:color="auto" w:fill="auto"/>
            <w:vAlign w:val="center"/>
          </w:tcPr>
          <w:p w14:paraId="1EF70C8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457" w:type="pct"/>
            <w:shd w:val="clear" w:color="auto" w:fill="auto"/>
            <w:vAlign w:val="center"/>
          </w:tcPr>
          <w:p w14:paraId="36BFB08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41C981AC">
      <w:pPr>
        <w:pStyle w:val="11"/>
        <w:bidi w:val="0"/>
        <w:rPr>
          <w:color w:val="auto"/>
        </w:rPr>
      </w:pPr>
      <w:r>
        <w:rPr>
          <w:color w:val="auto"/>
        </w:rPr>
        <w:t>由于施工扬尘粒径较大，飘移距离短，采取洒水抑尘等控制措施后，施工影响范围有限，施工扬尘对区域环境空气质量影响不大。施工造成的不利影响是局部的、短期的，项目建成后影响就会消失。</w:t>
      </w:r>
    </w:p>
    <w:p w14:paraId="42734EE6">
      <w:pPr>
        <w:pStyle w:val="6"/>
        <w:bidi w:val="0"/>
        <w:rPr>
          <w:rFonts w:hint="default"/>
          <w:color w:val="auto"/>
          <w:lang w:val="en-US" w:eastAsia="zh-CN"/>
        </w:rPr>
      </w:pPr>
      <w:r>
        <w:rPr>
          <w:rFonts w:hint="eastAsia"/>
          <w:color w:val="auto"/>
          <w:lang w:val="en-US" w:eastAsia="zh-CN"/>
        </w:rPr>
        <w:t>5.1.1.2施工车辆及机械尾气影响分析</w:t>
      </w:r>
    </w:p>
    <w:p w14:paraId="15B77618">
      <w:pPr>
        <w:pStyle w:val="11"/>
        <w:bidi w:val="0"/>
        <w:rPr>
          <w:rFonts w:ascii="Times New Roman" w:hAnsi="Times New Roman" w:eastAsia="宋体"/>
          <w:color w:val="auto"/>
        </w:rPr>
      </w:pPr>
      <w:r>
        <w:rPr>
          <w:rFonts w:ascii="Times New Roman" w:hAnsi="Times New Roman" w:eastAsia="宋体"/>
          <w:color w:val="auto"/>
        </w:rPr>
        <w:t>施工期间需利用小型挖掘设备进行管沟开挖，并借助汽车运送管材。机械设备运行过</w:t>
      </w:r>
      <w:r>
        <w:rPr>
          <w:rFonts w:hint="eastAsia"/>
          <w:color w:val="auto"/>
          <w:lang w:eastAsia="zh-CN"/>
        </w:rPr>
        <w:t>程中</w:t>
      </w:r>
      <w:r>
        <w:rPr>
          <w:rFonts w:ascii="Times New Roman" w:hAnsi="Times New Roman" w:eastAsia="宋体"/>
          <w:color w:val="auto"/>
        </w:rPr>
        <w:t>排放的尾气将增加施工区域和运输道路沿线的空气污染物排放。初步估算各类车辆约</w:t>
      </w:r>
      <w:r>
        <w:rPr>
          <w:rFonts w:hint="eastAsia" w:ascii="Times New Roman" w:hAnsi="Times New Roman" w:eastAsia="宋体"/>
          <w:color w:val="auto"/>
          <w:lang w:val="en-US" w:eastAsia="zh-CN"/>
        </w:rPr>
        <w:t>20</w:t>
      </w:r>
      <w:r>
        <w:rPr>
          <w:rFonts w:ascii="Times New Roman" w:hAnsi="Times New Roman" w:eastAsia="宋体"/>
          <w:color w:val="auto"/>
        </w:rPr>
        <w:t>辆，车辆尾气会对大气环境造成一定污染。每辆车日耗油量约11.52kg，则每辆车平均日排放烃类物质0.025kg、NOx为0.034kg，预计可排放烃类物质0.</w:t>
      </w:r>
      <w:r>
        <w:rPr>
          <w:rFonts w:hint="eastAsia" w:ascii="Times New Roman" w:hAnsi="Times New Roman" w:eastAsia="宋体"/>
          <w:color w:val="auto"/>
          <w:lang w:val="en-US" w:eastAsia="zh-CN"/>
        </w:rPr>
        <w:t>5</w:t>
      </w:r>
      <w:r>
        <w:rPr>
          <w:rFonts w:ascii="Times New Roman" w:hAnsi="Times New Roman" w:eastAsia="宋体"/>
          <w:color w:val="auto"/>
        </w:rPr>
        <w:t>kg/d、NOx为</w:t>
      </w:r>
      <w:r>
        <w:rPr>
          <w:rFonts w:hint="eastAsia" w:ascii="Times New Roman" w:hAnsi="Times New Roman" w:eastAsia="宋体"/>
          <w:color w:val="auto"/>
          <w:lang w:val="en-US" w:eastAsia="zh-CN"/>
        </w:rPr>
        <w:t>0.68</w:t>
      </w:r>
      <w:r>
        <w:rPr>
          <w:rFonts w:ascii="Times New Roman" w:hAnsi="Times New Roman" w:eastAsia="宋体"/>
          <w:color w:val="auto"/>
        </w:rPr>
        <w:t>kg/d。</w:t>
      </w:r>
    </w:p>
    <w:p w14:paraId="48E88B84">
      <w:pPr>
        <w:pStyle w:val="11"/>
        <w:bidi w:val="0"/>
        <w:rPr>
          <w:rFonts w:ascii="Times New Roman" w:hAnsi="Times New Roman" w:eastAsia="宋体"/>
          <w:color w:val="auto"/>
        </w:rPr>
      </w:pPr>
      <w:r>
        <w:rPr>
          <w:rFonts w:ascii="Times New Roman" w:hAnsi="Times New Roman" w:eastAsia="宋体"/>
          <w:color w:val="auto"/>
        </w:rPr>
        <w:t>施工期运输车辆尾气影响范围主要在道路沿线两侧50m范围。评价要求对施工过程中的非道路移动机械用柴油机废气排放必须执行并满足《非道路移动机械用柴油机排气污染物排放限值及测量方法（中国第三、四阶段）》（GB20891-2014）修改单中的有关规定及第四阶段的标准限值要求，并且应执行《非道路柴油移动机械污染物排放控制技术要求》（HJ1014—2020）相关规定。施工期所使用的柴油机及非道路移动机械加强施工机械运行管理与维护保养，并燃用符合国家标准的柴油燃料，严禁使用不符合排放标准及淘汰范围的非道路移动机械。</w:t>
      </w:r>
    </w:p>
    <w:p w14:paraId="46AD91ED">
      <w:pPr>
        <w:pStyle w:val="6"/>
        <w:bidi w:val="0"/>
        <w:rPr>
          <w:rFonts w:hint="default"/>
          <w:color w:val="auto"/>
          <w:lang w:val="en-US"/>
        </w:rPr>
      </w:pPr>
      <w:r>
        <w:rPr>
          <w:rFonts w:hint="eastAsia"/>
          <w:color w:val="auto"/>
          <w:lang w:val="en-US" w:eastAsia="zh-CN"/>
        </w:rPr>
        <w:t>5.1.1.3</w:t>
      </w:r>
      <w:r>
        <w:rPr>
          <w:color w:val="auto"/>
          <w:lang w:eastAsia="zh"/>
        </w:rPr>
        <w:t>管道敷设过程环境空气影响分析</w:t>
      </w:r>
    </w:p>
    <w:p w14:paraId="04F96763">
      <w:pPr>
        <w:pStyle w:val="11"/>
        <w:bidi w:val="0"/>
        <w:rPr>
          <w:rFonts w:ascii="Times New Roman" w:hAnsi="Times New Roman" w:eastAsia="宋体"/>
          <w:color w:val="auto"/>
        </w:rPr>
      </w:pPr>
      <w:r>
        <w:rPr>
          <w:rFonts w:ascii="Times New Roman" w:hAnsi="Times New Roman" w:eastAsia="宋体"/>
          <w:color w:val="auto"/>
        </w:rPr>
        <w:t>焊接烟气主要是在管道敷设焊接时产生的，防腐废气主要是在管道敷补口补伤时产生的，产生量较少。由于管线周围地域开阔，经大气扩散后对环境的影响较小。</w:t>
      </w:r>
    </w:p>
    <w:p w14:paraId="43FE6E80">
      <w:pPr>
        <w:pStyle w:val="5"/>
        <w:bidi w:val="0"/>
        <w:rPr>
          <w:rFonts w:hint="default"/>
          <w:color w:val="auto"/>
          <w:lang w:val="en-US" w:eastAsia="zh-CN"/>
        </w:rPr>
      </w:pPr>
      <w:r>
        <w:rPr>
          <w:rFonts w:hint="eastAsia"/>
          <w:color w:val="auto"/>
          <w:lang w:val="en-US" w:eastAsia="zh-CN"/>
        </w:rPr>
        <w:t>5.1.2施工期地表水环境影响分析</w:t>
      </w:r>
    </w:p>
    <w:p w14:paraId="2BCB6FCB">
      <w:pPr>
        <w:pStyle w:val="6"/>
        <w:bidi w:val="0"/>
        <w:rPr>
          <w:color w:val="auto"/>
        </w:rPr>
      </w:pPr>
      <w:r>
        <w:rPr>
          <w:rFonts w:hint="eastAsia"/>
          <w:color w:val="auto"/>
          <w:lang w:val="en-US" w:eastAsia="zh-CN"/>
        </w:rPr>
        <w:t>5.1.2.1</w:t>
      </w:r>
      <w:r>
        <w:rPr>
          <w:color w:val="auto"/>
        </w:rPr>
        <w:t>管道试压废水对地表水环境影响分析</w:t>
      </w:r>
    </w:p>
    <w:p w14:paraId="31017AE8">
      <w:pPr>
        <w:pStyle w:val="11"/>
        <w:bidi w:val="0"/>
        <w:rPr>
          <w:rFonts w:ascii="Times New Roman" w:hAnsi="Times New Roman" w:eastAsia="宋体"/>
          <w:color w:val="auto"/>
        </w:rPr>
      </w:pPr>
      <w:r>
        <w:rPr>
          <w:rFonts w:ascii="Times New Roman" w:hAnsi="Times New Roman" w:eastAsia="宋体"/>
          <w:color w:val="auto"/>
        </w:rPr>
        <w:t>管道试压分段进行，污水排放量较小，管道试压水为清水，试压废水主要污染物为SS。试压后产生的试压废水经</w:t>
      </w:r>
      <w:r>
        <w:rPr>
          <w:rFonts w:hint="eastAsia" w:ascii="Times New Roman" w:hAnsi="Times New Roman" w:eastAsia="宋体"/>
          <w:color w:val="auto"/>
          <w:lang w:val="en-US" w:eastAsia="zh-CN"/>
        </w:rPr>
        <w:t>管道输送至百联站采出水处理系统处理</w:t>
      </w:r>
      <w:r>
        <w:rPr>
          <w:rFonts w:ascii="Times New Roman" w:hAnsi="Times New Roman" w:eastAsia="宋体"/>
          <w:color w:val="auto"/>
        </w:rPr>
        <w:t>达标后回注油层，</w:t>
      </w:r>
      <w:r>
        <w:rPr>
          <w:rFonts w:hint="eastAsia" w:ascii="Times New Roman" w:hAnsi="Times New Roman" w:eastAsia="宋体"/>
          <w:color w:val="auto"/>
          <w:lang w:val="en-US" w:eastAsia="zh-CN"/>
        </w:rPr>
        <w:t>不会</w:t>
      </w:r>
      <w:r>
        <w:rPr>
          <w:rFonts w:ascii="Times New Roman" w:hAnsi="Times New Roman" w:eastAsia="宋体"/>
          <w:color w:val="auto"/>
        </w:rPr>
        <w:t>对地表水产生影响。</w:t>
      </w:r>
    </w:p>
    <w:p w14:paraId="03598D60">
      <w:pPr>
        <w:pStyle w:val="6"/>
        <w:bidi w:val="0"/>
        <w:rPr>
          <w:rFonts w:hint="default"/>
          <w:color w:val="auto"/>
          <w:lang w:val="en-US" w:eastAsia="zh-CN"/>
        </w:rPr>
      </w:pPr>
      <w:r>
        <w:rPr>
          <w:rFonts w:hint="eastAsia"/>
          <w:color w:val="auto"/>
          <w:lang w:val="en-US" w:eastAsia="zh-CN"/>
        </w:rPr>
        <w:t>5.1.2.2施工人员生活污水</w:t>
      </w:r>
    </w:p>
    <w:p w14:paraId="4172A02D">
      <w:pPr>
        <w:pStyle w:val="11"/>
        <w:bidi w:val="0"/>
        <w:rPr>
          <w:rFonts w:hint="default" w:ascii="Times New Roman" w:hAnsi="Times New Roman" w:eastAsia="宋体"/>
          <w:color w:val="auto"/>
          <w:lang w:val="en-US"/>
        </w:rPr>
      </w:pPr>
      <w:r>
        <w:rPr>
          <w:rFonts w:ascii="Times New Roman" w:hAnsi="Times New Roman" w:eastAsia="宋体"/>
          <w:color w:val="auto"/>
        </w:rPr>
        <w:t>本</w:t>
      </w:r>
      <w:r>
        <w:rPr>
          <w:rFonts w:hint="eastAsia" w:ascii="Times New Roman" w:hAnsi="Times New Roman" w:eastAsia="宋体"/>
          <w:color w:val="auto"/>
          <w:lang w:val="en-US" w:eastAsia="zh-CN"/>
        </w:rPr>
        <w:t>工程</w:t>
      </w:r>
      <w:r>
        <w:rPr>
          <w:rFonts w:ascii="Times New Roman" w:hAnsi="Times New Roman" w:eastAsia="宋体"/>
          <w:color w:val="auto"/>
        </w:rPr>
        <w:t>管道施工均分段进行，不设施工营地，施工人员食宿依托</w:t>
      </w:r>
      <w:r>
        <w:rPr>
          <w:rFonts w:hint="eastAsia" w:ascii="Times New Roman" w:hAnsi="Times New Roman" w:eastAsia="宋体"/>
          <w:color w:val="auto"/>
          <w:lang w:val="en-US" w:eastAsia="zh-CN"/>
        </w:rPr>
        <w:t>生活基地内既有设施</w:t>
      </w:r>
      <w:r>
        <w:rPr>
          <w:rFonts w:ascii="Times New Roman" w:hAnsi="Times New Roman" w:eastAsia="宋体"/>
          <w:color w:val="auto"/>
        </w:rPr>
        <w:t>，</w:t>
      </w:r>
      <w:r>
        <w:rPr>
          <w:rFonts w:hint="eastAsia" w:ascii="Times New Roman" w:hAnsi="Times New Roman" w:eastAsia="宋体"/>
          <w:color w:val="auto"/>
          <w:lang w:val="en-US" w:eastAsia="zh-CN"/>
        </w:rPr>
        <w:t>生活污水最终交由乌尔禾区污水处理厂处理，</w:t>
      </w:r>
      <w:r>
        <w:rPr>
          <w:rFonts w:ascii="Times New Roman" w:hAnsi="Times New Roman" w:eastAsia="宋体"/>
          <w:color w:val="auto"/>
        </w:rPr>
        <w:t>不外排。因此，施工人员生活污水对地表水环境影响很小。</w:t>
      </w:r>
    </w:p>
    <w:p w14:paraId="026129F6">
      <w:pPr>
        <w:pStyle w:val="5"/>
        <w:bidi w:val="0"/>
        <w:rPr>
          <w:rFonts w:hint="default"/>
          <w:color w:val="auto"/>
          <w:lang w:val="en-US" w:eastAsia="zh-CN"/>
        </w:rPr>
      </w:pPr>
      <w:r>
        <w:rPr>
          <w:rFonts w:hint="eastAsia"/>
          <w:color w:val="auto"/>
          <w:lang w:val="en-US" w:eastAsia="zh-CN"/>
        </w:rPr>
        <w:t>5.1.3施工期地下水环境影响分析</w:t>
      </w:r>
    </w:p>
    <w:p w14:paraId="61DCBA38">
      <w:pPr>
        <w:pStyle w:val="6"/>
        <w:bidi w:val="0"/>
        <w:rPr>
          <w:rFonts w:hint="default"/>
          <w:color w:val="auto"/>
          <w:lang w:val="en-US" w:eastAsia="zh-CN"/>
        </w:rPr>
      </w:pPr>
      <w:r>
        <w:rPr>
          <w:rFonts w:hint="eastAsia"/>
          <w:color w:val="auto"/>
          <w:lang w:val="en-US" w:eastAsia="zh-CN"/>
        </w:rPr>
        <w:t>5.1.3.1管道试压废水对地下水环境影响分析</w:t>
      </w:r>
    </w:p>
    <w:p w14:paraId="04C38A44">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rPr>
        <w:t>根据工程分析，管道试压采用清水，管道分段试压，</w:t>
      </w:r>
      <w:r>
        <w:rPr>
          <w:rFonts w:ascii="Times New Roman" w:hAnsi="Times New Roman" w:eastAsia="宋体"/>
          <w:color w:val="auto"/>
        </w:rPr>
        <w:t>试压后产生的试压废水经</w:t>
      </w:r>
      <w:r>
        <w:rPr>
          <w:rFonts w:hint="eastAsia" w:ascii="Times New Roman" w:hAnsi="Times New Roman" w:eastAsia="宋体"/>
          <w:color w:val="auto"/>
          <w:lang w:val="en-US" w:eastAsia="zh-CN"/>
        </w:rPr>
        <w:t>管道输送至百联站采出水处理系统处理</w:t>
      </w:r>
      <w:r>
        <w:rPr>
          <w:rFonts w:ascii="Times New Roman" w:hAnsi="Times New Roman" w:eastAsia="宋体"/>
          <w:color w:val="auto"/>
        </w:rPr>
        <w:t>达标后回注油层，</w:t>
      </w:r>
      <w:r>
        <w:rPr>
          <w:rFonts w:hint="eastAsia" w:ascii="Times New Roman" w:hAnsi="Times New Roman" w:eastAsia="宋体"/>
          <w:color w:val="auto"/>
          <w:lang w:val="en-US" w:eastAsia="zh-CN"/>
        </w:rPr>
        <w:t>对项目区地下水环境基本无影响。</w:t>
      </w:r>
    </w:p>
    <w:p w14:paraId="7A92446A">
      <w:pPr>
        <w:pStyle w:val="6"/>
        <w:bidi w:val="0"/>
        <w:rPr>
          <w:rFonts w:hint="default"/>
          <w:color w:val="auto"/>
          <w:lang w:val="en-US" w:eastAsia="zh-CN"/>
        </w:rPr>
      </w:pPr>
      <w:r>
        <w:rPr>
          <w:rFonts w:hint="eastAsia"/>
          <w:color w:val="auto"/>
          <w:lang w:val="en-US" w:eastAsia="zh-CN"/>
        </w:rPr>
        <w:t>5.1.3.2管线施工对地下水的影响分析</w:t>
      </w:r>
    </w:p>
    <w:p w14:paraId="37E547BC">
      <w:pPr>
        <w:pStyle w:val="11"/>
        <w:bidi w:val="0"/>
        <w:rPr>
          <w:rFonts w:hint="eastAsia"/>
          <w:color w:val="auto"/>
        </w:rPr>
      </w:pPr>
      <w:r>
        <w:rPr>
          <w:rFonts w:hint="eastAsia" w:ascii="Times New Roman" w:hAnsi="Times New Roman" w:eastAsia="宋体"/>
          <w:color w:val="auto"/>
        </w:rPr>
        <w:t>集油</w:t>
      </w:r>
      <w:r>
        <w:rPr>
          <w:rFonts w:hint="eastAsia" w:ascii="Times New Roman" w:hAnsi="Times New Roman" w:eastAsia="宋体"/>
          <w:color w:val="auto"/>
          <w:lang w:val="en-US" w:eastAsia="zh-CN"/>
        </w:rPr>
        <w:t>管线</w:t>
      </w:r>
      <w:r>
        <w:rPr>
          <w:rFonts w:hint="eastAsia" w:ascii="Times New Roman" w:hAnsi="Times New Roman" w:eastAsia="宋体"/>
          <w:color w:val="auto"/>
        </w:rPr>
        <w:t>敷设埋深为-1.</w:t>
      </w:r>
      <w:r>
        <w:rPr>
          <w:rFonts w:hint="eastAsia" w:ascii="Times New Roman" w:hAnsi="Times New Roman" w:eastAsia="宋体"/>
          <w:color w:val="auto"/>
          <w:lang w:val="en-US" w:eastAsia="zh-CN"/>
        </w:rPr>
        <w:t>8</w:t>
      </w:r>
      <w:r>
        <w:rPr>
          <w:rFonts w:hint="eastAsia" w:ascii="Times New Roman" w:hAnsi="Times New Roman" w:eastAsia="宋体"/>
          <w:color w:val="auto"/>
        </w:rPr>
        <w:t>m，在施工过程中的辅料、废料等在降水的淋滤作用下产生的浸出液进入地下含水层，将对地下水造成不同程度的影响，其影响程度决定于下渗量及其饱和地带的厚度、岩性和对污染物的阻滞、吸附分解等自然净化能力。由于项目所在区域属自然干旱气候，降雨少，且管道沿线表层土壤有一定的自然净化能力，管线施工对地下水的影响很小。因此，正常的</w:t>
      </w:r>
      <w:r>
        <w:rPr>
          <w:rFonts w:hint="eastAsia"/>
          <w:color w:val="auto"/>
        </w:rPr>
        <w:t>管线埋设不会对地下水造成不利影响。</w:t>
      </w:r>
    </w:p>
    <w:p w14:paraId="37FCD398">
      <w:pPr>
        <w:pStyle w:val="6"/>
        <w:bidi w:val="0"/>
        <w:rPr>
          <w:rFonts w:hint="eastAsia"/>
          <w:color w:val="auto"/>
          <w:lang w:val="en-US" w:eastAsia="zh-CN"/>
        </w:rPr>
      </w:pPr>
      <w:r>
        <w:rPr>
          <w:rFonts w:hint="eastAsia"/>
          <w:color w:val="auto"/>
          <w:lang w:val="en-US" w:eastAsia="zh-CN"/>
        </w:rPr>
        <w:t>5.1.3.3</w:t>
      </w:r>
      <w:r>
        <w:rPr>
          <w:rFonts w:hint="eastAsia"/>
          <w:color w:val="auto"/>
        </w:rPr>
        <w:t>施工人员生活废水对地下水环境影响</w:t>
      </w:r>
      <w:r>
        <w:rPr>
          <w:rFonts w:hint="eastAsia"/>
          <w:color w:val="auto"/>
          <w:lang w:val="en-US" w:eastAsia="zh-CN"/>
        </w:rPr>
        <w:t>分析</w:t>
      </w:r>
    </w:p>
    <w:p w14:paraId="63CDC5B1">
      <w:pPr>
        <w:pStyle w:val="11"/>
        <w:bidi w:val="0"/>
        <w:rPr>
          <w:color w:val="auto"/>
        </w:rPr>
      </w:pPr>
      <w:r>
        <w:rPr>
          <w:rFonts w:hint="eastAsia"/>
          <w:color w:val="auto"/>
        </w:rPr>
        <w:t>地面施工人员在</w:t>
      </w:r>
      <w:r>
        <w:rPr>
          <w:rFonts w:hint="eastAsia"/>
          <w:color w:val="auto"/>
          <w:lang w:val="en-US" w:eastAsia="zh-CN"/>
        </w:rPr>
        <w:t>乌尔禾区</w:t>
      </w:r>
      <w:r>
        <w:rPr>
          <w:rFonts w:hint="eastAsia"/>
          <w:color w:val="auto"/>
        </w:rPr>
        <w:t>建设有生活基地，施工期生活污水依托生活基地内既有设施，最终交由乌尔禾区污水处理厂处理，不会对项目区地下水产生影响。</w:t>
      </w:r>
    </w:p>
    <w:p w14:paraId="1FE559D1">
      <w:pPr>
        <w:pStyle w:val="5"/>
        <w:bidi w:val="0"/>
        <w:rPr>
          <w:rFonts w:hint="default"/>
          <w:color w:val="auto"/>
          <w:lang w:val="en-US" w:eastAsia="zh-CN"/>
        </w:rPr>
      </w:pPr>
      <w:r>
        <w:rPr>
          <w:rFonts w:hint="eastAsia"/>
          <w:color w:val="auto"/>
          <w:lang w:val="en-US" w:eastAsia="zh-CN"/>
        </w:rPr>
        <w:t>5.1.4施工期声环境影响分析</w:t>
      </w:r>
    </w:p>
    <w:p w14:paraId="42B53C9E">
      <w:pPr>
        <w:pStyle w:val="33"/>
        <w:bidi w:val="0"/>
        <w:rPr>
          <w:color w:val="auto"/>
        </w:rPr>
      </w:pPr>
      <w:r>
        <w:rPr>
          <w:color w:val="auto"/>
        </w:rPr>
        <w:t>在工程建设过程中，由于运输、平整场地、管沟开挖及回填</w:t>
      </w:r>
      <w:r>
        <w:rPr>
          <w:rFonts w:hint="eastAsia"/>
          <w:color w:val="auto"/>
          <w:lang w:eastAsia="zh-CN"/>
        </w:rPr>
        <w:t>等需</w:t>
      </w:r>
      <w:r>
        <w:rPr>
          <w:color w:val="auto"/>
        </w:rPr>
        <w:t>要使用各种车辆和机械，其产生的噪声，对施工区周围的环境将产生一定的影响。由于施工设备大多属于移动声源，要准确预测施工场地各厂界噪声值较困难，因此本评价只预测各噪声源单独作用时的超标范围，详见</w:t>
      </w:r>
      <w:r>
        <w:rPr>
          <w:color w:val="auto"/>
        </w:rPr>
        <w:fldChar w:fldCharType="begin"/>
      </w:r>
      <w:r>
        <w:rPr>
          <w:color w:val="auto"/>
        </w:rPr>
        <w:instrText xml:space="preserve"> REF _Ref91628787 \h  \* MERGEFORMAT </w:instrText>
      </w:r>
      <w:r>
        <w:rPr>
          <w:color w:val="auto"/>
        </w:rPr>
        <w:fldChar w:fldCharType="separate"/>
      </w:r>
      <w:r>
        <w:rPr>
          <w:color w:val="auto"/>
        </w:rPr>
        <w:t>表</w:t>
      </w:r>
      <w:r>
        <w:rPr>
          <w:rFonts w:hint="eastAsia"/>
          <w:color w:val="auto"/>
          <w:lang w:val="en-US" w:eastAsia="zh-CN"/>
        </w:rPr>
        <w:t>5</w:t>
      </w:r>
      <w:r>
        <w:rPr>
          <w:color w:val="auto"/>
        </w:rPr>
        <w:fldChar w:fldCharType="end"/>
      </w:r>
      <w:r>
        <w:rPr>
          <w:rFonts w:hint="eastAsia"/>
          <w:color w:val="auto"/>
          <w:lang w:val="en-US" w:eastAsia="zh-CN"/>
        </w:rPr>
        <w:t>.1-2</w:t>
      </w:r>
      <w:r>
        <w:rPr>
          <w:color w:val="auto"/>
        </w:rPr>
        <w:t>。由</w:t>
      </w:r>
      <w:r>
        <w:rPr>
          <w:color w:val="auto"/>
        </w:rPr>
        <w:fldChar w:fldCharType="begin"/>
      </w:r>
      <w:r>
        <w:rPr>
          <w:color w:val="auto"/>
        </w:rPr>
        <w:instrText xml:space="preserve"> REF _Ref91628787 \h  \* MERGEFORMAT </w:instrText>
      </w:r>
      <w:r>
        <w:rPr>
          <w:color w:val="auto"/>
        </w:rPr>
        <w:fldChar w:fldCharType="separate"/>
      </w:r>
      <w:r>
        <w:rPr>
          <w:color w:val="auto"/>
        </w:rPr>
        <w:t>表</w:t>
      </w:r>
      <w:r>
        <w:rPr>
          <w:rFonts w:hint="eastAsia"/>
          <w:color w:val="auto"/>
          <w:lang w:val="en-US" w:eastAsia="zh-CN"/>
        </w:rPr>
        <w:t>5</w:t>
      </w:r>
      <w:r>
        <w:rPr>
          <w:color w:val="auto"/>
        </w:rPr>
        <w:fldChar w:fldCharType="end"/>
      </w:r>
      <w:r>
        <w:rPr>
          <w:rFonts w:hint="eastAsia"/>
          <w:color w:val="auto"/>
          <w:lang w:val="en-US" w:eastAsia="zh-CN"/>
        </w:rPr>
        <w:t>.1-2</w:t>
      </w:r>
      <w:r>
        <w:rPr>
          <w:color w:val="auto"/>
        </w:rPr>
        <w:t>可知，运输、平整场地、管沟开挖及回填等施工过程中，昼间施工场界噪声均不超过建筑施工场界噪声限值，而夜间有时会超标。昼间，施工设备挖掘机、推土机、吊管机、电焊机20m处噪声达标，电焊机10m处噪声符合标准要求；夜间，推土机、吊管机80m处噪声符合标准要求，挖掘机100m处噪声达标，电焊机40m处达标。</w:t>
      </w:r>
    </w:p>
    <w:p w14:paraId="09882672">
      <w:pPr>
        <w:pStyle w:val="43"/>
        <w:bidi w:val="0"/>
        <w:rPr>
          <w:rFonts w:cs="Times New Roman"/>
          <w:color w:val="auto"/>
        </w:rPr>
      </w:pPr>
      <w:bookmarkStart w:id="250" w:name="_Ref91628787"/>
      <w:r>
        <w:rPr>
          <w:rFonts w:cs="Times New Roman"/>
          <w:color w:val="auto"/>
        </w:rPr>
        <w:t>表</w:t>
      </w:r>
      <w:r>
        <w:rPr>
          <w:rFonts w:hint="eastAsia" w:cs="Times New Roman"/>
          <w:color w:val="auto"/>
          <w:lang w:val="en-US" w:eastAsia="zh-CN"/>
        </w:rPr>
        <w:t>5.1</w:t>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hint="eastAsia" w:cs="Times New Roman"/>
          <w:color w:val="auto"/>
          <w:lang w:val="en-US" w:eastAsia="zh-CN"/>
        </w:rPr>
        <w:t>2</w:t>
      </w:r>
      <w:r>
        <w:rPr>
          <w:rFonts w:cs="Times New Roman"/>
          <w:color w:val="auto"/>
        </w:rPr>
        <w:fldChar w:fldCharType="end"/>
      </w:r>
      <w:bookmarkEnd w:id="250"/>
      <w:r>
        <w:rPr>
          <w:rFonts w:cs="Times New Roman"/>
          <w:color w:val="auto"/>
        </w:rPr>
        <w:t xml:space="preserve">  主要施工设备噪声随距离衰减一览表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901"/>
        <w:gridCol w:w="799"/>
        <w:gridCol w:w="800"/>
        <w:gridCol w:w="800"/>
        <w:gridCol w:w="800"/>
        <w:gridCol w:w="799"/>
        <w:gridCol w:w="800"/>
        <w:gridCol w:w="800"/>
        <w:gridCol w:w="800"/>
        <w:gridCol w:w="769"/>
        <w:gridCol w:w="766"/>
      </w:tblGrid>
      <w:tr w14:paraId="6759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jc w:val="center"/>
        </w:trPr>
        <w:tc>
          <w:tcPr>
            <w:tcW w:w="510" w:type="pct"/>
            <w:vMerge w:val="restart"/>
            <w:shd w:val="clear" w:color="auto" w:fill="auto"/>
            <w:vAlign w:val="center"/>
          </w:tcPr>
          <w:p w14:paraId="6D17A0F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距离</w:t>
            </w:r>
          </w:p>
        </w:tc>
        <w:tc>
          <w:tcPr>
            <w:tcW w:w="452" w:type="pct"/>
            <w:vMerge w:val="restart"/>
            <w:shd w:val="clear" w:color="auto" w:fill="auto"/>
            <w:vAlign w:val="center"/>
          </w:tcPr>
          <w:p w14:paraId="25ADA62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1m</w:t>
            </w:r>
          </w:p>
        </w:tc>
        <w:tc>
          <w:tcPr>
            <w:tcW w:w="453" w:type="pct"/>
            <w:vMerge w:val="restart"/>
            <w:shd w:val="clear" w:color="auto" w:fill="auto"/>
            <w:vAlign w:val="center"/>
          </w:tcPr>
          <w:p w14:paraId="37C8427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10m</w:t>
            </w:r>
          </w:p>
        </w:tc>
        <w:tc>
          <w:tcPr>
            <w:tcW w:w="453" w:type="pct"/>
            <w:vMerge w:val="restart"/>
            <w:shd w:val="clear" w:color="auto" w:fill="auto"/>
            <w:vAlign w:val="center"/>
          </w:tcPr>
          <w:p w14:paraId="787BB78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20m</w:t>
            </w:r>
          </w:p>
        </w:tc>
        <w:tc>
          <w:tcPr>
            <w:tcW w:w="453" w:type="pct"/>
            <w:vMerge w:val="restart"/>
            <w:shd w:val="clear" w:color="auto" w:fill="auto"/>
            <w:vAlign w:val="center"/>
          </w:tcPr>
          <w:p w14:paraId="3564A78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40m</w:t>
            </w:r>
          </w:p>
        </w:tc>
        <w:tc>
          <w:tcPr>
            <w:tcW w:w="452" w:type="pct"/>
            <w:vMerge w:val="restart"/>
            <w:shd w:val="clear" w:color="auto" w:fill="auto"/>
            <w:vAlign w:val="center"/>
          </w:tcPr>
          <w:p w14:paraId="327E24F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80m</w:t>
            </w:r>
          </w:p>
        </w:tc>
        <w:tc>
          <w:tcPr>
            <w:tcW w:w="453" w:type="pct"/>
            <w:vMerge w:val="restart"/>
            <w:shd w:val="clear" w:color="auto" w:fill="auto"/>
            <w:vAlign w:val="center"/>
          </w:tcPr>
          <w:p w14:paraId="5D2881D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100m</w:t>
            </w:r>
          </w:p>
        </w:tc>
        <w:tc>
          <w:tcPr>
            <w:tcW w:w="453" w:type="pct"/>
            <w:vMerge w:val="restart"/>
            <w:shd w:val="clear" w:color="auto" w:fill="auto"/>
            <w:vAlign w:val="center"/>
          </w:tcPr>
          <w:p w14:paraId="731BB1D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200m</w:t>
            </w:r>
          </w:p>
        </w:tc>
        <w:tc>
          <w:tcPr>
            <w:tcW w:w="453" w:type="pct"/>
            <w:vMerge w:val="restart"/>
            <w:shd w:val="clear" w:color="auto" w:fill="auto"/>
            <w:vAlign w:val="center"/>
          </w:tcPr>
          <w:p w14:paraId="5651A24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400m</w:t>
            </w:r>
          </w:p>
        </w:tc>
        <w:tc>
          <w:tcPr>
            <w:tcW w:w="870" w:type="pct"/>
            <w:gridSpan w:val="2"/>
            <w:shd w:val="clear" w:color="auto" w:fill="auto"/>
            <w:vAlign w:val="center"/>
          </w:tcPr>
          <w:p w14:paraId="18DA3F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r>
      <w:tr w14:paraId="5F17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10" w:type="pct"/>
            <w:vMerge w:val="continue"/>
            <w:shd w:val="clear" w:color="auto" w:fill="auto"/>
            <w:vAlign w:val="center"/>
          </w:tcPr>
          <w:p w14:paraId="3209ABC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52" w:type="pct"/>
            <w:vMerge w:val="continue"/>
            <w:shd w:val="clear" w:color="auto" w:fill="auto"/>
            <w:vAlign w:val="center"/>
          </w:tcPr>
          <w:p w14:paraId="16635BB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53" w:type="pct"/>
            <w:vMerge w:val="continue"/>
            <w:shd w:val="clear" w:color="auto" w:fill="auto"/>
            <w:vAlign w:val="center"/>
          </w:tcPr>
          <w:p w14:paraId="5D5445D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53" w:type="pct"/>
            <w:vMerge w:val="continue"/>
            <w:shd w:val="clear" w:color="auto" w:fill="auto"/>
            <w:vAlign w:val="center"/>
          </w:tcPr>
          <w:p w14:paraId="69EDB36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53" w:type="pct"/>
            <w:vMerge w:val="continue"/>
            <w:shd w:val="clear" w:color="auto" w:fill="auto"/>
            <w:vAlign w:val="center"/>
          </w:tcPr>
          <w:p w14:paraId="55E496E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52" w:type="pct"/>
            <w:vMerge w:val="continue"/>
            <w:shd w:val="clear" w:color="auto" w:fill="auto"/>
            <w:vAlign w:val="center"/>
          </w:tcPr>
          <w:p w14:paraId="18204BD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53" w:type="pct"/>
            <w:vMerge w:val="continue"/>
            <w:shd w:val="clear" w:color="auto" w:fill="auto"/>
            <w:vAlign w:val="center"/>
          </w:tcPr>
          <w:p w14:paraId="74754D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53" w:type="pct"/>
            <w:vMerge w:val="continue"/>
            <w:shd w:val="clear" w:color="auto" w:fill="auto"/>
            <w:vAlign w:val="center"/>
          </w:tcPr>
          <w:p w14:paraId="70F7F73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53" w:type="pct"/>
            <w:vMerge w:val="continue"/>
            <w:shd w:val="clear" w:color="auto" w:fill="auto"/>
            <w:vAlign w:val="center"/>
          </w:tcPr>
          <w:p w14:paraId="39C2C0C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435" w:type="pct"/>
            <w:shd w:val="clear" w:color="auto" w:fill="auto"/>
            <w:vAlign w:val="center"/>
          </w:tcPr>
          <w:p w14:paraId="522DA8D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435" w:type="pct"/>
            <w:shd w:val="clear" w:color="auto" w:fill="auto"/>
            <w:vAlign w:val="center"/>
          </w:tcPr>
          <w:p w14:paraId="600D5C5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1096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10" w:type="pct"/>
            <w:shd w:val="clear" w:color="auto" w:fill="auto"/>
            <w:vAlign w:val="center"/>
          </w:tcPr>
          <w:p w14:paraId="0D5F39A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挖掘机</w:t>
            </w:r>
          </w:p>
        </w:tc>
        <w:tc>
          <w:tcPr>
            <w:tcW w:w="452" w:type="pct"/>
            <w:shd w:val="clear" w:color="auto" w:fill="auto"/>
            <w:vAlign w:val="center"/>
          </w:tcPr>
          <w:p w14:paraId="520199A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w:t>
            </w:r>
          </w:p>
        </w:tc>
        <w:tc>
          <w:tcPr>
            <w:tcW w:w="453" w:type="pct"/>
            <w:shd w:val="clear" w:color="auto" w:fill="auto"/>
            <w:vAlign w:val="center"/>
          </w:tcPr>
          <w:p w14:paraId="2459CFF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453" w:type="pct"/>
            <w:shd w:val="clear" w:color="auto" w:fill="auto"/>
            <w:vAlign w:val="center"/>
          </w:tcPr>
          <w:p w14:paraId="3B065FB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453" w:type="pct"/>
            <w:shd w:val="clear" w:color="auto" w:fill="auto"/>
            <w:vAlign w:val="center"/>
          </w:tcPr>
          <w:p w14:paraId="4EDCA49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452" w:type="pct"/>
            <w:shd w:val="clear" w:color="auto" w:fill="auto"/>
            <w:vAlign w:val="center"/>
          </w:tcPr>
          <w:p w14:paraId="0F35E30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453" w:type="pct"/>
            <w:shd w:val="clear" w:color="auto" w:fill="auto"/>
            <w:vAlign w:val="center"/>
          </w:tcPr>
          <w:p w14:paraId="53D0D0B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453" w:type="pct"/>
            <w:shd w:val="clear" w:color="auto" w:fill="auto"/>
            <w:vAlign w:val="center"/>
          </w:tcPr>
          <w:p w14:paraId="6A5E7AC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453" w:type="pct"/>
            <w:shd w:val="clear" w:color="auto" w:fill="auto"/>
            <w:vAlign w:val="center"/>
          </w:tcPr>
          <w:p w14:paraId="780B1D4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435" w:type="pct"/>
            <w:vMerge w:val="restart"/>
            <w:shd w:val="clear" w:color="auto" w:fill="auto"/>
            <w:vAlign w:val="center"/>
          </w:tcPr>
          <w:p w14:paraId="3961B8D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435" w:type="pct"/>
            <w:vMerge w:val="restart"/>
            <w:shd w:val="clear" w:color="auto" w:fill="auto"/>
            <w:vAlign w:val="center"/>
          </w:tcPr>
          <w:p w14:paraId="4CE860A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14:paraId="63AC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10" w:type="pct"/>
            <w:shd w:val="clear" w:color="auto" w:fill="auto"/>
            <w:vAlign w:val="center"/>
          </w:tcPr>
          <w:p w14:paraId="18E39A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推土机</w:t>
            </w:r>
          </w:p>
        </w:tc>
        <w:tc>
          <w:tcPr>
            <w:tcW w:w="452" w:type="pct"/>
            <w:shd w:val="clear" w:color="auto" w:fill="auto"/>
            <w:vAlign w:val="center"/>
          </w:tcPr>
          <w:p w14:paraId="1CCC904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453" w:type="pct"/>
            <w:shd w:val="clear" w:color="auto" w:fill="auto"/>
            <w:vAlign w:val="center"/>
          </w:tcPr>
          <w:p w14:paraId="62107DD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w:t>
            </w:r>
          </w:p>
        </w:tc>
        <w:tc>
          <w:tcPr>
            <w:tcW w:w="453" w:type="pct"/>
            <w:shd w:val="clear" w:color="auto" w:fill="auto"/>
            <w:vAlign w:val="center"/>
          </w:tcPr>
          <w:p w14:paraId="1ABCCE6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453" w:type="pct"/>
            <w:shd w:val="clear" w:color="auto" w:fill="auto"/>
            <w:vAlign w:val="center"/>
          </w:tcPr>
          <w:p w14:paraId="6237FF7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52" w:type="pct"/>
            <w:shd w:val="clear" w:color="auto" w:fill="auto"/>
            <w:vAlign w:val="center"/>
          </w:tcPr>
          <w:p w14:paraId="4D6B09C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453" w:type="pct"/>
            <w:shd w:val="clear" w:color="auto" w:fill="auto"/>
            <w:vAlign w:val="center"/>
          </w:tcPr>
          <w:p w14:paraId="41C7A42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453" w:type="pct"/>
            <w:shd w:val="clear" w:color="auto" w:fill="auto"/>
            <w:vAlign w:val="center"/>
          </w:tcPr>
          <w:p w14:paraId="5780CAC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453" w:type="pct"/>
            <w:shd w:val="clear" w:color="auto" w:fill="auto"/>
            <w:vAlign w:val="center"/>
          </w:tcPr>
          <w:p w14:paraId="24781FF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435" w:type="pct"/>
            <w:vMerge w:val="continue"/>
            <w:shd w:val="clear" w:color="auto" w:fill="auto"/>
            <w:vAlign w:val="center"/>
          </w:tcPr>
          <w:p w14:paraId="15A968B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435" w:type="pct"/>
            <w:vMerge w:val="continue"/>
            <w:shd w:val="clear" w:color="auto" w:fill="auto"/>
            <w:vAlign w:val="center"/>
          </w:tcPr>
          <w:p w14:paraId="77CBA03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r>
      <w:tr w14:paraId="35D7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10" w:type="pct"/>
            <w:shd w:val="clear" w:color="auto" w:fill="auto"/>
            <w:vAlign w:val="center"/>
          </w:tcPr>
          <w:p w14:paraId="4D72DFF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吊管机</w:t>
            </w:r>
          </w:p>
        </w:tc>
        <w:tc>
          <w:tcPr>
            <w:tcW w:w="452" w:type="pct"/>
            <w:shd w:val="clear" w:color="auto" w:fill="auto"/>
            <w:vAlign w:val="center"/>
          </w:tcPr>
          <w:p w14:paraId="215428A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c>
          <w:tcPr>
            <w:tcW w:w="453" w:type="pct"/>
            <w:shd w:val="clear" w:color="auto" w:fill="auto"/>
            <w:vAlign w:val="center"/>
          </w:tcPr>
          <w:p w14:paraId="6111CF9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453" w:type="pct"/>
            <w:shd w:val="clear" w:color="auto" w:fill="auto"/>
            <w:vAlign w:val="center"/>
          </w:tcPr>
          <w:p w14:paraId="0B58F47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453" w:type="pct"/>
            <w:shd w:val="clear" w:color="auto" w:fill="auto"/>
            <w:vAlign w:val="center"/>
          </w:tcPr>
          <w:p w14:paraId="2D7E26E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452" w:type="pct"/>
            <w:shd w:val="clear" w:color="auto" w:fill="auto"/>
            <w:vAlign w:val="center"/>
          </w:tcPr>
          <w:p w14:paraId="13A080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453" w:type="pct"/>
            <w:shd w:val="clear" w:color="auto" w:fill="auto"/>
            <w:vAlign w:val="center"/>
          </w:tcPr>
          <w:p w14:paraId="61EF7AA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453" w:type="pct"/>
            <w:shd w:val="clear" w:color="auto" w:fill="auto"/>
            <w:vAlign w:val="center"/>
          </w:tcPr>
          <w:p w14:paraId="06B8530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453" w:type="pct"/>
            <w:shd w:val="clear" w:color="auto" w:fill="auto"/>
            <w:vAlign w:val="center"/>
          </w:tcPr>
          <w:p w14:paraId="1EA3E5F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435" w:type="pct"/>
            <w:vMerge w:val="continue"/>
            <w:shd w:val="clear" w:color="auto" w:fill="auto"/>
            <w:vAlign w:val="center"/>
          </w:tcPr>
          <w:p w14:paraId="35FE463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435" w:type="pct"/>
            <w:vMerge w:val="continue"/>
            <w:shd w:val="clear" w:color="auto" w:fill="auto"/>
            <w:vAlign w:val="center"/>
          </w:tcPr>
          <w:p w14:paraId="64E2230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r>
      <w:tr w14:paraId="7065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10" w:type="pct"/>
            <w:shd w:val="clear" w:color="auto" w:fill="auto"/>
            <w:vAlign w:val="center"/>
          </w:tcPr>
          <w:p w14:paraId="27823F5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电焊机</w:t>
            </w:r>
          </w:p>
        </w:tc>
        <w:tc>
          <w:tcPr>
            <w:tcW w:w="452" w:type="pct"/>
            <w:shd w:val="clear" w:color="auto" w:fill="auto"/>
            <w:vAlign w:val="center"/>
          </w:tcPr>
          <w:p w14:paraId="289F4F5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3" w:type="pct"/>
            <w:shd w:val="clear" w:color="auto" w:fill="auto"/>
            <w:vAlign w:val="center"/>
          </w:tcPr>
          <w:p w14:paraId="3A8D18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453" w:type="pct"/>
            <w:shd w:val="clear" w:color="auto" w:fill="auto"/>
            <w:vAlign w:val="center"/>
          </w:tcPr>
          <w:p w14:paraId="554439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453" w:type="pct"/>
            <w:shd w:val="clear" w:color="auto" w:fill="auto"/>
            <w:vAlign w:val="center"/>
          </w:tcPr>
          <w:p w14:paraId="6332D90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452" w:type="pct"/>
            <w:shd w:val="clear" w:color="auto" w:fill="auto"/>
            <w:vAlign w:val="center"/>
          </w:tcPr>
          <w:p w14:paraId="75BFB93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453" w:type="pct"/>
            <w:shd w:val="clear" w:color="auto" w:fill="auto"/>
            <w:vAlign w:val="center"/>
          </w:tcPr>
          <w:p w14:paraId="38AFDB1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453" w:type="pct"/>
            <w:shd w:val="clear" w:color="auto" w:fill="auto"/>
            <w:vAlign w:val="center"/>
          </w:tcPr>
          <w:p w14:paraId="3A8AFA8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453" w:type="pct"/>
            <w:shd w:val="clear" w:color="auto" w:fill="auto"/>
            <w:vAlign w:val="center"/>
          </w:tcPr>
          <w:p w14:paraId="56BDCF6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35" w:type="pct"/>
            <w:vMerge w:val="continue"/>
            <w:shd w:val="clear" w:color="auto" w:fill="auto"/>
            <w:vAlign w:val="center"/>
          </w:tcPr>
          <w:p w14:paraId="5103C5D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435" w:type="pct"/>
            <w:vMerge w:val="continue"/>
            <w:shd w:val="clear" w:color="auto" w:fill="auto"/>
            <w:vAlign w:val="center"/>
          </w:tcPr>
          <w:p w14:paraId="0E503F6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r>
    </w:tbl>
    <w:p w14:paraId="0DA3F630">
      <w:pPr>
        <w:pStyle w:val="11"/>
        <w:bidi w:val="0"/>
        <w:rPr>
          <w:rFonts w:ascii="Times New Roman" w:hAnsi="Times New Roman" w:eastAsia="宋体"/>
          <w:color w:val="auto"/>
        </w:rPr>
      </w:pPr>
      <w:r>
        <w:rPr>
          <w:rFonts w:ascii="Times New Roman" w:hAnsi="Times New Roman" w:eastAsia="宋体"/>
          <w:color w:val="auto"/>
        </w:rPr>
        <w:t>本</w:t>
      </w:r>
      <w:r>
        <w:rPr>
          <w:rFonts w:hint="eastAsia" w:ascii="Times New Roman" w:hAnsi="Times New Roman" w:eastAsia="宋体"/>
          <w:color w:val="auto"/>
          <w:lang w:val="en-US" w:eastAsia="zh-CN"/>
        </w:rPr>
        <w:t>工程</w:t>
      </w:r>
      <w:r>
        <w:rPr>
          <w:rFonts w:ascii="Times New Roman" w:hAnsi="Times New Roman" w:eastAsia="宋体"/>
          <w:color w:val="auto"/>
        </w:rPr>
        <w:t>周围200m范围内无居民等声环境敏感目标，</w:t>
      </w:r>
      <w:r>
        <w:rPr>
          <w:rFonts w:hint="default" w:ascii="Times New Roman" w:hAnsi="Times New Roman" w:eastAsia="宋体"/>
          <w:color w:val="auto"/>
        </w:rPr>
        <w:t>不产生噪声扰民现象，对局部环境的影响是暂时的，施工期间产生的噪声对周围环境的影响是可以接受的。</w:t>
      </w:r>
    </w:p>
    <w:p w14:paraId="37FAF1A3">
      <w:pPr>
        <w:pStyle w:val="5"/>
        <w:bidi w:val="0"/>
        <w:rPr>
          <w:rFonts w:hint="default"/>
          <w:color w:val="auto"/>
          <w:lang w:val="en-US" w:eastAsia="zh-CN"/>
        </w:rPr>
      </w:pPr>
      <w:r>
        <w:rPr>
          <w:rFonts w:hint="eastAsia"/>
          <w:color w:val="auto"/>
          <w:lang w:val="en-US" w:eastAsia="zh-CN"/>
        </w:rPr>
        <w:t>5.1.5施工期固体废物影响分析</w:t>
      </w:r>
    </w:p>
    <w:p w14:paraId="73221D67">
      <w:pPr>
        <w:pStyle w:val="11"/>
        <w:bidi w:val="0"/>
        <w:rPr>
          <w:rFonts w:hint="eastAsia"/>
          <w:color w:val="auto"/>
        </w:rPr>
      </w:pPr>
      <w:r>
        <w:rPr>
          <w:rFonts w:hint="eastAsia"/>
          <w:color w:val="auto"/>
        </w:rPr>
        <w:t>施工期固体废物主要为施工人员生活垃圾；施工过程中产生的各种废料，如废边角料、废包装物、废防腐材料等施工废料以及施工土方。</w:t>
      </w:r>
    </w:p>
    <w:p w14:paraId="0F18BBAD">
      <w:pPr>
        <w:pStyle w:val="11"/>
        <w:bidi w:val="0"/>
        <w:rPr>
          <w:rFonts w:hint="eastAsia"/>
          <w:color w:val="auto"/>
        </w:rPr>
      </w:pPr>
      <w:r>
        <w:rPr>
          <w:rFonts w:hint="eastAsia"/>
          <w:color w:val="auto"/>
        </w:rPr>
        <w:t>施工过程中产生的生活垃圾集中收集，施工结束后清运至乌尔禾区生活垃圾填埋场填埋处理。</w:t>
      </w:r>
    </w:p>
    <w:p w14:paraId="576F610D">
      <w:pPr>
        <w:pStyle w:val="11"/>
        <w:bidi w:val="0"/>
        <w:rPr>
          <w:rFonts w:hint="eastAsia"/>
          <w:color w:val="auto"/>
        </w:rPr>
      </w:pPr>
      <w:r>
        <w:rPr>
          <w:rFonts w:hint="eastAsia"/>
          <w:color w:val="auto"/>
        </w:rPr>
        <w:t>根据工程分析，本</w:t>
      </w:r>
      <w:r>
        <w:rPr>
          <w:rFonts w:hint="eastAsia"/>
          <w:color w:val="auto"/>
          <w:lang w:val="en-US" w:eastAsia="zh-CN"/>
        </w:rPr>
        <w:t>工程</w:t>
      </w:r>
      <w:r>
        <w:rPr>
          <w:rFonts w:hint="eastAsia"/>
          <w:color w:val="auto"/>
        </w:rPr>
        <w:t>管线敷设完工后，土方回填至管沟，将剩余的</w:t>
      </w:r>
      <w:r>
        <w:rPr>
          <w:rFonts w:hint="eastAsia"/>
          <w:color w:val="auto"/>
          <w:lang w:eastAsia="zh-CN"/>
        </w:rPr>
        <w:t>土方</w:t>
      </w:r>
      <w:r>
        <w:rPr>
          <w:rFonts w:hint="eastAsia"/>
          <w:color w:val="auto"/>
        </w:rPr>
        <w:t>回填在管廊上，并实施压实平整水土保持措施。</w:t>
      </w:r>
    </w:p>
    <w:p w14:paraId="3B2A55FA">
      <w:pPr>
        <w:pStyle w:val="11"/>
        <w:bidi w:val="0"/>
        <w:rPr>
          <w:rFonts w:hint="eastAsia"/>
          <w:color w:val="auto"/>
        </w:rPr>
      </w:pPr>
      <w:r>
        <w:rPr>
          <w:rFonts w:hint="eastAsia"/>
          <w:color w:val="auto"/>
        </w:rPr>
        <w:t>施工过程中使用材料产生的废边角料等由施工单位统一回收利用，废包装物、废砖块等无法再利用的集中堆放，定期送至乌尔禾区建筑垃圾填埋场填埋处理。</w:t>
      </w:r>
    </w:p>
    <w:p w14:paraId="46CA22EE">
      <w:pPr>
        <w:pStyle w:val="5"/>
        <w:bidi w:val="0"/>
        <w:rPr>
          <w:rFonts w:hint="default"/>
          <w:color w:val="auto"/>
          <w:lang w:val="en-US" w:eastAsia="zh-CN"/>
        </w:rPr>
      </w:pPr>
      <w:r>
        <w:rPr>
          <w:rFonts w:hint="eastAsia"/>
          <w:color w:val="auto"/>
          <w:lang w:val="en-US" w:eastAsia="zh-CN"/>
        </w:rPr>
        <w:t>5.1.6施工期土壤环境影响分析</w:t>
      </w:r>
    </w:p>
    <w:p w14:paraId="017D5B1F">
      <w:pPr>
        <w:pStyle w:val="11"/>
        <w:bidi w:val="0"/>
        <w:rPr>
          <w:rFonts w:hint="eastAsia" w:ascii="Times New Roman" w:hAnsi="Times New Roman" w:eastAsia="宋体"/>
          <w:color w:val="auto"/>
          <w:lang w:eastAsia="zh-CN"/>
        </w:rPr>
      </w:pPr>
      <w:r>
        <w:rPr>
          <w:rFonts w:ascii="Times New Roman" w:hAnsi="Times New Roman" w:eastAsia="宋体"/>
          <w:color w:val="auto"/>
        </w:rPr>
        <w:t>本</w:t>
      </w:r>
      <w:r>
        <w:rPr>
          <w:rFonts w:hint="eastAsia" w:ascii="Times New Roman" w:hAnsi="Times New Roman" w:eastAsia="宋体"/>
          <w:color w:val="auto"/>
          <w:lang w:val="en-US" w:eastAsia="zh-CN"/>
        </w:rPr>
        <w:t>工程</w:t>
      </w:r>
      <w:r>
        <w:rPr>
          <w:rFonts w:ascii="Times New Roman" w:hAnsi="Times New Roman" w:eastAsia="宋体"/>
          <w:color w:val="auto"/>
        </w:rPr>
        <w:t>施工期工程内容包括井场地面工程、管线工程，涉及土地开挖工程，对土壤环境造成影响。</w:t>
      </w:r>
    </w:p>
    <w:p w14:paraId="6DD695D7">
      <w:pPr>
        <w:pStyle w:val="11"/>
        <w:bidi w:val="0"/>
        <w:rPr>
          <w:rFonts w:ascii="Times New Roman" w:hAnsi="Times New Roman" w:eastAsia="宋体"/>
          <w:color w:val="auto"/>
        </w:rPr>
      </w:pPr>
      <w:r>
        <w:rPr>
          <w:rFonts w:ascii="Times New Roman" w:hAnsi="Times New Roman" w:eastAsia="宋体"/>
          <w:color w:val="auto"/>
        </w:rPr>
        <w:t>（1）破坏土壤结构</w:t>
      </w:r>
    </w:p>
    <w:p w14:paraId="4ADCE673">
      <w:pPr>
        <w:pStyle w:val="11"/>
        <w:bidi w:val="0"/>
        <w:rPr>
          <w:rFonts w:ascii="Times New Roman" w:hAnsi="Times New Roman" w:eastAsia="宋体"/>
          <w:color w:val="auto"/>
        </w:rPr>
      </w:pPr>
      <w:r>
        <w:rPr>
          <w:rFonts w:ascii="Times New Roman" w:hAnsi="Times New Roman" w:eastAsia="宋体"/>
          <w:color w:val="auto"/>
        </w:rPr>
        <w:t>土壤结构的形成需要漫长的时间，施工期在开挖和填埋时，必将破坏土壤结构，干扰了团粒结构的自然形成过程。作为土壤质量重要指标的团粒结构一旦遭到破坏，需要经过较长的时间才能恢复。</w:t>
      </w:r>
    </w:p>
    <w:p w14:paraId="619CF5B8">
      <w:pPr>
        <w:pStyle w:val="11"/>
        <w:bidi w:val="0"/>
        <w:rPr>
          <w:rFonts w:hint="eastAsia" w:ascii="Times New Roman" w:hAnsi="Times New Roman" w:eastAsia="宋体"/>
          <w:color w:val="auto"/>
          <w:lang w:eastAsia="zh-CN"/>
        </w:rPr>
      </w:pPr>
      <w:r>
        <w:rPr>
          <w:rFonts w:ascii="Times New Roman" w:hAnsi="Times New Roman" w:eastAsia="宋体"/>
          <w:color w:val="auto"/>
        </w:rPr>
        <w:t>（2）混合土壤层次</w:t>
      </w:r>
    </w:p>
    <w:p w14:paraId="0D08D195">
      <w:pPr>
        <w:pStyle w:val="11"/>
        <w:bidi w:val="0"/>
        <w:rPr>
          <w:rFonts w:ascii="Times New Roman" w:hAnsi="Times New Roman" w:eastAsia="宋体"/>
          <w:color w:val="auto"/>
        </w:rPr>
      </w:pPr>
      <w:r>
        <w:rPr>
          <w:rFonts w:ascii="Times New Roman" w:hAnsi="Times New Roman" w:eastAsia="宋体"/>
          <w:color w:val="auto"/>
        </w:rPr>
        <w:t>改变土壤质地，土壤表层质地与底层的质地截然不同，管道的开挖与回填，会混合原有的土壤层次，降低土壤的蓄水保肥能力，易受风蚀，从而影响土壤的发育、植被的恢复。</w:t>
      </w:r>
    </w:p>
    <w:p w14:paraId="20BCC95B">
      <w:pPr>
        <w:pStyle w:val="11"/>
        <w:bidi w:val="0"/>
        <w:rPr>
          <w:rFonts w:ascii="Times New Roman" w:hAnsi="Times New Roman" w:eastAsia="宋体"/>
          <w:color w:val="auto"/>
        </w:rPr>
      </w:pPr>
      <w:r>
        <w:rPr>
          <w:rFonts w:ascii="Times New Roman" w:hAnsi="Times New Roman" w:eastAsia="宋体"/>
          <w:color w:val="auto"/>
        </w:rPr>
        <w:t>（3）土壤养分流失</w:t>
      </w:r>
    </w:p>
    <w:p w14:paraId="3F11BAD3">
      <w:pPr>
        <w:pStyle w:val="11"/>
        <w:bidi w:val="0"/>
        <w:rPr>
          <w:rFonts w:ascii="Times New Roman" w:hAnsi="Times New Roman" w:eastAsia="宋体"/>
          <w:color w:val="auto"/>
        </w:rPr>
      </w:pPr>
      <w:r>
        <w:rPr>
          <w:rFonts w:ascii="Times New Roman" w:hAnsi="Times New Roman" w:eastAsia="宋体"/>
          <w:color w:val="auto"/>
        </w:rPr>
        <w:t>在土壤剖面中各个土层中，就养分状况而言，表土层（腐殖质层、耕作层）远较心土层好，其有机质、全氮、全磷均较其他层次高。施工作业对原有的土体构型产生扰动，使土壤性质发生变化，土壤养分流失，从而影响植物的生长。根据国内外有关资料，即使在实行分层堆放、分层覆土的措施下，土壤的有机质还将下降30%～40%，土壤养分下降30%～50%，其中全氮下降43%左右，磷素下降40%，钾素下降43%。若不实行分层堆放和分层覆土，则土壤养分流失量更大。</w:t>
      </w:r>
    </w:p>
    <w:p w14:paraId="491AF5CC">
      <w:pPr>
        <w:pStyle w:val="11"/>
        <w:bidi w:val="0"/>
        <w:rPr>
          <w:rFonts w:hint="eastAsia" w:ascii="Times New Roman" w:hAnsi="Times New Roman" w:eastAsia="宋体"/>
          <w:color w:val="auto"/>
          <w:lang w:eastAsia="zh-CN"/>
        </w:rPr>
      </w:pPr>
      <w:r>
        <w:rPr>
          <w:rFonts w:ascii="Times New Roman" w:hAnsi="Times New Roman" w:eastAsia="宋体"/>
          <w:color w:val="auto"/>
        </w:rPr>
        <w:t>（4）土壤侵蚀</w:t>
      </w:r>
    </w:p>
    <w:p w14:paraId="20E5503D">
      <w:pPr>
        <w:pStyle w:val="11"/>
        <w:bidi w:val="0"/>
        <w:rPr>
          <w:rFonts w:hint="eastAsia" w:ascii="Times New Roman" w:hAnsi="Times New Roman" w:eastAsia="宋体"/>
          <w:color w:val="auto"/>
          <w:lang w:eastAsia="zh-CN"/>
        </w:rPr>
      </w:pPr>
      <w:r>
        <w:rPr>
          <w:rFonts w:ascii="Times New Roman" w:hAnsi="Times New Roman" w:eastAsia="宋体"/>
          <w:color w:val="auto"/>
        </w:rPr>
        <w:t>建设过程中施工机械和人员将会对道路两侧的植被进行碾压和践踏，对自然植被造成破坏和扰动原来相对稳定的地表，使土壤变得疏松，产生一定面积的裸露地面，造成新增土壤侵蚀。</w:t>
      </w:r>
    </w:p>
    <w:p w14:paraId="44F50376">
      <w:pPr>
        <w:pStyle w:val="11"/>
        <w:bidi w:val="0"/>
        <w:rPr>
          <w:rFonts w:ascii="Times New Roman" w:hAnsi="Times New Roman" w:eastAsia="宋体"/>
          <w:color w:val="auto"/>
        </w:rPr>
      </w:pPr>
      <w:r>
        <w:rPr>
          <w:rFonts w:ascii="Times New Roman" w:hAnsi="Times New Roman" w:eastAsia="宋体"/>
          <w:color w:val="auto"/>
        </w:rPr>
        <w:t>综上，施工结束后对施工场地地表植被进行恢复，可有效减轻建设过程中对土壤环境的影响。</w:t>
      </w:r>
    </w:p>
    <w:p w14:paraId="2E19CBFC">
      <w:pPr>
        <w:pStyle w:val="5"/>
        <w:bidi w:val="0"/>
        <w:rPr>
          <w:rFonts w:hint="default"/>
          <w:color w:val="auto"/>
          <w:lang w:val="en-US" w:eastAsia="zh-CN"/>
        </w:rPr>
      </w:pPr>
      <w:r>
        <w:rPr>
          <w:rFonts w:hint="eastAsia"/>
          <w:color w:val="auto"/>
          <w:lang w:val="en-US" w:eastAsia="zh-CN"/>
        </w:rPr>
        <w:t>5.1.7施工期生态环境影响分析</w:t>
      </w:r>
    </w:p>
    <w:p w14:paraId="5A9DA207">
      <w:pPr>
        <w:pStyle w:val="6"/>
        <w:bidi w:val="0"/>
        <w:rPr>
          <w:rFonts w:hint="default"/>
          <w:color w:val="auto"/>
          <w:lang w:val="en-US" w:eastAsia="zh-CN"/>
        </w:rPr>
      </w:pPr>
      <w:r>
        <w:rPr>
          <w:rFonts w:hint="eastAsia"/>
          <w:color w:val="auto"/>
          <w:lang w:val="en-US" w:eastAsia="zh-CN"/>
        </w:rPr>
        <w:t>5.1.7.1土地利用方式影响分析</w:t>
      </w:r>
    </w:p>
    <w:p w14:paraId="2E658AD2">
      <w:pPr>
        <w:pStyle w:val="11"/>
        <w:bidi w:val="0"/>
        <w:rPr>
          <w:rFonts w:hint="eastAsia" w:ascii="Times New Roman" w:hAnsi="Times New Roman" w:eastAsia="宋体"/>
          <w:color w:val="auto"/>
        </w:rPr>
      </w:pPr>
      <w:r>
        <w:rPr>
          <w:rFonts w:hint="eastAsia" w:ascii="Times New Roman" w:hAnsi="Times New Roman" w:eastAsia="宋体"/>
          <w:color w:val="auto"/>
        </w:rPr>
        <w:t>本工程为原油开发，对土地利用的影响主要表现为工程建设对当地评价区土地利用结构的影响。</w:t>
      </w:r>
    </w:p>
    <w:p w14:paraId="00EB6BCB">
      <w:pPr>
        <w:pStyle w:val="11"/>
        <w:bidi w:val="0"/>
        <w:rPr>
          <w:rFonts w:ascii="Times New Roman" w:hAnsi="Times New Roman" w:eastAsia="宋体"/>
          <w:color w:val="auto"/>
        </w:rPr>
      </w:pPr>
      <w:r>
        <w:rPr>
          <w:rFonts w:hint="eastAsia" w:ascii="Times New Roman" w:hAnsi="Times New Roman" w:eastAsia="宋体"/>
          <w:color w:val="auto"/>
        </w:rPr>
        <w:t>工程井场点状布局</w:t>
      </w:r>
      <w:r>
        <w:rPr>
          <w:rFonts w:hint="eastAsia" w:ascii="Times New Roman" w:hAnsi="Times New Roman" w:eastAsia="宋体"/>
          <w:color w:val="auto"/>
          <w:lang w:eastAsia="zh-CN"/>
        </w:rPr>
        <w:t>，</w:t>
      </w:r>
      <w:r>
        <w:rPr>
          <w:rFonts w:hint="eastAsia" w:ascii="Times New Roman" w:hAnsi="Times New Roman" w:eastAsia="宋体"/>
          <w:color w:val="auto"/>
        </w:rPr>
        <w:t>管线的线状布局特点，其对土地利用格局的影响为点状干扰和线状隔离，井场呈点状分布于油田开发区域，一般情况下除永久占地外，对周围土地利用没有影响，该类临时占地经过1～2年即可恢复。永久占地占评价区比例较小，故项目对评价区土地利用结构影响小。</w:t>
      </w:r>
    </w:p>
    <w:p w14:paraId="2C4E30B6">
      <w:pPr>
        <w:pStyle w:val="6"/>
        <w:bidi w:val="0"/>
        <w:rPr>
          <w:rFonts w:hint="default"/>
          <w:color w:val="auto"/>
          <w:lang w:val="en-US" w:eastAsia="zh-CN"/>
        </w:rPr>
      </w:pPr>
      <w:r>
        <w:rPr>
          <w:rFonts w:hint="eastAsia"/>
          <w:color w:val="auto"/>
          <w:lang w:val="en-US" w:eastAsia="zh-CN"/>
        </w:rPr>
        <w:t>5.1.7.2土壤环境影响分析</w:t>
      </w:r>
    </w:p>
    <w:p w14:paraId="199736AF">
      <w:pPr>
        <w:pStyle w:val="33"/>
        <w:bidi w:val="0"/>
        <w:rPr>
          <w:rFonts w:hint="eastAsia"/>
          <w:color w:val="auto"/>
        </w:rPr>
      </w:pPr>
      <w:r>
        <w:rPr>
          <w:rFonts w:hint="eastAsia"/>
          <w:color w:val="auto"/>
        </w:rPr>
        <w:t>本工程对土壤的影响主要集中在施工期，例如管线施工，使区域地表形态改变、地表扰动、植被破坏，从而造成土壤结构和肥力改变；</w:t>
      </w:r>
      <w:r>
        <w:rPr>
          <w:rFonts w:hint="eastAsia"/>
          <w:color w:val="auto"/>
          <w:lang w:val="en-US" w:eastAsia="zh-CN"/>
        </w:rPr>
        <w:t>施工固体废物</w:t>
      </w:r>
      <w:r>
        <w:rPr>
          <w:rFonts w:hint="eastAsia"/>
          <w:color w:val="auto"/>
        </w:rPr>
        <w:t>处理不当，也可能造成土壤的污染。</w:t>
      </w:r>
    </w:p>
    <w:p w14:paraId="30BE52A6">
      <w:pPr>
        <w:pStyle w:val="33"/>
        <w:bidi w:val="0"/>
        <w:rPr>
          <w:rFonts w:hint="eastAsia"/>
          <w:color w:val="auto"/>
        </w:rPr>
      </w:pPr>
      <w:r>
        <w:rPr>
          <w:rFonts w:hint="eastAsia"/>
          <w:color w:val="auto"/>
        </w:rPr>
        <w:t>1、土壤结构和肥力的影响</w:t>
      </w:r>
    </w:p>
    <w:p w14:paraId="6B9D754F">
      <w:pPr>
        <w:pStyle w:val="33"/>
        <w:bidi w:val="0"/>
        <w:rPr>
          <w:rFonts w:hint="eastAsia"/>
          <w:color w:val="auto"/>
        </w:rPr>
      </w:pPr>
      <w:r>
        <w:rPr>
          <w:rFonts w:hint="eastAsia"/>
          <w:color w:val="auto"/>
        </w:rPr>
        <w:t>土壤结构是经过较长的历史时期形成的，管沟开挖和回填必将破坏土壤的结构，尤其是土壤中的团粒状结构，一旦遭到破坏，必须经过较长的时间才能恢复和发展。表层0~25cm的土壤层是土壤耕作层，也是植物根系生长和发达的层次。工程开挖将扰乱和破坏土壤的耕作层，除开挖的部分受到直接的破坏外，开挖土堆放、施工机械碾压也将破坏土壤结构，增加土壤密度。此外，如果开挖土方管理不善，回填后所产生土层的混合和扰动，也将改变原有土壤层的性质。在施工过</w:t>
      </w:r>
      <w:r>
        <w:rPr>
          <w:rFonts w:hint="eastAsia"/>
          <w:color w:val="auto"/>
          <w:lang w:eastAsia="zh-CN"/>
        </w:rPr>
        <w:t>程中</w:t>
      </w:r>
      <w:r>
        <w:rPr>
          <w:rFonts w:hint="eastAsia"/>
          <w:color w:val="auto"/>
        </w:rPr>
        <w:t>，对土壤上层的影响最为严重，尤其是土壤的耕作层。同时土壤质地因地形和土壤形成条件的不同而有较大变化，即使同一土壤剖面，表层的土壤质地与底层的质地也截然不同。输油管道的开挖与回填，降低土壤的蓄水保肥能力，易受风蚀，从而影响土壤的发育，植被的恢复。</w:t>
      </w:r>
    </w:p>
    <w:p w14:paraId="27C2A2A1">
      <w:pPr>
        <w:pStyle w:val="33"/>
        <w:bidi w:val="0"/>
        <w:rPr>
          <w:rFonts w:hint="eastAsia"/>
          <w:color w:val="auto"/>
        </w:rPr>
      </w:pPr>
      <w:r>
        <w:rPr>
          <w:rFonts w:hint="eastAsia"/>
          <w:color w:val="auto"/>
        </w:rPr>
        <w:t>本工程的临时占地在施工结束后经2~3年后可恢复原有使用功能。部分经过重型施工机械碾压的地表，土体扰动剧烈，使得施工沿线的耕作土壤或自然土壤的理化性质、肥力水平将受到一定程度的影响，并进一步影响地表植被恢复，其影响预计持续3~5年。</w:t>
      </w:r>
    </w:p>
    <w:p w14:paraId="76F16AEF">
      <w:pPr>
        <w:pStyle w:val="33"/>
        <w:bidi w:val="0"/>
        <w:rPr>
          <w:rFonts w:hint="eastAsia"/>
          <w:color w:val="auto"/>
        </w:rPr>
      </w:pPr>
      <w:r>
        <w:rPr>
          <w:rFonts w:hint="eastAsia"/>
          <w:color w:val="auto"/>
        </w:rPr>
        <w:t>2、土壤污染影响</w:t>
      </w:r>
    </w:p>
    <w:p w14:paraId="5D32DAF7">
      <w:pPr>
        <w:pStyle w:val="33"/>
        <w:bidi w:val="0"/>
        <w:rPr>
          <w:rFonts w:hint="eastAsia"/>
          <w:color w:val="auto"/>
        </w:rPr>
      </w:pPr>
      <w:r>
        <w:rPr>
          <w:rFonts w:hint="eastAsia"/>
          <w:color w:val="auto"/>
        </w:rPr>
        <w:t>施工过程中将产生施工垃圾、生活垃圾，以及焊渣、废弃外涂层涂料等废物。这些残留于土壤中固体废物，</w:t>
      </w:r>
      <w:r>
        <w:rPr>
          <w:rFonts w:hint="eastAsia"/>
          <w:color w:val="auto"/>
          <w:lang w:eastAsia="zh-CN"/>
        </w:rPr>
        <w:t>难以</w:t>
      </w:r>
      <w:r>
        <w:rPr>
          <w:rFonts w:hint="eastAsia"/>
          <w:color w:val="auto"/>
        </w:rPr>
        <w:t>分解，埋于土壤中长时间残留。因此，管道施工管理中，应要求施工人员不随意丢弃施工废料和生活垃圾，施工结束后，必须把残留的固体废物清除干净，不得掩埋入土。本</w:t>
      </w:r>
      <w:r>
        <w:rPr>
          <w:rFonts w:hint="eastAsia"/>
          <w:color w:val="auto"/>
          <w:lang w:val="en-US" w:eastAsia="zh-CN"/>
        </w:rPr>
        <w:t>工程</w:t>
      </w:r>
      <w:r>
        <w:rPr>
          <w:rFonts w:hint="eastAsia"/>
          <w:color w:val="auto"/>
        </w:rPr>
        <w:t>在采取相关措施后，土壤能够同化和代谢外界环境进入土壤的物质，项目对土壤环境的影响较小。</w:t>
      </w:r>
    </w:p>
    <w:p w14:paraId="4D29CDA3">
      <w:pPr>
        <w:pStyle w:val="33"/>
        <w:bidi w:val="0"/>
        <w:rPr>
          <w:rFonts w:hint="eastAsia"/>
          <w:color w:val="auto"/>
        </w:rPr>
      </w:pPr>
      <w:r>
        <w:rPr>
          <w:rFonts w:hint="eastAsia"/>
          <w:color w:val="auto"/>
        </w:rPr>
        <w:t>3、土地利用的影响</w:t>
      </w:r>
    </w:p>
    <w:p w14:paraId="38375780">
      <w:pPr>
        <w:pStyle w:val="33"/>
        <w:bidi w:val="0"/>
        <w:rPr>
          <w:rFonts w:hint="eastAsia"/>
          <w:color w:val="auto"/>
        </w:rPr>
      </w:pPr>
      <w:r>
        <w:rPr>
          <w:rFonts w:hint="eastAsia"/>
          <w:color w:val="auto"/>
        </w:rPr>
        <w:t>（1）本</w:t>
      </w:r>
      <w:r>
        <w:rPr>
          <w:rFonts w:hint="eastAsia"/>
          <w:color w:val="auto"/>
          <w:lang w:val="en-US" w:eastAsia="zh-CN"/>
        </w:rPr>
        <w:t>工程</w:t>
      </w:r>
      <w:r>
        <w:rPr>
          <w:rFonts w:hint="eastAsia"/>
          <w:color w:val="auto"/>
        </w:rPr>
        <w:t>占地包括永久性占地和临时性占地。永久占地包括</w:t>
      </w:r>
      <w:r>
        <w:rPr>
          <w:rFonts w:hint="eastAsia"/>
          <w:color w:val="auto"/>
          <w:lang w:val="en-US" w:eastAsia="zh-CN"/>
        </w:rPr>
        <w:t>阀池</w:t>
      </w:r>
      <w:r>
        <w:rPr>
          <w:rFonts w:hint="eastAsia"/>
          <w:color w:val="auto"/>
        </w:rPr>
        <w:t>的永久征地；临时占地主要用于集</w:t>
      </w:r>
      <w:r>
        <w:rPr>
          <w:rFonts w:hint="eastAsia"/>
          <w:color w:val="auto"/>
          <w:lang w:val="en-US" w:eastAsia="zh-CN"/>
        </w:rPr>
        <w:t>油</w:t>
      </w:r>
      <w:r>
        <w:rPr>
          <w:rFonts w:hint="eastAsia"/>
          <w:color w:val="auto"/>
        </w:rPr>
        <w:t>管线敷设过程中临时占地。</w:t>
      </w:r>
    </w:p>
    <w:p w14:paraId="65B46390">
      <w:pPr>
        <w:pStyle w:val="33"/>
        <w:bidi w:val="0"/>
        <w:rPr>
          <w:rFonts w:hint="eastAsia"/>
          <w:color w:val="auto"/>
        </w:rPr>
      </w:pPr>
      <w:r>
        <w:rPr>
          <w:rFonts w:hint="eastAsia"/>
          <w:color w:val="auto"/>
        </w:rPr>
        <w:t>①永久占地</w:t>
      </w:r>
    </w:p>
    <w:p w14:paraId="6394504B">
      <w:pPr>
        <w:pStyle w:val="33"/>
        <w:bidi w:val="0"/>
        <w:rPr>
          <w:rFonts w:hint="eastAsia"/>
          <w:color w:val="auto"/>
        </w:rPr>
      </w:pPr>
      <w:r>
        <w:rPr>
          <w:rFonts w:hint="eastAsia"/>
          <w:color w:val="auto"/>
        </w:rPr>
        <w:t>永久占地将彻底改变原有土地利用类型的性质，但由于永久占地面积相对较小，对评价区土地利用方式的影响较轻微。工程建成后，通过</w:t>
      </w:r>
      <w:r>
        <w:rPr>
          <w:rFonts w:hint="eastAsia"/>
          <w:color w:val="auto"/>
          <w:lang w:val="en-US" w:eastAsia="zh-CN"/>
        </w:rPr>
        <w:t>土地复垦</w:t>
      </w:r>
      <w:r>
        <w:rPr>
          <w:rFonts w:hint="eastAsia"/>
          <w:color w:val="auto"/>
        </w:rPr>
        <w:t>，可一定程度上补偿永久占地造成的生态损失。</w:t>
      </w:r>
    </w:p>
    <w:p w14:paraId="015C4643">
      <w:pPr>
        <w:pStyle w:val="33"/>
        <w:bidi w:val="0"/>
        <w:rPr>
          <w:rFonts w:hint="eastAsia"/>
          <w:color w:val="auto"/>
        </w:rPr>
      </w:pPr>
      <w:r>
        <w:rPr>
          <w:rFonts w:hint="eastAsia"/>
          <w:color w:val="auto"/>
        </w:rPr>
        <w:t>②临时占地</w:t>
      </w:r>
    </w:p>
    <w:p w14:paraId="456D2E92">
      <w:pPr>
        <w:pStyle w:val="33"/>
        <w:bidi w:val="0"/>
        <w:rPr>
          <w:rFonts w:hint="eastAsia"/>
          <w:color w:val="auto"/>
        </w:rPr>
      </w:pPr>
      <w:r>
        <w:rPr>
          <w:rFonts w:hint="eastAsia"/>
          <w:color w:val="auto"/>
        </w:rPr>
        <w:t>临时占地将破坏占用土地上的植被并在短期内对土地利用功能构成较大影响。但随着施工结束后各项水保及植被恢复措施的实施，</w:t>
      </w:r>
      <w:r>
        <w:rPr>
          <w:rFonts w:hint="eastAsia"/>
          <w:color w:val="auto"/>
          <w:lang w:eastAsia="zh-CN"/>
        </w:rPr>
        <w:t>经过</w:t>
      </w:r>
      <w:r>
        <w:rPr>
          <w:rFonts w:hint="eastAsia"/>
          <w:color w:val="auto"/>
        </w:rPr>
        <w:t>2～3年的恢复治理，占地范围原有土地利用类型可基本得以恢复。</w:t>
      </w:r>
    </w:p>
    <w:p w14:paraId="74C0F216">
      <w:pPr>
        <w:pStyle w:val="33"/>
        <w:bidi w:val="0"/>
        <w:rPr>
          <w:rFonts w:hint="eastAsia"/>
          <w:color w:val="auto"/>
        </w:rPr>
      </w:pPr>
      <w:r>
        <w:rPr>
          <w:rFonts w:hint="eastAsia"/>
          <w:color w:val="auto"/>
        </w:rPr>
        <w:t>（2）土地利用结构影响分析</w:t>
      </w:r>
    </w:p>
    <w:p w14:paraId="6C4C1263">
      <w:pPr>
        <w:pStyle w:val="33"/>
        <w:bidi w:val="0"/>
        <w:rPr>
          <w:color w:val="auto"/>
        </w:rPr>
      </w:pPr>
      <w:r>
        <w:rPr>
          <w:rFonts w:hint="eastAsia"/>
          <w:color w:val="auto"/>
        </w:rPr>
        <w:t>总体来看本项目永久占地在评价区总面积比重较小，临时占地在工程结束后经过2～3年时间即可恢复。工程建设后项目评价区土地利用仍以灌草植被类型为主，总体上对评价区土地利用结构影响小。</w:t>
      </w:r>
    </w:p>
    <w:p w14:paraId="0BE5673E">
      <w:pPr>
        <w:pStyle w:val="6"/>
        <w:bidi w:val="0"/>
        <w:rPr>
          <w:rFonts w:hint="default"/>
          <w:color w:val="auto"/>
          <w:lang w:val="en-US" w:eastAsia="zh-CN"/>
        </w:rPr>
      </w:pPr>
      <w:r>
        <w:rPr>
          <w:rFonts w:hint="eastAsia"/>
          <w:color w:val="auto"/>
          <w:lang w:val="en-US" w:eastAsia="zh-CN"/>
        </w:rPr>
        <w:t>5.1.7.3植被及动物影响分析</w:t>
      </w:r>
    </w:p>
    <w:p w14:paraId="2628FE08">
      <w:pPr>
        <w:pStyle w:val="33"/>
        <w:bidi w:val="0"/>
        <w:rPr>
          <w:rFonts w:hint="eastAsia"/>
          <w:color w:val="auto"/>
        </w:rPr>
      </w:pPr>
      <w:r>
        <w:rPr>
          <w:rFonts w:hint="eastAsia"/>
          <w:color w:val="auto"/>
        </w:rPr>
        <w:t>本</w:t>
      </w:r>
      <w:r>
        <w:rPr>
          <w:rFonts w:hint="eastAsia"/>
          <w:color w:val="auto"/>
          <w:lang w:val="en-US" w:eastAsia="zh-CN"/>
        </w:rPr>
        <w:t>工程</w:t>
      </w:r>
      <w:r>
        <w:rPr>
          <w:rFonts w:hint="eastAsia"/>
          <w:color w:val="auto"/>
        </w:rPr>
        <w:t>施工期对植被的影响主要为建设过程中的植被剥离、清理和占压，临时占地土方回填后，可以恢复原植被类型，但永久占地难以恢复。对动物的影响主要为栖息地破坏引起的动物逃离、施工噪声对动物的干扰。</w:t>
      </w:r>
    </w:p>
    <w:p w14:paraId="42A91425">
      <w:pPr>
        <w:pStyle w:val="33"/>
        <w:bidi w:val="0"/>
        <w:rPr>
          <w:rFonts w:hint="eastAsia"/>
          <w:color w:val="auto"/>
        </w:rPr>
      </w:pPr>
      <w:r>
        <w:rPr>
          <w:rFonts w:hint="eastAsia"/>
          <w:color w:val="auto"/>
        </w:rPr>
        <w:t>1、对植被的影响</w:t>
      </w:r>
    </w:p>
    <w:p w14:paraId="543E49D2">
      <w:pPr>
        <w:pStyle w:val="33"/>
        <w:bidi w:val="0"/>
        <w:rPr>
          <w:rFonts w:hint="eastAsia"/>
          <w:color w:val="auto"/>
        </w:rPr>
      </w:pPr>
      <w:r>
        <w:rPr>
          <w:rFonts w:hint="eastAsia"/>
          <w:color w:val="auto"/>
        </w:rPr>
        <w:t>从本</w:t>
      </w:r>
      <w:r>
        <w:rPr>
          <w:rFonts w:hint="eastAsia"/>
          <w:color w:val="auto"/>
          <w:lang w:val="en-US" w:eastAsia="zh-CN"/>
        </w:rPr>
        <w:t>工程</w:t>
      </w:r>
      <w:r>
        <w:rPr>
          <w:rFonts w:hint="eastAsia"/>
          <w:color w:val="auto"/>
        </w:rPr>
        <w:t>各单项工程占地统计分析，</w:t>
      </w:r>
      <w:r>
        <w:rPr>
          <w:rFonts w:hint="eastAsia"/>
          <w:color w:val="auto"/>
          <w:lang w:val="en-US" w:eastAsia="zh-CN"/>
        </w:rPr>
        <w:t>阀池</w:t>
      </w:r>
      <w:r>
        <w:rPr>
          <w:rFonts w:hint="eastAsia"/>
          <w:color w:val="auto"/>
        </w:rPr>
        <w:t>建设的永久占地面积对野生植被生境存在一定的分割作用明显。管线建设无永久占地，临时占地面积虽然较大，但施工结束后，通过生态恢复措施，可逐步恢复至原始状态，对野生植被影响较小、可控。</w:t>
      </w:r>
    </w:p>
    <w:p w14:paraId="21C0B4B3">
      <w:pPr>
        <w:pStyle w:val="33"/>
        <w:bidi w:val="0"/>
        <w:rPr>
          <w:rFonts w:hint="eastAsia"/>
          <w:color w:val="auto"/>
        </w:rPr>
      </w:pPr>
      <w:r>
        <w:rPr>
          <w:rFonts w:hint="eastAsia"/>
          <w:color w:val="auto"/>
        </w:rPr>
        <w:t>（</w:t>
      </w:r>
      <w:r>
        <w:rPr>
          <w:rFonts w:hint="eastAsia"/>
          <w:color w:val="auto"/>
          <w:lang w:val="en-US" w:eastAsia="zh-CN"/>
        </w:rPr>
        <w:t>1</w:t>
      </w:r>
      <w:r>
        <w:rPr>
          <w:rFonts w:hint="eastAsia"/>
          <w:color w:val="auto"/>
        </w:rPr>
        <w:t>）管线建设对野生植被影响分析</w:t>
      </w:r>
    </w:p>
    <w:p w14:paraId="1F584180">
      <w:pPr>
        <w:pStyle w:val="33"/>
        <w:bidi w:val="0"/>
        <w:rPr>
          <w:rFonts w:hint="eastAsia"/>
          <w:color w:val="auto"/>
        </w:rPr>
      </w:pPr>
      <w:r>
        <w:rPr>
          <w:rFonts w:hint="eastAsia"/>
          <w:color w:val="auto"/>
        </w:rPr>
        <w:t>管线建设全部为临时占地，以草地、灌木林地为主。在</w:t>
      </w:r>
      <w:r>
        <w:rPr>
          <w:rFonts w:hint="eastAsia"/>
          <w:color w:val="auto"/>
          <w:lang w:val="en-US" w:eastAsia="zh-CN"/>
        </w:rPr>
        <w:t>集</w:t>
      </w:r>
      <w:r>
        <w:rPr>
          <w:rFonts w:hint="eastAsia"/>
          <w:color w:val="auto"/>
        </w:rPr>
        <w:t>油管线建设中，管沟范围内地上部分植物根系均被开挖铲除，同时还会伤及附近植物的根系。施工带两侧的植被由于挖掘出的土石方堆放、施工车辆和机具的碾压，会造成植物地上部分破坏甚至死亡。根据当地的自然条件，通过植被恢复措施，天然植物恢复或表土形成相对稳定的结构并发挥水土保持功效约需要3～5年。</w:t>
      </w:r>
      <w:r>
        <w:rPr>
          <w:rFonts w:hint="eastAsia"/>
          <w:color w:val="auto"/>
          <w:lang w:eastAsia="zh-CN"/>
        </w:rPr>
        <w:t>运营</w:t>
      </w:r>
      <w:r>
        <w:rPr>
          <w:rFonts w:hint="eastAsia"/>
          <w:color w:val="auto"/>
        </w:rPr>
        <w:t>期，管线对植物无影响。在事故状态下，原油泄漏影响事故点周围植被生长。</w:t>
      </w:r>
    </w:p>
    <w:p w14:paraId="42E49309">
      <w:pPr>
        <w:pStyle w:val="33"/>
        <w:bidi w:val="0"/>
        <w:rPr>
          <w:rFonts w:hint="eastAsia"/>
          <w:color w:val="auto"/>
        </w:rPr>
      </w:pP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阀池</w:t>
      </w:r>
      <w:r>
        <w:rPr>
          <w:rFonts w:hint="eastAsia"/>
          <w:color w:val="auto"/>
        </w:rPr>
        <w:t>建设对野生植被影响分析</w:t>
      </w:r>
    </w:p>
    <w:p w14:paraId="794DF2B2">
      <w:pPr>
        <w:pStyle w:val="33"/>
        <w:bidi w:val="0"/>
        <w:rPr>
          <w:rFonts w:hint="eastAsia"/>
          <w:color w:val="auto"/>
        </w:rPr>
      </w:pPr>
      <w:r>
        <w:rPr>
          <w:rFonts w:hint="eastAsia"/>
          <w:color w:val="auto"/>
          <w:lang w:val="en-US" w:eastAsia="zh-CN"/>
        </w:rPr>
        <w:t>阀池</w:t>
      </w:r>
      <w:r>
        <w:rPr>
          <w:rFonts w:hint="eastAsia"/>
          <w:color w:val="auto"/>
        </w:rPr>
        <w:t>建设因场地清理，植物全部损失，由于</w:t>
      </w:r>
      <w:r>
        <w:rPr>
          <w:rFonts w:hint="eastAsia"/>
          <w:color w:val="auto"/>
          <w:lang w:val="en-US" w:eastAsia="zh-CN"/>
        </w:rPr>
        <w:t>阀池</w:t>
      </w:r>
      <w:r>
        <w:rPr>
          <w:rFonts w:hint="eastAsia"/>
          <w:color w:val="auto"/>
        </w:rPr>
        <w:t>永久占地面积较小，且临时占地在2~3</w:t>
      </w:r>
      <w:r>
        <w:rPr>
          <w:rFonts w:hint="eastAsia"/>
          <w:color w:val="auto"/>
          <w:lang w:eastAsia="zh-CN"/>
        </w:rPr>
        <w:t>年内</w:t>
      </w:r>
      <w:r>
        <w:rPr>
          <w:rFonts w:hint="eastAsia"/>
          <w:color w:val="auto"/>
        </w:rPr>
        <w:t>可实现植被恢复，总体分析，井场建设对野生植被影响有限。</w:t>
      </w:r>
    </w:p>
    <w:p w14:paraId="610F12B4">
      <w:pPr>
        <w:pStyle w:val="33"/>
        <w:bidi w:val="0"/>
        <w:rPr>
          <w:rFonts w:hint="eastAsia"/>
          <w:color w:val="auto"/>
        </w:rPr>
      </w:pPr>
      <w:r>
        <w:rPr>
          <w:rFonts w:hint="eastAsia"/>
          <w:color w:val="auto"/>
        </w:rPr>
        <w:t>（</w:t>
      </w:r>
      <w:r>
        <w:rPr>
          <w:rFonts w:hint="eastAsia"/>
          <w:color w:val="auto"/>
          <w:lang w:val="en-US" w:eastAsia="zh-CN"/>
        </w:rPr>
        <w:t>3</w:t>
      </w:r>
      <w:r>
        <w:rPr>
          <w:rFonts w:hint="eastAsia"/>
          <w:color w:val="auto"/>
        </w:rPr>
        <w:t>）对重点保护植物的影响分析</w:t>
      </w:r>
    </w:p>
    <w:p w14:paraId="44FF3FCF">
      <w:pPr>
        <w:pStyle w:val="33"/>
        <w:bidi w:val="0"/>
        <w:rPr>
          <w:rFonts w:hint="eastAsia"/>
          <w:color w:val="auto"/>
        </w:rPr>
      </w:pPr>
      <w:r>
        <w:rPr>
          <w:rFonts w:hint="eastAsia"/>
          <w:color w:val="auto"/>
        </w:rPr>
        <w:t>本项目评价区内无重点保护植物。环评要求在项目建设过程中，若发现有重点保护植物零散分布时，应采取避让措施，避免砍伐重点保护植物。</w:t>
      </w:r>
    </w:p>
    <w:p w14:paraId="795C7164">
      <w:pPr>
        <w:pStyle w:val="33"/>
        <w:bidi w:val="0"/>
        <w:rPr>
          <w:rFonts w:hint="eastAsia"/>
          <w:color w:val="auto"/>
        </w:rPr>
      </w:pPr>
      <w:r>
        <w:rPr>
          <w:rFonts w:hint="eastAsia"/>
          <w:color w:val="auto"/>
        </w:rPr>
        <w:t>2、对动物的影响</w:t>
      </w:r>
    </w:p>
    <w:p w14:paraId="75A9F066">
      <w:pPr>
        <w:pStyle w:val="33"/>
        <w:bidi w:val="0"/>
        <w:rPr>
          <w:rFonts w:hint="eastAsia"/>
          <w:color w:val="auto"/>
        </w:rPr>
      </w:pPr>
      <w:r>
        <w:rPr>
          <w:rFonts w:hint="eastAsia"/>
          <w:color w:val="auto"/>
        </w:rPr>
        <w:t>（1）总体影响分析</w:t>
      </w:r>
    </w:p>
    <w:p w14:paraId="57E413BF">
      <w:pPr>
        <w:pStyle w:val="33"/>
        <w:bidi w:val="0"/>
        <w:rPr>
          <w:rFonts w:hint="eastAsia"/>
          <w:color w:val="auto"/>
        </w:rPr>
      </w:pPr>
      <w:r>
        <w:rPr>
          <w:rFonts w:hint="eastAsia"/>
          <w:color w:val="auto"/>
        </w:rPr>
        <w:t>本</w:t>
      </w:r>
      <w:r>
        <w:rPr>
          <w:rFonts w:hint="eastAsia"/>
          <w:color w:val="auto"/>
          <w:lang w:val="en-US" w:eastAsia="zh-CN"/>
        </w:rPr>
        <w:t>工程</w:t>
      </w:r>
      <w:r>
        <w:rPr>
          <w:rFonts w:hint="eastAsia"/>
          <w:color w:val="auto"/>
        </w:rPr>
        <w:t>对野生动物的影响主要发生在施工期。施工期大量施工机械和人员活动惊吓、干扰施工区附近动物的活动。土石方开挖，施工机械作业噪声和</w:t>
      </w:r>
      <w:r>
        <w:rPr>
          <w:rFonts w:hint="eastAsia"/>
          <w:color w:val="auto"/>
          <w:lang w:eastAsia="zh-CN"/>
        </w:rPr>
        <w:t>振动</w:t>
      </w:r>
      <w:r>
        <w:rPr>
          <w:rFonts w:hint="eastAsia"/>
          <w:color w:val="auto"/>
        </w:rPr>
        <w:t>对野生动物也会造成影响。根据噪声预测结果推测，施工噪声影响范围将超过施工现场周围300m之外，因此施工现场噪声可能使动物避开施工现场。施工影响是属于短期的、临时的影响。施工完毕后，施工影响大多会逐渐消失，野生动物会恢复原有的活动范围。</w:t>
      </w:r>
    </w:p>
    <w:p w14:paraId="4F1F2D68">
      <w:pPr>
        <w:pStyle w:val="33"/>
        <w:bidi w:val="0"/>
        <w:rPr>
          <w:rFonts w:hint="eastAsia"/>
          <w:color w:val="auto"/>
        </w:rPr>
      </w:pPr>
      <w:r>
        <w:rPr>
          <w:rFonts w:hint="eastAsia"/>
          <w:color w:val="auto"/>
        </w:rPr>
        <w:t>工程施工期将造成植被的损失</w:t>
      </w:r>
      <w:r>
        <w:rPr>
          <w:rFonts w:hint="eastAsia"/>
          <w:color w:val="auto"/>
          <w:lang w:eastAsia="zh-CN"/>
        </w:rPr>
        <w:t>和</w:t>
      </w:r>
      <w:r>
        <w:rPr>
          <w:rFonts w:hint="eastAsia"/>
          <w:color w:val="auto"/>
        </w:rPr>
        <w:t>局部土地类型的改变，导致动物栖息地的消失。昆虫和其它无脊椎动物，爬行动物和小型啮齿类动物暂时迁移。管道施工面窄、范围小，且施工期较短，影响时间短，施工后又可恢复，对动物食物链无多大破坏。施工期管道周围地区的空间足以确保迁移的物种找到替代栖息地。当植被恢复后，迁出的动物会迁回被破坏的区域。因此，管道对沿线野生动物不会产生明显影响。</w:t>
      </w:r>
    </w:p>
    <w:p w14:paraId="5EC9C3A8">
      <w:pPr>
        <w:pStyle w:val="33"/>
        <w:bidi w:val="0"/>
        <w:rPr>
          <w:rFonts w:hint="eastAsia"/>
          <w:color w:val="auto"/>
        </w:rPr>
      </w:pPr>
      <w:r>
        <w:rPr>
          <w:rFonts w:hint="eastAsia"/>
          <w:color w:val="auto"/>
        </w:rPr>
        <w:t>由于野生动物活动的不确定因素，工程建设对野生动物影响不可避免，对野生动物影响也局限于施工区域附近一定范围。施工单位应采取积极措施，最大程度地减缓工程对野生动物的影响。施工前先对施工人员进行保护野生动物教育，严禁捕杀野生动物和随意破坏林地植被。</w:t>
      </w:r>
    </w:p>
    <w:p w14:paraId="7A618A4C">
      <w:pPr>
        <w:pStyle w:val="33"/>
        <w:bidi w:val="0"/>
        <w:rPr>
          <w:rFonts w:hint="eastAsia"/>
          <w:color w:val="auto"/>
        </w:rPr>
      </w:pPr>
      <w:r>
        <w:rPr>
          <w:rFonts w:hint="eastAsia"/>
          <w:color w:val="auto"/>
        </w:rPr>
        <w:t>施工期不会对区域野生动物种群分布产生影响，通过采取动物保护措施可降低施工建设对野生动物的影响，工程施工对陆生野生动物活动影响较小。总体分析，本工程建设对</w:t>
      </w:r>
      <w:r>
        <w:rPr>
          <w:rFonts w:hint="eastAsia"/>
          <w:color w:val="auto"/>
          <w:lang w:eastAsia="zh-CN"/>
        </w:rPr>
        <w:t>野生动物</w:t>
      </w:r>
      <w:r>
        <w:rPr>
          <w:rFonts w:hint="eastAsia"/>
          <w:color w:val="auto"/>
        </w:rPr>
        <w:t>物影响较小。</w:t>
      </w:r>
    </w:p>
    <w:p w14:paraId="6AE09193">
      <w:pPr>
        <w:pStyle w:val="33"/>
        <w:bidi w:val="0"/>
        <w:rPr>
          <w:rFonts w:hint="eastAsia"/>
          <w:color w:val="auto"/>
        </w:rPr>
      </w:pPr>
      <w:r>
        <w:rPr>
          <w:rFonts w:hint="eastAsia"/>
          <w:color w:val="auto"/>
        </w:rPr>
        <w:t>（2）对重点保护动物的影响分析</w:t>
      </w:r>
    </w:p>
    <w:p w14:paraId="20B6182A">
      <w:pPr>
        <w:widowControl/>
        <w:spacing w:line="360" w:lineRule="auto"/>
        <w:ind w:firstLine="480" w:firstLineChars="200"/>
        <w:jc w:val="left"/>
        <w:rPr>
          <w:rFonts w:hint="default" w:ascii="Times New Roman" w:hAnsi="Times New Roman" w:eastAsia="宋体" w:cs="Times New Roman"/>
          <w:color w:val="auto"/>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kern w:val="0"/>
          <w:sz w:val="24"/>
        </w:rPr>
        <w:t>对保护鸟类的影响</w:t>
      </w:r>
    </w:p>
    <w:p w14:paraId="5684BC51">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黑鸢、雀鹰、草原鹞、棕尾鵟及红隼均为猛禽。猛禽的活动能力强、活动范围广，常在高空盘旋觅食，能够及时避开工程建设的不利影响。本项目实施区域生境单一，视野开阔，猛禽能及时发现各类威胁，从而有效躲避危害。评价区出现猛禽数量极少，由于这些鸟类的飞行高度较高，并且生性机警，听觉和视觉敏锐，稍有声响，立刻逃遁，工程建设和运营对上述鸟类影响较小。本工程所在区域地势开阔，荒漠连片分布，鸟类有足够的栖息空间，工程对受保护鸟类的影响总体较小。</w:t>
      </w:r>
    </w:p>
    <w:p w14:paraId="4D8A6861">
      <w:pPr>
        <w:widowControl/>
        <w:spacing w:line="360" w:lineRule="auto"/>
        <w:ind w:firstLine="480" w:firstLineChars="200"/>
        <w:jc w:val="left"/>
        <w:rPr>
          <w:rFonts w:hint="default" w:ascii="Times New Roman" w:hAnsi="Times New Roman" w:eastAsia="宋体" w:cs="Times New Roman"/>
          <w:color w:val="auto"/>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kern w:val="0"/>
          <w:sz w:val="24"/>
        </w:rPr>
        <w:t>对保护哺乳类的影响</w:t>
      </w:r>
    </w:p>
    <w:p w14:paraId="5D0F3257">
      <w:pPr>
        <w:widowControl/>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工程施工期间对受保护兽类的影响主要是植被破坏造成的兽类现有或潜在栖息地损失。根据现场和工作人员调查，项目区内无饮用水水源，不是鹅喉羚、草原斑猫、兔狲、沙狐主要栖息地，建设单位在施工场所醒目处设</w:t>
      </w:r>
      <w:r>
        <w:rPr>
          <w:rFonts w:hint="eastAsia" w:ascii="宋体" w:hAnsi="宋体" w:eastAsia="宋体" w:cs="宋体"/>
          <w:color w:val="auto"/>
          <w:kern w:val="0"/>
          <w:sz w:val="24"/>
        </w:rPr>
        <w:t>置“保护生态环境、保护野生动植物”等</w:t>
      </w:r>
      <w:r>
        <w:rPr>
          <w:rFonts w:hint="default" w:ascii="Times New Roman" w:hAnsi="Times New Roman" w:eastAsia="宋体" w:cs="Times New Roman"/>
          <w:color w:val="auto"/>
          <w:kern w:val="0"/>
          <w:sz w:val="24"/>
        </w:rPr>
        <w:t>告示牌，提醒施工人员依法保护野生动物。施工过程中若发现受伤、病残饥饿、受困、迷途珍稀野生动物及野生动物的幼崽和繁殖场 所的应及时采取保护，并联系当地的相关主管部门，不得随意惊吓、追赶、捕猎、宰杀野生动物。确保设施正常运行，避免噪声惊扰野生动物。</w:t>
      </w:r>
    </w:p>
    <w:p w14:paraId="2A200DCA">
      <w:pPr>
        <w:widowControl/>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w:t>
      </w:r>
      <w:r>
        <w:rPr>
          <w:rFonts w:hint="eastAsia" w:ascii="Times New Roman" w:hAnsi="Times New Roman" w:eastAsia="宋体" w:cs="Times New Roman"/>
          <w:color w:val="auto"/>
          <w:kern w:val="0"/>
          <w:sz w:val="24"/>
          <w:lang w:val="en-US" w:eastAsia="zh-CN"/>
        </w:rPr>
        <w:t>工程</w:t>
      </w:r>
      <w:r>
        <w:rPr>
          <w:rFonts w:hint="default" w:ascii="Times New Roman" w:hAnsi="Times New Roman" w:eastAsia="宋体" w:cs="Times New Roman"/>
          <w:color w:val="auto"/>
          <w:kern w:val="0"/>
          <w:sz w:val="24"/>
        </w:rPr>
        <w:t>建成后人类活动降低，仅日常巡井等检查活动，对区域野生动物影响较小。</w:t>
      </w:r>
    </w:p>
    <w:p w14:paraId="1C3560B3">
      <w:pPr>
        <w:pStyle w:val="6"/>
        <w:bidi w:val="0"/>
        <w:rPr>
          <w:rFonts w:hint="default"/>
          <w:color w:val="auto"/>
          <w:lang w:val="en-US" w:eastAsia="zh-CN"/>
        </w:rPr>
      </w:pPr>
      <w:r>
        <w:rPr>
          <w:rFonts w:hint="eastAsia"/>
          <w:color w:val="auto"/>
          <w:lang w:val="en-US" w:eastAsia="zh-CN"/>
        </w:rPr>
        <w:t>5.1.7.4景观生态影响分析</w:t>
      </w:r>
    </w:p>
    <w:p w14:paraId="6A793AF6">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1、景观格局影响分析</w:t>
      </w:r>
    </w:p>
    <w:p w14:paraId="74031CE8">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本工程建设将使评价区内新增工业景观类型，如井场，在一定程度上增加了景观多样性。评价区域新增加的油井等人工景观要素，呈点状分布，增加了评价</w:t>
      </w:r>
      <w:r>
        <w:rPr>
          <w:rFonts w:hint="eastAsia" w:cs="Times New Roman"/>
          <w:color w:val="auto"/>
          <w:lang w:eastAsia="zh-CN"/>
        </w:rPr>
        <w:t>区域</w:t>
      </w:r>
      <w:r>
        <w:rPr>
          <w:rFonts w:hint="eastAsia" w:ascii="Times New Roman" w:hAnsi="Times New Roman" w:eastAsia="宋体" w:cs="Times New Roman"/>
          <w:color w:val="auto"/>
        </w:rPr>
        <w:t>的斑块和廊道数量。同时，也使原有自然景观比例和结构发生变化。由于新的斑块和廊道的增加，对原有景观基质的面积造成一定的挤占，使原有基质及板块之间的连续性和连通性受到一定影响，对景观产生较强的分裂效果。从景观美学角度来看，人工建筑物与构筑物的出现，给原来以自然曲线为主的自然景观中，增加了直线、直角型斑块和廊道等人工景观，形成自然和人类共同作用的复合景观，对原有景观产生一定影响。井</w:t>
      </w:r>
      <w:r>
        <w:rPr>
          <w:rFonts w:hint="eastAsia" w:ascii="Times New Roman" w:hAnsi="Times New Roman" w:eastAsia="宋体" w:cs="Times New Roman"/>
          <w:color w:val="auto"/>
          <w:lang w:val="en-US" w:eastAsia="zh-CN"/>
        </w:rPr>
        <w:t>场</w:t>
      </w:r>
      <w:r>
        <w:rPr>
          <w:rFonts w:hint="eastAsia" w:ascii="Times New Roman" w:hAnsi="Times New Roman" w:eastAsia="宋体" w:cs="Times New Roman"/>
          <w:color w:val="auto"/>
        </w:rPr>
        <w:t>工程建设将造成区域景观格局的改变，但由于工程地面建设工程量不大，建筑物体量较小；在采取绿化、植被恢复措施后，可减缓局部景观切割、镶嵌造成的异质性影响，不会引起区域景观整体格局的明显变化。</w:t>
      </w:r>
    </w:p>
    <w:p w14:paraId="26D5AB7C">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2、生态景观影响分析</w:t>
      </w:r>
    </w:p>
    <w:p w14:paraId="6CC9A851">
      <w:pPr>
        <w:pStyle w:val="33"/>
        <w:bidi w:val="0"/>
        <w:rPr>
          <w:rFonts w:ascii="Times New Roman" w:hAnsi="Times New Roman" w:eastAsia="宋体" w:cs="Times New Roman"/>
          <w:color w:val="auto"/>
        </w:rPr>
      </w:pPr>
      <w:r>
        <w:rPr>
          <w:rFonts w:hint="eastAsia" w:ascii="Times New Roman" w:hAnsi="Times New Roman" w:eastAsia="宋体" w:cs="Times New Roman"/>
          <w:color w:val="auto"/>
        </w:rPr>
        <w:t>从生态景观功能和生态关系分析，原油管线地下敷设，对景观生态功能基本无影响。从生物传播关系的角度分析，这种隔离作用仅限于对土壤微生物和以根系作为传播途径的浅根植物以及野生动物有一定的影响，对花粉和种子传播植物的隔离影响不大</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类比调查该区域已经建成的石油、天然气管道运行情况，工程建设对景观生态的影响不大。</w:t>
      </w:r>
    </w:p>
    <w:p w14:paraId="2FE8E585">
      <w:pPr>
        <w:pStyle w:val="6"/>
        <w:bidi w:val="0"/>
        <w:rPr>
          <w:rFonts w:hint="default"/>
          <w:color w:val="auto"/>
          <w:lang w:val="en-US" w:eastAsia="zh-CN"/>
        </w:rPr>
      </w:pPr>
      <w:r>
        <w:rPr>
          <w:rFonts w:hint="eastAsia"/>
          <w:color w:val="auto"/>
          <w:lang w:val="en-US" w:eastAsia="zh-CN"/>
        </w:rPr>
        <w:t>5.1.7.5水土流失影响分析</w:t>
      </w:r>
    </w:p>
    <w:p w14:paraId="67437BE0">
      <w:pPr>
        <w:pStyle w:val="33"/>
        <w:bidi w:val="0"/>
        <w:rPr>
          <w:rFonts w:hint="eastAsia"/>
          <w:color w:val="auto"/>
        </w:rPr>
      </w:pPr>
      <w:r>
        <w:rPr>
          <w:rFonts w:hint="eastAsia"/>
          <w:color w:val="auto"/>
        </w:rPr>
        <w:t>油田工程建设对当地水土流失影响的方式包括扰动、损坏、开挖机破坏原地貌、地表土壤结构及植被。工程施工及占地呈线状分布，所造成的水土流失因管线所经过的区域不同而不同。建设期间，管沟开挖、土方排放、机械作业人员活动等都会加剧水土流失。施工车辆对地表的大面积碾压，使所经过地段的植被和地表结构遭到不同程度的破坏，使风蚀荒漠化的过程加剧；在地面构筑物建设中，最直接而且易引起水土流失的是施工过程中使影响范围的地表保护层变得松散，增加风蚀量。</w:t>
      </w:r>
    </w:p>
    <w:p w14:paraId="00574D41">
      <w:pPr>
        <w:pStyle w:val="33"/>
        <w:bidi w:val="0"/>
        <w:rPr>
          <w:rFonts w:hint="eastAsia"/>
          <w:color w:val="auto"/>
        </w:rPr>
      </w:pPr>
      <w:r>
        <w:rPr>
          <w:rFonts w:hint="eastAsia"/>
          <w:color w:val="auto"/>
        </w:rPr>
        <w:t>根据《新疆维吾尔自治区水土保持规划（2018年-2030年）》，项目所在的和布克赛尔蒙古自治县位于II</w:t>
      </w:r>
      <w:r>
        <w:rPr>
          <w:rFonts w:hint="eastAsia"/>
          <w:color w:val="auto"/>
          <w:vertAlign w:val="subscript"/>
        </w:rPr>
        <w:t>2</w:t>
      </w:r>
      <w:r>
        <w:rPr>
          <w:rFonts w:hint="eastAsia"/>
          <w:color w:val="auto"/>
        </w:rPr>
        <w:t>天山北坡诸小河流域，属于水土流失重点治理区。根据《塔城地区和布克赛尔蒙古自治县水土保持规划报告（2018-2030年）》，本项目位于1-2和布克谷地风力、水力混合侵蚀治理区。项目土地利用现状为低覆盖度草地，建设单位在项目建设和</w:t>
      </w:r>
      <w:r>
        <w:rPr>
          <w:rFonts w:hint="eastAsia"/>
          <w:color w:val="auto"/>
          <w:lang w:eastAsia="zh-CN"/>
        </w:rPr>
        <w:t>运营</w:t>
      </w:r>
      <w:r>
        <w:rPr>
          <w:rFonts w:hint="eastAsia"/>
          <w:color w:val="auto"/>
        </w:rPr>
        <w:t>过程中要严格按照设计、环评以及水保要求做好水土流失防治措施。</w:t>
      </w:r>
    </w:p>
    <w:p w14:paraId="5B29EED1">
      <w:pPr>
        <w:pStyle w:val="33"/>
        <w:bidi w:val="0"/>
        <w:rPr>
          <w:rFonts w:hint="eastAsia"/>
          <w:color w:val="auto"/>
        </w:rPr>
      </w:pPr>
      <w:r>
        <w:rPr>
          <w:rFonts w:hint="eastAsia"/>
          <w:color w:val="auto"/>
        </w:rPr>
        <w:t>项目区地面建设工程实施中，会使施工带范围内的土体结构遭到破坏，其范围内的植被也会受到破坏，导致风沙作用加剧，因此大规模的石油勘探开发可能促使生态环境进一步恶化。</w:t>
      </w:r>
    </w:p>
    <w:p w14:paraId="4C61F186">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（1）土壤粗粒化</w:t>
      </w:r>
    </w:p>
    <w:p w14:paraId="1CFC9981">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在土壤沙化过程中，当风力作用地表产生风蚀时，便产生风选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1160FF6E">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（2）土壤贫瘠及含盐量变化</w:t>
      </w:r>
    </w:p>
    <w:p w14:paraId="747F0751">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在土壤受到风蚀沙化时，表土层的盐分有的被吹蚀，有的和含盐轻的底土层发生混合，因而也降低了风沙土壤的盐分含量，据邻近油田的调查结果表明，</w:t>
      </w:r>
      <w:r>
        <w:rPr>
          <w:rFonts w:hint="eastAsia" w:cs="Times New Roman"/>
          <w:color w:val="auto"/>
          <w:lang w:eastAsia="zh-CN"/>
        </w:rPr>
        <w:t>随着</w:t>
      </w:r>
      <w:r>
        <w:rPr>
          <w:rFonts w:hint="eastAsia" w:ascii="Times New Roman" w:hAnsi="Times New Roman" w:eastAsia="宋体" w:cs="Times New Roman"/>
          <w:color w:val="auto"/>
        </w:rPr>
        <w:t>沙化增强，盐分含量降低。</w:t>
      </w:r>
    </w:p>
    <w:p w14:paraId="6799BD69">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（3）水土流失发展趋势</w:t>
      </w:r>
    </w:p>
    <w:p w14:paraId="3C722E73">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项目区地表为砾幕层，在无植物覆盖的砾石荒漠地区，砾幕</w:t>
      </w:r>
      <w:r>
        <w:rPr>
          <w:rFonts w:hint="eastAsia" w:cs="Times New Roman"/>
          <w:color w:val="auto"/>
          <w:lang w:eastAsia="zh-CN"/>
        </w:rPr>
        <w:t>层</w:t>
      </w:r>
      <w:r>
        <w:rPr>
          <w:rFonts w:hint="eastAsia" w:ascii="Times New Roman" w:hAnsi="Times New Roman" w:eastAsia="宋体" w:cs="Times New Roman"/>
          <w:color w:val="auto"/>
        </w:rPr>
        <w:t>在保护土地资源方面具有重要作用，可以保护下部沙土不被吹蚀，从而减少风沙物质来源和保护土壤资源，因此保护好地表的砾幕层，可以有效遏制水土流失。</w:t>
      </w:r>
    </w:p>
    <w:p w14:paraId="2ECB7391">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工程建成后，由于井场、管道沿线土壤结构、自然植被的恢复还需要一定时间，沿线的水土流失还将继续发生。但随着时间的延长、土壤结构的变化、地表植被的恢复以及部分保护措施的建成，水土流失的范围和程度会慢慢减轻。</w:t>
      </w:r>
    </w:p>
    <w:p w14:paraId="474F31F1">
      <w:pPr>
        <w:pStyle w:val="6"/>
        <w:bidi w:val="0"/>
        <w:rPr>
          <w:rFonts w:hint="default"/>
          <w:color w:val="auto"/>
          <w:lang w:val="en-US" w:eastAsia="zh-CN"/>
        </w:rPr>
      </w:pPr>
      <w:r>
        <w:rPr>
          <w:rFonts w:hint="eastAsia"/>
          <w:color w:val="auto"/>
          <w:lang w:val="en-US" w:eastAsia="zh-CN"/>
        </w:rPr>
        <w:t>5.1.7.6对和布克赛尔江格尔国家沙漠公园的影响分析</w:t>
      </w:r>
    </w:p>
    <w:p w14:paraId="3FEA0DE0">
      <w:pPr>
        <w:pStyle w:val="33"/>
        <w:bidi w:val="0"/>
        <w:rPr>
          <w:rFonts w:hint="eastAsia"/>
          <w:color w:val="auto"/>
        </w:rPr>
      </w:pPr>
      <w:r>
        <w:rPr>
          <w:rFonts w:hint="eastAsia"/>
          <w:color w:val="auto"/>
        </w:rPr>
        <w:t>根据《国家沙漠公园管理办法》（林沙</w:t>
      </w:r>
      <w:r>
        <w:rPr>
          <w:rFonts w:hint="eastAsia"/>
          <w:color w:val="auto"/>
          <w:lang w:val="en-US" w:eastAsia="zh-CN"/>
        </w:rPr>
        <w:t>规</w:t>
      </w:r>
      <w:r>
        <w:rPr>
          <w:rFonts w:hint="eastAsia" w:ascii="宋体" w:hAnsi="宋体" w:eastAsia="宋体" w:cs="宋体"/>
          <w:color w:val="auto"/>
        </w:rPr>
        <w:t>〔</w:t>
      </w:r>
      <w:r>
        <w:rPr>
          <w:rFonts w:hint="eastAsia"/>
          <w:color w:val="auto"/>
        </w:rPr>
        <w:t>20</w:t>
      </w:r>
      <w:r>
        <w:rPr>
          <w:rFonts w:hint="eastAsia"/>
          <w:color w:val="auto"/>
          <w:lang w:val="en-US" w:eastAsia="zh-CN"/>
        </w:rPr>
        <w:t>22</w:t>
      </w:r>
      <w:r>
        <w:rPr>
          <w:rFonts w:hint="eastAsia" w:ascii="宋体" w:hAnsi="宋体" w:eastAsia="宋体" w:cs="宋体"/>
          <w:color w:val="auto"/>
        </w:rPr>
        <w:t>〕</w:t>
      </w:r>
      <w:r>
        <w:rPr>
          <w:rFonts w:hint="eastAsia"/>
          <w:color w:val="auto"/>
        </w:rPr>
        <w:t>4号），第二条：沙漠公园是以荒漠景观为主体，以保护荒漠生态系统和生态功能为核心，合理利用自然与人文景观资源，开展生态保护及植被恢复、科研监测、宣传教育、生态旅游等活动的特定区域。第十二条：国家沙漠公园建设要合理进行功能分区，发挥保护、科研、宣教和游憩等生态公益功能。功能分区主要包括生态保育区、宣教展示区、沙漠体验区、管理服务区。（一）生态保育区应当实行最严格的生态保护和管理，最大限度减少对生态环境的破坏和消极影响。生态保育区可利用现有人员和技术手段开展沙漠公园的植被保护工作，建立必要的保护设施，提高管理水平，巩固建设成果。对具有植被恢复条件和可能发生植被退化的区域，可采取以生物措施为主的综合治理措施，持续提高沙漠公园的生态功能。生态保育区面积原则上应不小于国家沙漠公园总面积的60%。（二）宣教展示区主要开展与荒漠生态系统相关的科普宣教和自然人文景观的展示活动。可修建必要的基础设施，如道路、展示牌及科普教育设施等。（三）沙漠体验区可在不损害荒漠生态系统功能的前提下开展生态旅游、文化、体育等活动，建设必要的旅游景点和配套设施。沙漠体验区面积原则上不超过国家沙漠公园总面积的20%。（四）管理服务区主要开展管理、接待和服务等活动，可进行必要的基础设施建设，完善服务功能，提高服务水平。管理服务区面积应不超过国家沙漠公园总面积的5%。</w:t>
      </w:r>
    </w:p>
    <w:p w14:paraId="4C769658">
      <w:pPr>
        <w:pStyle w:val="33"/>
        <w:bidi w:val="0"/>
        <w:rPr>
          <w:rFonts w:hint="eastAsia"/>
          <w:color w:val="auto"/>
        </w:rPr>
      </w:pPr>
      <w:r>
        <w:rPr>
          <w:rFonts w:hint="eastAsia"/>
          <w:color w:val="auto"/>
        </w:rPr>
        <w:t>本项目对沙漠公园的影响主要为景观影响，本项目</w:t>
      </w:r>
      <w:r>
        <w:rPr>
          <w:rFonts w:hint="eastAsia"/>
          <w:color w:val="auto"/>
          <w:lang w:val="en-US" w:eastAsia="zh-CN"/>
        </w:rPr>
        <w:t>赛探1</w:t>
      </w:r>
      <w:r>
        <w:rPr>
          <w:rFonts w:hint="eastAsia"/>
          <w:color w:val="auto"/>
        </w:rPr>
        <w:t>井</w:t>
      </w:r>
      <w:r>
        <w:rPr>
          <w:rFonts w:hint="eastAsia"/>
          <w:color w:val="auto"/>
          <w:lang w:val="en-US" w:eastAsia="zh-CN"/>
        </w:rPr>
        <w:t>集油管线</w:t>
      </w:r>
      <w:r>
        <w:rPr>
          <w:rFonts w:hint="eastAsia"/>
          <w:color w:val="auto"/>
        </w:rPr>
        <w:t>距离和布克赛尔江格尔国家沙漠公园最近，为</w:t>
      </w:r>
      <w:r>
        <w:rPr>
          <w:rFonts w:hint="eastAsia"/>
          <w:color w:val="auto"/>
          <w:lang w:val="en-US" w:eastAsia="zh-CN"/>
        </w:rPr>
        <w:t>1.42k</w:t>
      </w:r>
      <w:r>
        <w:rPr>
          <w:rFonts w:hint="eastAsia"/>
          <w:color w:val="auto"/>
        </w:rPr>
        <w:t>m。不在沙漠公园范围内，项目建设活动不会进入沙漠公园内。项目距离沙漠公园较近区域通过缩小施工作业带宽度、缩短施工作业时间等措施减少对沙漠公园的影响。</w:t>
      </w:r>
    </w:p>
    <w:p w14:paraId="570DF38F">
      <w:pPr>
        <w:pStyle w:val="33"/>
        <w:bidi w:val="0"/>
        <w:rPr>
          <w:color w:val="auto"/>
        </w:rPr>
      </w:pPr>
      <w:r>
        <w:rPr>
          <w:rFonts w:hint="eastAsia"/>
          <w:color w:val="auto"/>
        </w:rPr>
        <w:t>综上分析，工程的建设对沙漠公园内的沙漠植被不会产生影响，对沙漠公园的影响可以接受。</w:t>
      </w:r>
    </w:p>
    <w:p w14:paraId="06B08D93">
      <w:pPr>
        <w:pStyle w:val="2"/>
        <w:bidi w:val="0"/>
        <w:rPr>
          <w:rFonts w:hint="default"/>
          <w:color w:val="auto"/>
          <w:lang w:val="en-US" w:eastAsia="zh-CN"/>
        </w:rPr>
      </w:pPr>
      <w:bookmarkStart w:id="251" w:name="_Toc32667"/>
      <w:r>
        <w:rPr>
          <w:rFonts w:hint="eastAsia"/>
          <w:color w:val="auto"/>
          <w:lang w:val="en-US" w:eastAsia="zh-CN"/>
        </w:rPr>
        <w:t>5.2运营期环境影响预测与评价</w:t>
      </w:r>
      <w:bookmarkEnd w:id="251"/>
    </w:p>
    <w:p w14:paraId="71BD42CA">
      <w:pPr>
        <w:pStyle w:val="5"/>
        <w:bidi w:val="0"/>
        <w:rPr>
          <w:rFonts w:hint="default"/>
          <w:color w:val="auto"/>
          <w:lang w:val="en-US" w:eastAsia="zh-CN"/>
        </w:rPr>
      </w:pPr>
      <w:r>
        <w:rPr>
          <w:rFonts w:hint="eastAsia"/>
          <w:color w:val="auto"/>
          <w:lang w:val="en-US" w:eastAsia="zh-CN"/>
        </w:rPr>
        <w:t>5.2.1运营期大气环境影响预测与评价</w:t>
      </w:r>
    </w:p>
    <w:p w14:paraId="7304539B">
      <w:pPr>
        <w:pStyle w:val="11"/>
        <w:bidi w:val="0"/>
        <w:rPr>
          <w:rFonts w:ascii="Times New Roman" w:hAnsi="Times New Roman" w:eastAsia="宋体"/>
          <w:color w:val="auto"/>
        </w:rPr>
      </w:pPr>
      <w:r>
        <w:rPr>
          <w:color w:val="auto"/>
        </w:rPr>
        <w:t>本</w:t>
      </w:r>
      <w:r>
        <w:rPr>
          <w:rFonts w:hint="eastAsia"/>
          <w:color w:val="auto"/>
          <w:lang w:val="en-US" w:eastAsia="zh-CN"/>
        </w:rPr>
        <w:t>工程</w:t>
      </w:r>
      <w:r>
        <w:rPr>
          <w:color w:val="auto"/>
        </w:rPr>
        <w:t>井场较为分散，本次评价以单个井场无组织排放源为例，本次评价选择</w:t>
      </w:r>
      <w:r>
        <w:rPr>
          <w:rFonts w:hint="eastAsia"/>
          <w:color w:val="auto"/>
          <w:lang w:val="en-US" w:eastAsia="zh-CN"/>
        </w:rPr>
        <w:t>百791、玛62井产油量最高</w:t>
      </w:r>
      <w:r>
        <w:rPr>
          <w:color w:val="auto"/>
        </w:rPr>
        <w:t>进行烃类无组织排放环境空气影响分析及评价。</w:t>
      </w:r>
      <w:r>
        <w:rPr>
          <w:rFonts w:hint="eastAsia"/>
          <w:color w:val="auto"/>
          <w:lang w:eastAsia="zh-CN"/>
        </w:rPr>
        <w:t>运营</w:t>
      </w:r>
      <w:r>
        <w:rPr>
          <w:color w:val="auto"/>
        </w:rPr>
        <w:t>期废气主要为井场挥发的烃类气体等，废气中主要污染物为非甲烷总烃。</w:t>
      </w:r>
    </w:p>
    <w:p w14:paraId="6C19AE39">
      <w:pPr>
        <w:pStyle w:val="6"/>
        <w:bidi w:val="0"/>
        <w:rPr>
          <w:rFonts w:hint="default"/>
          <w:color w:val="auto"/>
          <w:lang w:val="en-US" w:eastAsia="zh-CN"/>
        </w:rPr>
      </w:pPr>
      <w:r>
        <w:rPr>
          <w:rFonts w:hint="eastAsia"/>
          <w:color w:val="auto"/>
          <w:lang w:val="en-US" w:eastAsia="zh-CN"/>
        </w:rPr>
        <w:t>5.2.1.1估算模式</w:t>
      </w:r>
    </w:p>
    <w:p w14:paraId="06FBCB02">
      <w:pPr>
        <w:pStyle w:val="11"/>
        <w:bidi w:val="0"/>
        <w:rPr>
          <w:rFonts w:ascii="Times New Roman" w:hAnsi="Times New Roman" w:eastAsia="宋体"/>
          <w:color w:val="auto"/>
        </w:rPr>
      </w:pPr>
      <w:r>
        <w:rPr>
          <w:color w:val="auto"/>
        </w:rPr>
        <w:t>按照《环境影响评价技术导则 大气环境》（HJ2.2-2018），本次评价采用AERSCREEN模式计算结果进行影响分析。</w:t>
      </w:r>
    </w:p>
    <w:p w14:paraId="595A9513">
      <w:pPr>
        <w:pStyle w:val="6"/>
        <w:bidi w:val="0"/>
        <w:rPr>
          <w:rFonts w:hint="default"/>
          <w:color w:val="auto"/>
          <w:lang w:val="en-US" w:eastAsia="zh-CN"/>
        </w:rPr>
      </w:pPr>
      <w:r>
        <w:rPr>
          <w:rFonts w:hint="eastAsia"/>
          <w:color w:val="auto"/>
          <w:lang w:val="en-US" w:eastAsia="zh-CN"/>
        </w:rPr>
        <w:t>5.2.1.2估算模型数据来源</w:t>
      </w:r>
    </w:p>
    <w:p w14:paraId="3D1BD6EF">
      <w:pPr>
        <w:pStyle w:val="33"/>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地形数据</w:t>
      </w:r>
    </w:p>
    <w:p w14:paraId="0BA0D781">
      <w:pPr>
        <w:pStyle w:val="33"/>
        <w:bidi w:val="0"/>
        <w:rPr>
          <w:color w:val="auto"/>
        </w:rPr>
      </w:pPr>
      <w:r>
        <w:rPr>
          <w:rFonts w:hint="eastAsia"/>
          <w:color w:val="auto"/>
        </w:rPr>
        <w:t>估算模型使用的原始地形数据为美国</w:t>
      </w:r>
      <w:r>
        <w:rPr>
          <w:color w:val="auto"/>
        </w:rPr>
        <w:t>NASA和NIMA联合测量并公布的全球90×90m地形数据，自CSI的SRTM网站获取（http://srtm.csi.cgiar.org），符合导则要求。</w:t>
      </w:r>
    </w:p>
    <w:p w14:paraId="13F052F5">
      <w:pPr>
        <w:pStyle w:val="67"/>
        <w:spacing w:line="48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地表参数</w:t>
      </w:r>
    </w:p>
    <w:p w14:paraId="192B3A26">
      <w:pPr>
        <w:pStyle w:val="33"/>
        <w:bidi w:val="0"/>
        <w:rPr>
          <w:color w:val="auto"/>
        </w:rPr>
      </w:pPr>
      <w:r>
        <w:rPr>
          <w:rFonts w:hint="default" w:ascii="Times New Roman" w:hAnsi="Times New Roman" w:cs="Times New Roman"/>
          <w:color w:val="auto"/>
        </w:rPr>
        <w:t>项目大气评价范围占地</w:t>
      </w:r>
      <w:r>
        <w:rPr>
          <w:rFonts w:hint="eastAsia"/>
          <w:color w:val="auto"/>
        </w:rPr>
        <w:t>类型主要为</w:t>
      </w:r>
      <w:r>
        <w:rPr>
          <w:rFonts w:hint="eastAsia"/>
          <w:color w:val="auto"/>
          <w:lang w:val="en-US" w:eastAsia="zh-CN"/>
        </w:rPr>
        <w:t>草地</w:t>
      </w:r>
      <w:r>
        <w:rPr>
          <w:color w:val="auto"/>
        </w:rPr>
        <w:t>，地表特征参数为该类型土地的经验参数，见</w:t>
      </w:r>
      <w:r>
        <w:rPr>
          <w:rFonts w:hint="eastAsia"/>
          <w:color w:val="auto"/>
        </w:rPr>
        <w:t>表</w:t>
      </w:r>
      <w:r>
        <w:rPr>
          <w:rFonts w:hint="eastAsia"/>
          <w:color w:val="auto"/>
          <w:lang w:val="en-US" w:eastAsia="zh-CN"/>
        </w:rPr>
        <w:t>5</w:t>
      </w:r>
      <w:r>
        <w:rPr>
          <w:color w:val="auto"/>
        </w:rPr>
        <w:t>.2</w:t>
      </w:r>
      <w:r>
        <w:rPr>
          <w:rFonts w:hint="eastAsia"/>
          <w:color w:val="auto"/>
        </w:rPr>
        <w:t>-</w:t>
      </w:r>
      <w:r>
        <w:rPr>
          <w:color w:val="auto"/>
        </w:rPr>
        <w:t>1</w:t>
      </w:r>
      <w:r>
        <w:rPr>
          <w:rFonts w:hint="eastAsia"/>
          <w:color w:val="auto"/>
        </w:rPr>
        <w:t>。</w:t>
      </w:r>
    </w:p>
    <w:p w14:paraId="7D0FD00E">
      <w:pPr>
        <w:pStyle w:val="43"/>
        <w:bidi w:val="0"/>
        <w:rPr>
          <w:color w:val="auto"/>
        </w:rPr>
      </w:pPr>
      <w:r>
        <w:rPr>
          <w:color w:val="auto"/>
        </w:rPr>
        <w:t>表</w:t>
      </w:r>
      <w:r>
        <w:rPr>
          <w:color w:val="auto"/>
        </w:rPr>
        <w:fldChar w:fldCharType="begin"/>
      </w:r>
      <w:r>
        <w:rPr>
          <w:color w:val="auto"/>
        </w:rPr>
        <w:instrText xml:space="preserve"> STYLEREF 2 \s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本工程地表特征参数一览表</w:t>
      </w:r>
    </w:p>
    <w:tbl>
      <w:tblPr>
        <w:tblStyle w:val="2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90"/>
        <w:gridCol w:w="1789"/>
        <w:gridCol w:w="1789"/>
        <w:gridCol w:w="1789"/>
        <w:gridCol w:w="1789"/>
      </w:tblGrid>
      <w:tr w14:paraId="42607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000" w:type="pct"/>
            <w:tcBorders>
              <w:tl2br w:val="nil"/>
              <w:tr2bl w:val="nil"/>
            </w:tcBorders>
            <w:noWrap w:val="0"/>
            <w:vAlign w:val="center"/>
          </w:tcPr>
          <w:p w14:paraId="55332609">
            <w:pPr>
              <w:pStyle w:val="34"/>
              <w:bidi w:val="0"/>
              <w:rPr>
                <w:b/>
                <w:bCs/>
                <w:color w:val="auto"/>
              </w:rPr>
            </w:pPr>
            <w:r>
              <w:rPr>
                <w:rFonts w:hint="eastAsia"/>
                <w:b/>
                <w:bCs/>
                <w:color w:val="auto"/>
              </w:rPr>
              <w:t>扇区</w:t>
            </w:r>
          </w:p>
        </w:tc>
        <w:tc>
          <w:tcPr>
            <w:tcW w:w="999" w:type="pct"/>
            <w:tcBorders>
              <w:tl2br w:val="nil"/>
              <w:tr2bl w:val="nil"/>
            </w:tcBorders>
            <w:noWrap w:val="0"/>
            <w:vAlign w:val="center"/>
          </w:tcPr>
          <w:p w14:paraId="5D3A5505">
            <w:pPr>
              <w:pStyle w:val="34"/>
              <w:bidi w:val="0"/>
              <w:rPr>
                <w:b/>
                <w:bCs/>
                <w:color w:val="auto"/>
              </w:rPr>
            </w:pPr>
            <w:r>
              <w:rPr>
                <w:rFonts w:hint="eastAsia"/>
                <w:b/>
                <w:bCs/>
                <w:color w:val="auto"/>
              </w:rPr>
              <w:t>时段</w:t>
            </w:r>
          </w:p>
        </w:tc>
        <w:tc>
          <w:tcPr>
            <w:tcW w:w="999" w:type="pct"/>
            <w:tcBorders>
              <w:tl2br w:val="nil"/>
              <w:tr2bl w:val="nil"/>
            </w:tcBorders>
            <w:noWrap w:val="0"/>
            <w:vAlign w:val="center"/>
          </w:tcPr>
          <w:p w14:paraId="5B2479AB">
            <w:pPr>
              <w:pStyle w:val="34"/>
              <w:bidi w:val="0"/>
              <w:rPr>
                <w:b/>
                <w:bCs/>
                <w:color w:val="auto"/>
              </w:rPr>
            </w:pPr>
            <w:r>
              <w:rPr>
                <w:rFonts w:hint="eastAsia"/>
                <w:b/>
                <w:bCs/>
                <w:color w:val="auto"/>
              </w:rPr>
              <w:t>正午反照率</w:t>
            </w:r>
          </w:p>
        </w:tc>
        <w:tc>
          <w:tcPr>
            <w:tcW w:w="999" w:type="pct"/>
            <w:tcBorders>
              <w:tl2br w:val="nil"/>
              <w:tr2bl w:val="nil"/>
            </w:tcBorders>
            <w:noWrap w:val="0"/>
            <w:vAlign w:val="center"/>
          </w:tcPr>
          <w:p w14:paraId="10698886">
            <w:pPr>
              <w:pStyle w:val="34"/>
              <w:bidi w:val="0"/>
              <w:rPr>
                <w:b/>
                <w:bCs/>
                <w:color w:val="auto"/>
              </w:rPr>
            </w:pPr>
            <w:r>
              <w:rPr>
                <w:b/>
                <w:bCs/>
                <w:color w:val="auto"/>
              </w:rPr>
              <w:t>BOWEN</w:t>
            </w:r>
          </w:p>
        </w:tc>
        <w:tc>
          <w:tcPr>
            <w:tcW w:w="999" w:type="pct"/>
            <w:tcBorders>
              <w:tl2br w:val="nil"/>
              <w:tr2bl w:val="nil"/>
            </w:tcBorders>
            <w:noWrap w:val="0"/>
            <w:vAlign w:val="center"/>
          </w:tcPr>
          <w:p w14:paraId="2659EC16">
            <w:pPr>
              <w:pStyle w:val="34"/>
              <w:bidi w:val="0"/>
              <w:rPr>
                <w:b/>
                <w:bCs/>
                <w:color w:val="auto"/>
              </w:rPr>
            </w:pPr>
            <w:r>
              <w:rPr>
                <w:rFonts w:hint="eastAsia"/>
                <w:b/>
                <w:bCs/>
                <w:color w:val="auto"/>
              </w:rPr>
              <w:t>粗糙度</w:t>
            </w:r>
          </w:p>
        </w:tc>
      </w:tr>
      <w:tr w14:paraId="2077F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000" w:type="pct"/>
            <w:tcBorders>
              <w:tl2br w:val="nil"/>
              <w:tr2bl w:val="nil"/>
            </w:tcBorders>
            <w:noWrap w:val="0"/>
            <w:vAlign w:val="center"/>
          </w:tcPr>
          <w:p w14:paraId="466AC42C">
            <w:pPr>
              <w:pStyle w:val="34"/>
              <w:bidi w:val="0"/>
              <w:rPr>
                <w:color w:val="auto"/>
              </w:rPr>
            </w:pPr>
            <w:r>
              <w:rPr>
                <w:color w:val="auto"/>
              </w:rPr>
              <w:t>0</w:t>
            </w:r>
            <w:r>
              <w:rPr>
                <w:rFonts w:hint="eastAsia"/>
                <w:color w:val="auto"/>
              </w:rPr>
              <w:t>～</w:t>
            </w:r>
            <w:r>
              <w:rPr>
                <w:color w:val="auto"/>
              </w:rPr>
              <w:t>360</w:t>
            </w:r>
          </w:p>
        </w:tc>
        <w:tc>
          <w:tcPr>
            <w:tcW w:w="999" w:type="pct"/>
            <w:tcBorders>
              <w:tl2br w:val="nil"/>
              <w:tr2bl w:val="nil"/>
            </w:tcBorders>
            <w:noWrap w:val="0"/>
            <w:vAlign w:val="center"/>
          </w:tcPr>
          <w:p w14:paraId="74AB8CBF">
            <w:pPr>
              <w:pStyle w:val="34"/>
              <w:bidi w:val="0"/>
              <w:rPr>
                <w:color w:val="auto"/>
              </w:rPr>
            </w:pPr>
            <w:r>
              <w:rPr>
                <w:rFonts w:hint="eastAsia"/>
                <w:color w:val="auto"/>
              </w:rPr>
              <w:t>全年</w:t>
            </w:r>
          </w:p>
        </w:tc>
        <w:tc>
          <w:tcPr>
            <w:tcW w:w="999" w:type="pct"/>
            <w:tcBorders>
              <w:tl2br w:val="nil"/>
              <w:tr2bl w:val="nil"/>
            </w:tcBorders>
            <w:noWrap w:val="0"/>
            <w:vAlign w:val="center"/>
          </w:tcPr>
          <w:p w14:paraId="4F400230">
            <w:pPr>
              <w:pStyle w:val="34"/>
              <w:bidi w:val="0"/>
              <w:rPr>
                <w:rFonts w:hint="default" w:eastAsia="宋体"/>
                <w:color w:val="auto"/>
                <w:lang w:val="en-US" w:eastAsia="zh-CN"/>
              </w:rPr>
            </w:pPr>
            <w:r>
              <w:rPr>
                <w:rFonts w:hint="eastAsia"/>
                <w:color w:val="auto"/>
                <w:lang w:val="en-US" w:eastAsia="zh-CN"/>
              </w:rPr>
              <w:t>0.29</w:t>
            </w:r>
          </w:p>
        </w:tc>
        <w:tc>
          <w:tcPr>
            <w:tcW w:w="999" w:type="pct"/>
            <w:tcBorders>
              <w:tl2br w:val="nil"/>
              <w:tr2bl w:val="nil"/>
            </w:tcBorders>
            <w:noWrap w:val="0"/>
            <w:vAlign w:val="center"/>
          </w:tcPr>
          <w:p w14:paraId="3EDF8DDF">
            <w:pPr>
              <w:pStyle w:val="34"/>
              <w:bidi w:val="0"/>
              <w:rPr>
                <w:rFonts w:hint="default" w:eastAsia="宋体"/>
                <w:color w:val="auto"/>
                <w:lang w:val="en-US" w:eastAsia="zh-CN"/>
              </w:rPr>
            </w:pPr>
            <w:r>
              <w:rPr>
                <w:rFonts w:hint="eastAsia"/>
                <w:color w:val="auto"/>
                <w:lang w:val="en-US" w:eastAsia="zh-CN"/>
              </w:rPr>
              <w:t>1.75</w:t>
            </w:r>
          </w:p>
        </w:tc>
        <w:tc>
          <w:tcPr>
            <w:tcW w:w="999" w:type="pct"/>
            <w:tcBorders>
              <w:tl2br w:val="nil"/>
              <w:tr2bl w:val="nil"/>
            </w:tcBorders>
            <w:noWrap w:val="0"/>
            <w:vAlign w:val="center"/>
          </w:tcPr>
          <w:p w14:paraId="66AE8BD6">
            <w:pPr>
              <w:pStyle w:val="34"/>
              <w:bidi w:val="0"/>
              <w:rPr>
                <w:rFonts w:hint="default" w:eastAsia="宋体"/>
                <w:color w:val="auto"/>
                <w:lang w:val="en-US" w:eastAsia="zh-CN"/>
              </w:rPr>
            </w:pPr>
            <w:r>
              <w:rPr>
                <w:rFonts w:hint="eastAsia"/>
                <w:color w:val="auto"/>
                <w:lang w:val="en-US" w:eastAsia="zh-CN"/>
              </w:rPr>
              <w:t>0.04025</w:t>
            </w:r>
          </w:p>
        </w:tc>
      </w:tr>
    </w:tbl>
    <w:p w14:paraId="53075641">
      <w:pPr>
        <w:pStyle w:val="6"/>
        <w:bidi w:val="0"/>
        <w:rPr>
          <w:rFonts w:hint="default"/>
          <w:color w:val="auto"/>
          <w:lang w:val="en-US" w:eastAsia="zh-CN"/>
        </w:rPr>
      </w:pPr>
      <w:r>
        <w:rPr>
          <w:rFonts w:hint="eastAsia"/>
          <w:color w:val="auto"/>
          <w:lang w:val="en-US" w:eastAsia="zh-CN"/>
        </w:rPr>
        <w:t>5.2.1.3估算模型参数</w:t>
      </w:r>
    </w:p>
    <w:p w14:paraId="1200B5B1">
      <w:pPr>
        <w:pStyle w:val="33"/>
        <w:bidi w:val="0"/>
        <w:rPr>
          <w:color w:val="auto"/>
        </w:rPr>
      </w:pPr>
      <w:r>
        <w:rPr>
          <w:color w:val="auto"/>
        </w:rPr>
        <w:t>该模式计算选用的参数见</w:t>
      </w:r>
      <w:r>
        <w:rPr>
          <w:color w:val="auto"/>
        </w:rPr>
        <w:fldChar w:fldCharType="begin"/>
      </w:r>
      <w:r>
        <w:rPr>
          <w:color w:val="auto"/>
        </w:rPr>
        <w:instrText xml:space="preserve"> REF _Ref91799638 \h  \* MERGEFORMAT </w:instrText>
      </w:r>
      <w:r>
        <w:rPr>
          <w:color w:val="auto"/>
        </w:rPr>
        <w:fldChar w:fldCharType="separate"/>
      </w:r>
      <w:r>
        <w:rPr>
          <w:color w:val="auto"/>
        </w:rPr>
        <w:t>表</w:t>
      </w:r>
      <w:r>
        <w:rPr>
          <w:rFonts w:hint="eastAsia"/>
          <w:color w:val="auto"/>
          <w:lang w:val="en-US" w:eastAsia="zh-CN"/>
        </w:rPr>
        <w:t>5.2</w:t>
      </w:r>
      <w:r>
        <w:rPr>
          <w:color w:val="auto"/>
        </w:rPr>
        <w:noBreakHyphen/>
      </w:r>
      <w:r>
        <w:rPr>
          <w:color w:val="auto"/>
        </w:rPr>
        <w:t>2</w:t>
      </w:r>
      <w:r>
        <w:rPr>
          <w:color w:val="auto"/>
        </w:rPr>
        <w:fldChar w:fldCharType="end"/>
      </w:r>
      <w:r>
        <w:rPr>
          <w:color w:val="auto"/>
        </w:rPr>
        <w:t>。</w:t>
      </w:r>
    </w:p>
    <w:p w14:paraId="4260BC75">
      <w:pPr>
        <w:pStyle w:val="43"/>
        <w:bidi w:val="0"/>
        <w:rPr>
          <w:rFonts w:cs="Times New Roman"/>
          <w:color w:val="auto"/>
        </w:rPr>
      </w:pPr>
      <w:bookmarkStart w:id="252" w:name="_Ref91799638"/>
      <w:r>
        <w:rPr>
          <w:rFonts w:cs="Times New Roman"/>
          <w:color w:val="auto"/>
        </w:rPr>
        <w:t>表</w:t>
      </w:r>
      <w:r>
        <w:rPr>
          <w:rFonts w:hint="eastAsia" w:cs="Times New Roman"/>
          <w:color w:val="auto"/>
          <w:lang w:val="en-US" w:eastAsia="zh-CN"/>
        </w:rPr>
        <w:t>5.2</w:t>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252"/>
      <w:r>
        <w:rPr>
          <w:rFonts w:cs="Times New Roman"/>
          <w:color w:val="auto"/>
        </w:rPr>
        <w:t xml:space="preserve">  估算模型参考表</w:t>
      </w:r>
    </w:p>
    <w:tbl>
      <w:tblPr>
        <w:tblStyle w:val="27"/>
        <w:tblW w:w="5134" w:type="pct"/>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 w:type="dxa"/>
          <w:bottom w:w="0" w:type="dxa"/>
          <w:right w:w="10" w:type="dxa"/>
        </w:tblCellMar>
      </w:tblPr>
      <w:tblGrid>
        <w:gridCol w:w="2186"/>
        <w:gridCol w:w="2316"/>
        <w:gridCol w:w="2531"/>
        <w:gridCol w:w="1954"/>
      </w:tblGrid>
      <w:tr w14:paraId="42A5D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369" w:hRule="atLeast"/>
        </w:trPr>
        <w:tc>
          <w:tcPr>
            <w:tcW w:w="2504" w:type="pct"/>
            <w:gridSpan w:val="2"/>
            <w:shd w:val="clear" w:color="auto" w:fill="auto"/>
            <w:vAlign w:val="center"/>
          </w:tcPr>
          <w:p w14:paraId="22F24E1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1408" w:type="pct"/>
            <w:shd w:val="clear" w:color="auto" w:fill="auto"/>
            <w:vAlign w:val="center"/>
          </w:tcPr>
          <w:p w14:paraId="6757471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val="en-US" w:eastAsia="zh-CN"/>
              </w:rPr>
              <w:t>乌尔禾</w:t>
            </w:r>
            <w:r>
              <w:rPr>
                <w:rFonts w:hint="default" w:ascii="Times New Roman" w:hAnsi="Times New Roman" w:eastAsia="宋体" w:cs="Times New Roman"/>
                <w:b/>
                <w:bCs/>
                <w:color w:val="auto"/>
                <w:sz w:val="21"/>
                <w:szCs w:val="21"/>
              </w:rPr>
              <w:t>参数</w:t>
            </w:r>
          </w:p>
        </w:tc>
        <w:tc>
          <w:tcPr>
            <w:tcW w:w="1087" w:type="pct"/>
            <w:shd w:val="clear" w:color="auto" w:fill="auto"/>
            <w:vAlign w:val="center"/>
          </w:tcPr>
          <w:p w14:paraId="1468DA4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val="en-US" w:eastAsia="zh-CN"/>
              </w:rPr>
              <w:t>和布克赛尔蒙古自治县</w:t>
            </w:r>
            <w:r>
              <w:rPr>
                <w:rFonts w:hint="default" w:ascii="Times New Roman" w:hAnsi="Times New Roman" w:eastAsia="宋体" w:cs="Times New Roman"/>
                <w:b/>
                <w:bCs/>
                <w:color w:val="auto"/>
                <w:sz w:val="21"/>
                <w:szCs w:val="21"/>
              </w:rPr>
              <w:t>参数</w:t>
            </w:r>
          </w:p>
        </w:tc>
      </w:tr>
      <w:tr w14:paraId="45897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restart"/>
            <w:shd w:val="clear" w:color="auto" w:fill="auto"/>
            <w:vAlign w:val="center"/>
          </w:tcPr>
          <w:p w14:paraId="0A2A416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城市/农村选项</w:t>
            </w:r>
          </w:p>
        </w:tc>
        <w:tc>
          <w:tcPr>
            <w:tcW w:w="1287" w:type="pct"/>
            <w:shd w:val="clear" w:color="auto" w:fill="auto"/>
            <w:vAlign w:val="center"/>
          </w:tcPr>
          <w:p w14:paraId="5D9F5B7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w:t>
            </w:r>
          </w:p>
        </w:tc>
        <w:tc>
          <w:tcPr>
            <w:tcW w:w="1408" w:type="pct"/>
            <w:shd w:val="clear" w:color="auto" w:fill="auto"/>
            <w:vAlign w:val="center"/>
          </w:tcPr>
          <w:p w14:paraId="6C6EB89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农村</w:t>
            </w:r>
          </w:p>
        </w:tc>
        <w:tc>
          <w:tcPr>
            <w:tcW w:w="1087" w:type="pct"/>
            <w:shd w:val="clear" w:color="auto" w:fill="auto"/>
            <w:vAlign w:val="center"/>
          </w:tcPr>
          <w:p w14:paraId="6E37C9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农村</w:t>
            </w:r>
          </w:p>
        </w:tc>
      </w:tr>
      <w:tr w14:paraId="05287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continue"/>
            <w:shd w:val="clear" w:color="auto" w:fill="auto"/>
            <w:vAlign w:val="center"/>
          </w:tcPr>
          <w:p w14:paraId="564A49F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87" w:type="pct"/>
            <w:shd w:val="clear" w:color="auto" w:fill="auto"/>
            <w:vAlign w:val="center"/>
          </w:tcPr>
          <w:p w14:paraId="07AB26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人口数（城市选项时）</w:t>
            </w:r>
          </w:p>
        </w:tc>
        <w:tc>
          <w:tcPr>
            <w:tcW w:w="1408" w:type="pct"/>
            <w:shd w:val="clear" w:color="auto" w:fill="auto"/>
            <w:vAlign w:val="center"/>
          </w:tcPr>
          <w:p w14:paraId="76ECBC7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87" w:type="pct"/>
            <w:shd w:val="clear" w:color="auto" w:fill="auto"/>
            <w:vAlign w:val="center"/>
          </w:tcPr>
          <w:p w14:paraId="3BCFC26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824E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2504" w:type="pct"/>
            <w:gridSpan w:val="2"/>
            <w:shd w:val="clear" w:color="auto" w:fill="auto"/>
            <w:vAlign w:val="center"/>
          </w:tcPr>
          <w:p w14:paraId="4709015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最高环境温度/℃</w:t>
            </w:r>
          </w:p>
        </w:tc>
        <w:tc>
          <w:tcPr>
            <w:tcW w:w="1408" w:type="pct"/>
            <w:shd w:val="clear" w:color="auto" w:fill="auto"/>
            <w:vAlign w:val="center"/>
          </w:tcPr>
          <w:p w14:paraId="4CFAB8A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42.9</w:t>
            </w:r>
          </w:p>
        </w:tc>
        <w:tc>
          <w:tcPr>
            <w:tcW w:w="1087" w:type="pct"/>
            <w:shd w:val="clear" w:color="auto" w:fill="auto"/>
            <w:vAlign w:val="center"/>
          </w:tcPr>
          <w:p w14:paraId="723D3E4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42.3</w:t>
            </w:r>
          </w:p>
        </w:tc>
      </w:tr>
      <w:tr w14:paraId="0BE75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2504" w:type="pct"/>
            <w:gridSpan w:val="2"/>
            <w:shd w:val="clear" w:color="auto" w:fill="auto"/>
            <w:vAlign w:val="center"/>
          </w:tcPr>
          <w:p w14:paraId="4C118B2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最低环境温度/℃</w:t>
            </w:r>
          </w:p>
        </w:tc>
        <w:tc>
          <w:tcPr>
            <w:tcW w:w="1408" w:type="pct"/>
            <w:shd w:val="clear" w:color="auto" w:fill="auto"/>
            <w:vAlign w:val="center"/>
          </w:tcPr>
          <w:p w14:paraId="12790C1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35.9</w:t>
            </w:r>
          </w:p>
        </w:tc>
        <w:tc>
          <w:tcPr>
            <w:tcW w:w="1087" w:type="pct"/>
            <w:shd w:val="clear" w:color="auto" w:fill="auto"/>
            <w:vAlign w:val="center"/>
          </w:tcPr>
          <w:p w14:paraId="1566F88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34.5</w:t>
            </w:r>
          </w:p>
        </w:tc>
      </w:tr>
      <w:tr w14:paraId="1057D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2504" w:type="pct"/>
            <w:gridSpan w:val="2"/>
            <w:shd w:val="clear" w:color="auto" w:fill="auto"/>
            <w:vAlign w:val="center"/>
          </w:tcPr>
          <w:p w14:paraId="5520021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1408" w:type="pct"/>
            <w:shd w:val="clear" w:color="auto" w:fill="auto"/>
            <w:vAlign w:val="center"/>
          </w:tcPr>
          <w:p w14:paraId="6E507B4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草地</w:t>
            </w:r>
          </w:p>
        </w:tc>
        <w:tc>
          <w:tcPr>
            <w:tcW w:w="1087" w:type="pct"/>
            <w:shd w:val="clear" w:color="auto" w:fill="auto"/>
            <w:vAlign w:val="center"/>
          </w:tcPr>
          <w:p w14:paraId="7488939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草地</w:t>
            </w:r>
          </w:p>
        </w:tc>
      </w:tr>
      <w:tr w14:paraId="4F038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2504" w:type="pct"/>
            <w:gridSpan w:val="2"/>
            <w:shd w:val="clear" w:color="auto" w:fill="auto"/>
            <w:vAlign w:val="center"/>
          </w:tcPr>
          <w:p w14:paraId="603CE2D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区域湿度条件</w:t>
            </w:r>
          </w:p>
        </w:tc>
        <w:tc>
          <w:tcPr>
            <w:tcW w:w="1408" w:type="pct"/>
            <w:shd w:val="clear" w:color="auto" w:fill="auto"/>
            <w:vAlign w:val="center"/>
          </w:tcPr>
          <w:p w14:paraId="277F3AF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干燥</w:t>
            </w:r>
          </w:p>
        </w:tc>
        <w:tc>
          <w:tcPr>
            <w:tcW w:w="1087" w:type="pct"/>
            <w:shd w:val="clear" w:color="auto" w:fill="auto"/>
            <w:vAlign w:val="center"/>
          </w:tcPr>
          <w:p w14:paraId="0E6218C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干燥</w:t>
            </w:r>
          </w:p>
        </w:tc>
      </w:tr>
      <w:tr w14:paraId="14A0D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restart"/>
            <w:shd w:val="clear" w:color="auto" w:fill="auto"/>
            <w:vAlign w:val="center"/>
          </w:tcPr>
          <w:p w14:paraId="6A05C7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1287" w:type="pct"/>
            <w:shd w:val="clear" w:color="auto" w:fill="auto"/>
            <w:vAlign w:val="center"/>
          </w:tcPr>
          <w:p w14:paraId="17381FC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考虑地形</w:t>
            </w:r>
          </w:p>
        </w:tc>
        <w:tc>
          <w:tcPr>
            <w:tcW w:w="1408" w:type="pct"/>
            <w:shd w:val="clear" w:color="auto" w:fill="auto"/>
            <w:vAlign w:val="center"/>
          </w:tcPr>
          <w:p w14:paraId="1BFE8B2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1087" w:type="pct"/>
            <w:shd w:val="clear" w:color="auto" w:fill="auto"/>
            <w:vAlign w:val="center"/>
          </w:tcPr>
          <w:p w14:paraId="32F0426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457BB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continue"/>
            <w:shd w:val="clear" w:color="auto" w:fill="auto"/>
            <w:vAlign w:val="center"/>
          </w:tcPr>
          <w:p w14:paraId="2915AA9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87" w:type="pct"/>
            <w:shd w:val="clear" w:color="auto" w:fill="auto"/>
            <w:vAlign w:val="center"/>
          </w:tcPr>
          <w:p w14:paraId="6F4DA77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地形数据分辨率/m</w:t>
            </w:r>
          </w:p>
        </w:tc>
        <w:tc>
          <w:tcPr>
            <w:tcW w:w="1408" w:type="pct"/>
            <w:shd w:val="clear" w:color="auto" w:fill="auto"/>
            <w:vAlign w:val="center"/>
          </w:tcPr>
          <w:p w14:paraId="2988474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1087" w:type="pct"/>
            <w:shd w:val="clear" w:color="auto" w:fill="auto"/>
            <w:vAlign w:val="center"/>
          </w:tcPr>
          <w:p w14:paraId="1718D7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r w14:paraId="2191B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restart"/>
            <w:shd w:val="clear" w:color="auto" w:fill="auto"/>
            <w:vAlign w:val="center"/>
          </w:tcPr>
          <w:p w14:paraId="3C70013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是否考虑海岸线熏烟</w:t>
            </w:r>
          </w:p>
        </w:tc>
        <w:tc>
          <w:tcPr>
            <w:tcW w:w="1287" w:type="pct"/>
            <w:shd w:val="clear" w:color="auto" w:fill="auto"/>
            <w:vAlign w:val="center"/>
          </w:tcPr>
          <w:p w14:paraId="38D3C72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考虑海岸线熏烟</w:t>
            </w:r>
          </w:p>
        </w:tc>
        <w:tc>
          <w:tcPr>
            <w:tcW w:w="1408" w:type="pct"/>
            <w:shd w:val="clear" w:color="auto" w:fill="auto"/>
            <w:vAlign w:val="center"/>
          </w:tcPr>
          <w:p w14:paraId="2BB8EC8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c>
          <w:tcPr>
            <w:tcW w:w="1087" w:type="pct"/>
            <w:shd w:val="clear" w:color="auto" w:fill="auto"/>
            <w:vAlign w:val="center"/>
          </w:tcPr>
          <w:p w14:paraId="3A2EA70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16ACC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continue"/>
            <w:shd w:val="clear" w:color="auto" w:fill="auto"/>
            <w:vAlign w:val="center"/>
          </w:tcPr>
          <w:p w14:paraId="467F41B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87" w:type="pct"/>
            <w:shd w:val="clear" w:color="auto" w:fill="auto"/>
            <w:vAlign w:val="center"/>
          </w:tcPr>
          <w:p w14:paraId="253EECE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岸线距离/km</w:t>
            </w:r>
          </w:p>
        </w:tc>
        <w:tc>
          <w:tcPr>
            <w:tcW w:w="1408" w:type="pct"/>
            <w:shd w:val="clear" w:color="auto" w:fill="auto"/>
            <w:vAlign w:val="center"/>
          </w:tcPr>
          <w:p w14:paraId="4D53291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87" w:type="pct"/>
            <w:shd w:val="clear" w:color="auto" w:fill="auto"/>
            <w:vAlign w:val="center"/>
          </w:tcPr>
          <w:p w14:paraId="3322008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F28A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69" w:hRule="atLeast"/>
        </w:trPr>
        <w:tc>
          <w:tcPr>
            <w:tcW w:w="1216" w:type="pct"/>
            <w:vMerge w:val="continue"/>
            <w:shd w:val="clear" w:color="auto" w:fill="auto"/>
            <w:vAlign w:val="center"/>
          </w:tcPr>
          <w:p w14:paraId="26F327D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287" w:type="pct"/>
            <w:shd w:val="clear" w:color="auto" w:fill="auto"/>
            <w:vAlign w:val="center"/>
          </w:tcPr>
          <w:p w14:paraId="15589F6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岸线方向/°</w:t>
            </w:r>
          </w:p>
        </w:tc>
        <w:tc>
          <w:tcPr>
            <w:tcW w:w="1408" w:type="pct"/>
            <w:shd w:val="clear" w:color="auto" w:fill="auto"/>
            <w:vAlign w:val="center"/>
          </w:tcPr>
          <w:p w14:paraId="12AA54E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87" w:type="pct"/>
            <w:shd w:val="clear" w:color="auto" w:fill="auto"/>
            <w:vAlign w:val="center"/>
          </w:tcPr>
          <w:p w14:paraId="6B14732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7DDCD04D">
      <w:pPr>
        <w:pStyle w:val="6"/>
        <w:bidi w:val="0"/>
        <w:rPr>
          <w:rFonts w:hint="default"/>
          <w:color w:val="auto"/>
          <w:lang w:val="en-US" w:eastAsia="zh-CN"/>
        </w:rPr>
      </w:pPr>
      <w:r>
        <w:rPr>
          <w:rFonts w:hint="eastAsia"/>
          <w:color w:val="auto"/>
          <w:lang w:val="en-US" w:eastAsia="zh-CN"/>
        </w:rPr>
        <w:t>5.2.1.4预测参数</w:t>
      </w:r>
    </w:p>
    <w:p w14:paraId="1E38A24F">
      <w:pPr>
        <w:pStyle w:val="11"/>
        <w:bidi w:val="0"/>
        <w:rPr>
          <w:rFonts w:hint="default" w:ascii="Times New Roman" w:hAnsi="Times New Roman" w:eastAsia="宋体"/>
          <w:color w:val="auto"/>
          <w:lang w:val="en-US" w:eastAsia="zh-CN"/>
        </w:rPr>
      </w:pPr>
      <w:r>
        <w:rPr>
          <w:color w:val="auto"/>
        </w:rPr>
        <w:t>正常工况下，井场挥发损失的烃类气体无组织排放预测参数见</w:t>
      </w:r>
      <w:r>
        <w:rPr>
          <w:rFonts w:hint="eastAsia"/>
          <w:color w:val="auto"/>
          <w:lang w:val="en-US" w:eastAsia="zh-CN"/>
        </w:rPr>
        <w:t>表5.2-3。</w:t>
      </w:r>
    </w:p>
    <w:p w14:paraId="5516025A">
      <w:pPr>
        <w:pStyle w:val="32"/>
        <w:bidi w:val="0"/>
        <w:rPr>
          <w:rFonts w:hint="eastAsia"/>
          <w:color w:val="auto"/>
        </w:rPr>
      </w:pPr>
      <w:r>
        <w:rPr>
          <w:rFonts w:hint="eastAsia"/>
          <w:color w:val="auto"/>
        </w:rPr>
        <w:t>表</w:t>
      </w:r>
      <w:r>
        <w:rPr>
          <w:rFonts w:hint="eastAsia"/>
          <w:color w:val="auto"/>
          <w:lang w:val="en-US" w:eastAsia="zh-CN"/>
        </w:rPr>
        <w:t xml:space="preserve">5.2-3 </w:t>
      </w:r>
      <w:r>
        <w:rPr>
          <w:color w:val="auto"/>
        </w:rPr>
        <w:t xml:space="preserve"> </w:t>
      </w:r>
      <w:r>
        <w:rPr>
          <w:rFonts w:hint="eastAsia"/>
          <w:color w:val="auto"/>
        </w:rPr>
        <w:t>面源污染源参数一览表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994"/>
        <w:gridCol w:w="924"/>
        <w:gridCol w:w="958"/>
        <w:gridCol w:w="673"/>
        <w:gridCol w:w="586"/>
        <w:gridCol w:w="763"/>
        <w:gridCol w:w="938"/>
        <w:gridCol w:w="745"/>
        <w:gridCol w:w="500"/>
        <w:gridCol w:w="922"/>
        <w:gridCol w:w="8"/>
      </w:tblGrid>
      <w:tr w14:paraId="5C9D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521" w:type="pct"/>
            <w:vMerge w:val="restart"/>
            <w:vAlign w:val="center"/>
          </w:tcPr>
          <w:p w14:paraId="5DB15E9E">
            <w:pPr>
              <w:jc w:val="center"/>
              <w:rPr>
                <w:rFonts w:hint="eastAsia" w:eastAsia="宋体"/>
                <w:b/>
                <w:bCs/>
                <w:color w:val="auto"/>
                <w:vertAlign w:val="baseline"/>
                <w:lang w:val="en-US" w:eastAsia="zh-CN"/>
              </w:rPr>
            </w:pPr>
            <w:r>
              <w:rPr>
                <w:rFonts w:hint="eastAsia"/>
                <w:b/>
                <w:bCs/>
                <w:color w:val="auto"/>
                <w:vertAlign w:val="baseline"/>
                <w:lang w:val="en-US" w:eastAsia="zh-CN"/>
              </w:rPr>
              <w:t>名称</w:t>
            </w:r>
          </w:p>
        </w:tc>
        <w:tc>
          <w:tcPr>
            <w:tcW w:w="1071" w:type="pct"/>
            <w:gridSpan w:val="2"/>
            <w:vAlign w:val="center"/>
          </w:tcPr>
          <w:p w14:paraId="7E23C8ED">
            <w:pPr>
              <w:jc w:val="center"/>
              <w:rPr>
                <w:b/>
                <w:bCs/>
                <w:color w:val="auto"/>
                <w:vertAlign w:val="baseline"/>
              </w:rPr>
            </w:pPr>
            <w:r>
              <w:rPr>
                <w:rFonts w:hint="eastAsia"/>
                <w:b/>
                <w:bCs/>
                <w:color w:val="auto"/>
                <w:vertAlign w:val="baseline"/>
                <w:lang w:val="en-US" w:eastAsia="zh-CN"/>
              </w:rPr>
              <w:t>面源起点坐标</w:t>
            </w:r>
          </w:p>
        </w:tc>
        <w:tc>
          <w:tcPr>
            <w:tcW w:w="535" w:type="pct"/>
            <w:vMerge w:val="restart"/>
            <w:vAlign w:val="center"/>
          </w:tcPr>
          <w:p w14:paraId="08B62CFA">
            <w:pPr>
              <w:jc w:val="center"/>
              <w:rPr>
                <w:rFonts w:hint="default" w:eastAsia="宋体"/>
                <w:b/>
                <w:bCs/>
                <w:color w:val="auto"/>
                <w:vertAlign w:val="baseline"/>
                <w:lang w:val="en-US" w:eastAsia="zh-CN"/>
              </w:rPr>
            </w:pPr>
            <w:r>
              <w:rPr>
                <w:rFonts w:hint="eastAsia"/>
                <w:b/>
                <w:bCs/>
                <w:color w:val="auto"/>
                <w:vertAlign w:val="baseline"/>
                <w:lang w:val="en-US" w:eastAsia="zh-CN"/>
              </w:rPr>
              <w:t>面源海拔高度/m</w:t>
            </w:r>
          </w:p>
        </w:tc>
        <w:tc>
          <w:tcPr>
            <w:tcW w:w="376" w:type="pct"/>
            <w:vMerge w:val="restart"/>
            <w:vAlign w:val="center"/>
          </w:tcPr>
          <w:p w14:paraId="553D447E">
            <w:pPr>
              <w:jc w:val="center"/>
              <w:rPr>
                <w:rFonts w:hint="default" w:eastAsia="宋体"/>
                <w:b/>
                <w:bCs/>
                <w:color w:val="auto"/>
                <w:vertAlign w:val="baseline"/>
                <w:lang w:val="en-US" w:eastAsia="zh-CN"/>
              </w:rPr>
            </w:pPr>
            <w:r>
              <w:rPr>
                <w:rFonts w:hint="eastAsia"/>
                <w:b/>
                <w:bCs/>
                <w:color w:val="auto"/>
                <w:vertAlign w:val="baseline"/>
                <w:lang w:val="en-US" w:eastAsia="zh-CN"/>
              </w:rPr>
              <w:t>面源长度/m</w:t>
            </w:r>
          </w:p>
        </w:tc>
        <w:tc>
          <w:tcPr>
            <w:tcW w:w="327" w:type="pct"/>
            <w:vMerge w:val="restart"/>
            <w:vAlign w:val="center"/>
          </w:tcPr>
          <w:p w14:paraId="647D7D41">
            <w:pPr>
              <w:jc w:val="center"/>
              <w:rPr>
                <w:rFonts w:hint="default" w:eastAsia="宋体"/>
                <w:b/>
                <w:bCs/>
                <w:color w:val="auto"/>
                <w:vertAlign w:val="baseline"/>
                <w:lang w:val="en-US" w:eastAsia="zh-CN"/>
              </w:rPr>
            </w:pPr>
            <w:r>
              <w:rPr>
                <w:rFonts w:hint="eastAsia"/>
                <w:b/>
                <w:bCs/>
                <w:color w:val="auto"/>
                <w:vertAlign w:val="baseline"/>
                <w:lang w:val="en-US" w:eastAsia="zh-CN"/>
              </w:rPr>
              <w:t>面源宽度/m</w:t>
            </w:r>
          </w:p>
        </w:tc>
        <w:tc>
          <w:tcPr>
            <w:tcW w:w="426" w:type="pct"/>
            <w:vMerge w:val="restart"/>
            <w:vAlign w:val="center"/>
          </w:tcPr>
          <w:p w14:paraId="06305724">
            <w:pPr>
              <w:jc w:val="center"/>
              <w:rPr>
                <w:rFonts w:hint="default" w:eastAsia="宋体"/>
                <w:b/>
                <w:bCs/>
                <w:color w:val="auto"/>
                <w:vertAlign w:val="baseline"/>
                <w:lang w:val="en-US" w:eastAsia="zh-CN"/>
              </w:rPr>
            </w:pPr>
            <w:r>
              <w:rPr>
                <w:rFonts w:hint="eastAsia"/>
                <w:b/>
                <w:bCs/>
                <w:color w:val="auto"/>
                <w:vertAlign w:val="baseline"/>
                <w:lang w:val="en-US" w:eastAsia="zh-CN"/>
              </w:rPr>
              <w:t>与正北方向夹角/°</w:t>
            </w:r>
          </w:p>
        </w:tc>
        <w:tc>
          <w:tcPr>
            <w:tcW w:w="524" w:type="pct"/>
            <w:vMerge w:val="restart"/>
            <w:vAlign w:val="center"/>
          </w:tcPr>
          <w:p w14:paraId="2CC388D5">
            <w:pPr>
              <w:jc w:val="center"/>
              <w:rPr>
                <w:rFonts w:hint="default" w:eastAsia="宋体"/>
                <w:b/>
                <w:bCs/>
                <w:color w:val="auto"/>
                <w:vertAlign w:val="baseline"/>
                <w:lang w:val="en-US" w:eastAsia="zh-CN"/>
              </w:rPr>
            </w:pPr>
            <w:r>
              <w:rPr>
                <w:rFonts w:hint="eastAsia"/>
                <w:b/>
                <w:bCs/>
                <w:color w:val="auto"/>
                <w:vertAlign w:val="baseline"/>
                <w:lang w:val="en-US" w:eastAsia="zh-CN"/>
              </w:rPr>
              <w:t>面源有效排放高度/m</w:t>
            </w:r>
          </w:p>
        </w:tc>
        <w:tc>
          <w:tcPr>
            <w:tcW w:w="416" w:type="pct"/>
            <w:vMerge w:val="restart"/>
            <w:vAlign w:val="center"/>
          </w:tcPr>
          <w:p w14:paraId="6C13F31D">
            <w:pPr>
              <w:jc w:val="center"/>
              <w:rPr>
                <w:rFonts w:hint="default" w:eastAsia="宋体"/>
                <w:b/>
                <w:bCs/>
                <w:color w:val="auto"/>
                <w:vertAlign w:val="baseline"/>
                <w:lang w:val="en-US" w:eastAsia="zh-CN"/>
              </w:rPr>
            </w:pPr>
            <w:r>
              <w:rPr>
                <w:rFonts w:hint="eastAsia"/>
                <w:b/>
                <w:bCs/>
                <w:color w:val="auto"/>
                <w:vertAlign w:val="baseline"/>
                <w:lang w:val="en-US" w:eastAsia="zh-CN"/>
              </w:rPr>
              <w:t>年排放小时/h</w:t>
            </w:r>
          </w:p>
        </w:tc>
        <w:tc>
          <w:tcPr>
            <w:tcW w:w="279" w:type="pct"/>
            <w:vMerge w:val="restart"/>
            <w:vAlign w:val="center"/>
          </w:tcPr>
          <w:p w14:paraId="20B2D061">
            <w:pPr>
              <w:jc w:val="center"/>
              <w:rPr>
                <w:rFonts w:hint="default" w:eastAsia="宋体"/>
                <w:b/>
                <w:bCs/>
                <w:color w:val="auto"/>
                <w:vertAlign w:val="baseline"/>
                <w:lang w:val="en-US" w:eastAsia="zh-CN"/>
              </w:rPr>
            </w:pPr>
            <w:r>
              <w:rPr>
                <w:rFonts w:hint="eastAsia"/>
                <w:b/>
                <w:bCs/>
                <w:color w:val="auto"/>
                <w:vertAlign w:val="baseline"/>
                <w:lang w:val="en-US" w:eastAsia="zh-CN"/>
              </w:rPr>
              <w:t>排放工况</w:t>
            </w:r>
          </w:p>
        </w:tc>
        <w:tc>
          <w:tcPr>
            <w:tcW w:w="519" w:type="pct"/>
            <w:gridSpan w:val="2"/>
            <w:tcBorders>
              <w:right w:val="single" w:color="000000" w:sz="4" w:space="0"/>
            </w:tcBorders>
            <w:vAlign w:val="center"/>
          </w:tcPr>
          <w:p w14:paraId="70806479">
            <w:pPr>
              <w:jc w:val="center"/>
              <w:rPr>
                <w:rFonts w:hint="default"/>
                <w:b/>
                <w:bCs/>
                <w:color w:val="auto"/>
                <w:vertAlign w:val="baseline"/>
                <w:lang w:val="en-US"/>
              </w:rPr>
            </w:pPr>
            <w:r>
              <w:rPr>
                <w:rFonts w:hint="eastAsia"/>
                <w:b/>
                <w:bCs/>
                <w:color w:val="auto"/>
                <w:vertAlign w:val="baseline"/>
                <w:lang w:val="en-US" w:eastAsia="zh-CN"/>
              </w:rPr>
              <w:t>污染物排放速率/kg/h</w:t>
            </w:r>
          </w:p>
        </w:tc>
      </w:tr>
      <w:tr w14:paraId="3964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521" w:type="pct"/>
            <w:vMerge w:val="continue"/>
            <w:vAlign w:val="center"/>
          </w:tcPr>
          <w:p w14:paraId="6C57771A">
            <w:pPr>
              <w:jc w:val="center"/>
              <w:rPr>
                <w:b/>
                <w:bCs/>
                <w:color w:val="auto"/>
                <w:vertAlign w:val="baseline"/>
              </w:rPr>
            </w:pPr>
          </w:p>
        </w:tc>
        <w:tc>
          <w:tcPr>
            <w:tcW w:w="555" w:type="pct"/>
            <w:vAlign w:val="center"/>
          </w:tcPr>
          <w:p w14:paraId="015F244F">
            <w:pPr>
              <w:jc w:val="center"/>
              <w:rPr>
                <w:rFonts w:hint="eastAsia" w:eastAsia="宋体"/>
                <w:b/>
                <w:bCs/>
                <w:color w:val="auto"/>
                <w:vertAlign w:val="baseline"/>
                <w:lang w:val="en-US" w:eastAsia="zh-CN"/>
              </w:rPr>
            </w:pPr>
            <w:r>
              <w:rPr>
                <w:rFonts w:hint="eastAsia"/>
                <w:b/>
                <w:bCs/>
                <w:color w:val="auto"/>
                <w:vertAlign w:val="baseline"/>
                <w:lang w:val="en-US" w:eastAsia="zh-CN"/>
              </w:rPr>
              <w:t>X</w:t>
            </w:r>
          </w:p>
        </w:tc>
        <w:tc>
          <w:tcPr>
            <w:tcW w:w="515" w:type="pct"/>
            <w:vAlign w:val="center"/>
          </w:tcPr>
          <w:p w14:paraId="1BD2331A">
            <w:pPr>
              <w:jc w:val="center"/>
              <w:rPr>
                <w:rFonts w:hint="eastAsia" w:eastAsia="宋体"/>
                <w:b/>
                <w:bCs/>
                <w:color w:val="auto"/>
                <w:vertAlign w:val="baseline"/>
                <w:lang w:val="en-US" w:eastAsia="zh-CN"/>
              </w:rPr>
            </w:pPr>
            <w:r>
              <w:rPr>
                <w:rFonts w:hint="eastAsia"/>
                <w:b/>
                <w:bCs/>
                <w:color w:val="auto"/>
                <w:vertAlign w:val="baseline"/>
                <w:lang w:val="en-US" w:eastAsia="zh-CN"/>
              </w:rPr>
              <w:t>Y</w:t>
            </w:r>
          </w:p>
        </w:tc>
        <w:tc>
          <w:tcPr>
            <w:tcW w:w="535" w:type="pct"/>
            <w:vMerge w:val="continue"/>
            <w:vAlign w:val="center"/>
          </w:tcPr>
          <w:p w14:paraId="65AD4BCE">
            <w:pPr>
              <w:jc w:val="center"/>
              <w:rPr>
                <w:b/>
                <w:bCs/>
                <w:color w:val="auto"/>
                <w:vertAlign w:val="baseline"/>
              </w:rPr>
            </w:pPr>
          </w:p>
        </w:tc>
        <w:tc>
          <w:tcPr>
            <w:tcW w:w="376" w:type="pct"/>
            <w:vMerge w:val="continue"/>
            <w:vAlign w:val="center"/>
          </w:tcPr>
          <w:p w14:paraId="409BC053">
            <w:pPr>
              <w:jc w:val="center"/>
              <w:rPr>
                <w:b/>
                <w:bCs/>
                <w:color w:val="auto"/>
                <w:vertAlign w:val="baseline"/>
              </w:rPr>
            </w:pPr>
          </w:p>
        </w:tc>
        <w:tc>
          <w:tcPr>
            <w:tcW w:w="327" w:type="pct"/>
            <w:vMerge w:val="continue"/>
            <w:vAlign w:val="center"/>
          </w:tcPr>
          <w:p w14:paraId="606C69B9">
            <w:pPr>
              <w:jc w:val="center"/>
              <w:rPr>
                <w:b/>
                <w:bCs/>
                <w:color w:val="auto"/>
                <w:vertAlign w:val="baseline"/>
              </w:rPr>
            </w:pPr>
          </w:p>
        </w:tc>
        <w:tc>
          <w:tcPr>
            <w:tcW w:w="426" w:type="pct"/>
            <w:vMerge w:val="continue"/>
            <w:vAlign w:val="center"/>
          </w:tcPr>
          <w:p w14:paraId="1B921825">
            <w:pPr>
              <w:jc w:val="center"/>
              <w:rPr>
                <w:b/>
                <w:bCs/>
                <w:color w:val="auto"/>
                <w:vertAlign w:val="baseline"/>
              </w:rPr>
            </w:pPr>
          </w:p>
        </w:tc>
        <w:tc>
          <w:tcPr>
            <w:tcW w:w="524" w:type="pct"/>
            <w:vMerge w:val="continue"/>
            <w:vAlign w:val="center"/>
          </w:tcPr>
          <w:p w14:paraId="61DE8ADC">
            <w:pPr>
              <w:jc w:val="center"/>
              <w:rPr>
                <w:b/>
                <w:bCs/>
                <w:color w:val="auto"/>
                <w:vertAlign w:val="baseline"/>
              </w:rPr>
            </w:pPr>
          </w:p>
        </w:tc>
        <w:tc>
          <w:tcPr>
            <w:tcW w:w="416" w:type="pct"/>
            <w:vMerge w:val="continue"/>
            <w:vAlign w:val="center"/>
          </w:tcPr>
          <w:p w14:paraId="118D8EAA">
            <w:pPr>
              <w:jc w:val="center"/>
              <w:rPr>
                <w:b/>
                <w:bCs/>
                <w:color w:val="auto"/>
                <w:vertAlign w:val="baseline"/>
              </w:rPr>
            </w:pPr>
          </w:p>
        </w:tc>
        <w:tc>
          <w:tcPr>
            <w:tcW w:w="279" w:type="pct"/>
            <w:vMerge w:val="continue"/>
            <w:vAlign w:val="center"/>
          </w:tcPr>
          <w:p w14:paraId="4B1B4BDD">
            <w:pPr>
              <w:jc w:val="center"/>
              <w:rPr>
                <w:b/>
                <w:bCs/>
                <w:color w:val="auto"/>
                <w:vertAlign w:val="baseline"/>
              </w:rPr>
            </w:pPr>
          </w:p>
        </w:tc>
        <w:tc>
          <w:tcPr>
            <w:tcW w:w="515" w:type="pct"/>
            <w:tcBorders>
              <w:right w:val="single" w:color="000000" w:sz="4" w:space="0"/>
            </w:tcBorders>
            <w:vAlign w:val="center"/>
          </w:tcPr>
          <w:p w14:paraId="00BBB971">
            <w:pPr>
              <w:jc w:val="center"/>
              <w:rPr>
                <w:b/>
                <w:bCs/>
                <w:color w:val="auto"/>
                <w:sz w:val="20"/>
                <w:szCs w:val="21"/>
                <w:vertAlign w:val="baseline"/>
              </w:rPr>
            </w:pPr>
            <w:r>
              <w:rPr>
                <w:rFonts w:hint="default" w:ascii="Times New Roman" w:hAnsi="Times New Roman" w:cs="Times New Roman"/>
                <w:b/>
                <w:bCs/>
                <w:color w:val="auto"/>
                <w:sz w:val="18"/>
                <w:szCs w:val="18"/>
              </w:rPr>
              <w:t>NMHC</w:t>
            </w:r>
          </w:p>
        </w:tc>
      </w:tr>
      <w:tr w14:paraId="0DAF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521" w:type="pct"/>
            <w:vAlign w:val="center"/>
          </w:tcPr>
          <w:p w14:paraId="502DAEE1">
            <w:pPr>
              <w:jc w:val="center"/>
              <w:rPr>
                <w:rFonts w:hint="default"/>
                <w:color w:val="auto"/>
                <w:vertAlign w:val="baseline"/>
                <w:lang w:val="en-US"/>
              </w:rPr>
            </w:pPr>
            <w:r>
              <w:rPr>
                <w:rFonts w:hint="eastAsia" w:cs="Times New Roman"/>
                <w:bCs/>
                <w:color w:val="auto"/>
                <w:sz w:val="21"/>
                <w:szCs w:val="21"/>
                <w:lang w:val="en-US" w:eastAsia="zh-CN"/>
              </w:rPr>
              <w:t>百791</w:t>
            </w:r>
          </w:p>
        </w:tc>
        <w:tc>
          <w:tcPr>
            <w:tcW w:w="555" w:type="pct"/>
            <w:vAlign w:val="center"/>
          </w:tcPr>
          <w:p w14:paraId="246EFD23">
            <w:pPr>
              <w:jc w:val="center"/>
              <w:rPr>
                <w:color w:val="auto"/>
                <w:sz w:val="20"/>
                <w:szCs w:val="21"/>
                <w:vertAlign w:val="baseline"/>
              </w:rPr>
            </w:pPr>
            <w:r>
              <w:rPr>
                <w:rFonts w:hint="eastAsia"/>
                <w:color w:val="auto"/>
                <w:lang w:val="en-US" w:eastAsia="zh-CN"/>
              </w:rPr>
              <w:t>******</w:t>
            </w:r>
          </w:p>
        </w:tc>
        <w:tc>
          <w:tcPr>
            <w:tcW w:w="515" w:type="pct"/>
            <w:vAlign w:val="center"/>
          </w:tcPr>
          <w:p w14:paraId="2BA23ACA">
            <w:pPr>
              <w:jc w:val="center"/>
              <w:rPr>
                <w:color w:val="auto"/>
                <w:sz w:val="20"/>
                <w:szCs w:val="21"/>
                <w:vertAlign w:val="baseline"/>
              </w:rPr>
            </w:pPr>
            <w:r>
              <w:rPr>
                <w:rFonts w:hint="eastAsia"/>
                <w:color w:val="auto"/>
                <w:lang w:val="en-US" w:eastAsia="zh-CN"/>
              </w:rPr>
              <w:t>******</w:t>
            </w:r>
          </w:p>
        </w:tc>
        <w:tc>
          <w:tcPr>
            <w:tcW w:w="535" w:type="pct"/>
            <w:vAlign w:val="center"/>
          </w:tcPr>
          <w:p w14:paraId="4FB558D0">
            <w:pPr>
              <w:jc w:val="center"/>
              <w:rPr>
                <w:rFonts w:hint="default" w:eastAsia="宋体"/>
                <w:color w:val="auto"/>
                <w:vertAlign w:val="baseline"/>
                <w:lang w:val="en-US" w:eastAsia="zh-CN"/>
              </w:rPr>
            </w:pPr>
            <w:r>
              <w:rPr>
                <w:rFonts w:hint="eastAsia"/>
                <w:color w:val="auto"/>
                <w:vertAlign w:val="baseline"/>
                <w:lang w:val="en-US" w:eastAsia="zh-CN"/>
              </w:rPr>
              <w:t>358</w:t>
            </w:r>
          </w:p>
        </w:tc>
        <w:tc>
          <w:tcPr>
            <w:tcW w:w="376" w:type="pct"/>
            <w:vAlign w:val="center"/>
          </w:tcPr>
          <w:p w14:paraId="3AA06315">
            <w:pPr>
              <w:jc w:val="center"/>
              <w:rPr>
                <w:rFonts w:hint="default" w:eastAsia="宋体"/>
                <w:color w:val="auto"/>
                <w:vertAlign w:val="baseline"/>
                <w:lang w:val="en-US" w:eastAsia="zh-CN"/>
              </w:rPr>
            </w:pPr>
            <w:r>
              <w:rPr>
                <w:rFonts w:hint="eastAsia" w:eastAsia="宋体"/>
                <w:color w:val="auto"/>
                <w:vertAlign w:val="baseline"/>
                <w:lang w:val="en-US" w:eastAsia="zh-CN"/>
              </w:rPr>
              <w:t>85</w:t>
            </w:r>
          </w:p>
        </w:tc>
        <w:tc>
          <w:tcPr>
            <w:tcW w:w="327" w:type="pct"/>
            <w:vAlign w:val="center"/>
          </w:tcPr>
          <w:p w14:paraId="428212F2">
            <w:pPr>
              <w:jc w:val="center"/>
              <w:rPr>
                <w:rFonts w:hint="default" w:eastAsia="宋体"/>
                <w:color w:val="auto"/>
                <w:vertAlign w:val="baseline"/>
                <w:lang w:val="en-US" w:eastAsia="zh-CN"/>
              </w:rPr>
            </w:pPr>
            <w:r>
              <w:rPr>
                <w:rFonts w:hint="eastAsia" w:eastAsia="宋体"/>
                <w:color w:val="auto"/>
                <w:vertAlign w:val="baseline"/>
                <w:lang w:val="en-US" w:eastAsia="zh-CN"/>
              </w:rPr>
              <w:t>70</w:t>
            </w:r>
          </w:p>
        </w:tc>
        <w:tc>
          <w:tcPr>
            <w:tcW w:w="426" w:type="pct"/>
            <w:vAlign w:val="center"/>
          </w:tcPr>
          <w:p w14:paraId="19B5C59E">
            <w:pPr>
              <w:jc w:val="center"/>
              <w:rPr>
                <w:rFonts w:hint="default" w:eastAsia="宋体"/>
                <w:color w:val="auto"/>
                <w:vertAlign w:val="baseline"/>
                <w:lang w:val="en-US" w:eastAsia="zh-CN"/>
              </w:rPr>
            </w:pPr>
            <w:r>
              <w:rPr>
                <w:rFonts w:hint="eastAsia" w:eastAsia="宋体"/>
                <w:color w:val="auto"/>
                <w:vertAlign w:val="baseline"/>
                <w:lang w:val="en-US" w:eastAsia="zh-CN"/>
              </w:rPr>
              <w:t>30</w:t>
            </w:r>
          </w:p>
        </w:tc>
        <w:tc>
          <w:tcPr>
            <w:tcW w:w="524" w:type="pct"/>
            <w:vAlign w:val="center"/>
          </w:tcPr>
          <w:p w14:paraId="3FD70CC1">
            <w:pPr>
              <w:jc w:val="center"/>
              <w:rPr>
                <w:rFonts w:hint="default" w:eastAsia="宋体"/>
                <w:color w:val="auto"/>
                <w:vertAlign w:val="baseline"/>
                <w:lang w:val="en-US" w:eastAsia="zh-CN"/>
              </w:rPr>
            </w:pPr>
            <w:r>
              <w:rPr>
                <w:rFonts w:hint="eastAsia"/>
                <w:color w:val="auto"/>
                <w:vertAlign w:val="baseline"/>
                <w:lang w:val="en-US" w:eastAsia="zh-CN"/>
              </w:rPr>
              <w:t>3</w:t>
            </w:r>
          </w:p>
        </w:tc>
        <w:tc>
          <w:tcPr>
            <w:tcW w:w="416" w:type="pct"/>
            <w:vAlign w:val="center"/>
          </w:tcPr>
          <w:p w14:paraId="47F59F83">
            <w:pPr>
              <w:jc w:val="center"/>
              <w:rPr>
                <w:rFonts w:hint="default" w:eastAsia="宋体"/>
                <w:color w:val="auto"/>
                <w:vertAlign w:val="baseline"/>
                <w:lang w:val="en-US" w:eastAsia="zh-CN"/>
              </w:rPr>
            </w:pPr>
            <w:r>
              <w:rPr>
                <w:rFonts w:hint="eastAsia" w:eastAsia="宋体"/>
                <w:color w:val="auto"/>
                <w:vertAlign w:val="baseline"/>
                <w:lang w:val="en-US" w:eastAsia="zh-CN"/>
              </w:rPr>
              <w:t>7920</w:t>
            </w:r>
          </w:p>
        </w:tc>
        <w:tc>
          <w:tcPr>
            <w:tcW w:w="279" w:type="pct"/>
            <w:vAlign w:val="center"/>
          </w:tcPr>
          <w:p w14:paraId="1FA7ACDA">
            <w:pPr>
              <w:jc w:val="center"/>
              <w:rPr>
                <w:rFonts w:hint="eastAsia" w:eastAsia="宋体"/>
                <w:color w:val="auto"/>
                <w:vertAlign w:val="baseline"/>
                <w:lang w:val="en-US" w:eastAsia="zh-CN"/>
              </w:rPr>
            </w:pPr>
            <w:r>
              <w:rPr>
                <w:rFonts w:hint="eastAsia"/>
                <w:color w:val="auto"/>
                <w:vertAlign w:val="baseline"/>
                <w:lang w:val="en-US" w:eastAsia="zh-CN"/>
              </w:rPr>
              <w:t>正常</w:t>
            </w:r>
          </w:p>
        </w:tc>
        <w:tc>
          <w:tcPr>
            <w:tcW w:w="515" w:type="pct"/>
            <w:vAlign w:val="center"/>
          </w:tcPr>
          <w:p w14:paraId="0B6C69D9">
            <w:pPr>
              <w:jc w:val="center"/>
              <w:rPr>
                <w:rFonts w:hint="default" w:eastAsia="宋体"/>
                <w:color w:val="auto"/>
                <w:vertAlign w:val="baseline"/>
                <w:lang w:val="en-US" w:eastAsia="zh-CN"/>
              </w:rPr>
            </w:pPr>
            <w:r>
              <w:rPr>
                <w:rFonts w:hint="eastAsia"/>
                <w:color w:val="auto"/>
                <w:vertAlign w:val="baseline"/>
                <w:lang w:val="en-US" w:eastAsia="zh-CN"/>
              </w:rPr>
              <w:t>0.016</w:t>
            </w:r>
          </w:p>
        </w:tc>
      </w:tr>
      <w:tr w14:paraId="06E9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521" w:type="pct"/>
            <w:vAlign w:val="center"/>
          </w:tcPr>
          <w:p w14:paraId="08A1FC6C">
            <w:pPr>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玛62</w:t>
            </w:r>
          </w:p>
        </w:tc>
        <w:tc>
          <w:tcPr>
            <w:tcW w:w="555" w:type="pct"/>
            <w:vAlign w:val="center"/>
          </w:tcPr>
          <w:p w14:paraId="178B19EA">
            <w:pPr>
              <w:jc w:val="center"/>
              <w:rPr>
                <w:rFonts w:hint="eastAsia"/>
                <w:color w:val="auto"/>
                <w:sz w:val="20"/>
                <w:szCs w:val="21"/>
                <w:vertAlign w:val="baseline"/>
              </w:rPr>
            </w:pPr>
            <w:r>
              <w:rPr>
                <w:rFonts w:hint="eastAsia"/>
                <w:color w:val="auto"/>
                <w:lang w:val="en-US" w:eastAsia="zh-CN"/>
              </w:rPr>
              <w:t>******</w:t>
            </w:r>
          </w:p>
        </w:tc>
        <w:tc>
          <w:tcPr>
            <w:tcW w:w="515" w:type="pct"/>
            <w:vAlign w:val="center"/>
          </w:tcPr>
          <w:p w14:paraId="5E2A0CD7">
            <w:pPr>
              <w:jc w:val="center"/>
              <w:rPr>
                <w:rFonts w:hint="eastAsia"/>
                <w:color w:val="auto"/>
                <w:sz w:val="20"/>
                <w:szCs w:val="21"/>
                <w:vertAlign w:val="baseline"/>
              </w:rPr>
            </w:pPr>
            <w:r>
              <w:rPr>
                <w:rFonts w:hint="eastAsia"/>
                <w:color w:val="auto"/>
                <w:lang w:val="en-US" w:eastAsia="zh-CN"/>
              </w:rPr>
              <w:t>******</w:t>
            </w:r>
          </w:p>
        </w:tc>
        <w:tc>
          <w:tcPr>
            <w:tcW w:w="535" w:type="pct"/>
            <w:vAlign w:val="center"/>
          </w:tcPr>
          <w:p w14:paraId="088BF8A3">
            <w:pPr>
              <w:jc w:val="center"/>
              <w:rPr>
                <w:rFonts w:hint="eastAsia" w:cs="Times New Roman"/>
                <w:bCs/>
                <w:color w:val="auto"/>
                <w:sz w:val="21"/>
                <w:szCs w:val="21"/>
                <w:lang w:val="en-US" w:eastAsia="zh-CN"/>
              </w:rPr>
            </w:pPr>
            <w:r>
              <w:rPr>
                <w:rFonts w:hint="eastAsia"/>
                <w:color w:val="auto"/>
                <w:vertAlign w:val="baseline"/>
                <w:lang w:val="en-US" w:eastAsia="zh-CN"/>
              </w:rPr>
              <w:t>383</w:t>
            </w:r>
          </w:p>
        </w:tc>
        <w:tc>
          <w:tcPr>
            <w:tcW w:w="376" w:type="pct"/>
            <w:vAlign w:val="center"/>
          </w:tcPr>
          <w:p w14:paraId="1354DA2A">
            <w:pPr>
              <w:jc w:val="center"/>
              <w:rPr>
                <w:rFonts w:hint="default"/>
                <w:color w:val="auto"/>
                <w:vertAlign w:val="baseline"/>
                <w:lang w:val="en-US" w:eastAsia="zh-CN"/>
              </w:rPr>
            </w:pPr>
            <w:r>
              <w:rPr>
                <w:rFonts w:hint="eastAsia"/>
                <w:color w:val="auto"/>
                <w:vertAlign w:val="baseline"/>
                <w:lang w:val="en-US" w:eastAsia="zh-CN"/>
              </w:rPr>
              <w:t>85</w:t>
            </w:r>
          </w:p>
        </w:tc>
        <w:tc>
          <w:tcPr>
            <w:tcW w:w="327" w:type="pct"/>
            <w:vAlign w:val="center"/>
          </w:tcPr>
          <w:p w14:paraId="6F50F789">
            <w:pPr>
              <w:jc w:val="center"/>
              <w:rPr>
                <w:rFonts w:hint="default"/>
                <w:color w:val="auto"/>
                <w:vertAlign w:val="baseline"/>
                <w:lang w:val="en-US" w:eastAsia="zh-CN"/>
              </w:rPr>
            </w:pPr>
            <w:r>
              <w:rPr>
                <w:rFonts w:hint="eastAsia"/>
                <w:color w:val="auto"/>
                <w:vertAlign w:val="baseline"/>
                <w:lang w:val="en-US" w:eastAsia="zh-CN"/>
              </w:rPr>
              <w:t>70</w:t>
            </w:r>
          </w:p>
        </w:tc>
        <w:tc>
          <w:tcPr>
            <w:tcW w:w="426" w:type="pct"/>
            <w:vAlign w:val="center"/>
          </w:tcPr>
          <w:p w14:paraId="41A05F76">
            <w:pPr>
              <w:jc w:val="center"/>
              <w:rPr>
                <w:rFonts w:hint="default"/>
                <w:color w:val="auto"/>
                <w:vertAlign w:val="baseline"/>
                <w:lang w:val="en-US" w:eastAsia="zh-CN"/>
              </w:rPr>
            </w:pPr>
            <w:r>
              <w:rPr>
                <w:rFonts w:hint="eastAsia"/>
                <w:color w:val="auto"/>
                <w:vertAlign w:val="baseline"/>
                <w:lang w:val="en-US" w:eastAsia="zh-CN"/>
              </w:rPr>
              <w:t>15</w:t>
            </w:r>
          </w:p>
        </w:tc>
        <w:tc>
          <w:tcPr>
            <w:tcW w:w="524" w:type="pct"/>
            <w:vAlign w:val="center"/>
          </w:tcPr>
          <w:p w14:paraId="52A63D4F">
            <w:pPr>
              <w:jc w:val="center"/>
              <w:rPr>
                <w:rFonts w:hint="default"/>
                <w:color w:val="auto"/>
                <w:vertAlign w:val="baseline"/>
                <w:lang w:val="en-US" w:eastAsia="zh-CN"/>
              </w:rPr>
            </w:pPr>
            <w:r>
              <w:rPr>
                <w:rFonts w:hint="eastAsia"/>
                <w:color w:val="auto"/>
                <w:vertAlign w:val="baseline"/>
                <w:lang w:val="en-US" w:eastAsia="zh-CN"/>
              </w:rPr>
              <w:t>3</w:t>
            </w:r>
          </w:p>
        </w:tc>
        <w:tc>
          <w:tcPr>
            <w:tcW w:w="416" w:type="pct"/>
            <w:vAlign w:val="center"/>
          </w:tcPr>
          <w:p w14:paraId="751DCF82">
            <w:pPr>
              <w:jc w:val="center"/>
              <w:rPr>
                <w:rFonts w:hint="default"/>
                <w:color w:val="auto"/>
                <w:vertAlign w:val="baseline"/>
                <w:lang w:val="en-US" w:eastAsia="zh-CN"/>
              </w:rPr>
            </w:pPr>
            <w:r>
              <w:rPr>
                <w:rFonts w:hint="eastAsia"/>
                <w:color w:val="auto"/>
                <w:vertAlign w:val="baseline"/>
                <w:lang w:val="en-US" w:eastAsia="zh-CN"/>
              </w:rPr>
              <w:t>7920</w:t>
            </w:r>
          </w:p>
        </w:tc>
        <w:tc>
          <w:tcPr>
            <w:tcW w:w="279" w:type="pct"/>
            <w:vAlign w:val="center"/>
          </w:tcPr>
          <w:p w14:paraId="43A5BE5E">
            <w:pPr>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正常</w:t>
            </w:r>
          </w:p>
        </w:tc>
        <w:tc>
          <w:tcPr>
            <w:tcW w:w="515" w:type="pct"/>
            <w:vAlign w:val="center"/>
          </w:tcPr>
          <w:p w14:paraId="181C9D12">
            <w:pPr>
              <w:jc w:val="center"/>
              <w:rPr>
                <w:rFonts w:hint="default" w:cs="Times New Roman"/>
                <w:bCs/>
                <w:color w:val="auto"/>
                <w:sz w:val="21"/>
                <w:szCs w:val="21"/>
                <w:lang w:val="en-US" w:eastAsia="zh-CN"/>
              </w:rPr>
            </w:pPr>
            <w:r>
              <w:rPr>
                <w:rFonts w:hint="eastAsia" w:cs="Times New Roman"/>
                <w:bCs/>
                <w:color w:val="auto"/>
                <w:sz w:val="21"/>
                <w:szCs w:val="21"/>
                <w:lang w:val="en-US" w:eastAsia="zh-CN"/>
              </w:rPr>
              <w:t>0.023</w:t>
            </w:r>
          </w:p>
        </w:tc>
      </w:tr>
    </w:tbl>
    <w:p w14:paraId="78DC39D8">
      <w:pPr>
        <w:pStyle w:val="6"/>
        <w:bidi w:val="0"/>
        <w:rPr>
          <w:rFonts w:hint="default"/>
          <w:color w:val="auto"/>
          <w:lang w:val="en-US" w:eastAsia="zh-CN"/>
        </w:rPr>
      </w:pPr>
      <w:r>
        <w:rPr>
          <w:rFonts w:hint="eastAsia"/>
          <w:color w:val="auto"/>
          <w:lang w:val="en-US" w:eastAsia="zh-CN"/>
        </w:rPr>
        <w:t>5.2.1.5预测结果</w:t>
      </w:r>
    </w:p>
    <w:p w14:paraId="6D4ECBE6">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预测结果见表5.2-4。</w:t>
      </w:r>
    </w:p>
    <w:p w14:paraId="4F94D967">
      <w:pPr>
        <w:pStyle w:val="43"/>
        <w:bidi w:val="0"/>
        <w:rPr>
          <w:rFonts w:cs="Times New Roman"/>
          <w:color w:val="auto"/>
        </w:rPr>
      </w:pPr>
      <w:bookmarkStart w:id="253" w:name="_Ref109309696"/>
      <w:r>
        <w:rPr>
          <w:rFonts w:cs="Times New Roman"/>
          <w:color w:val="auto"/>
        </w:rPr>
        <w:t>表</w:t>
      </w:r>
      <w:r>
        <w:rPr>
          <w:rFonts w:hint="eastAsia" w:cs="Times New Roman"/>
          <w:color w:val="auto"/>
          <w:lang w:val="en-US" w:eastAsia="zh-CN"/>
        </w:rPr>
        <w:t>5</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hint="eastAsia" w:cs="Times New Roman"/>
          <w:color w:val="auto"/>
          <w:lang w:val="en-US" w:eastAsia="zh-CN"/>
        </w:rPr>
        <w:t>.</w:t>
      </w:r>
      <w:r>
        <w:rPr>
          <w:rFonts w:cs="Times New Roman"/>
          <w:color w:val="auto"/>
        </w:rPr>
        <w:t>2</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4</w:t>
      </w:r>
      <w:r>
        <w:rPr>
          <w:rFonts w:cs="Times New Roman"/>
          <w:color w:val="auto"/>
        </w:rPr>
        <w:fldChar w:fldCharType="end"/>
      </w:r>
      <w:bookmarkEnd w:id="253"/>
      <w:r>
        <w:rPr>
          <w:rFonts w:cs="Times New Roman"/>
          <w:color w:val="auto"/>
        </w:rPr>
        <w:t xml:space="preserve">  废气估算结果一览表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436"/>
        <w:gridCol w:w="1293"/>
        <w:gridCol w:w="762"/>
        <w:gridCol w:w="1162"/>
        <w:gridCol w:w="969"/>
        <w:gridCol w:w="1188"/>
        <w:gridCol w:w="1201"/>
        <w:gridCol w:w="898"/>
        <w:gridCol w:w="925"/>
      </w:tblGrid>
      <w:tr w14:paraId="7DE3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cantSplit/>
          <w:trHeight w:val="369" w:hRule="atLeast"/>
          <w:tblHeader/>
          <w:jc w:val="center"/>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14:paraId="794F0E78">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bookmarkStart w:id="254" w:name="_Hlk113980250"/>
            <w:r>
              <w:rPr>
                <w:rFonts w:hint="default" w:ascii="Times New Roman" w:hAnsi="Times New Roman" w:eastAsia="宋体" w:cs="Times New Roman"/>
                <w:b/>
                <w:bCs/>
                <w:color w:val="auto"/>
                <w:sz w:val="21"/>
                <w:szCs w:val="21"/>
              </w:rPr>
              <w:t>序号</w:t>
            </w:r>
            <w:bookmarkEnd w:id="254"/>
          </w:p>
        </w:tc>
        <w:tc>
          <w:tcPr>
            <w:tcW w:w="731" w:type="pct"/>
            <w:tcBorders>
              <w:top w:val="single" w:color="auto" w:sz="4" w:space="0"/>
              <w:left w:val="nil"/>
              <w:bottom w:val="single" w:color="auto" w:sz="4" w:space="0"/>
              <w:right w:val="single" w:color="auto" w:sz="4" w:space="0"/>
            </w:tcBorders>
            <w:shd w:val="clear" w:color="auto" w:fill="auto"/>
            <w:vAlign w:val="center"/>
          </w:tcPr>
          <w:p w14:paraId="138EF91D">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431" w:type="pct"/>
            <w:tcBorders>
              <w:top w:val="single" w:color="auto" w:sz="4" w:space="0"/>
              <w:left w:val="nil"/>
              <w:bottom w:val="single" w:color="auto" w:sz="4" w:space="0"/>
              <w:right w:val="single" w:color="auto" w:sz="4" w:space="0"/>
            </w:tcBorders>
            <w:shd w:val="clear" w:color="auto" w:fill="auto"/>
            <w:vAlign w:val="center"/>
          </w:tcPr>
          <w:p w14:paraId="107D5695">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57" w:type="pct"/>
            <w:tcBorders>
              <w:top w:val="single" w:color="auto" w:sz="4" w:space="0"/>
              <w:left w:val="nil"/>
              <w:bottom w:val="single" w:color="auto" w:sz="4" w:space="0"/>
              <w:right w:val="single" w:color="auto" w:sz="4" w:space="0"/>
            </w:tcBorders>
            <w:shd w:val="clear" w:color="auto" w:fill="auto"/>
            <w:vAlign w:val="center"/>
          </w:tcPr>
          <w:p w14:paraId="6CA1FA39">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质量标准（mg/m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220" w:type="pct"/>
            <w:gridSpan w:val="2"/>
            <w:tcBorders>
              <w:top w:val="single" w:color="auto" w:sz="4" w:space="0"/>
              <w:left w:val="nil"/>
              <w:bottom w:val="single" w:color="auto" w:sz="4" w:space="0"/>
              <w:right w:val="single" w:color="auto" w:sz="4" w:space="0"/>
            </w:tcBorders>
            <w:shd w:val="clear" w:color="auto" w:fill="auto"/>
            <w:vAlign w:val="center"/>
          </w:tcPr>
          <w:p w14:paraId="22521058">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最大地面</w:t>
            </w:r>
          </w:p>
          <w:p w14:paraId="5408FDCE">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679" w:type="pct"/>
            <w:tcBorders>
              <w:top w:val="single" w:color="auto" w:sz="4" w:space="0"/>
              <w:left w:val="nil"/>
              <w:bottom w:val="single" w:color="auto" w:sz="4" w:space="0"/>
              <w:right w:val="single" w:color="auto" w:sz="4" w:space="0"/>
            </w:tcBorders>
            <w:shd w:val="clear" w:color="auto" w:fill="auto"/>
            <w:vAlign w:val="center"/>
          </w:tcPr>
          <w:p w14:paraId="3C81EBF9">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最大落地浓度下风向距离（m）</w:t>
            </w:r>
          </w:p>
        </w:tc>
        <w:tc>
          <w:tcPr>
            <w:tcW w:w="508" w:type="pct"/>
            <w:tcBorders>
              <w:top w:val="single" w:color="auto" w:sz="4" w:space="0"/>
              <w:left w:val="nil"/>
              <w:bottom w:val="single" w:color="auto" w:sz="4" w:space="0"/>
              <w:right w:val="single" w:color="auto" w:sz="4" w:space="0"/>
            </w:tcBorders>
            <w:shd w:val="clear" w:color="auto" w:fill="auto"/>
            <w:vAlign w:val="center"/>
          </w:tcPr>
          <w:p w14:paraId="02F0A7A1">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最大占标率（%）</w:t>
            </w:r>
          </w:p>
        </w:tc>
        <w:tc>
          <w:tcPr>
            <w:tcW w:w="523" w:type="pct"/>
            <w:tcBorders>
              <w:top w:val="single" w:color="auto" w:sz="4" w:space="0"/>
              <w:left w:val="nil"/>
              <w:bottom w:val="single" w:color="auto" w:sz="4" w:space="0"/>
              <w:right w:val="single" w:color="auto" w:sz="4" w:space="0"/>
            </w:tcBorders>
            <w:shd w:val="clear" w:color="auto" w:fill="auto"/>
            <w:vAlign w:val="center"/>
          </w:tcPr>
          <w:p w14:paraId="04066E93">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执行级别</w:t>
            </w:r>
          </w:p>
        </w:tc>
      </w:tr>
      <w:tr w14:paraId="2A58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14:paraId="75D360D5">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0" w:type="dxa"/>
            <w:tcBorders>
              <w:top w:val="single" w:color="auto" w:sz="4" w:space="0"/>
              <w:left w:val="nil"/>
              <w:bottom w:val="single" w:color="auto" w:sz="4" w:space="0"/>
              <w:right w:val="single" w:color="auto" w:sz="4" w:space="0"/>
            </w:tcBorders>
            <w:shd w:val="clear" w:color="auto" w:fill="auto"/>
            <w:vAlign w:val="center"/>
          </w:tcPr>
          <w:p w14:paraId="4DBBB706">
            <w:pPr>
              <w:keepNext w:val="0"/>
              <w:keepLines w:val="0"/>
              <w:pageBreakBefore w:val="0"/>
              <w:kinsoku/>
              <w:wordWrap/>
              <w:overflowPunct/>
              <w:topLinePunct w:val="0"/>
              <w:bidi w:val="0"/>
              <w:adjustRightInd/>
              <w:snapToGrid/>
              <w:spacing w:line="240" w:lineRule="auto"/>
              <w:jc w:val="center"/>
              <w:rPr>
                <w:rFonts w:hint="default" w:ascii="Times New Roman" w:hAnsi="Times New Roman" w:eastAsia="宋体" w:cs="Times New Roman"/>
                <w:color w:val="auto"/>
                <w:sz w:val="21"/>
                <w:szCs w:val="21"/>
              </w:rPr>
            </w:pPr>
            <w:r>
              <w:rPr>
                <w:rFonts w:hint="eastAsia" w:cs="Times New Roman"/>
                <w:bCs/>
                <w:color w:val="auto"/>
                <w:sz w:val="21"/>
                <w:szCs w:val="21"/>
                <w:lang w:val="en-US" w:eastAsia="zh-CN"/>
              </w:rPr>
              <w:t>百791</w:t>
            </w:r>
          </w:p>
        </w:tc>
        <w:tc>
          <w:tcPr>
            <w:tcW w:w="431" w:type="pct"/>
            <w:vMerge w:val="restart"/>
            <w:tcBorders>
              <w:top w:val="nil"/>
              <w:left w:val="nil"/>
              <w:right w:val="single" w:color="auto" w:sz="4" w:space="0"/>
            </w:tcBorders>
            <w:shd w:val="clear" w:color="auto" w:fill="auto"/>
            <w:vAlign w:val="center"/>
          </w:tcPr>
          <w:p w14:paraId="3AEA70FC">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57" w:type="pct"/>
            <w:vMerge w:val="restart"/>
            <w:tcBorders>
              <w:top w:val="nil"/>
              <w:left w:val="nil"/>
              <w:right w:val="single" w:color="auto" w:sz="4" w:space="0"/>
            </w:tcBorders>
            <w:shd w:val="clear" w:color="auto" w:fill="auto"/>
            <w:vAlign w:val="center"/>
          </w:tcPr>
          <w:p w14:paraId="4C20424E">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48" w:type="pct"/>
            <w:tcBorders>
              <w:top w:val="single" w:color="auto" w:sz="4" w:space="0"/>
              <w:left w:val="nil"/>
              <w:bottom w:val="single" w:color="auto" w:sz="4" w:space="0"/>
              <w:right w:val="single" w:color="auto" w:sz="4" w:space="0"/>
            </w:tcBorders>
            <w:shd w:val="clear" w:color="auto" w:fill="auto"/>
            <w:vAlign w:val="center"/>
          </w:tcPr>
          <w:p w14:paraId="4436CB7F">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671" w:type="pct"/>
            <w:tcBorders>
              <w:top w:val="single" w:color="auto" w:sz="4" w:space="0"/>
              <w:left w:val="nil"/>
              <w:bottom w:val="single" w:color="auto" w:sz="4" w:space="0"/>
              <w:right w:val="single" w:color="auto" w:sz="4" w:space="0"/>
            </w:tcBorders>
            <w:shd w:val="clear" w:color="auto" w:fill="auto"/>
            <w:vAlign w:val="center"/>
          </w:tcPr>
          <w:p w14:paraId="38102DB9">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3.35</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-2</w:t>
            </w:r>
          </w:p>
        </w:tc>
        <w:tc>
          <w:tcPr>
            <w:tcW w:w="679" w:type="pct"/>
            <w:tcBorders>
              <w:top w:val="single" w:color="auto" w:sz="4" w:space="0"/>
              <w:left w:val="nil"/>
              <w:bottom w:val="single" w:color="auto" w:sz="4" w:space="0"/>
              <w:right w:val="single" w:color="auto" w:sz="4" w:space="0"/>
            </w:tcBorders>
            <w:shd w:val="clear" w:color="auto" w:fill="auto"/>
            <w:vAlign w:val="center"/>
          </w:tcPr>
          <w:p w14:paraId="134219ED">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100</w:t>
            </w:r>
          </w:p>
        </w:tc>
        <w:tc>
          <w:tcPr>
            <w:tcW w:w="508" w:type="pct"/>
            <w:tcBorders>
              <w:top w:val="single" w:color="auto" w:sz="4" w:space="0"/>
              <w:left w:val="nil"/>
              <w:bottom w:val="single" w:color="auto" w:sz="4" w:space="0"/>
              <w:right w:val="single" w:color="auto" w:sz="4" w:space="0"/>
            </w:tcBorders>
            <w:shd w:val="clear" w:color="auto" w:fill="auto"/>
            <w:vAlign w:val="center"/>
          </w:tcPr>
          <w:p w14:paraId="311E7BCB">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1.68</w:t>
            </w:r>
          </w:p>
        </w:tc>
        <w:tc>
          <w:tcPr>
            <w:tcW w:w="523" w:type="pct"/>
            <w:tcBorders>
              <w:top w:val="single" w:color="auto" w:sz="4" w:space="0"/>
              <w:left w:val="nil"/>
              <w:bottom w:val="single" w:color="auto" w:sz="4" w:space="0"/>
              <w:right w:val="single" w:color="auto" w:sz="4" w:space="0"/>
            </w:tcBorders>
            <w:shd w:val="clear" w:color="auto" w:fill="auto"/>
            <w:vAlign w:val="center"/>
          </w:tcPr>
          <w:p w14:paraId="00D576DB">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二级</w:t>
            </w:r>
          </w:p>
        </w:tc>
      </w:tr>
      <w:tr w14:paraId="3DAE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14:paraId="688442F5">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30" w:type="dxa"/>
            <w:tcBorders>
              <w:top w:val="single" w:color="auto" w:sz="4" w:space="0"/>
              <w:left w:val="nil"/>
              <w:bottom w:val="single" w:color="auto" w:sz="4" w:space="0"/>
              <w:right w:val="single" w:color="auto" w:sz="4" w:space="0"/>
            </w:tcBorders>
            <w:shd w:val="clear" w:color="auto" w:fill="auto"/>
            <w:vAlign w:val="center"/>
          </w:tcPr>
          <w:p w14:paraId="0786366F">
            <w:pPr>
              <w:keepNext w:val="0"/>
              <w:keepLines w:val="0"/>
              <w:pageBreakBefore w:val="0"/>
              <w:kinsoku/>
              <w:wordWrap/>
              <w:overflowPunct/>
              <w:topLinePunct w:val="0"/>
              <w:bidi w:val="0"/>
              <w:adjustRightInd/>
              <w:snapToGrid/>
              <w:spacing w:line="240" w:lineRule="auto"/>
              <w:jc w:val="center"/>
              <w:rPr>
                <w:rFonts w:hint="default" w:ascii="Times New Roman" w:hAnsi="Times New Roman" w:eastAsia="宋体" w:cs="Times New Roman"/>
                <w:color w:val="auto"/>
                <w:sz w:val="21"/>
                <w:szCs w:val="21"/>
              </w:rPr>
            </w:pPr>
            <w:r>
              <w:rPr>
                <w:rFonts w:hint="eastAsia" w:cs="Times New Roman"/>
                <w:bCs/>
                <w:color w:val="auto"/>
                <w:sz w:val="21"/>
                <w:szCs w:val="21"/>
                <w:lang w:val="en-US" w:eastAsia="zh-CN"/>
              </w:rPr>
              <w:t>玛62</w:t>
            </w:r>
          </w:p>
        </w:tc>
        <w:tc>
          <w:tcPr>
            <w:tcW w:w="431" w:type="pct"/>
            <w:vMerge w:val="continue"/>
            <w:tcBorders>
              <w:left w:val="nil"/>
              <w:right w:val="single" w:color="auto" w:sz="4" w:space="0"/>
            </w:tcBorders>
            <w:shd w:val="clear" w:color="auto" w:fill="auto"/>
            <w:vAlign w:val="center"/>
          </w:tcPr>
          <w:p w14:paraId="3899822E">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p>
        </w:tc>
        <w:tc>
          <w:tcPr>
            <w:tcW w:w="657" w:type="pct"/>
            <w:vMerge w:val="continue"/>
            <w:tcBorders>
              <w:left w:val="nil"/>
              <w:right w:val="single" w:color="auto" w:sz="4" w:space="0"/>
            </w:tcBorders>
            <w:shd w:val="clear" w:color="auto" w:fill="auto"/>
            <w:vAlign w:val="center"/>
          </w:tcPr>
          <w:p w14:paraId="619D3A9B">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p>
        </w:tc>
        <w:tc>
          <w:tcPr>
            <w:tcW w:w="548" w:type="pct"/>
            <w:tcBorders>
              <w:top w:val="single" w:color="auto" w:sz="4" w:space="0"/>
              <w:left w:val="nil"/>
              <w:bottom w:val="single" w:color="auto" w:sz="4" w:space="0"/>
              <w:right w:val="single" w:color="auto" w:sz="4" w:space="0"/>
            </w:tcBorders>
            <w:shd w:val="clear" w:color="auto" w:fill="auto"/>
            <w:vAlign w:val="center"/>
          </w:tcPr>
          <w:p w14:paraId="5C387A35">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671" w:type="pct"/>
            <w:tcBorders>
              <w:top w:val="single" w:color="auto" w:sz="4" w:space="0"/>
              <w:left w:val="nil"/>
              <w:bottom w:val="single" w:color="auto" w:sz="4" w:space="0"/>
              <w:right w:val="single" w:color="auto" w:sz="4" w:space="0"/>
            </w:tcBorders>
            <w:shd w:val="clear" w:color="auto" w:fill="auto"/>
            <w:vAlign w:val="center"/>
          </w:tcPr>
          <w:p w14:paraId="6007DDCF">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5.45</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-2</w:t>
            </w:r>
          </w:p>
        </w:tc>
        <w:tc>
          <w:tcPr>
            <w:tcW w:w="679" w:type="pct"/>
            <w:tcBorders>
              <w:top w:val="single" w:color="auto" w:sz="4" w:space="0"/>
              <w:left w:val="nil"/>
              <w:bottom w:val="single" w:color="auto" w:sz="4" w:space="0"/>
              <w:right w:val="single" w:color="auto" w:sz="4" w:space="0"/>
            </w:tcBorders>
            <w:shd w:val="clear" w:color="auto" w:fill="auto"/>
            <w:vAlign w:val="center"/>
          </w:tcPr>
          <w:p w14:paraId="29810F72">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100</w:t>
            </w:r>
          </w:p>
        </w:tc>
        <w:tc>
          <w:tcPr>
            <w:tcW w:w="508" w:type="pct"/>
            <w:tcBorders>
              <w:top w:val="single" w:color="auto" w:sz="4" w:space="0"/>
              <w:left w:val="nil"/>
              <w:bottom w:val="single" w:color="auto" w:sz="4" w:space="0"/>
              <w:right w:val="single" w:color="auto" w:sz="4" w:space="0"/>
            </w:tcBorders>
            <w:shd w:val="clear" w:color="auto" w:fill="auto"/>
            <w:vAlign w:val="center"/>
          </w:tcPr>
          <w:p w14:paraId="468DD9E8">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2.73</w:t>
            </w:r>
          </w:p>
        </w:tc>
        <w:tc>
          <w:tcPr>
            <w:tcW w:w="523" w:type="pct"/>
            <w:tcBorders>
              <w:top w:val="single" w:color="auto" w:sz="4" w:space="0"/>
              <w:left w:val="nil"/>
              <w:bottom w:val="single" w:color="auto" w:sz="4" w:space="0"/>
              <w:right w:val="single" w:color="auto" w:sz="4" w:space="0"/>
            </w:tcBorders>
            <w:shd w:val="clear" w:color="auto" w:fill="auto"/>
            <w:vAlign w:val="center"/>
          </w:tcPr>
          <w:p w14:paraId="46AC1DD0">
            <w:pPr>
              <w:pStyle w:val="42"/>
              <w:keepNext w:val="0"/>
              <w:keepLines w:val="0"/>
              <w:pageBreakBefore w:val="0"/>
              <w:widowControl w:val="0"/>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二级</w:t>
            </w:r>
          </w:p>
        </w:tc>
      </w:tr>
    </w:tbl>
    <w:p w14:paraId="3112FF8A">
      <w:pPr>
        <w:pStyle w:val="11"/>
        <w:bidi w:val="0"/>
        <w:rPr>
          <w:rFonts w:ascii="Times New Roman" w:hAnsi="Times New Roman" w:eastAsia="宋体"/>
          <w:color w:val="auto"/>
        </w:rPr>
      </w:pPr>
      <w:r>
        <w:rPr>
          <w:rFonts w:ascii="Times New Roman" w:hAnsi="Times New Roman" w:eastAsia="宋体"/>
          <w:color w:val="auto"/>
        </w:rPr>
        <w:t>由上表预测结果可以看出，本项目典型井场建成投运后，其污染装置区（井口）下风向0～2500m范围内非甲烷总烃均未出现超标，且非甲烷总烃下风向最大落地浓度为</w:t>
      </w:r>
      <w:r>
        <w:rPr>
          <w:rFonts w:hint="eastAsia"/>
          <w:color w:val="auto"/>
          <w:lang w:val="en-US" w:eastAsia="zh-CN"/>
        </w:rPr>
        <w:t>5.45</w:t>
      </w:r>
      <w:r>
        <w:rPr>
          <w:rFonts w:ascii="Times New Roman" w:hAnsi="Times New Roman" w:eastAsia="宋体"/>
          <w:color w:val="auto"/>
        </w:rPr>
        <w:t>×10</w:t>
      </w:r>
      <w:r>
        <w:rPr>
          <w:rFonts w:ascii="Times New Roman" w:hAnsi="Times New Roman" w:eastAsia="宋体"/>
          <w:color w:val="auto"/>
          <w:vertAlign w:val="superscript"/>
        </w:rPr>
        <w:t>-2</w:t>
      </w:r>
      <w:r>
        <w:rPr>
          <w:rFonts w:ascii="Times New Roman" w:hAnsi="Times New Roman" w:eastAsia="宋体"/>
          <w:color w:val="auto"/>
        </w:rPr>
        <w:t>mg/m</w:t>
      </w:r>
      <w:r>
        <w:rPr>
          <w:rFonts w:ascii="Times New Roman" w:hAnsi="Times New Roman" w:eastAsia="宋体"/>
          <w:color w:val="auto"/>
          <w:vertAlign w:val="superscript"/>
        </w:rPr>
        <w:t>3</w:t>
      </w:r>
      <w:r>
        <w:rPr>
          <w:rFonts w:ascii="Times New Roman" w:hAnsi="Times New Roman" w:eastAsia="宋体"/>
          <w:color w:val="auto"/>
        </w:rPr>
        <w:t>，占标率</w:t>
      </w:r>
      <w:r>
        <w:rPr>
          <w:rFonts w:hint="eastAsia"/>
          <w:color w:val="auto"/>
          <w:lang w:val="en-US" w:eastAsia="zh-CN"/>
        </w:rPr>
        <w:t>2.73</w:t>
      </w:r>
      <w:r>
        <w:rPr>
          <w:rFonts w:ascii="Times New Roman" w:hAnsi="Times New Roman" w:eastAsia="宋体"/>
          <w:color w:val="auto"/>
        </w:rPr>
        <w:t>%，满足标准浓度限值。根据现场调查，项目井场选址处扩散条件较好，污染物扩散条件较好，其无组织排放的烃类气体不会使区域环境空气质量发生显著改变，项目建设对区域大气环境的影响程度在环境可接受范围之内。</w:t>
      </w:r>
    </w:p>
    <w:p w14:paraId="2F406483">
      <w:pPr>
        <w:pStyle w:val="6"/>
        <w:bidi w:val="0"/>
        <w:rPr>
          <w:rFonts w:hint="eastAsia"/>
          <w:color w:val="auto"/>
          <w:lang w:val="en-US" w:eastAsia="zh-CN"/>
        </w:rPr>
      </w:pPr>
      <w:r>
        <w:rPr>
          <w:rFonts w:hint="eastAsia"/>
          <w:color w:val="auto"/>
          <w:lang w:val="en-US" w:eastAsia="zh-CN"/>
        </w:rPr>
        <w:t>5.2.1.6大气污染物排放核算</w:t>
      </w:r>
    </w:p>
    <w:p w14:paraId="46A9A3ED">
      <w:pPr>
        <w:pStyle w:val="33"/>
        <w:bidi w:val="0"/>
        <w:rPr>
          <w:rFonts w:hint="default"/>
          <w:color w:val="auto"/>
          <w:lang w:val="en-US" w:eastAsia="zh-CN"/>
        </w:rPr>
      </w:pPr>
      <w:r>
        <w:rPr>
          <w:rFonts w:hint="eastAsia"/>
          <w:color w:val="auto"/>
          <w:lang w:val="en-US" w:eastAsia="zh-CN"/>
        </w:rPr>
        <w:t>大气污染物无组织排放核算见表5.2-5。</w:t>
      </w:r>
    </w:p>
    <w:p w14:paraId="77A53136">
      <w:pPr>
        <w:pStyle w:val="43"/>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cs="Times New Roman"/>
          <w:color w:val="auto"/>
        </w:rPr>
      </w:pPr>
      <w:bookmarkStart w:id="255" w:name="_Ref119274324"/>
      <w:r>
        <w:rPr>
          <w:rFonts w:cs="Times New Roman"/>
          <w:color w:val="auto"/>
        </w:rPr>
        <w:t>表</w:t>
      </w:r>
      <w:r>
        <w:rPr>
          <w:rFonts w:hint="eastAsia" w:cs="Times New Roman"/>
          <w:color w:val="auto"/>
          <w:lang w:val="en-US" w:eastAsia="zh-CN"/>
        </w:rPr>
        <w:t>5.2</w:t>
      </w:r>
      <w:r>
        <w:rPr>
          <w:rFonts w:cs="Times New Roman"/>
          <w:color w:val="auto"/>
        </w:rPr>
        <w:noBreakHyphen/>
      </w:r>
      <w:bookmarkEnd w:id="255"/>
      <w:r>
        <w:rPr>
          <w:rFonts w:hint="eastAsia" w:cs="Times New Roman"/>
          <w:color w:val="auto"/>
          <w:lang w:val="en-US" w:eastAsia="zh-CN"/>
        </w:rPr>
        <w:t>5</w:t>
      </w:r>
      <w:r>
        <w:rPr>
          <w:rFonts w:cs="Times New Roman"/>
          <w:color w:val="auto"/>
        </w:rPr>
        <w:t xml:space="preserve">  大气污染物无组织排放量核算表</w:t>
      </w:r>
    </w:p>
    <w:tbl>
      <w:tblPr>
        <w:tblStyle w:val="6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0"/>
        <w:gridCol w:w="768"/>
        <w:gridCol w:w="823"/>
        <w:gridCol w:w="898"/>
        <w:gridCol w:w="1158"/>
        <w:gridCol w:w="2138"/>
        <w:gridCol w:w="1410"/>
        <w:gridCol w:w="1068"/>
      </w:tblGrid>
      <w:tr w14:paraId="0943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80" w:type="pct"/>
            <w:vMerge w:val="restart"/>
            <w:shd w:val="clear" w:color="auto" w:fill="auto"/>
            <w:vAlign w:val="center"/>
          </w:tcPr>
          <w:p w14:paraId="4512923E">
            <w:pPr>
              <w:pStyle w:val="34"/>
              <w:bidi w:val="0"/>
              <w:rPr>
                <w:rFonts w:hint="default"/>
                <w:b/>
                <w:bCs/>
                <w:color w:val="auto"/>
                <w:kern w:val="2"/>
              </w:rPr>
            </w:pPr>
            <w:r>
              <w:rPr>
                <w:rFonts w:hint="default"/>
                <w:b/>
                <w:bCs/>
                <w:color w:val="auto"/>
                <w:kern w:val="2"/>
              </w:rPr>
              <w:t>序号</w:t>
            </w:r>
          </w:p>
        </w:tc>
        <w:tc>
          <w:tcPr>
            <w:tcW w:w="429" w:type="pct"/>
            <w:vMerge w:val="restart"/>
            <w:shd w:val="clear" w:color="auto" w:fill="auto"/>
            <w:vAlign w:val="center"/>
          </w:tcPr>
          <w:p w14:paraId="0C0C27AF">
            <w:pPr>
              <w:pStyle w:val="34"/>
              <w:bidi w:val="0"/>
              <w:rPr>
                <w:rFonts w:hint="default"/>
                <w:b/>
                <w:bCs/>
                <w:color w:val="auto"/>
                <w:kern w:val="2"/>
              </w:rPr>
            </w:pPr>
            <w:r>
              <w:rPr>
                <w:rFonts w:hint="default"/>
                <w:b/>
                <w:bCs/>
                <w:color w:val="auto"/>
                <w:kern w:val="2"/>
              </w:rPr>
              <w:t>排放口编号</w:t>
            </w:r>
          </w:p>
        </w:tc>
        <w:tc>
          <w:tcPr>
            <w:tcW w:w="460" w:type="pct"/>
            <w:vMerge w:val="restart"/>
            <w:shd w:val="clear" w:color="auto" w:fill="auto"/>
            <w:vAlign w:val="center"/>
          </w:tcPr>
          <w:p w14:paraId="7E17370F">
            <w:pPr>
              <w:pStyle w:val="34"/>
              <w:bidi w:val="0"/>
              <w:rPr>
                <w:rFonts w:hint="default"/>
                <w:b/>
                <w:bCs/>
                <w:color w:val="auto"/>
                <w:kern w:val="2"/>
              </w:rPr>
            </w:pPr>
            <w:r>
              <w:rPr>
                <w:rFonts w:hint="default"/>
                <w:b/>
                <w:bCs/>
                <w:color w:val="auto"/>
                <w:kern w:val="2"/>
              </w:rPr>
              <w:t>产污环节</w:t>
            </w:r>
          </w:p>
        </w:tc>
        <w:tc>
          <w:tcPr>
            <w:tcW w:w="502" w:type="pct"/>
            <w:vMerge w:val="restart"/>
            <w:shd w:val="clear" w:color="auto" w:fill="auto"/>
            <w:vAlign w:val="center"/>
          </w:tcPr>
          <w:p w14:paraId="5E573DCE">
            <w:pPr>
              <w:pStyle w:val="34"/>
              <w:bidi w:val="0"/>
              <w:rPr>
                <w:rFonts w:hint="default"/>
                <w:b/>
                <w:bCs/>
                <w:color w:val="auto"/>
                <w:kern w:val="2"/>
              </w:rPr>
            </w:pPr>
            <w:r>
              <w:rPr>
                <w:rFonts w:hint="default"/>
                <w:b/>
                <w:bCs/>
                <w:color w:val="auto"/>
                <w:kern w:val="2"/>
              </w:rPr>
              <w:t>污染物</w:t>
            </w:r>
          </w:p>
        </w:tc>
        <w:tc>
          <w:tcPr>
            <w:tcW w:w="647" w:type="pct"/>
            <w:vMerge w:val="restart"/>
            <w:shd w:val="clear" w:color="auto" w:fill="auto"/>
            <w:vAlign w:val="center"/>
          </w:tcPr>
          <w:p w14:paraId="568370E7">
            <w:pPr>
              <w:pStyle w:val="34"/>
              <w:bidi w:val="0"/>
              <w:rPr>
                <w:rFonts w:hint="default"/>
                <w:b/>
                <w:bCs/>
                <w:color w:val="auto"/>
                <w:kern w:val="2"/>
              </w:rPr>
            </w:pPr>
            <w:r>
              <w:rPr>
                <w:rFonts w:hint="default"/>
                <w:b/>
                <w:bCs/>
                <w:color w:val="auto"/>
                <w:kern w:val="2"/>
              </w:rPr>
              <w:t>主要污染防治措施</w:t>
            </w:r>
          </w:p>
        </w:tc>
        <w:tc>
          <w:tcPr>
            <w:tcW w:w="1983" w:type="pct"/>
            <w:gridSpan w:val="2"/>
            <w:shd w:val="clear" w:color="auto" w:fill="auto"/>
            <w:vAlign w:val="center"/>
          </w:tcPr>
          <w:p w14:paraId="71B9A60C">
            <w:pPr>
              <w:pStyle w:val="34"/>
              <w:bidi w:val="0"/>
              <w:rPr>
                <w:rFonts w:hint="default"/>
                <w:b/>
                <w:bCs/>
                <w:color w:val="auto"/>
                <w:kern w:val="2"/>
              </w:rPr>
            </w:pPr>
            <w:r>
              <w:rPr>
                <w:rFonts w:hint="default"/>
                <w:b/>
                <w:bCs/>
                <w:color w:val="auto"/>
                <w:kern w:val="2"/>
              </w:rPr>
              <w:t>国家或地方污染物排放标准</w:t>
            </w:r>
          </w:p>
        </w:tc>
        <w:tc>
          <w:tcPr>
            <w:tcW w:w="597" w:type="pct"/>
            <w:vMerge w:val="restart"/>
            <w:shd w:val="clear" w:color="auto" w:fill="auto"/>
            <w:vAlign w:val="center"/>
          </w:tcPr>
          <w:p w14:paraId="4AF5B7E4">
            <w:pPr>
              <w:pStyle w:val="34"/>
              <w:bidi w:val="0"/>
              <w:rPr>
                <w:rFonts w:hint="default"/>
                <w:color w:val="auto"/>
                <w:kern w:val="2"/>
              </w:rPr>
            </w:pPr>
            <w:r>
              <w:rPr>
                <w:rFonts w:hint="default"/>
                <w:b/>
                <w:bCs/>
                <w:color w:val="auto"/>
                <w:kern w:val="2"/>
              </w:rPr>
              <w:t>年排放量（t/a）</w:t>
            </w:r>
          </w:p>
        </w:tc>
      </w:tr>
      <w:tr w14:paraId="0F02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vMerge w:val="continue"/>
            <w:shd w:val="clear" w:color="auto" w:fill="auto"/>
            <w:vAlign w:val="center"/>
          </w:tcPr>
          <w:p w14:paraId="4AEC3846">
            <w:pPr>
              <w:pStyle w:val="34"/>
              <w:bidi w:val="0"/>
              <w:rPr>
                <w:rFonts w:hint="default"/>
                <w:b/>
                <w:bCs/>
                <w:color w:val="auto"/>
                <w:kern w:val="2"/>
              </w:rPr>
            </w:pPr>
          </w:p>
        </w:tc>
        <w:tc>
          <w:tcPr>
            <w:tcW w:w="429" w:type="pct"/>
            <w:vMerge w:val="continue"/>
            <w:shd w:val="clear" w:color="auto" w:fill="auto"/>
            <w:vAlign w:val="center"/>
          </w:tcPr>
          <w:p w14:paraId="705DECF0">
            <w:pPr>
              <w:pStyle w:val="34"/>
              <w:bidi w:val="0"/>
              <w:rPr>
                <w:rFonts w:hint="default"/>
                <w:b/>
                <w:bCs/>
                <w:color w:val="auto"/>
                <w:kern w:val="2"/>
              </w:rPr>
            </w:pPr>
          </w:p>
        </w:tc>
        <w:tc>
          <w:tcPr>
            <w:tcW w:w="460" w:type="pct"/>
            <w:vMerge w:val="continue"/>
            <w:shd w:val="clear" w:color="auto" w:fill="auto"/>
            <w:vAlign w:val="center"/>
          </w:tcPr>
          <w:p w14:paraId="53ED4D2E">
            <w:pPr>
              <w:pStyle w:val="34"/>
              <w:bidi w:val="0"/>
              <w:rPr>
                <w:rFonts w:hint="default"/>
                <w:b/>
                <w:bCs/>
                <w:color w:val="auto"/>
                <w:kern w:val="2"/>
              </w:rPr>
            </w:pPr>
          </w:p>
        </w:tc>
        <w:tc>
          <w:tcPr>
            <w:tcW w:w="502" w:type="pct"/>
            <w:vMerge w:val="continue"/>
            <w:shd w:val="clear" w:color="auto" w:fill="auto"/>
            <w:vAlign w:val="center"/>
          </w:tcPr>
          <w:p w14:paraId="7AC4A3EC">
            <w:pPr>
              <w:pStyle w:val="34"/>
              <w:bidi w:val="0"/>
              <w:rPr>
                <w:rFonts w:hint="default"/>
                <w:b/>
                <w:bCs/>
                <w:color w:val="auto"/>
                <w:kern w:val="2"/>
              </w:rPr>
            </w:pPr>
          </w:p>
        </w:tc>
        <w:tc>
          <w:tcPr>
            <w:tcW w:w="647" w:type="pct"/>
            <w:vMerge w:val="continue"/>
            <w:shd w:val="clear" w:color="auto" w:fill="auto"/>
            <w:vAlign w:val="center"/>
          </w:tcPr>
          <w:p w14:paraId="33C7AECE">
            <w:pPr>
              <w:pStyle w:val="34"/>
              <w:bidi w:val="0"/>
              <w:rPr>
                <w:rFonts w:hint="default"/>
                <w:b/>
                <w:bCs/>
                <w:color w:val="auto"/>
                <w:kern w:val="2"/>
              </w:rPr>
            </w:pPr>
          </w:p>
        </w:tc>
        <w:tc>
          <w:tcPr>
            <w:tcW w:w="1195" w:type="pct"/>
            <w:shd w:val="clear" w:color="auto" w:fill="auto"/>
            <w:vAlign w:val="center"/>
          </w:tcPr>
          <w:p w14:paraId="0A019357">
            <w:pPr>
              <w:pStyle w:val="34"/>
              <w:bidi w:val="0"/>
              <w:rPr>
                <w:rFonts w:hint="default"/>
                <w:b/>
                <w:bCs/>
                <w:color w:val="auto"/>
                <w:kern w:val="2"/>
              </w:rPr>
            </w:pPr>
            <w:r>
              <w:rPr>
                <w:rFonts w:hint="default"/>
                <w:b/>
                <w:bCs/>
                <w:color w:val="auto"/>
                <w:kern w:val="2"/>
              </w:rPr>
              <w:t>标准名称</w:t>
            </w:r>
          </w:p>
        </w:tc>
        <w:tc>
          <w:tcPr>
            <w:tcW w:w="788" w:type="pct"/>
            <w:shd w:val="clear" w:color="auto" w:fill="auto"/>
            <w:vAlign w:val="center"/>
          </w:tcPr>
          <w:p w14:paraId="6F1E9EBB">
            <w:pPr>
              <w:pStyle w:val="34"/>
              <w:bidi w:val="0"/>
              <w:rPr>
                <w:rFonts w:hint="default"/>
                <w:b/>
                <w:bCs/>
                <w:color w:val="auto"/>
                <w:kern w:val="2"/>
              </w:rPr>
            </w:pPr>
            <w:r>
              <w:rPr>
                <w:rFonts w:hint="default"/>
                <w:b/>
                <w:bCs/>
                <w:color w:val="auto"/>
                <w:kern w:val="2"/>
              </w:rPr>
              <w:t>浓度限值/（mg/m</w:t>
            </w:r>
            <w:r>
              <w:rPr>
                <w:rFonts w:hint="default"/>
                <w:b/>
                <w:bCs/>
                <w:color w:val="auto"/>
                <w:kern w:val="2"/>
                <w:vertAlign w:val="superscript"/>
              </w:rPr>
              <w:t>3</w:t>
            </w:r>
            <w:r>
              <w:rPr>
                <w:rFonts w:hint="default"/>
                <w:b/>
                <w:bCs/>
                <w:color w:val="auto"/>
                <w:kern w:val="2"/>
              </w:rPr>
              <w:t>）</w:t>
            </w:r>
          </w:p>
        </w:tc>
        <w:tc>
          <w:tcPr>
            <w:tcW w:w="597" w:type="pct"/>
            <w:vMerge w:val="continue"/>
            <w:shd w:val="clear" w:color="auto" w:fill="auto"/>
            <w:vAlign w:val="center"/>
          </w:tcPr>
          <w:p w14:paraId="1D408525">
            <w:pPr>
              <w:pStyle w:val="34"/>
              <w:bidi w:val="0"/>
              <w:rPr>
                <w:rFonts w:hint="default"/>
                <w:color w:val="auto"/>
                <w:kern w:val="2"/>
              </w:rPr>
            </w:pPr>
          </w:p>
        </w:tc>
      </w:tr>
      <w:tr w14:paraId="6228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shd w:val="clear" w:color="auto" w:fill="auto"/>
            <w:vAlign w:val="center"/>
          </w:tcPr>
          <w:p w14:paraId="62A444F7">
            <w:pPr>
              <w:pStyle w:val="34"/>
              <w:bidi w:val="0"/>
              <w:rPr>
                <w:rFonts w:hint="default"/>
                <w:color w:val="auto"/>
                <w:kern w:val="2"/>
              </w:rPr>
            </w:pPr>
            <w:r>
              <w:rPr>
                <w:rFonts w:hint="default"/>
                <w:color w:val="auto"/>
                <w:kern w:val="2"/>
              </w:rPr>
              <w:t>1</w:t>
            </w:r>
          </w:p>
        </w:tc>
        <w:tc>
          <w:tcPr>
            <w:tcW w:w="429" w:type="pct"/>
            <w:shd w:val="clear" w:color="auto" w:fill="auto"/>
            <w:vAlign w:val="center"/>
          </w:tcPr>
          <w:p w14:paraId="0C4B27BB">
            <w:pPr>
              <w:pStyle w:val="34"/>
              <w:bidi w:val="0"/>
              <w:rPr>
                <w:rFonts w:hint="default"/>
                <w:color w:val="auto"/>
                <w:kern w:val="2"/>
              </w:rPr>
            </w:pPr>
            <w:r>
              <w:rPr>
                <w:rFonts w:hint="default"/>
                <w:color w:val="auto"/>
                <w:kern w:val="2"/>
              </w:rPr>
              <w:t>/</w:t>
            </w:r>
          </w:p>
        </w:tc>
        <w:tc>
          <w:tcPr>
            <w:tcW w:w="460" w:type="pct"/>
            <w:shd w:val="clear" w:color="auto" w:fill="auto"/>
            <w:vAlign w:val="center"/>
          </w:tcPr>
          <w:p w14:paraId="0EFD6B50">
            <w:pPr>
              <w:pStyle w:val="34"/>
              <w:bidi w:val="0"/>
              <w:rPr>
                <w:rFonts w:hint="default"/>
                <w:color w:val="auto"/>
                <w:kern w:val="2"/>
              </w:rPr>
            </w:pPr>
            <w:r>
              <w:rPr>
                <w:rFonts w:hint="default"/>
                <w:color w:val="auto"/>
                <w:kern w:val="2"/>
              </w:rPr>
              <w:t>原油集输</w:t>
            </w:r>
          </w:p>
        </w:tc>
        <w:tc>
          <w:tcPr>
            <w:tcW w:w="502" w:type="pct"/>
            <w:shd w:val="clear" w:color="auto" w:fill="auto"/>
            <w:vAlign w:val="center"/>
          </w:tcPr>
          <w:p w14:paraId="5FBC87F1">
            <w:pPr>
              <w:pStyle w:val="34"/>
              <w:bidi w:val="0"/>
              <w:rPr>
                <w:rFonts w:hint="default"/>
                <w:color w:val="auto"/>
                <w:kern w:val="2"/>
              </w:rPr>
            </w:pPr>
            <w:r>
              <w:rPr>
                <w:rFonts w:hint="default"/>
                <w:color w:val="auto"/>
                <w:kern w:val="2"/>
              </w:rPr>
              <w:t>非甲烷总烃</w:t>
            </w:r>
          </w:p>
        </w:tc>
        <w:tc>
          <w:tcPr>
            <w:tcW w:w="647" w:type="pct"/>
            <w:shd w:val="clear" w:color="auto" w:fill="auto"/>
            <w:vAlign w:val="center"/>
          </w:tcPr>
          <w:p w14:paraId="4C94A896">
            <w:pPr>
              <w:pStyle w:val="34"/>
              <w:bidi w:val="0"/>
              <w:rPr>
                <w:rFonts w:hint="default"/>
                <w:color w:val="auto"/>
                <w:kern w:val="2"/>
              </w:rPr>
            </w:pPr>
            <w:r>
              <w:rPr>
                <w:rFonts w:hint="default"/>
                <w:color w:val="auto"/>
                <w:kern w:val="2"/>
              </w:rPr>
              <w:t>密闭集输</w:t>
            </w:r>
          </w:p>
        </w:tc>
        <w:tc>
          <w:tcPr>
            <w:tcW w:w="1195" w:type="pct"/>
            <w:shd w:val="clear" w:color="auto" w:fill="auto"/>
            <w:vAlign w:val="center"/>
          </w:tcPr>
          <w:p w14:paraId="47214E6C">
            <w:pPr>
              <w:pStyle w:val="34"/>
              <w:bidi w:val="0"/>
              <w:rPr>
                <w:rFonts w:hint="default"/>
                <w:color w:val="auto"/>
                <w:kern w:val="2"/>
              </w:rPr>
            </w:pPr>
            <w:r>
              <w:rPr>
                <w:rFonts w:hint="default"/>
                <w:color w:val="auto"/>
                <w:kern w:val="2"/>
              </w:rPr>
              <w:t>《陆上石油天然气开采工业大气污染物排放标准》（GB39728-2020）</w:t>
            </w:r>
          </w:p>
        </w:tc>
        <w:tc>
          <w:tcPr>
            <w:tcW w:w="788" w:type="pct"/>
            <w:shd w:val="clear" w:color="auto" w:fill="auto"/>
            <w:vAlign w:val="center"/>
          </w:tcPr>
          <w:p w14:paraId="229C0048">
            <w:pPr>
              <w:pStyle w:val="34"/>
              <w:bidi w:val="0"/>
              <w:rPr>
                <w:rFonts w:hint="default"/>
                <w:color w:val="auto"/>
                <w:kern w:val="2"/>
              </w:rPr>
            </w:pPr>
            <w:r>
              <w:rPr>
                <w:rFonts w:hint="default"/>
                <w:color w:val="auto"/>
                <w:kern w:val="2"/>
              </w:rPr>
              <w:t>4.0</w:t>
            </w:r>
          </w:p>
        </w:tc>
        <w:tc>
          <w:tcPr>
            <w:tcW w:w="597" w:type="pct"/>
            <w:shd w:val="clear" w:color="auto" w:fill="auto"/>
            <w:vAlign w:val="center"/>
          </w:tcPr>
          <w:p w14:paraId="19CB3784">
            <w:pPr>
              <w:pStyle w:val="34"/>
              <w:bidi w:val="0"/>
              <w:rPr>
                <w:rFonts w:hint="default"/>
                <w:color w:val="auto"/>
                <w:kern w:val="2"/>
                <w:lang w:val="en-US"/>
              </w:rPr>
            </w:pPr>
            <w:r>
              <w:rPr>
                <w:rFonts w:hint="eastAsia"/>
                <w:color w:val="auto"/>
                <w:kern w:val="2"/>
                <w:lang w:val="en-US" w:eastAsia="zh-CN"/>
              </w:rPr>
              <w:t>0.56</w:t>
            </w:r>
          </w:p>
        </w:tc>
      </w:tr>
      <w:tr w14:paraId="1B12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pct"/>
            <w:gridSpan w:val="4"/>
            <w:shd w:val="clear" w:color="auto" w:fill="auto"/>
            <w:vAlign w:val="center"/>
          </w:tcPr>
          <w:p w14:paraId="45C555FA">
            <w:pPr>
              <w:pStyle w:val="34"/>
              <w:bidi w:val="0"/>
              <w:rPr>
                <w:rFonts w:hint="default"/>
                <w:color w:val="auto"/>
                <w:kern w:val="2"/>
              </w:rPr>
            </w:pPr>
            <w:r>
              <w:rPr>
                <w:rFonts w:hint="default"/>
                <w:color w:val="auto"/>
                <w:kern w:val="2"/>
              </w:rPr>
              <w:t>无组织排放总计</w:t>
            </w:r>
          </w:p>
        </w:tc>
        <w:tc>
          <w:tcPr>
            <w:tcW w:w="2630" w:type="pct"/>
            <w:gridSpan w:val="3"/>
            <w:shd w:val="clear" w:color="auto" w:fill="auto"/>
            <w:vAlign w:val="center"/>
          </w:tcPr>
          <w:p w14:paraId="0579E89A">
            <w:pPr>
              <w:pStyle w:val="34"/>
              <w:bidi w:val="0"/>
              <w:rPr>
                <w:rFonts w:hint="default"/>
                <w:color w:val="auto"/>
                <w:kern w:val="2"/>
              </w:rPr>
            </w:pPr>
            <w:r>
              <w:rPr>
                <w:rFonts w:hint="default"/>
                <w:color w:val="auto"/>
                <w:kern w:val="2"/>
              </w:rPr>
              <w:t>非甲烷总烃</w:t>
            </w:r>
          </w:p>
        </w:tc>
        <w:tc>
          <w:tcPr>
            <w:tcW w:w="597" w:type="pct"/>
            <w:shd w:val="clear" w:color="auto" w:fill="auto"/>
            <w:vAlign w:val="center"/>
          </w:tcPr>
          <w:p w14:paraId="4DA845DD">
            <w:pPr>
              <w:pStyle w:val="34"/>
              <w:bidi w:val="0"/>
              <w:rPr>
                <w:rFonts w:hint="default"/>
                <w:color w:val="auto"/>
                <w:kern w:val="2"/>
                <w:lang w:val="en-US"/>
              </w:rPr>
            </w:pPr>
            <w:r>
              <w:rPr>
                <w:rFonts w:hint="eastAsia"/>
                <w:color w:val="auto"/>
                <w:kern w:val="2"/>
                <w:lang w:val="en-US" w:eastAsia="zh-CN"/>
              </w:rPr>
              <w:t>0.56</w:t>
            </w:r>
          </w:p>
        </w:tc>
      </w:tr>
    </w:tbl>
    <w:p w14:paraId="589C1186">
      <w:pPr>
        <w:pStyle w:val="6"/>
        <w:bidi w:val="0"/>
        <w:rPr>
          <w:rFonts w:hint="default"/>
          <w:color w:val="auto"/>
          <w:lang w:val="en-US" w:eastAsia="zh-CN"/>
        </w:rPr>
      </w:pPr>
      <w:r>
        <w:rPr>
          <w:rFonts w:hint="eastAsia"/>
          <w:color w:val="auto"/>
          <w:lang w:val="en-US" w:eastAsia="zh-CN"/>
        </w:rPr>
        <w:t>5.2.1.7大气环境影响评价自查表</w:t>
      </w:r>
    </w:p>
    <w:p w14:paraId="02967F11">
      <w:pPr>
        <w:pStyle w:val="33"/>
        <w:bidi w:val="0"/>
        <w:rPr>
          <w:rFonts w:hint="default"/>
          <w:color w:val="auto"/>
          <w:lang w:val="en-US" w:eastAsia="zh-CN"/>
        </w:rPr>
      </w:pPr>
      <w:r>
        <w:rPr>
          <w:rFonts w:hint="eastAsia"/>
          <w:color w:val="auto"/>
          <w:lang w:val="en-US" w:eastAsia="zh-CN"/>
        </w:rPr>
        <w:t>大气环境影响评价自查表见表5.2-6。</w:t>
      </w:r>
    </w:p>
    <w:p w14:paraId="302FB179">
      <w:pPr>
        <w:pStyle w:val="43"/>
        <w:bidi w:val="0"/>
        <w:rPr>
          <w:rFonts w:cs="Times New Roman"/>
          <w:color w:val="auto"/>
        </w:rPr>
      </w:pPr>
      <w:r>
        <w:rPr>
          <w:rFonts w:cs="Times New Roman"/>
          <w:color w:val="auto"/>
        </w:rPr>
        <w:t>表</w:t>
      </w:r>
      <w:r>
        <w:rPr>
          <w:rFonts w:hint="eastAsia" w:cs="Times New Roman"/>
          <w:color w:val="auto"/>
          <w:lang w:val="en-US" w:eastAsia="zh-CN"/>
        </w:rPr>
        <w:t>5.2-6</w:t>
      </w:r>
      <w:r>
        <w:rPr>
          <w:rFonts w:cs="Times New Roman"/>
          <w:color w:val="auto"/>
        </w:rPr>
        <w:t xml:space="preserve">  大气环境影响评价自查表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500"/>
        <w:gridCol w:w="1035"/>
        <w:gridCol w:w="1311"/>
        <w:gridCol w:w="518"/>
        <w:gridCol w:w="968"/>
        <w:gridCol w:w="293"/>
        <w:gridCol w:w="116"/>
        <w:gridCol w:w="613"/>
        <w:gridCol w:w="927"/>
        <w:gridCol w:w="38"/>
        <w:gridCol w:w="666"/>
        <w:gridCol w:w="848"/>
      </w:tblGrid>
      <w:tr w14:paraId="6707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trPr>
        <w:tc>
          <w:tcPr>
            <w:tcW w:w="1434" w:type="pct"/>
            <w:gridSpan w:val="2"/>
            <w:noWrap/>
            <w:vAlign w:val="center"/>
          </w:tcPr>
          <w:p w14:paraId="650470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工作内容</w:t>
            </w:r>
          </w:p>
        </w:tc>
        <w:tc>
          <w:tcPr>
            <w:tcW w:w="3565" w:type="pct"/>
            <w:gridSpan w:val="10"/>
            <w:noWrap/>
            <w:vAlign w:val="center"/>
          </w:tcPr>
          <w:p w14:paraId="43FC40C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自查项目</w:t>
            </w:r>
          </w:p>
        </w:tc>
      </w:tr>
      <w:tr w14:paraId="06EA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restart"/>
            <w:noWrap/>
            <w:vAlign w:val="center"/>
          </w:tcPr>
          <w:p w14:paraId="27FFED5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评价等级与评价范围</w:t>
            </w:r>
          </w:p>
        </w:tc>
        <w:tc>
          <w:tcPr>
            <w:tcW w:w="585" w:type="pct"/>
            <w:noWrap/>
            <w:vAlign w:val="center"/>
          </w:tcPr>
          <w:p w14:paraId="3C13F07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742" w:type="pct"/>
            <w:noWrap/>
            <w:vAlign w:val="center"/>
          </w:tcPr>
          <w:p w14:paraId="72BEFED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944" w:type="pct"/>
            <w:gridSpan w:val="6"/>
            <w:noWrap/>
            <w:vAlign w:val="center"/>
          </w:tcPr>
          <w:p w14:paraId="3ED4880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二级</w:t>
            </w:r>
            <w:r>
              <w:rPr>
                <w:rFonts w:hint="eastAsia" w:ascii="Times New Roman" w:hAnsi="Times New Roman" w:eastAsia="宋体" w:cs="Times New Roman"/>
                <w:color w:val="auto"/>
                <w:sz w:val="21"/>
                <w:szCs w:val="21"/>
                <w:lang w:eastAsia="zh-CN"/>
              </w:rPr>
              <w:t>☑</w:t>
            </w:r>
          </w:p>
        </w:tc>
        <w:tc>
          <w:tcPr>
            <w:tcW w:w="878" w:type="pct"/>
            <w:gridSpan w:val="3"/>
            <w:noWrap/>
            <w:vAlign w:val="center"/>
          </w:tcPr>
          <w:p w14:paraId="192B17D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r>
      <w:tr w14:paraId="6CF6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2B5246C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noWrap/>
            <w:vAlign w:val="center"/>
          </w:tcPr>
          <w:p w14:paraId="7E6B302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评价范围</w:t>
            </w:r>
          </w:p>
        </w:tc>
        <w:tc>
          <w:tcPr>
            <w:tcW w:w="742" w:type="pct"/>
            <w:noWrap/>
            <w:vAlign w:val="center"/>
          </w:tcPr>
          <w:p w14:paraId="47BEE8C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边长=50km□</w:t>
            </w:r>
          </w:p>
        </w:tc>
        <w:tc>
          <w:tcPr>
            <w:tcW w:w="1944" w:type="pct"/>
            <w:gridSpan w:val="6"/>
            <w:noWrap/>
            <w:vAlign w:val="center"/>
          </w:tcPr>
          <w:p w14:paraId="15E994C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边长5～50km□</w:t>
            </w:r>
          </w:p>
        </w:tc>
        <w:tc>
          <w:tcPr>
            <w:tcW w:w="878" w:type="pct"/>
            <w:gridSpan w:val="3"/>
            <w:noWrap/>
            <w:vAlign w:val="center"/>
          </w:tcPr>
          <w:p w14:paraId="5920F98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边长=5km</w:t>
            </w:r>
            <w:r>
              <w:rPr>
                <w:rFonts w:hint="eastAsia" w:ascii="Times New Roman" w:hAnsi="Times New Roman" w:eastAsia="宋体" w:cs="Times New Roman"/>
                <w:color w:val="auto"/>
                <w:sz w:val="21"/>
                <w:szCs w:val="21"/>
                <w:lang w:eastAsia="zh-CN"/>
              </w:rPr>
              <w:t>☑</w:t>
            </w:r>
          </w:p>
        </w:tc>
      </w:tr>
      <w:tr w14:paraId="6C82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restart"/>
            <w:noWrap/>
            <w:vAlign w:val="center"/>
          </w:tcPr>
          <w:p w14:paraId="6D3BE0E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585" w:type="pct"/>
            <w:noWrap/>
            <w:vAlign w:val="center"/>
          </w:tcPr>
          <w:p w14:paraId="174AFCB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 xml:space="preserve"> +NO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排放量</w:t>
            </w:r>
          </w:p>
        </w:tc>
        <w:tc>
          <w:tcPr>
            <w:tcW w:w="742" w:type="pct"/>
            <w:noWrap/>
            <w:vAlign w:val="center"/>
          </w:tcPr>
          <w:p w14:paraId="48965F8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≥2000t/a□</w:t>
            </w:r>
          </w:p>
        </w:tc>
        <w:tc>
          <w:tcPr>
            <w:tcW w:w="1944" w:type="pct"/>
            <w:gridSpan w:val="6"/>
            <w:noWrap/>
            <w:vAlign w:val="center"/>
          </w:tcPr>
          <w:p w14:paraId="56D00B8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500~2000t/a□</w:t>
            </w:r>
          </w:p>
        </w:tc>
        <w:tc>
          <w:tcPr>
            <w:tcW w:w="878" w:type="pct"/>
            <w:gridSpan w:val="3"/>
            <w:noWrap/>
            <w:vAlign w:val="center"/>
          </w:tcPr>
          <w:p w14:paraId="217823F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＜500t/a</w:t>
            </w:r>
            <w:r>
              <w:rPr>
                <w:rFonts w:hint="eastAsia" w:ascii="Times New Roman" w:hAnsi="Times New Roman" w:cs="Times New Roman"/>
                <w:color w:val="auto"/>
                <w:sz w:val="21"/>
                <w:szCs w:val="21"/>
                <w:lang w:eastAsia="zh-CN"/>
              </w:rPr>
              <w:t>□</w:t>
            </w:r>
          </w:p>
        </w:tc>
      </w:tr>
      <w:tr w14:paraId="4E7F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7D6EB69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noWrap/>
            <w:vAlign w:val="center"/>
          </w:tcPr>
          <w:p w14:paraId="7D5A5C5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1748" w:type="pct"/>
            <w:gridSpan w:val="4"/>
            <w:noWrap/>
            <w:vAlign w:val="center"/>
          </w:tcPr>
          <w:p w14:paraId="06576FF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基本污染物(PM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w:t>
            </w:r>
          </w:p>
          <w:p w14:paraId="536301D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其他污染物（非甲烷总烃）</w:t>
            </w:r>
          </w:p>
        </w:tc>
        <w:tc>
          <w:tcPr>
            <w:tcW w:w="1816" w:type="pct"/>
            <w:gridSpan w:val="6"/>
            <w:noWrap/>
            <w:vAlign w:val="center"/>
          </w:tcPr>
          <w:p w14:paraId="0007AF9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包括二次PM2.5□</w:t>
            </w:r>
          </w:p>
          <w:p w14:paraId="5233D22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不包括二次PM2.5</w:t>
            </w:r>
            <w:r>
              <w:rPr>
                <w:rFonts w:hint="eastAsia" w:ascii="Times New Roman" w:hAnsi="Times New Roman" w:eastAsia="宋体" w:cs="Times New Roman"/>
                <w:color w:val="auto"/>
                <w:sz w:val="21"/>
                <w:szCs w:val="21"/>
                <w:lang w:eastAsia="zh-CN"/>
              </w:rPr>
              <w:t>☑</w:t>
            </w:r>
          </w:p>
        </w:tc>
      </w:tr>
      <w:tr w14:paraId="71C2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restart"/>
            <w:noWrap/>
            <w:vAlign w:val="center"/>
          </w:tcPr>
          <w:p w14:paraId="7E98028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585" w:type="pct"/>
            <w:noWrap/>
            <w:vAlign w:val="center"/>
          </w:tcPr>
          <w:p w14:paraId="0A56BA7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742" w:type="pct"/>
            <w:noWrap/>
            <w:vAlign w:val="center"/>
          </w:tcPr>
          <w:p w14:paraId="4E85487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国家标准</w:t>
            </w:r>
            <w:r>
              <w:rPr>
                <w:rFonts w:hint="eastAsia" w:ascii="Times New Roman" w:hAnsi="Times New Roman" w:eastAsia="宋体" w:cs="Times New Roman"/>
                <w:color w:val="auto"/>
                <w:sz w:val="21"/>
                <w:szCs w:val="21"/>
                <w:lang w:eastAsia="zh-CN"/>
              </w:rPr>
              <w:t>☑</w:t>
            </w:r>
          </w:p>
        </w:tc>
        <w:tc>
          <w:tcPr>
            <w:tcW w:w="1006" w:type="pct"/>
            <w:gridSpan w:val="3"/>
            <w:noWrap/>
            <w:vAlign w:val="center"/>
          </w:tcPr>
          <w:p w14:paraId="6EC27D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地方标准□</w:t>
            </w:r>
          </w:p>
        </w:tc>
        <w:tc>
          <w:tcPr>
            <w:tcW w:w="959" w:type="pct"/>
            <w:gridSpan w:val="4"/>
            <w:noWrap/>
            <w:vAlign w:val="center"/>
          </w:tcPr>
          <w:p w14:paraId="77E7597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附录D□</w:t>
            </w:r>
          </w:p>
        </w:tc>
        <w:tc>
          <w:tcPr>
            <w:tcW w:w="856" w:type="pct"/>
            <w:gridSpan w:val="2"/>
            <w:noWrap/>
            <w:vAlign w:val="center"/>
          </w:tcPr>
          <w:p w14:paraId="2C5C754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其他标准□</w:t>
            </w:r>
          </w:p>
        </w:tc>
      </w:tr>
      <w:tr w14:paraId="0601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3F459B5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noWrap/>
            <w:vAlign w:val="center"/>
          </w:tcPr>
          <w:p w14:paraId="20DB121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742" w:type="pct"/>
            <w:noWrap/>
            <w:vAlign w:val="center"/>
          </w:tcPr>
          <w:p w14:paraId="4166EEC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一类区□</w:t>
            </w:r>
          </w:p>
        </w:tc>
        <w:tc>
          <w:tcPr>
            <w:tcW w:w="1006" w:type="pct"/>
            <w:gridSpan w:val="3"/>
            <w:noWrap/>
            <w:vAlign w:val="center"/>
          </w:tcPr>
          <w:p w14:paraId="2C8BC23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二类区</w:t>
            </w:r>
            <w:r>
              <w:rPr>
                <w:rFonts w:hint="eastAsia" w:ascii="Times New Roman" w:hAnsi="Times New Roman" w:eastAsia="宋体" w:cs="Times New Roman"/>
                <w:color w:val="auto"/>
                <w:sz w:val="21"/>
                <w:szCs w:val="21"/>
                <w:lang w:eastAsia="zh-CN"/>
              </w:rPr>
              <w:t>☑</w:t>
            </w:r>
          </w:p>
        </w:tc>
        <w:tc>
          <w:tcPr>
            <w:tcW w:w="1816" w:type="pct"/>
            <w:gridSpan w:val="6"/>
            <w:noWrap/>
            <w:vAlign w:val="center"/>
          </w:tcPr>
          <w:p w14:paraId="06EC0BF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一类区和二类区□</w:t>
            </w:r>
          </w:p>
        </w:tc>
      </w:tr>
      <w:tr w14:paraId="06DA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0C8301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noWrap/>
            <w:vAlign w:val="center"/>
          </w:tcPr>
          <w:p w14:paraId="5C0883F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评价基准年</w:t>
            </w:r>
          </w:p>
        </w:tc>
        <w:tc>
          <w:tcPr>
            <w:tcW w:w="3565" w:type="pct"/>
            <w:gridSpan w:val="10"/>
            <w:noWrap/>
            <w:vAlign w:val="center"/>
          </w:tcPr>
          <w:p w14:paraId="06112E6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）年</w:t>
            </w:r>
          </w:p>
        </w:tc>
      </w:tr>
      <w:tr w14:paraId="4E31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781FCDB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Align w:val="center"/>
          </w:tcPr>
          <w:p w14:paraId="5E95A5E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环境空气质量现状调查数据来源</w:t>
            </w:r>
          </w:p>
        </w:tc>
        <w:tc>
          <w:tcPr>
            <w:tcW w:w="1035" w:type="pct"/>
            <w:gridSpan w:val="2"/>
            <w:noWrap/>
            <w:vAlign w:val="center"/>
          </w:tcPr>
          <w:p w14:paraId="09DD5BE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长期例行监测数据□</w:t>
            </w:r>
          </w:p>
        </w:tc>
        <w:tc>
          <w:tcPr>
            <w:tcW w:w="1126" w:type="pct"/>
            <w:gridSpan w:val="4"/>
            <w:noWrap/>
            <w:vAlign w:val="center"/>
          </w:tcPr>
          <w:p w14:paraId="1D34F52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主管部门发布的数据</w:t>
            </w:r>
            <w:r>
              <w:rPr>
                <w:rFonts w:hint="eastAsia" w:ascii="Times New Roman" w:hAnsi="Times New Roman" w:eastAsia="宋体" w:cs="Times New Roman"/>
                <w:color w:val="auto"/>
                <w:sz w:val="21"/>
                <w:szCs w:val="21"/>
                <w:lang w:eastAsia="zh-CN"/>
              </w:rPr>
              <w:t>☑</w:t>
            </w:r>
          </w:p>
        </w:tc>
        <w:tc>
          <w:tcPr>
            <w:tcW w:w="1403" w:type="pct"/>
            <w:gridSpan w:val="4"/>
            <w:noWrap/>
            <w:vAlign w:val="center"/>
          </w:tcPr>
          <w:p w14:paraId="166B38B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现状补充监测</w:t>
            </w:r>
            <w:r>
              <w:rPr>
                <w:rFonts w:hint="eastAsia" w:ascii="Times New Roman" w:hAnsi="Times New Roman" w:eastAsia="宋体" w:cs="Times New Roman"/>
                <w:color w:val="auto"/>
                <w:sz w:val="21"/>
                <w:szCs w:val="21"/>
                <w:lang w:eastAsia="zh-CN"/>
              </w:rPr>
              <w:t>☑</w:t>
            </w:r>
          </w:p>
        </w:tc>
      </w:tr>
      <w:tr w14:paraId="22AA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1F1420A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noWrap/>
            <w:vAlign w:val="center"/>
          </w:tcPr>
          <w:p w14:paraId="39D190E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2162" w:type="pct"/>
            <w:gridSpan w:val="6"/>
            <w:noWrap/>
            <w:vAlign w:val="center"/>
          </w:tcPr>
          <w:p w14:paraId="702E160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达标区</w:t>
            </w:r>
            <w:r>
              <w:rPr>
                <w:rFonts w:hint="eastAsia" w:ascii="Times New Roman" w:hAnsi="Times New Roman" w:eastAsia="宋体" w:cs="Times New Roman"/>
                <w:color w:val="auto"/>
                <w:sz w:val="21"/>
                <w:szCs w:val="21"/>
                <w:lang w:eastAsia="zh-CN"/>
              </w:rPr>
              <w:t>☑</w:t>
            </w:r>
          </w:p>
        </w:tc>
        <w:tc>
          <w:tcPr>
            <w:tcW w:w="1403" w:type="pct"/>
            <w:gridSpan w:val="4"/>
            <w:noWrap/>
            <w:vAlign w:val="center"/>
          </w:tcPr>
          <w:p w14:paraId="33AB772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不达标区□</w:t>
            </w:r>
          </w:p>
        </w:tc>
      </w:tr>
      <w:tr w14:paraId="7DC1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restart"/>
            <w:noWrap/>
            <w:vAlign w:val="center"/>
          </w:tcPr>
          <w:p w14:paraId="6079081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污染源调查</w:t>
            </w:r>
          </w:p>
        </w:tc>
        <w:tc>
          <w:tcPr>
            <w:tcW w:w="585" w:type="pct"/>
            <w:vMerge w:val="restart"/>
            <w:noWrap/>
            <w:vAlign w:val="center"/>
          </w:tcPr>
          <w:p w14:paraId="3955A45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调查内容</w:t>
            </w:r>
          </w:p>
        </w:tc>
        <w:tc>
          <w:tcPr>
            <w:tcW w:w="1035" w:type="pct"/>
            <w:gridSpan w:val="2"/>
            <w:noWrap/>
            <w:vAlign w:val="center"/>
          </w:tcPr>
          <w:p w14:paraId="04D6D39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本项目正常排放源</w:t>
            </w:r>
            <w:r>
              <w:rPr>
                <w:rFonts w:hint="eastAsia" w:ascii="Times New Roman" w:hAnsi="Times New Roman" w:eastAsia="宋体" w:cs="Times New Roman"/>
                <w:color w:val="auto"/>
                <w:sz w:val="21"/>
                <w:szCs w:val="21"/>
                <w:lang w:eastAsia="zh-CN"/>
              </w:rPr>
              <w:t>☑</w:t>
            </w:r>
          </w:p>
        </w:tc>
        <w:tc>
          <w:tcPr>
            <w:tcW w:w="1126" w:type="pct"/>
            <w:gridSpan w:val="4"/>
            <w:vMerge w:val="restart"/>
            <w:noWrap/>
            <w:vAlign w:val="center"/>
          </w:tcPr>
          <w:p w14:paraId="4EA7D2A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拟替代的污染源□</w:t>
            </w:r>
          </w:p>
        </w:tc>
        <w:tc>
          <w:tcPr>
            <w:tcW w:w="923" w:type="pct"/>
            <w:gridSpan w:val="3"/>
            <w:vMerge w:val="restart"/>
            <w:noWrap/>
            <w:vAlign w:val="center"/>
          </w:tcPr>
          <w:p w14:paraId="6035181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其他在建、拟建项目污染源</w:t>
            </w:r>
          </w:p>
        </w:tc>
        <w:tc>
          <w:tcPr>
            <w:tcW w:w="479" w:type="pct"/>
            <w:vMerge w:val="restart"/>
            <w:noWrap/>
            <w:vAlign w:val="center"/>
          </w:tcPr>
          <w:p w14:paraId="6568FD8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区域污染源□</w:t>
            </w:r>
          </w:p>
        </w:tc>
      </w:tr>
      <w:tr w14:paraId="6B22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05100CF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Merge w:val="continue"/>
            <w:vAlign w:val="center"/>
          </w:tcPr>
          <w:p w14:paraId="1B8501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035" w:type="pct"/>
            <w:gridSpan w:val="2"/>
            <w:noWrap/>
            <w:vAlign w:val="center"/>
          </w:tcPr>
          <w:p w14:paraId="1C661FB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本项目非正常排放源□</w:t>
            </w:r>
          </w:p>
        </w:tc>
        <w:tc>
          <w:tcPr>
            <w:tcW w:w="1126" w:type="pct"/>
            <w:gridSpan w:val="4"/>
            <w:vMerge w:val="continue"/>
            <w:vAlign w:val="center"/>
          </w:tcPr>
          <w:p w14:paraId="41A52F7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923" w:type="pct"/>
            <w:gridSpan w:val="3"/>
            <w:vMerge w:val="continue"/>
            <w:vAlign w:val="center"/>
          </w:tcPr>
          <w:p w14:paraId="2E53994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479" w:type="pct"/>
            <w:vMerge w:val="continue"/>
            <w:vAlign w:val="center"/>
          </w:tcPr>
          <w:p w14:paraId="055E6FD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r>
      <w:tr w14:paraId="3217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05F2581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Merge w:val="continue"/>
            <w:vAlign w:val="center"/>
          </w:tcPr>
          <w:p w14:paraId="0F045EB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035" w:type="pct"/>
            <w:gridSpan w:val="2"/>
            <w:noWrap/>
            <w:vAlign w:val="center"/>
          </w:tcPr>
          <w:p w14:paraId="4AD92FF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现有污染源□</w:t>
            </w:r>
          </w:p>
        </w:tc>
        <w:tc>
          <w:tcPr>
            <w:tcW w:w="1126" w:type="pct"/>
            <w:gridSpan w:val="4"/>
            <w:vMerge w:val="continue"/>
            <w:vAlign w:val="center"/>
          </w:tcPr>
          <w:p w14:paraId="0E03180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923" w:type="pct"/>
            <w:gridSpan w:val="3"/>
            <w:vMerge w:val="continue"/>
            <w:vAlign w:val="center"/>
          </w:tcPr>
          <w:p w14:paraId="1422FF5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479" w:type="pct"/>
            <w:vMerge w:val="continue"/>
            <w:vAlign w:val="center"/>
          </w:tcPr>
          <w:p w14:paraId="77BD5EF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r>
      <w:tr w14:paraId="7AF3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restart"/>
            <w:noWrap/>
            <w:vAlign w:val="center"/>
          </w:tcPr>
          <w:p w14:paraId="7B79AC6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大气环境影响预测与评价</w:t>
            </w:r>
          </w:p>
        </w:tc>
        <w:tc>
          <w:tcPr>
            <w:tcW w:w="585" w:type="pct"/>
            <w:noWrap/>
            <w:vAlign w:val="center"/>
          </w:tcPr>
          <w:p w14:paraId="4E1DCA1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预测模型</w:t>
            </w:r>
          </w:p>
        </w:tc>
        <w:tc>
          <w:tcPr>
            <w:tcW w:w="1035" w:type="pct"/>
            <w:gridSpan w:val="2"/>
            <w:noWrap/>
            <w:vAlign w:val="center"/>
          </w:tcPr>
          <w:p w14:paraId="7B3794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AERMOD□</w:t>
            </w:r>
          </w:p>
          <w:p w14:paraId="1CAC99F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ADMS□</w:t>
            </w:r>
          </w:p>
        </w:tc>
        <w:tc>
          <w:tcPr>
            <w:tcW w:w="1126" w:type="pct"/>
            <w:gridSpan w:val="4"/>
            <w:noWrap/>
            <w:vAlign w:val="center"/>
          </w:tcPr>
          <w:p w14:paraId="74042BB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AUSTAL2000□</w:t>
            </w:r>
          </w:p>
          <w:p w14:paraId="368B869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EDMS/AEDT□</w:t>
            </w:r>
          </w:p>
        </w:tc>
        <w:tc>
          <w:tcPr>
            <w:tcW w:w="923" w:type="pct"/>
            <w:gridSpan w:val="3"/>
            <w:noWrap/>
            <w:vAlign w:val="center"/>
          </w:tcPr>
          <w:p w14:paraId="2E76302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CALPUFF□</w:t>
            </w:r>
          </w:p>
          <w:p w14:paraId="373FED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网格模型□</w:t>
            </w:r>
          </w:p>
        </w:tc>
        <w:tc>
          <w:tcPr>
            <w:tcW w:w="479" w:type="pct"/>
            <w:noWrap/>
            <w:vAlign w:val="center"/>
          </w:tcPr>
          <w:p w14:paraId="6B4A980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r>
              <w:rPr>
                <w:rFonts w:hint="eastAsia" w:ascii="Times New Roman" w:hAnsi="Times New Roman" w:eastAsia="宋体" w:cs="Times New Roman"/>
                <w:color w:val="auto"/>
                <w:sz w:val="21"/>
                <w:szCs w:val="21"/>
                <w:lang w:eastAsia="zh-CN"/>
              </w:rPr>
              <w:t>☑</w:t>
            </w:r>
          </w:p>
        </w:tc>
      </w:tr>
      <w:tr w14:paraId="60B8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1462C43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noWrap/>
            <w:vAlign w:val="center"/>
          </w:tcPr>
          <w:p w14:paraId="156B09E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预测范围</w:t>
            </w:r>
          </w:p>
        </w:tc>
        <w:tc>
          <w:tcPr>
            <w:tcW w:w="1035" w:type="pct"/>
            <w:gridSpan w:val="2"/>
            <w:noWrap/>
            <w:vAlign w:val="center"/>
          </w:tcPr>
          <w:p w14:paraId="3BCA176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边长≥50km□</w:t>
            </w:r>
          </w:p>
        </w:tc>
        <w:tc>
          <w:tcPr>
            <w:tcW w:w="1126" w:type="pct"/>
            <w:gridSpan w:val="4"/>
            <w:noWrap/>
            <w:vAlign w:val="center"/>
          </w:tcPr>
          <w:p w14:paraId="792E42C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边长5～50km□</w:t>
            </w:r>
          </w:p>
        </w:tc>
        <w:tc>
          <w:tcPr>
            <w:tcW w:w="1403" w:type="pct"/>
            <w:gridSpan w:val="4"/>
            <w:noWrap/>
            <w:vAlign w:val="center"/>
          </w:tcPr>
          <w:p w14:paraId="01FCA3C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边长=5km</w:t>
            </w:r>
            <w:r>
              <w:rPr>
                <w:rFonts w:hint="eastAsia" w:ascii="Times New Roman" w:hAnsi="Times New Roman" w:eastAsia="宋体" w:cs="Times New Roman"/>
                <w:color w:val="auto"/>
                <w:sz w:val="21"/>
                <w:szCs w:val="21"/>
                <w:lang w:eastAsia="zh-CN"/>
              </w:rPr>
              <w:t>☑</w:t>
            </w:r>
          </w:p>
        </w:tc>
      </w:tr>
      <w:tr w14:paraId="72F1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1DF0E75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Merge w:val="restart"/>
            <w:noWrap/>
            <w:vAlign w:val="center"/>
          </w:tcPr>
          <w:p w14:paraId="1D3FA5F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w:t>
            </w:r>
          </w:p>
        </w:tc>
        <w:tc>
          <w:tcPr>
            <w:tcW w:w="2162" w:type="pct"/>
            <w:gridSpan w:val="6"/>
            <w:vMerge w:val="restart"/>
            <w:noWrap/>
            <w:vAlign w:val="center"/>
          </w:tcPr>
          <w:p w14:paraId="7CA7443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预测因子（非甲烷总烃）</w:t>
            </w:r>
          </w:p>
        </w:tc>
        <w:tc>
          <w:tcPr>
            <w:tcW w:w="1403" w:type="pct"/>
            <w:gridSpan w:val="4"/>
            <w:noWrap/>
            <w:vAlign w:val="center"/>
          </w:tcPr>
          <w:p w14:paraId="55BCAE6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包括二次PM2.5□</w:t>
            </w:r>
          </w:p>
        </w:tc>
      </w:tr>
      <w:tr w14:paraId="19F0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2737107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Merge w:val="continue"/>
            <w:vAlign w:val="center"/>
          </w:tcPr>
          <w:p w14:paraId="099E716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2162" w:type="pct"/>
            <w:gridSpan w:val="6"/>
            <w:vMerge w:val="continue"/>
            <w:vAlign w:val="center"/>
          </w:tcPr>
          <w:p w14:paraId="1C133D7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1403" w:type="pct"/>
            <w:gridSpan w:val="4"/>
            <w:noWrap/>
            <w:vAlign w:val="center"/>
          </w:tcPr>
          <w:p w14:paraId="2056DE2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不包括二次PM2.5</w:t>
            </w:r>
            <w:r>
              <w:rPr>
                <w:rFonts w:hint="eastAsia" w:ascii="Times New Roman" w:hAnsi="Times New Roman" w:eastAsia="宋体" w:cs="Times New Roman"/>
                <w:color w:val="auto"/>
                <w:sz w:val="21"/>
                <w:szCs w:val="21"/>
                <w:lang w:eastAsia="zh-CN"/>
              </w:rPr>
              <w:t>☑</w:t>
            </w:r>
          </w:p>
        </w:tc>
      </w:tr>
      <w:tr w14:paraId="03B6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5C4CADA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Align w:val="center"/>
          </w:tcPr>
          <w:p w14:paraId="0AC8AD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正常排放短期浓度贡献值</w:t>
            </w:r>
          </w:p>
        </w:tc>
        <w:tc>
          <w:tcPr>
            <w:tcW w:w="2162" w:type="pct"/>
            <w:gridSpan w:val="6"/>
            <w:noWrap/>
            <w:vAlign w:val="center"/>
          </w:tcPr>
          <w:p w14:paraId="6409925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本项目</w:t>
            </w:r>
            <w:r>
              <w:rPr>
                <w:rFonts w:hint="default" w:ascii="Times New Roman" w:hAnsi="Times New Roman" w:eastAsia="宋体" w:cs="Times New Roman"/>
                <w:color w:val="auto"/>
                <w:sz w:val="21"/>
                <w:szCs w:val="21"/>
              </w:rPr>
              <w:t>最大占标率≤100%</w:t>
            </w:r>
            <w:r>
              <w:rPr>
                <w:rFonts w:hint="eastAsia" w:ascii="Times New Roman" w:hAnsi="Times New Roman" w:eastAsia="宋体" w:cs="Times New Roman"/>
                <w:color w:val="auto"/>
                <w:sz w:val="21"/>
                <w:szCs w:val="21"/>
                <w:lang w:eastAsia="zh-CN"/>
              </w:rPr>
              <w:t>□</w:t>
            </w:r>
          </w:p>
        </w:tc>
        <w:tc>
          <w:tcPr>
            <w:tcW w:w="1403" w:type="pct"/>
            <w:gridSpan w:val="4"/>
            <w:noWrap/>
            <w:vAlign w:val="center"/>
          </w:tcPr>
          <w:p w14:paraId="3B1BECA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本项目</w:t>
            </w:r>
            <w:r>
              <w:rPr>
                <w:rFonts w:hint="default" w:ascii="Times New Roman" w:hAnsi="Times New Roman" w:eastAsia="宋体" w:cs="Times New Roman"/>
                <w:color w:val="auto"/>
                <w:sz w:val="21"/>
                <w:szCs w:val="21"/>
              </w:rPr>
              <w:t>最大占标率＞100%□</w:t>
            </w:r>
          </w:p>
        </w:tc>
      </w:tr>
      <w:tr w14:paraId="69E8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2A5513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Merge w:val="restart"/>
            <w:vAlign w:val="center"/>
          </w:tcPr>
          <w:p w14:paraId="5981A80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正常排放年均浓度贡献值</w:t>
            </w:r>
          </w:p>
        </w:tc>
        <w:tc>
          <w:tcPr>
            <w:tcW w:w="742" w:type="pct"/>
            <w:noWrap/>
            <w:vAlign w:val="center"/>
          </w:tcPr>
          <w:p w14:paraId="6805795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一类区</w:t>
            </w:r>
          </w:p>
        </w:tc>
        <w:tc>
          <w:tcPr>
            <w:tcW w:w="1420" w:type="pct"/>
            <w:gridSpan w:val="5"/>
            <w:noWrap/>
            <w:vAlign w:val="center"/>
          </w:tcPr>
          <w:p w14:paraId="4671DEA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本项目</w:t>
            </w:r>
            <w:r>
              <w:rPr>
                <w:rFonts w:hint="default" w:ascii="Times New Roman" w:hAnsi="Times New Roman" w:eastAsia="宋体" w:cs="Times New Roman"/>
                <w:color w:val="auto"/>
                <w:sz w:val="21"/>
                <w:szCs w:val="21"/>
              </w:rPr>
              <w:t>最大占标率≤10%□</w:t>
            </w:r>
          </w:p>
        </w:tc>
        <w:tc>
          <w:tcPr>
            <w:tcW w:w="1403" w:type="pct"/>
            <w:gridSpan w:val="4"/>
            <w:noWrap/>
            <w:vAlign w:val="center"/>
          </w:tcPr>
          <w:p w14:paraId="6D1984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本项目</w:t>
            </w:r>
            <w:r>
              <w:rPr>
                <w:rFonts w:hint="default" w:ascii="Times New Roman" w:hAnsi="Times New Roman" w:eastAsia="宋体" w:cs="Times New Roman"/>
                <w:color w:val="auto"/>
                <w:sz w:val="21"/>
                <w:szCs w:val="21"/>
              </w:rPr>
              <w:t>最大占标率＞10%□</w:t>
            </w:r>
          </w:p>
        </w:tc>
      </w:tr>
      <w:tr w14:paraId="0292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0FA358C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Merge w:val="continue"/>
            <w:vAlign w:val="center"/>
          </w:tcPr>
          <w:p w14:paraId="4CD254B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42" w:type="pct"/>
            <w:noWrap/>
            <w:vAlign w:val="center"/>
          </w:tcPr>
          <w:p w14:paraId="65C573E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二类区</w:t>
            </w:r>
          </w:p>
        </w:tc>
        <w:tc>
          <w:tcPr>
            <w:tcW w:w="1420" w:type="pct"/>
            <w:gridSpan w:val="5"/>
            <w:noWrap/>
            <w:vAlign w:val="center"/>
          </w:tcPr>
          <w:p w14:paraId="7EF8A8E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本项目</w:t>
            </w:r>
            <w:r>
              <w:rPr>
                <w:rFonts w:hint="default" w:ascii="Times New Roman" w:hAnsi="Times New Roman" w:eastAsia="宋体" w:cs="Times New Roman"/>
                <w:color w:val="auto"/>
                <w:sz w:val="21"/>
                <w:szCs w:val="21"/>
              </w:rPr>
              <w:t>最大占标率≤30%</w:t>
            </w:r>
            <w:r>
              <w:rPr>
                <w:rFonts w:hint="eastAsia" w:ascii="Times New Roman" w:hAnsi="Times New Roman" w:eastAsia="宋体" w:cs="Times New Roman"/>
                <w:color w:val="auto"/>
                <w:sz w:val="21"/>
                <w:szCs w:val="21"/>
                <w:lang w:eastAsia="zh-CN"/>
              </w:rPr>
              <w:t>☑</w:t>
            </w:r>
          </w:p>
        </w:tc>
        <w:tc>
          <w:tcPr>
            <w:tcW w:w="1403" w:type="pct"/>
            <w:gridSpan w:val="4"/>
            <w:noWrap/>
            <w:vAlign w:val="center"/>
          </w:tcPr>
          <w:p w14:paraId="7C98BEF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本项目</w:t>
            </w:r>
            <w:r>
              <w:rPr>
                <w:rFonts w:hint="default" w:ascii="Times New Roman" w:hAnsi="Times New Roman" w:eastAsia="宋体" w:cs="Times New Roman"/>
                <w:color w:val="auto"/>
                <w:sz w:val="21"/>
                <w:szCs w:val="21"/>
              </w:rPr>
              <w:t>最大占标率＞30%□</w:t>
            </w:r>
          </w:p>
        </w:tc>
      </w:tr>
      <w:tr w14:paraId="4C92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4D8E898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Align w:val="center"/>
          </w:tcPr>
          <w:p w14:paraId="3BFE7E7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非正常排放1h浓度贡献值</w:t>
            </w:r>
          </w:p>
        </w:tc>
        <w:tc>
          <w:tcPr>
            <w:tcW w:w="742" w:type="pct"/>
            <w:noWrap/>
            <w:vAlign w:val="center"/>
          </w:tcPr>
          <w:p w14:paraId="4C538B7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非正常持续时长（）h</w:t>
            </w:r>
          </w:p>
        </w:tc>
        <w:tc>
          <w:tcPr>
            <w:tcW w:w="1420" w:type="pct"/>
            <w:gridSpan w:val="5"/>
            <w:noWrap/>
            <w:vAlign w:val="center"/>
          </w:tcPr>
          <w:p w14:paraId="6DDEA35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非正常</w:t>
            </w:r>
            <w:r>
              <w:rPr>
                <w:rFonts w:hint="default" w:ascii="Times New Roman" w:hAnsi="Times New Roman" w:eastAsia="宋体" w:cs="Times New Roman"/>
                <w:color w:val="auto"/>
                <w:sz w:val="21"/>
                <w:szCs w:val="21"/>
              </w:rPr>
              <w:t>占标率≤100% □</w:t>
            </w:r>
          </w:p>
        </w:tc>
        <w:tc>
          <w:tcPr>
            <w:tcW w:w="1403" w:type="pct"/>
            <w:gridSpan w:val="4"/>
            <w:noWrap/>
            <w:vAlign w:val="center"/>
          </w:tcPr>
          <w:p w14:paraId="23029B8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非正常</w:t>
            </w:r>
            <w:r>
              <w:rPr>
                <w:rFonts w:hint="default" w:ascii="Times New Roman" w:hAnsi="Times New Roman" w:eastAsia="宋体" w:cs="Times New Roman"/>
                <w:color w:val="auto"/>
                <w:sz w:val="21"/>
                <w:szCs w:val="21"/>
              </w:rPr>
              <w:t>占标率＞100% □</w:t>
            </w:r>
          </w:p>
        </w:tc>
      </w:tr>
      <w:tr w14:paraId="413A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4F8AE68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Align w:val="center"/>
          </w:tcPr>
          <w:p w14:paraId="1EC2CAA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保证率日平均浓度和年均浓度叠加值</w:t>
            </w:r>
          </w:p>
        </w:tc>
        <w:tc>
          <w:tcPr>
            <w:tcW w:w="2162" w:type="pct"/>
            <w:gridSpan w:val="6"/>
            <w:noWrap/>
            <w:vAlign w:val="center"/>
          </w:tcPr>
          <w:p w14:paraId="74720E4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叠加</w:t>
            </w:r>
            <w:r>
              <w:rPr>
                <w:rFonts w:hint="default" w:ascii="Times New Roman" w:hAnsi="Times New Roman" w:eastAsia="宋体" w:cs="Times New Roman"/>
                <w:color w:val="auto"/>
                <w:sz w:val="21"/>
                <w:szCs w:val="21"/>
              </w:rPr>
              <w:t>达标□</w:t>
            </w:r>
          </w:p>
        </w:tc>
        <w:tc>
          <w:tcPr>
            <w:tcW w:w="1403" w:type="pct"/>
            <w:gridSpan w:val="4"/>
            <w:noWrap/>
            <w:vAlign w:val="center"/>
          </w:tcPr>
          <w:p w14:paraId="74B4051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叠加</w:t>
            </w:r>
            <w:r>
              <w:rPr>
                <w:rFonts w:hint="default" w:ascii="Times New Roman" w:hAnsi="Times New Roman" w:eastAsia="宋体" w:cs="Times New Roman"/>
                <w:color w:val="auto"/>
                <w:sz w:val="21"/>
                <w:szCs w:val="21"/>
              </w:rPr>
              <w:t>不达标 □</w:t>
            </w:r>
          </w:p>
        </w:tc>
      </w:tr>
      <w:tr w14:paraId="2D5E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1F6F559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vAlign w:val="center"/>
          </w:tcPr>
          <w:p w14:paraId="45B858E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区域环境整体质量变化情况</w:t>
            </w:r>
          </w:p>
        </w:tc>
        <w:tc>
          <w:tcPr>
            <w:tcW w:w="2162" w:type="pct"/>
            <w:gridSpan w:val="6"/>
            <w:noWrap/>
            <w:vAlign w:val="center"/>
          </w:tcPr>
          <w:p w14:paraId="42B28D5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i/>
                <w:iCs/>
                <w:color w:val="auto"/>
                <w:sz w:val="21"/>
                <w:szCs w:val="21"/>
              </w:rPr>
            </w:pPr>
            <w:r>
              <w:rPr>
                <w:rFonts w:hint="default" w:ascii="Times New Roman" w:hAnsi="Times New Roman" w:eastAsia="宋体" w:cs="Times New Roman"/>
                <w:i/>
                <w:iCs/>
                <w:color w:val="auto"/>
                <w:sz w:val="21"/>
                <w:szCs w:val="21"/>
              </w:rPr>
              <w:t xml:space="preserve">k </w:t>
            </w:r>
            <w:r>
              <w:rPr>
                <w:rFonts w:hint="default" w:ascii="Times New Roman" w:hAnsi="Times New Roman" w:eastAsia="宋体" w:cs="Times New Roman"/>
                <w:color w:val="auto"/>
                <w:sz w:val="21"/>
                <w:szCs w:val="21"/>
              </w:rPr>
              <w:t>≤-20%□</w:t>
            </w:r>
          </w:p>
        </w:tc>
        <w:tc>
          <w:tcPr>
            <w:tcW w:w="1403" w:type="pct"/>
            <w:gridSpan w:val="4"/>
            <w:noWrap/>
            <w:vAlign w:val="center"/>
          </w:tcPr>
          <w:p w14:paraId="6CA59F8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i/>
                <w:iCs/>
                <w:color w:val="auto"/>
                <w:sz w:val="21"/>
                <w:szCs w:val="21"/>
              </w:rPr>
            </w:pPr>
            <w:r>
              <w:rPr>
                <w:rFonts w:hint="default" w:ascii="Times New Roman" w:hAnsi="Times New Roman" w:eastAsia="宋体" w:cs="Times New Roman"/>
                <w:i/>
                <w:iCs/>
                <w:color w:val="auto"/>
                <w:sz w:val="21"/>
                <w:szCs w:val="21"/>
              </w:rPr>
              <w:t xml:space="preserve">k </w:t>
            </w:r>
            <w:r>
              <w:rPr>
                <w:rFonts w:hint="default" w:ascii="Times New Roman" w:hAnsi="Times New Roman" w:eastAsia="宋体" w:cs="Times New Roman"/>
                <w:color w:val="auto"/>
                <w:sz w:val="21"/>
                <w:szCs w:val="21"/>
              </w:rPr>
              <w:t>＞-20%</w:t>
            </w:r>
            <w:r>
              <w:rPr>
                <w:rFonts w:hint="default" w:ascii="Times New Roman" w:hAnsi="Times New Roman" w:eastAsia="宋体" w:cs="Times New Roman"/>
                <w:i/>
                <w:iCs/>
                <w:color w:val="auto"/>
                <w:sz w:val="21"/>
                <w:szCs w:val="21"/>
              </w:rPr>
              <w:t xml:space="preserve"> </w:t>
            </w:r>
            <w:r>
              <w:rPr>
                <w:rFonts w:hint="default" w:ascii="Times New Roman" w:hAnsi="Times New Roman" w:eastAsia="宋体" w:cs="Times New Roman"/>
                <w:color w:val="auto"/>
                <w:sz w:val="21"/>
                <w:szCs w:val="21"/>
              </w:rPr>
              <w:t>□</w:t>
            </w:r>
          </w:p>
        </w:tc>
      </w:tr>
      <w:tr w14:paraId="39E8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restart"/>
            <w:noWrap/>
            <w:vAlign w:val="center"/>
          </w:tcPr>
          <w:p w14:paraId="1C4F21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环境监测计划</w:t>
            </w:r>
          </w:p>
        </w:tc>
        <w:tc>
          <w:tcPr>
            <w:tcW w:w="585" w:type="pct"/>
            <w:noWrap/>
            <w:vAlign w:val="center"/>
          </w:tcPr>
          <w:p w14:paraId="0AD17D3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污染源监测</w:t>
            </w:r>
          </w:p>
        </w:tc>
        <w:tc>
          <w:tcPr>
            <w:tcW w:w="1583" w:type="pct"/>
            <w:gridSpan w:val="3"/>
            <w:noWrap/>
            <w:vAlign w:val="center"/>
          </w:tcPr>
          <w:p w14:paraId="573030F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监测因子（非甲烷总烃）</w:t>
            </w:r>
          </w:p>
        </w:tc>
        <w:tc>
          <w:tcPr>
            <w:tcW w:w="1502" w:type="pct"/>
            <w:gridSpan w:val="6"/>
            <w:noWrap/>
            <w:vAlign w:val="center"/>
          </w:tcPr>
          <w:p w14:paraId="2B66418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有组织废气监测 □</w:t>
            </w:r>
          </w:p>
          <w:p w14:paraId="7ADF886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无组织废气监测 </w:t>
            </w:r>
            <w:r>
              <w:rPr>
                <w:rFonts w:hint="eastAsia" w:cs="Times New Roman"/>
                <w:color w:val="auto"/>
                <w:sz w:val="21"/>
                <w:szCs w:val="21"/>
                <w:lang w:eastAsia="zh-CN"/>
              </w:rPr>
              <w:t>☑</w:t>
            </w:r>
          </w:p>
        </w:tc>
        <w:tc>
          <w:tcPr>
            <w:tcW w:w="479" w:type="pct"/>
            <w:noWrap/>
            <w:vAlign w:val="center"/>
          </w:tcPr>
          <w:p w14:paraId="11E28C0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无监测</w:t>
            </w:r>
            <w:r>
              <w:rPr>
                <w:rFonts w:hint="eastAsia" w:cs="Times New Roman"/>
                <w:color w:val="auto"/>
                <w:sz w:val="21"/>
                <w:szCs w:val="21"/>
                <w:lang w:eastAsia="zh-CN"/>
              </w:rPr>
              <w:t>□</w:t>
            </w:r>
          </w:p>
        </w:tc>
      </w:tr>
      <w:tr w14:paraId="1E71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53AF1B5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noWrap/>
            <w:vAlign w:val="center"/>
          </w:tcPr>
          <w:p w14:paraId="1A98CA7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环境质量监测</w:t>
            </w:r>
          </w:p>
        </w:tc>
        <w:tc>
          <w:tcPr>
            <w:tcW w:w="1583" w:type="pct"/>
            <w:gridSpan w:val="3"/>
            <w:noWrap/>
            <w:vAlign w:val="center"/>
          </w:tcPr>
          <w:p w14:paraId="56E2E34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502" w:type="pct"/>
            <w:gridSpan w:val="6"/>
            <w:noWrap/>
            <w:vAlign w:val="center"/>
          </w:tcPr>
          <w:p w14:paraId="7B1EB53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监测点位数（/）</w:t>
            </w:r>
          </w:p>
        </w:tc>
        <w:tc>
          <w:tcPr>
            <w:tcW w:w="479" w:type="pct"/>
            <w:noWrap/>
            <w:vAlign w:val="center"/>
          </w:tcPr>
          <w:p w14:paraId="03D97D9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无监测□</w:t>
            </w:r>
          </w:p>
        </w:tc>
      </w:tr>
      <w:tr w14:paraId="4244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restart"/>
            <w:noWrap/>
            <w:vAlign w:val="center"/>
          </w:tcPr>
          <w:p w14:paraId="4F6C149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585" w:type="pct"/>
            <w:noWrap/>
            <w:vAlign w:val="center"/>
          </w:tcPr>
          <w:p w14:paraId="09C9178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w:t>
            </w:r>
          </w:p>
        </w:tc>
        <w:tc>
          <w:tcPr>
            <w:tcW w:w="3565" w:type="pct"/>
            <w:gridSpan w:val="10"/>
            <w:vAlign w:val="center"/>
          </w:tcPr>
          <w:p w14:paraId="4CA8F57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可以接受 </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     不可以接受 □</w:t>
            </w:r>
          </w:p>
        </w:tc>
      </w:tr>
      <w:tr w14:paraId="6364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429A90C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noWrap/>
            <w:vAlign w:val="center"/>
          </w:tcPr>
          <w:p w14:paraId="5B55C84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大气防护距离</w:t>
            </w:r>
          </w:p>
        </w:tc>
        <w:tc>
          <w:tcPr>
            <w:tcW w:w="3565" w:type="pct"/>
            <w:gridSpan w:val="10"/>
            <w:noWrap/>
            <w:vAlign w:val="center"/>
          </w:tcPr>
          <w:p w14:paraId="5AD02F3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距（/）厂界最远（/）米</w:t>
            </w:r>
          </w:p>
        </w:tc>
      </w:tr>
      <w:tr w14:paraId="0F3C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848" w:type="pct"/>
            <w:vMerge w:val="continue"/>
            <w:vAlign w:val="center"/>
          </w:tcPr>
          <w:p w14:paraId="4D42377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5" w:type="pct"/>
            <w:noWrap/>
            <w:vAlign w:val="center"/>
          </w:tcPr>
          <w:p w14:paraId="4CDC15D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污染源年排放量</w:t>
            </w:r>
          </w:p>
        </w:tc>
        <w:tc>
          <w:tcPr>
            <w:tcW w:w="1035" w:type="pct"/>
            <w:gridSpan w:val="2"/>
            <w:noWrap/>
            <w:vAlign w:val="center"/>
          </w:tcPr>
          <w:p w14:paraId="482FB77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:（）t/a</w:t>
            </w:r>
          </w:p>
        </w:tc>
        <w:tc>
          <w:tcPr>
            <w:tcW w:w="779" w:type="pct"/>
            <w:gridSpan w:val="3"/>
            <w:noWrap/>
            <w:vAlign w:val="center"/>
          </w:tcPr>
          <w:p w14:paraId="603656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NOx：（）t/a</w:t>
            </w:r>
          </w:p>
        </w:tc>
        <w:tc>
          <w:tcPr>
            <w:tcW w:w="872" w:type="pct"/>
            <w:gridSpan w:val="2"/>
            <w:noWrap/>
            <w:vAlign w:val="center"/>
          </w:tcPr>
          <w:p w14:paraId="5ADD421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颗粒物：（）t/a</w:t>
            </w:r>
          </w:p>
        </w:tc>
        <w:tc>
          <w:tcPr>
            <w:tcW w:w="878" w:type="pct"/>
            <w:gridSpan w:val="3"/>
            <w:noWrap/>
            <w:vAlign w:val="center"/>
          </w:tcPr>
          <w:p w14:paraId="13B7B31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w:t>
            </w:r>
            <w:r>
              <w:rPr>
                <w:rFonts w:hint="eastAsia" w:ascii="Times New Roman" w:hAnsi="Times New Roman" w:cs="Times New Roman"/>
                <w:i w:val="0"/>
                <w:iCs w:val="0"/>
                <w:color w:val="auto"/>
                <w:kern w:val="0"/>
                <w:sz w:val="21"/>
                <w:szCs w:val="21"/>
                <w:u w:val="none"/>
                <w:lang w:val="en-US" w:eastAsia="zh-CN" w:bidi="ar"/>
              </w:rPr>
              <w:t>0.56</w:t>
            </w:r>
            <w:r>
              <w:rPr>
                <w:rFonts w:hint="default" w:ascii="Times New Roman" w:hAnsi="Times New Roman" w:eastAsia="宋体" w:cs="Times New Roman"/>
                <w:color w:val="auto"/>
                <w:sz w:val="21"/>
                <w:szCs w:val="21"/>
              </w:rPr>
              <w:t>）t/a</w:t>
            </w:r>
          </w:p>
        </w:tc>
      </w:tr>
      <w:tr w14:paraId="0087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5000" w:type="pct"/>
            <w:gridSpan w:val="12"/>
            <w:noWrap/>
            <w:vAlign w:val="center"/>
          </w:tcPr>
          <w:p w14:paraId="78428FA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注“□”为勾选项，填“√”；“（）”为内容填写项</w:t>
            </w:r>
          </w:p>
        </w:tc>
      </w:tr>
    </w:tbl>
    <w:p w14:paraId="37634FD0">
      <w:pPr>
        <w:pStyle w:val="5"/>
        <w:bidi w:val="0"/>
        <w:rPr>
          <w:rFonts w:hint="default"/>
          <w:color w:val="auto"/>
          <w:lang w:val="en-US" w:eastAsia="zh-CN"/>
        </w:rPr>
      </w:pPr>
      <w:r>
        <w:rPr>
          <w:rFonts w:hint="eastAsia"/>
          <w:color w:val="auto"/>
          <w:lang w:val="en-US" w:eastAsia="zh-CN"/>
        </w:rPr>
        <w:t>5.2.2运营期地表水环境影响预测与评价</w:t>
      </w:r>
    </w:p>
    <w:p w14:paraId="3B7971BD">
      <w:pPr>
        <w:pStyle w:val="11"/>
        <w:bidi w:val="0"/>
        <w:rPr>
          <w:rFonts w:ascii="Times New Roman" w:hAnsi="Times New Roman" w:eastAsia="宋体"/>
          <w:color w:val="auto"/>
        </w:rPr>
      </w:pPr>
      <w:r>
        <w:rPr>
          <w:rFonts w:ascii="Times New Roman" w:hAnsi="Times New Roman" w:eastAsia="宋体"/>
          <w:color w:val="auto"/>
        </w:rPr>
        <w:t>本项目无废（污）水排放，依据《环境影响评价技术导则 地表水环境》（HJ2.3-2018）判定地表水评价工作等级为三级B，评价重点是对项目废水处理措施进行环境可行性分析。</w:t>
      </w:r>
    </w:p>
    <w:p w14:paraId="6B72EED8">
      <w:pPr>
        <w:pStyle w:val="6"/>
        <w:bidi w:val="0"/>
        <w:rPr>
          <w:rFonts w:hint="default"/>
          <w:color w:val="auto"/>
          <w:lang w:val="en-US" w:eastAsia="zh-CN"/>
        </w:rPr>
      </w:pPr>
      <w:r>
        <w:rPr>
          <w:rFonts w:hint="eastAsia"/>
          <w:color w:val="auto"/>
          <w:lang w:val="en-US" w:eastAsia="zh-CN"/>
        </w:rPr>
        <w:t>5.2.2.1地表水环境影响因素</w:t>
      </w:r>
    </w:p>
    <w:p w14:paraId="3FC13240">
      <w:pPr>
        <w:pStyle w:val="33"/>
        <w:bidi w:val="0"/>
        <w:rPr>
          <w:color w:val="auto"/>
        </w:rPr>
      </w:pPr>
      <w:r>
        <w:rPr>
          <w:rFonts w:hint="eastAsia"/>
          <w:color w:val="auto"/>
          <w:lang w:val="en-US" w:eastAsia="zh-CN"/>
        </w:rPr>
        <w:t>运营</w:t>
      </w:r>
      <w:r>
        <w:rPr>
          <w:color w:val="auto"/>
        </w:rPr>
        <w:t>期的废水主要为采出水、</w:t>
      </w:r>
      <w:r>
        <w:rPr>
          <w:rFonts w:hint="eastAsia"/>
          <w:color w:val="auto"/>
          <w:lang w:val="en-US" w:eastAsia="zh-CN"/>
        </w:rPr>
        <w:t>井下作业废水（</w:t>
      </w:r>
      <w:r>
        <w:rPr>
          <w:color w:val="auto"/>
        </w:rPr>
        <w:t>液</w:t>
      </w:r>
      <w:r>
        <w:rPr>
          <w:rFonts w:hint="eastAsia"/>
          <w:color w:val="auto"/>
          <w:lang w:val="en-US" w:eastAsia="zh-CN"/>
        </w:rPr>
        <w:t>）</w:t>
      </w:r>
      <w:r>
        <w:rPr>
          <w:color w:val="auto"/>
        </w:rPr>
        <w:t>，各类废水排放污染物情况</w:t>
      </w:r>
      <w:r>
        <w:rPr>
          <w:rFonts w:hint="eastAsia"/>
          <w:color w:val="auto"/>
          <w:lang w:eastAsia="zh-CN"/>
        </w:rPr>
        <w:t>见下</w:t>
      </w:r>
      <w:r>
        <w:rPr>
          <w:color w:val="auto"/>
        </w:rPr>
        <w:fldChar w:fldCharType="begin"/>
      </w:r>
      <w:r>
        <w:rPr>
          <w:color w:val="auto"/>
        </w:rPr>
        <w:instrText xml:space="preserve"> REF _Ref112283127 \h  \* MERGEFORMAT </w:instrText>
      </w:r>
      <w:r>
        <w:rPr>
          <w:color w:val="auto"/>
        </w:rPr>
        <w:fldChar w:fldCharType="separate"/>
      </w:r>
      <w:r>
        <w:rPr>
          <w:color w:val="auto"/>
        </w:rPr>
        <w:t>表</w:t>
      </w:r>
      <w:r>
        <w:rPr>
          <w:rFonts w:hint="eastAsia"/>
          <w:color w:val="auto"/>
          <w:lang w:val="en-US" w:eastAsia="zh-CN"/>
        </w:rPr>
        <w:t>5</w:t>
      </w:r>
      <w:r>
        <w:rPr>
          <w:color w:val="auto"/>
        </w:rPr>
        <w:fldChar w:fldCharType="end"/>
      </w:r>
      <w:r>
        <w:rPr>
          <w:rFonts w:hint="eastAsia"/>
          <w:color w:val="auto"/>
          <w:lang w:val="en-US" w:eastAsia="zh-CN"/>
        </w:rPr>
        <w:t>.2-7</w:t>
      </w:r>
      <w:r>
        <w:rPr>
          <w:color w:val="auto"/>
        </w:rPr>
        <w:t>。</w:t>
      </w:r>
    </w:p>
    <w:p w14:paraId="60A2067F">
      <w:pPr>
        <w:pStyle w:val="43"/>
        <w:bidi w:val="0"/>
        <w:rPr>
          <w:rFonts w:cs="Times New Roman"/>
          <w:color w:val="auto"/>
        </w:rPr>
      </w:pPr>
      <w:bookmarkStart w:id="256" w:name="_Ref112283127"/>
      <w:r>
        <w:rPr>
          <w:rFonts w:cs="Times New Roman"/>
          <w:color w:val="auto"/>
        </w:rPr>
        <w:t>表</w:t>
      </w:r>
      <w:bookmarkEnd w:id="256"/>
      <w:r>
        <w:rPr>
          <w:rFonts w:hint="eastAsia" w:cs="Times New Roman"/>
          <w:color w:val="auto"/>
          <w:lang w:val="en-US" w:eastAsia="zh-CN"/>
        </w:rPr>
        <w:t>5.2-7</w:t>
      </w:r>
      <w:r>
        <w:rPr>
          <w:rFonts w:cs="Times New Roman"/>
          <w:color w:val="auto"/>
        </w:rPr>
        <w:t xml:space="preserve">  </w:t>
      </w:r>
      <w:r>
        <w:rPr>
          <w:rFonts w:hint="eastAsia" w:cs="Times New Roman"/>
          <w:color w:val="auto"/>
          <w:lang w:eastAsia="zh-CN"/>
        </w:rPr>
        <w:t>运营</w:t>
      </w:r>
      <w:r>
        <w:rPr>
          <w:rFonts w:cs="Times New Roman"/>
          <w:color w:val="auto"/>
        </w:rPr>
        <w:t>期废水排放污染物情况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064"/>
        <w:gridCol w:w="1655"/>
        <w:gridCol w:w="1213"/>
        <w:gridCol w:w="1800"/>
        <w:gridCol w:w="1062"/>
        <w:gridCol w:w="2052"/>
      </w:tblGrid>
      <w:tr w14:paraId="770B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9" w:hRule="atLeast"/>
          <w:jc w:val="center"/>
        </w:trPr>
        <w:tc>
          <w:tcPr>
            <w:tcW w:w="601" w:type="pct"/>
            <w:shd w:val="clear" w:color="auto" w:fill="auto"/>
            <w:vAlign w:val="center"/>
          </w:tcPr>
          <w:p w14:paraId="671E803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bookmarkStart w:id="257" w:name="_Ref106972435"/>
            <w:r>
              <w:rPr>
                <w:rFonts w:hint="default" w:ascii="Times New Roman" w:hAnsi="Times New Roman" w:eastAsia="宋体" w:cs="Times New Roman"/>
                <w:b/>
                <w:bCs/>
                <w:color w:val="auto"/>
                <w:sz w:val="21"/>
                <w:szCs w:val="21"/>
              </w:rPr>
              <w:t>废水类别</w:t>
            </w:r>
          </w:p>
        </w:tc>
        <w:tc>
          <w:tcPr>
            <w:tcW w:w="935" w:type="pct"/>
            <w:shd w:val="clear" w:color="auto" w:fill="auto"/>
            <w:vAlign w:val="center"/>
          </w:tcPr>
          <w:p w14:paraId="787EB6E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产生或排放工序</w:t>
            </w:r>
          </w:p>
        </w:tc>
        <w:tc>
          <w:tcPr>
            <w:tcW w:w="685" w:type="pct"/>
            <w:shd w:val="clear" w:color="auto" w:fill="auto"/>
            <w:vAlign w:val="center"/>
          </w:tcPr>
          <w:p w14:paraId="7CB234B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产生场所</w:t>
            </w:r>
          </w:p>
        </w:tc>
        <w:tc>
          <w:tcPr>
            <w:tcW w:w="1017" w:type="pct"/>
            <w:shd w:val="clear" w:color="auto" w:fill="auto"/>
            <w:vAlign w:val="center"/>
          </w:tcPr>
          <w:p w14:paraId="466CCC2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主要污染物</w:t>
            </w:r>
          </w:p>
        </w:tc>
        <w:tc>
          <w:tcPr>
            <w:tcW w:w="600" w:type="pct"/>
            <w:shd w:val="clear" w:color="auto" w:fill="auto"/>
            <w:vAlign w:val="center"/>
          </w:tcPr>
          <w:p w14:paraId="7917EE5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排放方式</w:t>
            </w:r>
          </w:p>
        </w:tc>
        <w:tc>
          <w:tcPr>
            <w:tcW w:w="1159" w:type="pct"/>
            <w:shd w:val="clear" w:color="auto" w:fill="auto"/>
            <w:vAlign w:val="center"/>
          </w:tcPr>
          <w:p w14:paraId="248DDE9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去向</w:t>
            </w:r>
          </w:p>
        </w:tc>
      </w:tr>
      <w:tr w14:paraId="5B13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01" w:type="pct"/>
            <w:shd w:val="clear" w:color="auto" w:fill="auto"/>
            <w:vAlign w:val="center"/>
          </w:tcPr>
          <w:p w14:paraId="088DB20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采出水</w:t>
            </w:r>
          </w:p>
        </w:tc>
        <w:tc>
          <w:tcPr>
            <w:tcW w:w="935" w:type="pct"/>
            <w:shd w:val="clear" w:color="auto" w:fill="auto"/>
            <w:vAlign w:val="center"/>
          </w:tcPr>
          <w:p w14:paraId="587C56B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原油脱出水</w:t>
            </w:r>
          </w:p>
        </w:tc>
        <w:tc>
          <w:tcPr>
            <w:tcW w:w="685" w:type="pct"/>
            <w:shd w:val="clear" w:color="auto" w:fill="auto"/>
            <w:vAlign w:val="center"/>
          </w:tcPr>
          <w:p w14:paraId="189D1F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w:t>
            </w:r>
          </w:p>
        </w:tc>
        <w:tc>
          <w:tcPr>
            <w:tcW w:w="1017" w:type="pct"/>
            <w:shd w:val="clear" w:color="auto" w:fill="auto"/>
            <w:vAlign w:val="center"/>
          </w:tcPr>
          <w:p w14:paraId="39031E4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石油类、SS</w:t>
            </w:r>
          </w:p>
        </w:tc>
        <w:tc>
          <w:tcPr>
            <w:tcW w:w="600" w:type="pct"/>
            <w:shd w:val="clear" w:color="auto" w:fill="auto"/>
            <w:vAlign w:val="center"/>
          </w:tcPr>
          <w:p w14:paraId="6B5ED29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c>
          <w:tcPr>
            <w:tcW w:w="1159" w:type="pct"/>
            <w:shd w:val="clear" w:color="auto" w:fill="auto"/>
            <w:vAlign w:val="center"/>
          </w:tcPr>
          <w:p w14:paraId="54843FF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管输至联合站处理达标后回注</w:t>
            </w:r>
          </w:p>
        </w:tc>
      </w:tr>
      <w:tr w14:paraId="2678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01" w:type="pct"/>
            <w:shd w:val="clear" w:color="auto" w:fill="auto"/>
            <w:vAlign w:val="center"/>
          </w:tcPr>
          <w:p w14:paraId="403E798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井下作业废水（液）</w:t>
            </w:r>
          </w:p>
        </w:tc>
        <w:tc>
          <w:tcPr>
            <w:tcW w:w="935" w:type="pct"/>
            <w:shd w:val="clear" w:color="auto" w:fill="auto"/>
            <w:vAlign w:val="center"/>
          </w:tcPr>
          <w:p w14:paraId="3D24C24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修井</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洗井</w:t>
            </w:r>
            <w:r>
              <w:rPr>
                <w:rFonts w:hint="default" w:ascii="Times New Roman" w:hAnsi="Times New Roman" w:eastAsia="宋体" w:cs="Times New Roman"/>
                <w:color w:val="auto"/>
                <w:sz w:val="21"/>
                <w:szCs w:val="21"/>
              </w:rPr>
              <w:t>废水</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压裂返排液</w:t>
            </w:r>
          </w:p>
        </w:tc>
        <w:tc>
          <w:tcPr>
            <w:tcW w:w="685" w:type="pct"/>
            <w:shd w:val="clear" w:color="auto" w:fill="auto"/>
            <w:vAlign w:val="center"/>
          </w:tcPr>
          <w:p w14:paraId="4B1693A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w:t>
            </w:r>
          </w:p>
        </w:tc>
        <w:tc>
          <w:tcPr>
            <w:tcW w:w="1017" w:type="pct"/>
            <w:shd w:val="clear" w:color="auto" w:fill="auto"/>
            <w:vAlign w:val="center"/>
          </w:tcPr>
          <w:p w14:paraId="77B77B3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石油类、SS</w:t>
            </w:r>
          </w:p>
        </w:tc>
        <w:tc>
          <w:tcPr>
            <w:tcW w:w="600" w:type="pct"/>
            <w:shd w:val="clear" w:color="auto" w:fill="auto"/>
            <w:vAlign w:val="center"/>
          </w:tcPr>
          <w:p w14:paraId="06F2F3F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159" w:type="pct"/>
            <w:shd w:val="clear" w:color="auto" w:fill="auto"/>
            <w:vAlign w:val="center"/>
          </w:tcPr>
          <w:p w14:paraId="24CC488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由罐车送至</w:t>
            </w:r>
            <w:r>
              <w:rPr>
                <w:rFonts w:hint="eastAsia" w:ascii="Times New Roman" w:hAnsi="Times New Roman" w:cs="Times New Roman"/>
                <w:color w:val="auto"/>
                <w:sz w:val="21"/>
                <w:szCs w:val="21"/>
                <w:lang w:val="en-US" w:eastAsia="zh-CN"/>
              </w:rPr>
              <w:t>联合站</w:t>
            </w:r>
            <w:r>
              <w:rPr>
                <w:rFonts w:hint="default" w:ascii="Times New Roman" w:hAnsi="Times New Roman" w:eastAsia="宋体" w:cs="Times New Roman"/>
                <w:color w:val="auto"/>
                <w:sz w:val="21"/>
                <w:szCs w:val="21"/>
              </w:rPr>
              <w:t>处理</w:t>
            </w:r>
            <w:r>
              <w:rPr>
                <w:rFonts w:hint="eastAsia" w:ascii="Times New Roman" w:hAnsi="Times New Roman" w:cs="Times New Roman"/>
                <w:color w:val="auto"/>
                <w:sz w:val="21"/>
                <w:szCs w:val="21"/>
                <w:lang w:val="en-US" w:eastAsia="zh-CN"/>
              </w:rPr>
              <w:t>达标</w:t>
            </w:r>
            <w:r>
              <w:rPr>
                <w:rFonts w:hint="default" w:ascii="Times New Roman" w:hAnsi="Times New Roman" w:eastAsia="宋体" w:cs="Times New Roman"/>
                <w:color w:val="auto"/>
                <w:sz w:val="21"/>
                <w:szCs w:val="21"/>
              </w:rPr>
              <w:t>后回注</w:t>
            </w:r>
          </w:p>
        </w:tc>
      </w:tr>
      <w:bookmarkEnd w:id="257"/>
    </w:tbl>
    <w:p w14:paraId="1DE0E80A">
      <w:pPr>
        <w:pStyle w:val="6"/>
        <w:bidi w:val="0"/>
        <w:rPr>
          <w:rFonts w:hint="default"/>
          <w:color w:val="auto"/>
          <w:lang w:val="en-US" w:eastAsia="zh-CN"/>
        </w:rPr>
      </w:pPr>
      <w:r>
        <w:rPr>
          <w:rFonts w:hint="eastAsia"/>
          <w:color w:val="auto"/>
          <w:lang w:val="en-US" w:eastAsia="zh-CN"/>
        </w:rPr>
        <w:t>5.2.2.2地表水环境影响分析</w:t>
      </w:r>
    </w:p>
    <w:p w14:paraId="42CD9A2F">
      <w:pPr>
        <w:pStyle w:val="33"/>
        <w:bidi w:val="0"/>
        <w:rPr>
          <w:color w:val="auto"/>
        </w:rPr>
      </w:pPr>
      <w:r>
        <w:rPr>
          <w:color w:val="auto"/>
        </w:rPr>
        <w:t>（1）油田采出水</w:t>
      </w:r>
    </w:p>
    <w:p w14:paraId="56B0AFDA">
      <w:pPr>
        <w:pStyle w:val="33"/>
        <w:bidi w:val="0"/>
        <w:rPr>
          <w:color w:val="auto"/>
        </w:rPr>
      </w:pPr>
      <w:r>
        <w:rPr>
          <w:color w:val="auto"/>
        </w:rPr>
        <w:t>在正常生产情况下，本</w:t>
      </w:r>
      <w:r>
        <w:rPr>
          <w:rFonts w:hint="eastAsia"/>
          <w:color w:val="auto"/>
          <w:lang w:val="en-US" w:eastAsia="zh-CN"/>
        </w:rPr>
        <w:t>工程</w:t>
      </w:r>
      <w:r>
        <w:rPr>
          <w:color w:val="auto"/>
        </w:rPr>
        <w:t>油田采出水经依托的现有采出水处理系统处理达标后回注，不排入地表水体，不会对地表水环境产生影响。</w:t>
      </w:r>
    </w:p>
    <w:p w14:paraId="6AC43279">
      <w:pPr>
        <w:pStyle w:val="33"/>
        <w:bidi w:val="0"/>
        <w:rPr>
          <w:color w:val="auto"/>
        </w:rPr>
      </w:pPr>
      <w:r>
        <w:rPr>
          <w:color w:val="auto"/>
        </w:rPr>
        <w:t>（2）</w:t>
      </w:r>
      <w:r>
        <w:rPr>
          <w:rFonts w:hint="eastAsia"/>
          <w:color w:val="auto"/>
          <w:lang w:val="en-US" w:eastAsia="zh-CN"/>
        </w:rPr>
        <w:t>井下作业废水（</w:t>
      </w:r>
      <w:r>
        <w:rPr>
          <w:color w:val="auto"/>
        </w:rPr>
        <w:t>液</w:t>
      </w:r>
      <w:r>
        <w:rPr>
          <w:rFonts w:hint="eastAsia"/>
          <w:color w:val="auto"/>
          <w:lang w:val="en-US" w:eastAsia="zh-CN"/>
        </w:rPr>
        <w:t>）</w:t>
      </w:r>
    </w:p>
    <w:p w14:paraId="065FF0D7">
      <w:pPr>
        <w:pStyle w:val="33"/>
        <w:bidi w:val="0"/>
        <w:rPr>
          <w:color w:val="auto"/>
        </w:rPr>
      </w:pPr>
      <w:r>
        <w:rPr>
          <w:rFonts w:hint="eastAsia"/>
          <w:color w:val="auto"/>
          <w:lang w:val="en-US" w:eastAsia="zh-CN"/>
        </w:rPr>
        <w:t>运营</w:t>
      </w:r>
      <w:r>
        <w:rPr>
          <w:color w:val="auto"/>
        </w:rPr>
        <w:t>期的</w:t>
      </w:r>
      <w:r>
        <w:rPr>
          <w:rFonts w:hint="eastAsia"/>
          <w:color w:val="auto"/>
          <w:lang w:val="en-US" w:eastAsia="zh-CN"/>
        </w:rPr>
        <w:t>井下作业废水（</w:t>
      </w:r>
      <w:r>
        <w:rPr>
          <w:color w:val="auto"/>
        </w:rPr>
        <w:t>液</w:t>
      </w:r>
      <w:r>
        <w:rPr>
          <w:rFonts w:hint="eastAsia"/>
          <w:color w:val="auto"/>
          <w:lang w:val="en-US" w:eastAsia="zh-CN"/>
        </w:rPr>
        <w:t>）</w:t>
      </w:r>
      <w:r>
        <w:rPr>
          <w:color w:val="auto"/>
        </w:rPr>
        <w:t>主要包括修井废水</w:t>
      </w:r>
      <w:r>
        <w:rPr>
          <w:rFonts w:hint="eastAsia"/>
          <w:color w:val="auto"/>
          <w:lang w:eastAsia="zh-CN"/>
        </w:rPr>
        <w:t>、</w:t>
      </w:r>
      <w:r>
        <w:rPr>
          <w:color w:val="auto"/>
        </w:rPr>
        <w:t>洗井废水</w:t>
      </w:r>
      <w:r>
        <w:rPr>
          <w:rFonts w:hint="eastAsia"/>
          <w:color w:val="auto"/>
          <w:lang w:val="en-US" w:eastAsia="zh-CN"/>
        </w:rPr>
        <w:t>和压裂返排液</w:t>
      </w:r>
      <w:r>
        <w:rPr>
          <w:rFonts w:hint="eastAsia"/>
          <w:color w:val="auto"/>
          <w:lang w:eastAsia="zh-CN"/>
        </w:rPr>
        <w:t>，</w:t>
      </w:r>
      <w:r>
        <w:rPr>
          <w:color w:val="auto"/>
        </w:rPr>
        <w:t>全部进入</w:t>
      </w:r>
      <w:r>
        <w:rPr>
          <w:rFonts w:hint="eastAsia"/>
          <w:color w:val="auto"/>
          <w:lang w:val="en-US" w:eastAsia="zh-CN"/>
        </w:rPr>
        <w:t>百联站采出水处理系统处理</w:t>
      </w:r>
      <w:r>
        <w:rPr>
          <w:color w:val="auto"/>
        </w:rPr>
        <w:t>达标后回注，对地表水环境不会产生影响。</w:t>
      </w:r>
    </w:p>
    <w:p w14:paraId="68869464">
      <w:pPr>
        <w:pStyle w:val="33"/>
        <w:bidi w:val="0"/>
        <w:rPr>
          <w:color w:val="auto"/>
        </w:rPr>
      </w:pPr>
      <w:r>
        <w:rPr>
          <w:color w:val="auto"/>
        </w:rPr>
        <w:t>综上所述，在采取环评提出的各项污染防治措施的前提下，本项目建设对周围地表水环境影响较小。</w:t>
      </w:r>
    </w:p>
    <w:p w14:paraId="3C3E675B">
      <w:pPr>
        <w:pStyle w:val="33"/>
        <w:bidi w:val="0"/>
        <w:rPr>
          <w:color w:val="auto"/>
        </w:rPr>
      </w:pPr>
      <w:r>
        <w:rPr>
          <w:color w:val="auto"/>
        </w:rPr>
        <w:t>环评要求建设单位加强对污水处理设施的严格管理，维持设施正常运行，定期监控水质，保证进水水质稳定，使该设施处理效率保持较好水平。</w:t>
      </w:r>
    </w:p>
    <w:p w14:paraId="0D56674A">
      <w:pPr>
        <w:pStyle w:val="6"/>
        <w:bidi w:val="0"/>
        <w:rPr>
          <w:rFonts w:hint="default"/>
          <w:color w:val="auto"/>
          <w:lang w:val="en-US" w:eastAsia="zh-CN"/>
        </w:rPr>
      </w:pPr>
      <w:r>
        <w:rPr>
          <w:rFonts w:hint="eastAsia"/>
          <w:color w:val="auto"/>
          <w:lang w:val="en-US" w:eastAsia="zh-CN"/>
        </w:rPr>
        <w:t>5.2.2.3地表水环境影响评价自查表</w:t>
      </w:r>
    </w:p>
    <w:p w14:paraId="39E4C83C">
      <w:pPr>
        <w:pStyle w:val="33"/>
        <w:bidi w:val="0"/>
        <w:rPr>
          <w:rFonts w:hint="default" w:eastAsia="宋体"/>
          <w:color w:val="auto"/>
          <w:lang w:val="en-US" w:eastAsia="zh-CN"/>
        </w:rPr>
      </w:pPr>
      <w:r>
        <w:rPr>
          <w:rFonts w:hint="eastAsia"/>
          <w:color w:val="auto"/>
          <w:lang w:val="en-US" w:eastAsia="zh-CN"/>
        </w:rPr>
        <w:t>地表水环境影响自查表见表5.2-8。</w:t>
      </w:r>
    </w:p>
    <w:p w14:paraId="138B831D">
      <w:pPr>
        <w:pStyle w:val="43"/>
        <w:bidi w:val="0"/>
        <w:rPr>
          <w:rFonts w:cs="Times New Roman"/>
          <w:color w:val="auto"/>
        </w:rPr>
      </w:pPr>
      <w:r>
        <w:rPr>
          <w:rFonts w:cs="Times New Roman"/>
          <w:color w:val="auto"/>
        </w:rPr>
        <w:t>表</w:t>
      </w:r>
      <w:r>
        <w:rPr>
          <w:rFonts w:hint="eastAsia" w:cs="Times New Roman"/>
          <w:color w:val="auto"/>
          <w:lang w:val="en-US" w:eastAsia="zh-CN"/>
        </w:rPr>
        <w:t>5.2-8</w:t>
      </w:r>
      <w:r>
        <w:rPr>
          <w:rFonts w:cs="Times New Roman"/>
          <w:color w:val="auto"/>
        </w:rPr>
        <w:t xml:space="preserve">  建设项目地表水环境影响评价自查表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416"/>
        <w:gridCol w:w="1791"/>
        <w:gridCol w:w="1735"/>
        <w:gridCol w:w="117"/>
        <w:gridCol w:w="1251"/>
        <w:gridCol w:w="272"/>
        <w:gridCol w:w="700"/>
        <w:gridCol w:w="742"/>
        <w:gridCol w:w="624"/>
        <w:gridCol w:w="124"/>
        <w:gridCol w:w="58"/>
        <w:gridCol w:w="1004"/>
      </w:tblGrid>
      <w:tr w14:paraId="562A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1249" w:type="pct"/>
            <w:gridSpan w:val="2"/>
            <w:vAlign w:val="center"/>
          </w:tcPr>
          <w:p w14:paraId="59089B5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工作内容</w:t>
            </w:r>
          </w:p>
        </w:tc>
        <w:tc>
          <w:tcPr>
            <w:tcW w:w="3750" w:type="pct"/>
            <w:gridSpan w:val="10"/>
            <w:vAlign w:val="center"/>
          </w:tcPr>
          <w:p w14:paraId="7C28E13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自查项目</w:t>
            </w:r>
          </w:p>
        </w:tc>
      </w:tr>
      <w:tr w14:paraId="48A1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restart"/>
            <w:vAlign w:val="center"/>
          </w:tcPr>
          <w:p w14:paraId="71FBA10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影响识别</w:t>
            </w:r>
          </w:p>
        </w:tc>
        <w:tc>
          <w:tcPr>
            <w:tcW w:w="1013" w:type="pct"/>
            <w:vAlign w:val="center"/>
          </w:tcPr>
          <w:p w14:paraId="41DCFD1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影响类型</w:t>
            </w:r>
          </w:p>
        </w:tc>
        <w:tc>
          <w:tcPr>
            <w:tcW w:w="3750" w:type="pct"/>
            <w:gridSpan w:val="10"/>
            <w:vAlign w:val="center"/>
          </w:tcPr>
          <w:p w14:paraId="39038F0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水污染影响型</w:t>
            </w:r>
            <w:r>
              <w:rPr>
                <w:rFonts w:hint="eastAsia" w:cs="Times New Roman"/>
                <w:color w:val="auto"/>
                <w:kern w:val="2"/>
                <w:sz w:val="21"/>
                <w:szCs w:val="21"/>
                <w:lang w:eastAsia="zh-CN"/>
              </w:rPr>
              <w:t>☑</w:t>
            </w:r>
            <w:r>
              <w:rPr>
                <w:rFonts w:hint="default" w:ascii="Times New Roman" w:hAnsi="Times New Roman" w:eastAsia="宋体" w:cs="Times New Roman"/>
                <w:color w:val="auto"/>
                <w:kern w:val="2"/>
                <w:sz w:val="21"/>
                <w:szCs w:val="21"/>
              </w:rPr>
              <w:t>；水文要素影响型</w:t>
            </w:r>
            <w:sdt>
              <w:sdtPr>
                <w:rPr>
                  <w:rFonts w:hint="default" w:ascii="Times New Roman" w:hAnsi="Times New Roman" w:eastAsia="宋体" w:cs="Times New Roman"/>
                  <w:color w:val="auto"/>
                  <w:kern w:val="2"/>
                  <w:sz w:val="21"/>
                  <w:szCs w:val="21"/>
                </w:rPr>
                <w:id w:val="37108702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p>
        </w:tc>
      </w:tr>
      <w:tr w14:paraId="271D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26B61E6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7268AFD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水环境保护目标</w:t>
            </w:r>
          </w:p>
        </w:tc>
        <w:tc>
          <w:tcPr>
            <w:tcW w:w="3750" w:type="pct"/>
            <w:gridSpan w:val="10"/>
            <w:vAlign w:val="center"/>
          </w:tcPr>
          <w:p w14:paraId="0733C34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饮用水水源保护区</w:t>
            </w:r>
            <w:sdt>
              <w:sdtPr>
                <w:rPr>
                  <w:rFonts w:hint="default" w:ascii="Times New Roman" w:hAnsi="Times New Roman" w:eastAsia="宋体" w:cs="Times New Roman"/>
                  <w:color w:val="auto"/>
                  <w:kern w:val="2"/>
                  <w:sz w:val="21"/>
                  <w:szCs w:val="21"/>
                </w:rPr>
                <w:id w:val="45615474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；饮用水取水口</w:t>
            </w:r>
            <w:sdt>
              <w:sdtPr>
                <w:rPr>
                  <w:rFonts w:hint="default" w:ascii="Times New Roman" w:hAnsi="Times New Roman" w:eastAsia="宋体" w:cs="Times New Roman"/>
                  <w:color w:val="auto"/>
                  <w:kern w:val="2"/>
                  <w:sz w:val="21"/>
                  <w:szCs w:val="21"/>
                </w:rPr>
                <w:id w:val="204355441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；涉水的自然保护区</w:t>
            </w:r>
            <w:sdt>
              <w:sdtPr>
                <w:rPr>
                  <w:rFonts w:hint="default" w:ascii="Times New Roman" w:hAnsi="Times New Roman" w:eastAsia="宋体" w:cs="Times New Roman"/>
                  <w:color w:val="auto"/>
                  <w:kern w:val="2"/>
                  <w:sz w:val="21"/>
                  <w:szCs w:val="21"/>
                </w:rPr>
                <w:id w:val="2711677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；重要湿地</w:t>
            </w:r>
            <w:sdt>
              <w:sdtPr>
                <w:rPr>
                  <w:rFonts w:hint="default" w:ascii="Times New Roman" w:hAnsi="Times New Roman" w:eastAsia="宋体" w:cs="Times New Roman"/>
                  <w:color w:val="auto"/>
                  <w:kern w:val="2"/>
                  <w:sz w:val="21"/>
                  <w:szCs w:val="21"/>
                </w:rPr>
                <w:id w:val="30979859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；重点保护与珍稀水生生物的栖息地</w:t>
            </w:r>
            <w:sdt>
              <w:sdtPr>
                <w:rPr>
                  <w:rFonts w:hint="default" w:ascii="Times New Roman" w:hAnsi="Times New Roman" w:eastAsia="宋体" w:cs="Times New Roman"/>
                  <w:color w:val="auto"/>
                  <w:kern w:val="2"/>
                  <w:sz w:val="21"/>
                  <w:szCs w:val="21"/>
                </w:rPr>
                <w:id w:val="19150808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；重要水生生物的自然产卵场及索饵场、越冬场和洄游通道、天然渔场等渔业水体□；涉水的风景名胜区</w:t>
            </w:r>
            <w:sdt>
              <w:sdtPr>
                <w:rPr>
                  <w:rFonts w:hint="default" w:ascii="Times New Roman" w:hAnsi="Times New Roman" w:eastAsia="宋体" w:cs="Times New Roman"/>
                  <w:color w:val="auto"/>
                  <w:kern w:val="2"/>
                  <w:sz w:val="21"/>
                  <w:szCs w:val="21"/>
                </w:rPr>
                <w:id w:val="14139701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r>
              <w:rPr>
                <w:rFonts w:hint="eastAsia" w:ascii="Times New Roman" w:hAnsi="Times New Roman" w:eastAsia="宋体" w:cs="Times New Roman"/>
                <w:color w:val="auto"/>
                <w:kern w:val="2"/>
                <w:sz w:val="21"/>
                <w:szCs w:val="21"/>
                <w:lang w:eastAsia="zh-CN"/>
              </w:rPr>
              <w:t>☑</w:t>
            </w:r>
          </w:p>
        </w:tc>
      </w:tr>
      <w:tr w14:paraId="4BF2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52FEECB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restart"/>
            <w:vAlign w:val="center"/>
          </w:tcPr>
          <w:p w14:paraId="7EA3F91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影响途径</w:t>
            </w:r>
          </w:p>
        </w:tc>
        <w:tc>
          <w:tcPr>
            <w:tcW w:w="2306" w:type="pct"/>
            <w:gridSpan w:val="5"/>
            <w:vAlign w:val="center"/>
          </w:tcPr>
          <w:p w14:paraId="532A0E0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水污染影响型</w:t>
            </w:r>
          </w:p>
        </w:tc>
        <w:tc>
          <w:tcPr>
            <w:tcW w:w="1444" w:type="pct"/>
            <w:gridSpan w:val="5"/>
            <w:vAlign w:val="center"/>
          </w:tcPr>
          <w:p w14:paraId="443C50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水文要素影响型</w:t>
            </w:r>
          </w:p>
        </w:tc>
      </w:tr>
      <w:tr w14:paraId="3E1F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61C2E74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363E57F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2306" w:type="pct"/>
            <w:gridSpan w:val="5"/>
            <w:vAlign w:val="center"/>
          </w:tcPr>
          <w:p w14:paraId="36C16A1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直接排放</w:t>
            </w:r>
            <w:sdt>
              <w:sdtPr>
                <w:rPr>
                  <w:rFonts w:hint="default" w:ascii="Times New Roman" w:hAnsi="Times New Roman" w:eastAsia="宋体" w:cs="Times New Roman"/>
                  <w:color w:val="auto"/>
                  <w:kern w:val="2"/>
                  <w:sz w:val="21"/>
                  <w:szCs w:val="21"/>
                </w:rPr>
                <w:id w:val="196900893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；间接排放</w:t>
            </w:r>
            <w:sdt>
              <w:sdtPr>
                <w:rPr>
                  <w:rFonts w:hint="default" w:ascii="Times New Roman" w:hAnsi="Times New Roman" w:eastAsia="宋体" w:cs="Times New Roman"/>
                  <w:color w:val="auto"/>
                  <w:kern w:val="2"/>
                  <w:sz w:val="21"/>
                  <w:szCs w:val="21"/>
                </w:rPr>
                <w:id w:val="54533847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r>
              <w:rPr>
                <w:rFonts w:hint="eastAsia" w:ascii="Times New Roman" w:hAnsi="Times New Roman" w:eastAsia="宋体" w:cs="Times New Roman"/>
                <w:color w:val="auto"/>
                <w:kern w:val="2"/>
                <w:sz w:val="21"/>
                <w:szCs w:val="21"/>
                <w:lang w:eastAsia="zh-CN"/>
              </w:rPr>
              <w:t>☑</w:t>
            </w:r>
          </w:p>
        </w:tc>
        <w:tc>
          <w:tcPr>
            <w:tcW w:w="1444" w:type="pct"/>
            <w:gridSpan w:val="5"/>
            <w:vAlign w:val="center"/>
          </w:tcPr>
          <w:p w14:paraId="162715E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水温</w:t>
            </w:r>
            <w:sdt>
              <w:sdtPr>
                <w:rPr>
                  <w:rFonts w:hint="default" w:ascii="Times New Roman" w:hAnsi="Times New Roman" w:eastAsia="宋体" w:cs="Times New Roman"/>
                  <w:color w:val="auto"/>
                  <w:kern w:val="2"/>
                  <w:sz w:val="21"/>
                  <w:szCs w:val="21"/>
                </w:rPr>
                <w:id w:val="12814195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；径流</w:t>
            </w:r>
            <w:sdt>
              <w:sdtPr>
                <w:rPr>
                  <w:rFonts w:hint="default" w:ascii="Times New Roman" w:hAnsi="Times New Roman" w:eastAsia="宋体" w:cs="Times New Roman"/>
                  <w:color w:val="auto"/>
                  <w:kern w:val="2"/>
                  <w:sz w:val="21"/>
                  <w:szCs w:val="21"/>
                </w:rPr>
                <w:id w:val="80952791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；水域面积</w:t>
            </w:r>
            <w:sdt>
              <w:sdtPr>
                <w:rPr>
                  <w:rFonts w:hint="default" w:ascii="Times New Roman" w:hAnsi="Times New Roman" w:eastAsia="宋体" w:cs="Times New Roman"/>
                  <w:color w:val="auto"/>
                  <w:kern w:val="2"/>
                  <w:sz w:val="21"/>
                  <w:szCs w:val="21"/>
                </w:rPr>
                <w:id w:val="61147967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p>
        </w:tc>
      </w:tr>
      <w:tr w14:paraId="7367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51EF211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310E7F2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影响因子</w:t>
            </w:r>
          </w:p>
        </w:tc>
        <w:tc>
          <w:tcPr>
            <w:tcW w:w="2306" w:type="pct"/>
            <w:gridSpan w:val="5"/>
            <w:vAlign w:val="center"/>
          </w:tcPr>
          <w:p w14:paraId="1E903B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持久性污染物</w:t>
            </w:r>
            <w:sdt>
              <w:sdtPr>
                <w:rPr>
                  <w:rFonts w:hint="default" w:ascii="Times New Roman" w:hAnsi="Times New Roman" w:eastAsia="宋体" w:cs="Times New Roman"/>
                  <w:color w:val="auto"/>
                  <w:kern w:val="2"/>
                  <w:sz w:val="21"/>
                  <w:szCs w:val="21"/>
                </w:rPr>
                <w:id w:val="13520884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；有毒有害污染物</w:t>
            </w:r>
            <w:sdt>
              <w:sdtPr>
                <w:rPr>
                  <w:rFonts w:hint="default" w:ascii="Times New Roman" w:hAnsi="Times New Roman" w:eastAsia="宋体" w:cs="Times New Roman"/>
                  <w:color w:val="auto"/>
                  <w:kern w:val="2"/>
                  <w:sz w:val="21"/>
                  <w:szCs w:val="21"/>
                </w:rPr>
                <w:id w:val="62770958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；非持久性污染物</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w:t>
            </w:r>
          </w:p>
          <w:p w14:paraId="009BD9B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pH值</w:t>
            </w:r>
            <w:sdt>
              <w:sdtPr>
                <w:rPr>
                  <w:rFonts w:hint="default" w:ascii="Times New Roman" w:hAnsi="Times New Roman" w:eastAsia="宋体" w:cs="Times New Roman"/>
                  <w:color w:val="auto"/>
                  <w:kern w:val="2"/>
                  <w:sz w:val="21"/>
                  <w:szCs w:val="21"/>
                </w:rPr>
                <w:id w:val="97174796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；热污染</w:t>
            </w:r>
            <w:sdt>
              <w:sdtPr>
                <w:rPr>
                  <w:rFonts w:hint="default" w:ascii="Times New Roman" w:hAnsi="Times New Roman" w:eastAsia="宋体" w:cs="Times New Roman"/>
                  <w:color w:val="auto"/>
                  <w:kern w:val="2"/>
                  <w:sz w:val="21"/>
                  <w:szCs w:val="21"/>
                </w:rPr>
                <w:id w:val="19165684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；富营养化</w:t>
            </w:r>
            <w:sdt>
              <w:sdtPr>
                <w:rPr>
                  <w:rFonts w:hint="default" w:ascii="Times New Roman" w:hAnsi="Times New Roman" w:eastAsia="宋体" w:cs="Times New Roman"/>
                  <w:color w:val="auto"/>
                  <w:kern w:val="2"/>
                  <w:sz w:val="21"/>
                  <w:szCs w:val="21"/>
                </w:rPr>
                <w:id w:val="28386482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sdt>
              <w:sdtPr>
                <w:rPr>
                  <w:rFonts w:hint="default" w:ascii="Times New Roman" w:hAnsi="Times New Roman" w:eastAsia="宋体" w:cs="Times New Roman"/>
                  <w:color w:val="auto"/>
                  <w:kern w:val="2"/>
                  <w:sz w:val="21"/>
                  <w:szCs w:val="21"/>
                </w:rPr>
                <w:id w:val="65433696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p>
        </w:tc>
        <w:tc>
          <w:tcPr>
            <w:tcW w:w="1444" w:type="pct"/>
            <w:gridSpan w:val="5"/>
            <w:vAlign w:val="center"/>
          </w:tcPr>
          <w:p w14:paraId="7A0786D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水温</w:t>
            </w:r>
            <w:sdt>
              <w:sdtPr>
                <w:rPr>
                  <w:rFonts w:hint="default" w:ascii="Times New Roman" w:hAnsi="Times New Roman" w:eastAsia="宋体" w:cs="Times New Roman"/>
                  <w:color w:val="auto"/>
                  <w:kern w:val="2"/>
                  <w:sz w:val="21"/>
                  <w:szCs w:val="21"/>
                </w:rPr>
                <w:id w:val="54857415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；水位（水深）</w:t>
            </w:r>
            <w:sdt>
              <w:sdtPr>
                <w:rPr>
                  <w:rFonts w:hint="default" w:ascii="Times New Roman" w:hAnsi="Times New Roman" w:eastAsia="宋体" w:cs="Times New Roman"/>
                  <w:color w:val="auto"/>
                  <w:kern w:val="2"/>
                  <w:sz w:val="21"/>
                  <w:szCs w:val="21"/>
                </w:rPr>
                <w:id w:val="30064164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；流速</w:t>
            </w:r>
            <w:sdt>
              <w:sdtPr>
                <w:rPr>
                  <w:rFonts w:hint="default" w:ascii="Times New Roman" w:hAnsi="Times New Roman" w:eastAsia="宋体" w:cs="Times New Roman"/>
                  <w:color w:val="auto"/>
                  <w:kern w:val="2"/>
                  <w:sz w:val="21"/>
                  <w:szCs w:val="21"/>
                </w:rPr>
                <w:id w:val="1674434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；流量</w:t>
            </w:r>
            <w:sdt>
              <w:sdtPr>
                <w:rPr>
                  <w:rFonts w:hint="default" w:ascii="Times New Roman" w:hAnsi="Times New Roman" w:eastAsia="宋体" w:cs="Times New Roman"/>
                  <w:color w:val="auto"/>
                  <w:kern w:val="2"/>
                  <w:sz w:val="21"/>
                  <w:szCs w:val="21"/>
                </w:rPr>
                <w:id w:val="48982605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sdt>
              <w:sdtPr>
                <w:rPr>
                  <w:rFonts w:hint="default" w:ascii="Times New Roman" w:hAnsi="Times New Roman" w:eastAsia="宋体" w:cs="Times New Roman"/>
                  <w:color w:val="auto"/>
                  <w:kern w:val="2"/>
                  <w:sz w:val="21"/>
                  <w:szCs w:val="21"/>
                </w:rPr>
                <w:id w:val="108881927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p>
        </w:tc>
      </w:tr>
      <w:tr w14:paraId="3E47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249" w:type="pct"/>
            <w:gridSpan w:val="2"/>
            <w:vMerge w:val="restart"/>
            <w:vAlign w:val="center"/>
          </w:tcPr>
          <w:p w14:paraId="304F270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评价等级</w:t>
            </w:r>
          </w:p>
        </w:tc>
        <w:tc>
          <w:tcPr>
            <w:tcW w:w="2306" w:type="pct"/>
            <w:gridSpan w:val="5"/>
            <w:vAlign w:val="center"/>
          </w:tcPr>
          <w:p w14:paraId="552452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水污染影响型</w:t>
            </w:r>
          </w:p>
        </w:tc>
        <w:tc>
          <w:tcPr>
            <w:tcW w:w="1444" w:type="pct"/>
            <w:gridSpan w:val="5"/>
            <w:vAlign w:val="center"/>
          </w:tcPr>
          <w:p w14:paraId="5DD0AF7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水文要素影响型</w:t>
            </w:r>
          </w:p>
        </w:tc>
      </w:tr>
      <w:tr w14:paraId="7C1C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249" w:type="pct"/>
            <w:gridSpan w:val="2"/>
            <w:vMerge w:val="continue"/>
            <w:vAlign w:val="center"/>
          </w:tcPr>
          <w:p w14:paraId="25484B4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2306" w:type="pct"/>
            <w:gridSpan w:val="5"/>
            <w:vAlign w:val="center"/>
          </w:tcPr>
          <w:p w14:paraId="790E134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一级</w:t>
            </w:r>
            <w:sdt>
              <w:sdtPr>
                <w:rPr>
                  <w:rFonts w:hint="default" w:ascii="Times New Roman" w:hAnsi="Times New Roman" w:eastAsia="宋体" w:cs="Times New Roman"/>
                  <w:color w:val="auto"/>
                  <w:kern w:val="2"/>
                  <w:sz w:val="21"/>
                  <w:szCs w:val="21"/>
                </w:rPr>
                <w:id w:val="49223173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；二级</w:t>
            </w:r>
            <w:sdt>
              <w:sdtPr>
                <w:rPr>
                  <w:rFonts w:hint="default" w:ascii="Times New Roman" w:hAnsi="Times New Roman" w:eastAsia="宋体" w:cs="Times New Roman"/>
                  <w:color w:val="auto"/>
                  <w:kern w:val="2"/>
                  <w:sz w:val="21"/>
                  <w:szCs w:val="21"/>
                </w:rPr>
                <w:id w:val="163645376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；三级A</w:t>
            </w:r>
            <w:sdt>
              <w:sdtPr>
                <w:rPr>
                  <w:rFonts w:hint="default" w:ascii="Times New Roman" w:hAnsi="Times New Roman" w:eastAsia="宋体" w:cs="Times New Roman"/>
                  <w:color w:val="auto"/>
                  <w:kern w:val="2"/>
                  <w:sz w:val="21"/>
                  <w:szCs w:val="21"/>
                </w:rPr>
                <w:id w:val="1158362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；三级B</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w:t>
            </w:r>
          </w:p>
        </w:tc>
        <w:tc>
          <w:tcPr>
            <w:tcW w:w="1444" w:type="pct"/>
            <w:gridSpan w:val="5"/>
            <w:vAlign w:val="center"/>
          </w:tcPr>
          <w:p w14:paraId="47212D4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一级</w:t>
            </w:r>
            <w:sdt>
              <w:sdtPr>
                <w:rPr>
                  <w:rFonts w:hint="default" w:ascii="Times New Roman" w:hAnsi="Times New Roman" w:eastAsia="宋体" w:cs="Times New Roman"/>
                  <w:color w:val="auto"/>
                  <w:kern w:val="2"/>
                  <w:sz w:val="21"/>
                  <w:szCs w:val="21"/>
                </w:rPr>
                <w:id w:val="128245448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；二级</w:t>
            </w:r>
            <w:sdt>
              <w:sdtPr>
                <w:rPr>
                  <w:rFonts w:hint="default" w:ascii="Times New Roman" w:hAnsi="Times New Roman" w:eastAsia="宋体" w:cs="Times New Roman"/>
                  <w:color w:val="auto"/>
                  <w:kern w:val="2"/>
                  <w:sz w:val="21"/>
                  <w:szCs w:val="21"/>
                </w:rPr>
                <w:id w:val="203067662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；三级</w:t>
            </w:r>
            <w:sdt>
              <w:sdtPr>
                <w:rPr>
                  <w:rFonts w:hint="default" w:ascii="Times New Roman" w:hAnsi="Times New Roman" w:eastAsia="宋体" w:cs="Times New Roman"/>
                  <w:color w:val="auto"/>
                  <w:kern w:val="2"/>
                  <w:sz w:val="21"/>
                  <w:szCs w:val="21"/>
                </w:rPr>
                <w:id w:val="173288535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210E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restart"/>
            <w:vAlign w:val="center"/>
          </w:tcPr>
          <w:p w14:paraId="5D30ABC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现状调查</w:t>
            </w:r>
          </w:p>
        </w:tc>
        <w:tc>
          <w:tcPr>
            <w:tcW w:w="1013" w:type="pct"/>
            <w:vMerge w:val="restart"/>
            <w:vAlign w:val="center"/>
          </w:tcPr>
          <w:p w14:paraId="437EB54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区域污染源</w:t>
            </w:r>
          </w:p>
        </w:tc>
        <w:tc>
          <w:tcPr>
            <w:tcW w:w="2306" w:type="pct"/>
            <w:gridSpan w:val="5"/>
            <w:vAlign w:val="center"/>
          </w:tcPr>
          <w:p w14:paraId="679DF8F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调查项目</w:t>
            </w:r>
          </w:p>
        </w:tc>
        <w:tc>
          <w:tcPr>
            <w:tcW w:w="1444" w:type="pct"/>
            <w:gridSpan w:val="5"/>
            <w:vAlign w:val="center"/>
          </w:tcPr>
          <w:p w14:paraId="2BB8CD5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数据来源</w:t>
            </w:r>
          </w:p>
        </w:tc>
      </w:tr>
      <w:tr w14:paraId="1668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0FBD4E8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46CEB1F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48" w:type="pct"/>
            <w:gridSpan w:val="2"/>
            <w:vAlign w:val="center"/>
          </w:tcPr>
          <w:p w14:paraId="6CEE323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已建</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；在建</w:t>
            </w:r>
            <w:sdt>
              <w:sdtPr>
                <w:rPr>
                  <w:rFonts w:hint="default" w:ascii="Times New Roman" w:hAnsi="Times New Roman" w:eastAsia="宋体" w:cs="Times New Roman"/>
                  <w:color w:val="auto"/>
                  <w:kern w:val="2"/>
                  <w:sz w:val="21"/>
                  <w:szCs w:val="21"/>
                </w:rPr>
                <w:id w:val="81663621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；拟建</w:t>
            </w:r>
            <w:sdt>
              <w:sdtPr>
                <w:rPr>
                  <w:rFonts w:hint="default" w:ascii="Times New Roman" w:hAnsi="Times New Roman" w:eastAsia="宋体" w:cs="Times New Roman"/>
                  <w:color w:val="auto"/>
                  <w:kern w:val="2"/>
                  <w:sz w:val="21"/>
                  <w:szCs w:val="21"/>
                </w:rPr>
                <w:id w:val="64948594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sdt>
              <w:sdtPr>
                <w:rPr>
                  <w:rFonts w:hint="default" w:ascii="Times New Roman" w:hAnsi="Times New Roman" w:eastAsia="宋体" w:cs="Times New Roman"/>
                  <w:color w:val="auto"/>
                  <w:kern w:val="2"/>
                  <w:sz w:val="21"/>
                  <w:szCs w:val="21"/>
                </w:rPr>
                <w:id w:val="433794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c>
          <w:tcPr>
            <w:tcW w:w="1258" w:type="pct"/>
            <w:gridSpan w:val="3"/>
            <w:vAlign w:val="center"/>
          </w:tcPr>
          <w:p w14:paraId="5F620BB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拟替代的污染源</w:t>
            </w:r>
            <w:sdt>
              <w:sdtPr>
                <w:rPr>
                  <w:rFonts w:hint="default" w:ascii="Times New Roman" w:hAnsi="Times New Roman" w:eastAsia="宋体" w:cs="Times New Roman"/>
                  <w:color w:val="auto"/>
                  <w:kern w:val="2"/>
                  <w:sz w:val="21"/>
                  <w:szCs w:val="21"/>
                </w:rPr>
                <w:id w:val="189993267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c>
          <w:tcPr>
            <w:tcW w:w="1444" w:type="pct"/>
            <w:gridSpan w:val="5"/>
            <w:vAlign w:val="center"/>
          </w:tcPr>
          <w:p w14:paraId="22F18AF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排污许可证</w:t>
            </w:r>
            <w:sdt>
              <w:sdtPr>
                <w:rPr>
                  <w:rFonts w:hint="default" w:ascii="Times New Roman" w:hAnsi="Times New Roman" w:eastAsia="宋体" w:cs="Times New Roman"/>
                  <w:color w:val="auto"/>
                  <w:kern w:val="2"/>
                  <w:sz w:val="21"/>
                  <w:szCs w:val="21"/>
                </w:rPr>
                <w:id w:val="38826638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；环评</w:t>
            </w:r>
            <w:sdt>
              <w:sdtPr>
                <w:rPr>
                  <w:rFonts w:hint="default" w:ascii="Times New Roman" w:hAnsi="Times New Roman" w:eastAsia="宋体" w:cs="Times New Roman"/>
                  <w:color w:val="auto"/>
                  <w:kern w:val="2"/>
                  <w:sz w:val="21"/>
                  <w:szCs w:val="21"/>
                </w:rPr>
                <w:id w:val="69459715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；环保验收</w:t>
            </w:r>
            <w:sdt>
              <w:sdtPr>
                <w:rPr>
                  <w:rFonts w:hint="default" w:ascii="Times New Roman" w:hAnsi="Times New Roman" w:eastAsia="宋体" w:cs="Times New Roman"/>
                  <w:color w:val="auto"/>
                  <w:kern w:val="2"/>
                  <w:sz w:val="21"/>
                  <w:szCs w:val="21"/>
                </w:rPr>
                <w:id w:val="25284081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；既有实测</w:t>
            </w:r>
            <w:sdt>
              <w:sdtPr>
                <w:rPr>
                  <w:rFonts w:hint="default" w:ascii="Times New Roman" w:hAnsi="Times New Roman" w:eastAsia="宋体" w:cs="Times New Roman"/>
                  <w:color w:val="auto"/>
                  <w:kern w:val="2"/>
                  <w:sz w:val="21"/>
                  <w:szCs w:val="21"/>
                </w:rPr>
                <w:id w:val="12613222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；现场监测</w:t>
            </w:r>
            <w:sdt>
              <w:sdtPr>
                <w:rPr>
                  <w:rFonts w:hint="default" w:ascii="Times New Roman" w:hAnsi="Times New Roman" w:eastAsia="宋体" w:cs="Times New Roman"/>
                  <w:color w:val="auto"/>
                  <w:kern w:val="2"/>
                  <w:sz w:val="21"/>
                  <w:szCs w:val="21"/>
                </w:rPr>
                <w:id w:val="477891858"/>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；入河排放数据</w:t>
            </w:r>
            <w:sdt>
              <w:sdtPr>
                <w:rPr>
                  <w:rFonts w:hint="default" w:ascii="Times New Roman" w:hAnsi="Times New Roman" w:eastAsia="宋体" w:cs="Times New Roman"/>
                  <w:color w:val="auto"/>
                  <w:kern w:val="2"/>
                  <w:sz w:val="21"/>
                  <w:szCs w:val="21"/>
                </w:rPr>
                <w:id w:val="74569225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sdt>
              <w:sdtPr>
                <w:rPr>
                  <w:rFonts w:hint="default" w:ascii="Times New Roman" w:hAnsi="Times New Roman" w:eastAsia="宋体" w:cs="Times New Roman"/>
                  <w:color w:val="auto"/>
                  <w:kern w:val="2"/>
                  <w:sz w:val="21"/>
                  <w:szCs w:val="21"/>
                </w:rPr>
                <w:id w:val="10717587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p>
        </w:tc>
      </w:tr>
      <w:tr w14:paraId="1E43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56B98DE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restart"/>
            <w:vAlign w:val="center"/>
          </w:tcPr>
          <w:p w14:paraId="309CD79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受影响水体水环境质量</w:t>
            </w:r>
          </w:p>
        </w:tc>
        <w:tc>
          <w:tcPr>
            <w:tcW w:w="2306" w:type="pct"/>
            <w:gridSpan w:val="5"/>
            <w:vAlign w:val="center"/>
          </w:tcPr>
          <w:p w14:paraId="30A16ED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调查项目</w:t>
            </w:r>
          </w:p>
        </w:tc>
        <w:tc>
          <w:tcPr>
            <w:tcW w:w="1444" w:type="pct"/>
            <w:gridSpan w:val="5"/>
            <w:vAlign w:val="center"/>
          </w:tcPr>
          <w:p w14:paraId="50F5424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数据来源</w:t>
            </w:r>
          </w:p>
        </w:tc>
      </w:tr>
      <w:tr w14:paraId="1C1D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1386E26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77D8094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2306" w:type="pct"/>
            <w:gridSpan w:val="5"/>
            <w:vAlign w:val="center"/>
          </w:tcPr>
          <w:p w14:paraId="05144A2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丰水期</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；平水期</w:t>
            </w:r>
            <w:sdt>
              <w:sdtPr>
                <w:rPr>
                  <w:rFonts w:hint="default" w:ascii="Times New Roman" w:hAnsi="Times New Roman" w:eastAsia="宋体" w:cs="Times New Roman"/>
                  <w:color w:val="auto"/>
                  <w:kern w:val="2"/>
                  <w:sz w:val="21"/>
                  <w:szCs w:val="21"/>
                </w:rPr>
                <w:id w:val="5849269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；枯水期</w:t>
            </w:r>
            <w:sdt>
              <w:sdtPr>
                <w:rPr>
                  <w:rFonts w:hint="default" w:ascii="Times New Roman" w:hAnsi="Times New Roman" w:eastAsia="宋体" w:cs="Times New Roman"/>
                  <w:color w:val="auto"/>
                  <w:kern w:val="2"/>
                  <w:sz w:val="21"/>
                  <w:szCs w:val="21"/>
                </w:rPr>
                <w:id w:val="30791014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；冰封期</w:t>
            </w:r>
            <w:sdt>
              <w:sdtPr>
                <w:rPr>
                  <w:rFonts w:hint="default" w:ascii="Times New Roman" w:hAnsi="Times New Roman" w:eastAsia="宋体" w:cs="Times New Roman"/>
                  <w:color w:val="auto"/>
                  <w:kern w:val="2"/>
                  <w:sz w:val="21"/>
                  <w:szCs w:val="21"/>
                </w:rPr>
                <w:id w:val="30944746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46E5AEE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春季</w:t>
            </w:r>
            <w:sdt>
              <w:sdtPr>
                <w:rPr>
                  <w:rFonts w:hint="default" w:ascii="Times New Roman" w:hAnsi="Times New Roman" w:eastAsia="宋体" w:cs="Times New Roman"/>
                  <w:color w:val="auto"/>
                  <w:kern w:val="2"/>
                  <w:sz w:val="21"/>
                  <w:szCs w:val="21"/>
                </w:rPr>
                <w:id w:val="27237380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；夏季</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；秋季</w:t>
            </w:r>
            <w:sdt>
              <w:sdtPr>
                <w:rPr>
                  <w:rFonts w:hint="default" w:ascii="Times New Roman" w:hAnsi="Times New Roman" w:eastAsia="宋体" w:cs="Times New Roman"/>
                  <w:color w:val="auto"/>
                  <w:kern w:val="2"/>
                  <w:sz w:val="21"/>
                  <w:szCs w:val="21"/>
                </w:rPr>
                <w:id w:val="89868781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；冬季</w:t>
            </w:r>
            <w:sdt>
              <w:sdtPr>
                <w:rPr>
                  <w:rFonts w:hint="default" w:ascii="Times New Roman" w:hAnsi="Times New Roman" w:eastAsia="宋体" w:cs="Times New Roman"/>
                  <w:color w:val="auto"/>
                  <w:kern w:val="2"/>
                  <w:sz w:val="21"/>
                  <w:szCs w:val="21"/>
                </w:rPr>
                <w:id w:val="18175066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c>
          <w:tcPr>
            <w:tcW w:w="1444" w:type="pct"/>
            <w:gridSpan w:val="5"/>
            <w:vAlign w:val="center"/>
          </w:tcPr>
          <w:p w14:paraId="1095B43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生态环境保护主管部门</w:t>
            </w:r>
            <w:sdt>
              <w:sdtPr>
                <w:rPr>
                  <w:rFonts w:hint="default" w:ascii="Times New Roman" w:hAnsi="Times New Roman" w:eastAsia="宋体" w:cs="Times New Roman"/>
                  <w:color w:val="auto"/>
                  <w:kern w:val="2"/>
                  <w:sz w:val="21"/>
                  <w:szCs w:val="21"/>
                </w:rPr>
                <w:id w:val="116682851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；补充监测</w:t>
            </w:r>
            <w:sdt>
              <w:sdtPr>
                <w:rPr>
                  <w:rFonts w:hint="default" w:ascii="Times New Roman" w:hAnsi="Times New Roman" w:eastAsia="宋体" w:cs="Times New Roman"/>
                  <w:color w:val="auto"/>
                  <w:kern w:val="2"/>
                  <w:sz w:val="21"/>
                  <w:szCs w:val="21"/>
                </w:rPr>
                <w:id w:val="44575303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sdt>
              <w:sdtPr>
                <w:rPr>
                  <w:rFonts w:hint="default" w:ascii="Times New Roman" w:hAnsi="Times New Roman" w:eastAsia="宋体" w:cs="Times New Roman"/>
                  <w:color w:val="auto"/>
                  <w:kern w:val="2"/>
                  <w:sz w:val="21"/>
                  <w:szCs w:val="21"/>
                </w:rPr>
                <w:id w:val="1449351708"/>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033B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7DEC56F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23A08C8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区域水资源开发利用状况</w:t>
            </w:r>
          </w:p>
        </w:tc>
        <w:tc>
          <w:tcPr>
            <w:tcW w:w="3750" w:type="pct"/>
            <w:gridSpan w:val="10"/>
            <w:vAlign w:val="center"/>
          </w:tcPr>
          <w:p w14:paraId="5F1AC74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未开发</w:t>
            </w:r>
            <w:sdt>
              <w:sdtPr>
                <w:rPr>
                  <w:rFonts w:hint="default" w:ascii="Times New Roman" w:hAnsi="Times New Roman" w:eastAsia="宋体" w:cs="Times New Roman"/>
                  <w:color w:val="auto"/>
                  <w:kern w:val="2"/>
                  <w:sz w:val="21"/>
                  <w:szCs w:val="21"/>
                </w:rPr>
                <w:id w:val="53703797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；开发量40%以下</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；开发量40%以上</w:t>
            </w:r>
            <w:sdt>
              <w:sdtPr>
                <w:rPr>
                  <w:rFonts w:hint="default" w:ascii="Times New Roman" w:hAnsi="Times New Roman" w:eastAsia="宋体" w:cs="Times New Roman"/>
                  <w:color w:val="auto"/>
                  <w:kern w:val="2"/>
                  <w:sz w:val="21"/>
                  <w:szCs w:val="21"/>
                </w:rPr>
                <w:id w:val="28817821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1B93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4B4371B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restart"/>
            <w:vAlign w:val="center"/>
          </w:tcPr>
          <w:p w14:paraId="56D778B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水文情势调查</w:t>
            </w:r>
          </w:p>
        </w:tc>
        <w:tc>
          <w:tcPr>
            <w:tcW w:w="2306" w:type="pct"/>
            <w:gridSpan w:val="5"/>
            <w:vAlign w:val="center"/>
          </w:tcPr>
          <w:p w14:paraId="314148E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调查时期</w:t>
            </w:r>
          </w:p>
        </w:tc>
        <w:tc>
          <w:tcPr>
            <w:tcW w:w="1444" w:type="pct"/>
            <w:gridSpan w:val="5"/>
            <w:vAlign w:val="center"/>
          </w:tcPr>
          <w:p w14:paraId="18FB32C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数据来源</w:t>
            </w:r>
          </w:p>
        </w:tc>
      </w:tr>
      <w:tr w14:paraId="1F06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713870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64C9EA5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2306" w:type="pct"/>
            <w:gridSpan w:val="5"/>
            <w:vAlign w:val="center"/>
          </w:tcPr>
          <w:p w14:paraId="71BCBD2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丰水期</w:t>
            </w:r>
            <w:sdt>
              <w:sdtPr>
                <w:rPr>
                  <w:rFonts w:hint="default" w:ascii="Times New Roman" w:hAnsi="Times New Roman" w:eastAsia="宋体" w:cs="Times New Roman"/>
                  <w:color w:val="auto"/>
                  <w:kern w:val="2"/>
                  <w:sz w:val="21"/>
                  <w:szCs w:val="21"/>
                </w:rPr>
                <w:id w:val="128300018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；平水期</w:t>
            </w:r>
            <w:sdt>
              <w:sdtPr>
                <w:rPr>
                  <w:rFonts w:hint="default" w:ascii="Times New Roman" w:hAnsi="Times New Roman" w:eastAsia="宋体" w:cs="Times New Roman"/>
                  <w:color w:val="auto"/>
                  <w:kern w:val="2"/>
                  <w:sz w:val="21"/>
                  <w:szCs w:val="21"/>
                </w:rPr>
                <w:id w:val="94403639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；枯水期</w:t>
            </w:r>
            <w:sdt>
              <w:sdtPr>
                <w:rPr>
                  <w:rFonts w:hint="default" w:ascii="Times New Roman" w:hAnsi="Times New Roman" w:eastAsia="宋体" w:cs="Times New Roman"/>
                  <w:color w:val="auto"/>
                  <w:kern w:val="2"/>
                  <w:sz w:val="21"/>
                  <w:szCs w:val="21"/>
                </w:rPr>
                <w:id w:val="91847779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；冰封期</w:t>
            </w:r>
            <w:sdt>
              <w:sdtPr>
                <w:rPr>
                  <w:rFonts w:hint="default" w:ascii="Times New Roman" w:hAnsi="Times New Roman" w:eastAsia="宋体" w:cs="Times New Roman"/>
                  <w:color w:val="auto"/>
                  <w:kern w:val="2"/>
                  <w:sz w:val="21"/>
                  <w:szCs w:val="21"/>
                </w:rPr>
                <w:id w:val="61291802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79D145D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春季</w:t>
            </w:r>
            <w:sdt>
              <w:sdtPr>
                <w:rPr>
                  <w:rFonts w:hint="default" w:ascii="Times New Roman" w:hAnsi="Times New Roman" w:eastAsia="宋体" w:cs="Times New Roman"/>
                  <w:color w:val="auto"/>
                  <w:kern w:val="2"/>
                  <w:sz w:val="21"/>
                  <w:szCs w:val="21"/>
                </w:rPr>
                <w:id w:val="145351529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；夏季</w:t>
            </w:r>
            <w:sdt>
              <w:sdtPr>
                <w:rPr>
                  <w:rFonts w:hint="default" w:ascii="Times New Roman" w:hAnsi="Times New Roman" w:eastAsia="宋体" w:cs="Times New Roman"/>
                  <w:color w:val="auto"/>
                  <w:kern w:val="2"/>
                  <w:sz w:val="21"/>
                  <w:szCs w:val="21"/>
                </w:rPr>
                <w:id w:val="908124998"/>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；秋季</w:t>
            </w:r>
            <w:sdt>
              <w:sdtPr>
                <w:rPr>
                  <w:rFonts w:hint="default" w:ascii="Times New Roman" w:hAnsi="Times New Roman" w:eastAsia="宋体" w:cs="Times New Roman"/>
                  <w:color w:val="auto"/>
                  <w:kern w:val="2"/>
                  <w:sz w:val="21"/>
                  <w:szCs w:val="21"/>
                </w:rPr>
                <w:id w:val="22714889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；冬季</w:t>
            </w:r>
            <w:sdt>
              <w:sdtPr>
                <w:rPr>
                  <w:rFonts w:hint="default" w:ascii="Times New Roman" w:hAnsi="Times New Roman" w:eastAsia="宋体" w:cs="Times New Roman"/>
                  <w:color w:val="auto"/>
                  <w:kern w:val="2"/>
                  <w:sz w:val="21"/>
                  <w:szCs w:val="21"/>
                </w:rPr>
                <w:id w:val="115248798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c>
          <w:tcPr>
            <w:tcW w:w="1444" w:type="pct"/>
            <w:gridSpan w:val="5"/>
            <w:vAlign w:val="center"/>
          </w:tcPr>
          <w:p w14:paraId="4B3ECFF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水行政主管部门</w:t>
            </w:r>
            <w:sdt>
              <w:sdtPr>
                <w:rPr>
                  <w:rFonts w:hint="default" w:ascii="Times New Roman" w:hAnsi="Times New Roman" w:eastAsia="宋体" w:cs="Times New Roman"/>
                  <w:color w:val="auto"/>
                  <w:kern w:val="2"/>
                  <w:sz w:val="21"/>
                  <w:szCs w:val="21"/>
                </w:rPr>
                <w:id w:val="64003479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；补充监测</w:t>
            </w:r>
            <w:sdt>
              <w:sdtPr>
                <w:rPr>
                  <w:rFonts w:hint="default" w:ascii="Times New Roman" w:hAnsi="Times New Roman" w:eastAsia="宋体" w:cs="Times New Roman"/>
                  <w:color w:val="auto"/>
                  <w:kern w:val="2"/>
                  <w:sz w:val="21"/>
                  <w:szCs w:val="21"/>
                </w:rPr>
                <w:id w:val="167098218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sdt>
              <w:sdtPr>
                <w:rPr>
                  <w:rFonts w:hint="default" w:ascii="Times New Roman" w:hAnsi="Times New Roman" w:eastAsia="宋体" w:cs="Times New Roman"/>
                  <w:color w:val="auto"/>
                  <w:kern w:val="2"/>
                  <w:sz w:val="21"/>
                  <w:szCs w:val="21"/>
                </w:rPr>
                <w:id w:val="126680685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1CA2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780ABFB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restart"/>
            <w:vAlign w:val="center"/>
          </w:tcPr>
          <w:p w14:paraId="5DBE93C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补充监测</w:t>
            </w:r>
          </w:p>
        </w:tc>
        <w:tc>
          <w:tcPr>
            <w:tcW w:w="2306" w:type="pct"/>
            <w:gridSpan w:val="5"/>
            <w:vAlign w:val="center"/>
          </w:tcPr>
          <w:p w14:paraId="5663089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监测时期</w:t>
            </w:r>
          </w:p>
        </w:tc>
        <w:tc>
          <w:tcPr>
            <w:tcW w:w="773" w:type="pct"/>
            <w:gridSpan w:val="2"/>
            <w:vAlign w:val="center"/>
          </w:tcPr>
          <w:p w14:paraId="7CAF96C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监测因子</w:t>
            </w:r>
          </w:p>
        </w:tc>
        <w:tc>
          <w:tcPr>
            <w:tcW w:w="671" w:type="pct"/>
            <w:gridSpan w:val="3"/>
            <w:vAlign w:val="center"/>
          </w:tcPr>
          <w:p w14:paraId="44A207D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监测断面或点位</w:t>
            </w:r>
          </w:p>
        </w:tc>
      </w:tr>
      <w:tr w14:paraId="7A8B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3EF6C97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139C8B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2306" w:type="pct"/>
            <w:gridSpan w:val="5"/>
            <w:vAlign w:val="center"/>
          </w:tcPr>
          <w:p w14:paraId="36CF422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丰水期</w:t>
            </w:r>
            <w:sdt>
              <w:sdtPr>
                <w:rPr>
                  <w:rFonts w:hint="default" w:ascii="Times New Roman" w:hAnsi="Times New Roman" w:eastAsia="宋体" w:cs="Times New Roman"/>
                  <w:color w:val="auto"/>
                  <w:kern w:val="2"/>
                  <w:sz w:val="21"/>
                  <w:szCs w:val="21"/>
                </w:rPr>
                <w:id w:val="150131217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MS Gothic" w:hAnsi="MS Gothic" w:eastAsia="宋体" w:cs="Times New Roman"/>
                    <w:color w:val="auto"/>
                    <w:kern w:val="2"/>
                    <w:sz w:val="21"/>
                    <w:szCs w:val="21"/>
                    <w:lang w:val="en-US" w:eastAsia="zh-CN" w:bidi="ar-SA"/>
                  </w:rPr>
                  <w:t>☐</w:t>
                </w:r>
              </w:sdtContent>
            </w:sdt>
            <w:r>
              <w:rPr>
                <w:rFonts w:hint="default" w:ascii="Times New Roman" w:hAnsi="Times New Roman" w:eastAsia="宋体" w:cs="Times New Roman"/>
                <w:color w:val="auto"/>
                <w:kern w:val="2"/>
                <w:sz w:val="21"/>
                <w:szCs w:val="21"/>
              </w:rPr>
              <w:t>；平水期</w:t>
            </w:r>
            <w:sdt>
              <w:sdtPr>
                <w:rPr>
                  <w:rFonts w:hint="default" w:ascii="Times New Roman" w:hAnsi="Times New Roman" w:eastAsia="宋体" w:cs="Times New Roman"/>
                  <w:color w:val="auto"/>
                  <w:kern w:val="2"/>
                  <w:sz w:val="21"/>
                  <w:szCs w:val="21"/>
                </w:rPr>
                <w:id w:val="116104597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；枯水期</w:t>
            </w:r>
            <w:sdt>
              <w:sdtPr>
                <w:rPr>
                  <w:rFonts w:hint="default" w:ascii="Times New Roman" w:hAnsi="Times New Roman" w:eastAsia="宋体" w:cs="Times New Roman"/>
                  <w:color w:val="auto"/>
                  <w:kern w:val="2"/>
                  <w:sz w:val="21"/>
                  <w:szCs w:val="21"/>
                </w:rPr>
                <w:id w:val="7043994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MS Gothic" w:hAnsi="MS Gothic" w:eastAsia="宋体" w:cs="Times New Roman"/>
                    <w:color w:val="auto"/>
                    <w:kern w:val="2"/>
                    <w:sz w:val="21"/>
                    <w:szCs w:val="21"/>
                    <w:lang w:val="en-US" w:eastAsia="zh-CN" w:bidi="ar-SA"/>
                  </w:rPr>
                  <w:t>☐</w:t>
                </w:r>
              </w:sdtContent>
            </w:sdt>
            <w:r>
              <w:rPr>
                <w:rFonts w:hint="default" w:ascii="Times New Roman" w:hAnsi="Times New Roman" w:eastAsia="宋体" w:cs="Times New Roman"/>
                <w:color w:val="auto"/>
                <w:kern w:val="2"/>
                <w:sz w:val="21"/>
                <w:szCs w:val="21"/>
              </w:rPr>
              <w:t>；冰封期</w:t>
            </w:r>
            <w:sdt>
              <w:sdtPr>
                <w:rPr>
                  <w:rFonts w:hint="default" w:ascii="Times New Roman" w:hAnsi="Times New Roman" w:eastAsia="宋体" w:cs="Times New Roman"/>
                  <w:color w:val="auto"/>
                  <w:kern w:val="2"/>
                  <w:sz w:val="21"/>
                  <w:szCs w:val="21"/>
                </w:rPr>
                <w:id w:val="36854590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6E44359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春季</w:t>
            </w:r>
            <w:sdt>
              <w:sdtPr>
                <w:rPr>
                  <w:rFonts w:hint="default" w:ascii="Times New Roman" w:hAnsi="Times New Roman" w:eastAsia="宋体" w:cs="Times New Roman"/>
                  <w:color w:val="auto"/>
                  <w:kern w:val="2"/>
                  <w:sz w:val="21"/>
                  <w:szCs w:val="21"/>
                </w:rPr>
                <w:id w:val="104417000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；夏季</w:t>
            </w:r>
            <w:sdt>
              <w:sdtPr>
                <w:rPr>
                  <w:rFonts w:hint="default" w:ascii="Times New Roman" w:hAnsi="Times New Roman" w:eastAsia="宋体" w:cs="Times New Roman"/>
                  <w:color w:val="auto"/>
                  <w:kern w:val="2"/>
                  <w:sz w:val="21"/>
                  <w:szCs w:val="21"/>
                </w:rPr>
                <w:id w:val="3788962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；秋季</w:t>
            </w:r>
            <w:sdt>
              <w:sdtPr>
                <w:rPr>
                  <w:rFonts w:hint="default" w:ascii="Times New Roman" w:hAnsi="Times New Roman" w:eastAsia="宋体" w:cs="Times New Roman"/>
                  <w:color w:val="auto"/>
                  <w:kern w:val="2"/>
                  <w:sz w:val="21"/>
                  <w:szCs w:val="21"/>
                </w:rPr>
                <w:id w:val="5816513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；冬季</w:t>
            </w:r>
            <w:sdt>
              <w:sdtPr>
                <w:rPr>
                  <w:rFonts w:hint="default" w:ascii="Times New Roman" w:hAnsi="Times New Roman" w:eastAsia="宋体" w:cs="Times New Roman"/>
                  <w:color w:val="auto"/>
                  <w:kern w:val="2"/>
                  <w:sz w:val="21"/>
                  <w:szCs w:val="21"/>
                </w:rPr>
                <w:id w:val="99625549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MS Gothic" w:hAnsi="MS Gothic" w:eastAsia="宋体" w:cs="Times New Roman"/>
                    <w:color w:val="auto"/>
                    <w:kern w:val="2"/>
                    <w:sz w:val="21"/>
                    <w:szCs w:val="21"/>
                    <w:lang w:val="en-US" w:eastAsia="zh-CN" w:bidi="ar-SA"/>
                  </w:rPr>
                  <w:t>☐</w:t>
                </w:r>
              </w:sdtContent>
            </w:sdt>
            <w:r>
              <w:rPr>
                <w:rFonts w:hint="default" w:ascii="Times New Roman" w:hAnsi="Times New Roman" w:eastAsia="宋体" w:cs="Times New Roman"/>
                <w:color w:val="auto"/>
                <w:kern w:val="2"/>
                <w:sz w:val="21"/>
                <w:szCs w:val="21"/>
              </w:rPr>
              <w:t>；</w:t>
            </w:r>
          </w:p>
        </w:tc>
        <w:tc>
          <w:tcPr>
            <w:tcW w:w="773" w:type="pct"/>
            <w:gridSpan w:val="2"/>
            <w:vAlign w:val="center"/>
          </w:tcPr>
          <w:p w14:paraId="3BF4420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671" w:type="pct"/>
            <w:gridSpan w:val="3"/>
            <w:vAlign w:val="center"/>
          </w:tcPr>
          <w:p w14:paraId="25F0E2C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监测断面或点位个数</w:t>
            </w:r>
          </w:p>
          <w:p w14:paraId="64E4D4D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r w14:paraId="4785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restart"/>
            <w:vAlign w:val="center"/>
          </w:tcPr>
          <w:p w14:paraId="2F73D53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现状评价</w:t>
            </w:r>
          </w:p>
        </w:tc>
        <w:tc>
          <w:tcPr>
            <w:tcW w:w="1013" w:type="pct"/>
            <w:vAlign w:val="center"/>
          </w:tcPr>
          <w:p w14:paraId="54C5E59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评价范围</w:t>
            </w:r>
          </w:p>
        </w:tc>
        <w:tc>
          <w:tcPr>
            <w:tcW w:w="3750" w:type="pct"/>
            <w:gridSpan w:val="10"/>
            <w:vAlign w:val="center"/>
          </w:tcPr>
          <w:p w14:paraId="5C67E32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河流：长度（）km；湖库、河口及近岸海域：面积（）km</w:t>
            </w:r>
            <w:r>
              <w:rPr>
                <w:rFonts w:hint="default" w:ascii="Times New Roman" w:hAnsi="Times New Roman" w:eastAsia="宋体" w:cs="Times New Roman"/>
                <w:color w:val="auto"/>
                <w:kern w:val="2"/>
                <w:sz w:val="21"/>
                <w:szCs w:val="21"/>
                <w:vertAlign w:val="superscript"/>
              </w:rPr>
              <w:t>2</w:t>
            </w:r>
          </w:p>
        </w:tc>
      </w:tr>
      <w:tr w14:paraId="74E1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3E1DAB1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10D98A5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评价因子</w:t>
            </w:r>
          </w:p>
        </w:tc>
        <w:tc>
          <w:tcPr>
            <w:tcW w:w="3750" w:type="pct"/>
            <w:gridSpan w:val="10"/>
            <w:vAlign w:val="center"/>
          </w:tcPr>
          <w:p w14:paraId="08EC3F3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r w14:paraId="7703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1F81155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78ED804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评价标准</w:t>
            </w:r>
          </w:p>
        </w:tc>
        <w:tc>
          <w:tcPr>
            <w:tcW w:w="3750" w:type="pct"/>
            <w:gridSpan w:val="10"/>
            <w:vAlign w:val="center"/>
          </w:tcPr>
          <w:p w14:paraId="75A5725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河流、湖库、河口：I类</w:t>
            </w:r>
            <w:sdt>
              <w:sdtPr>
                <w:rPr>
                  <w:rFonts w:hint="default" w:ascii="Times New Roman" w:hAnsi="Times New Roman" w:eastAsia="宋体" w:cs="Times New Roman"/>
                  <w:color w:val="auto"/>
                  <w:kern w:val="2"/>
                  <w:sz w:val="21"/>
                  <w:szCs w:val="21"/>
                </w:rPr>
                <w:id w:val="86215394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；II类</w:t>
            </w:r>
            <w:sdt>
              <w:sdtPr>
                <w:rPr>
                  <w:rFonts w:hint="default" w:ascii="Times New Roman" w:hAnsi="Times New Roman" w:eastAsia="宋体" w:cs="Times New Roman"/>
                  <w:color w:val="auto"/>
                  <w:kern w:val="2"/>
                  <w:sz w:val="21"/>
                  <w:szCs w:val="21"/>
                </w:rPr>
                <w:id w:val="72271367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；Ⅲ类</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；Ⅳ类</w:t>
            </w:r>
            <w:sdt>
              <w:sdtPr>
                <w:rPr>
                  <w:rFonts w:hint="default" w:ascii="Times New Roman" w:hAnsi="Times New Roman" w:eastAsia="宋体" w:cs="Times New Roman"/>
                  <w:color w:val="auto"/>
                  <w:kern w:val="2"/>
                  <w:sz w:val="21"/>
                  <w:szCs w:val="21"/>
                </w:rPr>
                <w:id w:val="34202995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；Ⅴ类</w:t>
            </w:r>
            <w:sdt>
              <w:sdtPr>
                <w:rPr>
                  <w:rFonts w:hint="default" w:ascii="Times New Roman" w:hAnsi="Times New Roman" w:eastAsia="宋体" w:cs="Times New Roman"/>
                  <w:color w:val="auto"/>
                  <w:kern w:val="2"/>
                  <w:sz w:val="21"/>
                  <w:szCs w:val="21"/>
                </w:rPr>
                <w:id w:val="50310881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0E5D5FA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近岸海域：第一类</w:t>
            </w:r>
            <w:sdt>
              <w:sdtPr>
                <w:rPr>
                  <w:rFonts w:hint="default" w:ascii="Times New Roman" w:hAnsi="Times New Roman" w:eastAsia="宋体" w:cs="Times New Roman"/>
                  <w:color w:val="auto"/>
                  <w:kern w:val="2"/>
                  <w:sz w:val="21"/>
                  <w:szCs w:val="21"/>
                </w:rPr>
                <w:id w:val="56191250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；第二类</w:t>
            </w:r>
            <w:sdt>
              <w:sdtPr>
                <w:rPr>
                  <w:rFonts w:hint="default" w:ascii="Times New Roman" w:hAnsi="Times New Roman" w:eastAsia="宋体" w:cs="Times New Roman"/>
                  <w:color w:val="auto"/>
                  <w:kern w:val="2"/>
                  <w:sz w:val="21"/>
                  <w:szCs w:val="21"/>
                </w:rPr>
                <w:id w:val="26324445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；第三类</w:t>
            </w:r>
            <w:sdt>
              <w:sdtPr>
                <w:rPr>
                  <w:rFonts w:hint="default" w:ascii="Times New Roman" w:hAnsi="Times New Roman" w:eastAsia="宋体" w:cs="Times New Roman"/>
                  <w:color w:val="auto"/>
                  <w:kern w:val="2"/>
                  <w:sz w:val="21"/>
                  <w:szCs w:val="21"/>
                </w:rPr>
                <w:id w:val="63529781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；第四类</w:t>
            </w:r>
            <w:sdt>
              <w:sdtPr>
                <w:rPr>
                  <w:rFonts w:hint="default" w:ascii="Times New Roman" w:hAnsi="Times New Roman" w:eastAsia="宋体" w:cs="Times New Roman"/>
                  <w:color w:val="auto"/>
                  <w:kern w:val="2"/>
                  <w:sz w:val="21"/>
                  <w:szCs w:val="21"/>
                </w:rPr>
                <w:id w:val="49518795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0201165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规划年评价标准（）</w:t>
            </w:r>
          </w:p>
        </w:tc>
      </w:tr>
      <w:tr w14:paraId="463B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510024A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6F428A4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评价时期</w:t>
            </w:r>
          </w:p>
        </w:tc>
        <w:tc>
          <w:tcPr>
            <w:tcW w:w="3750" w:type="pct"/>
            <w:gridSpan w:val="10"/>
            <w:vAlign w:val="center"/>
          </w:tcPr>
          <w:p w14:paraId="3BF9158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丰水期</w:t>
            </w:r>
            <w:sdt>
              <w:sdtPr>
                <w:rPr>
                  <w:rFonts w:hint="default" w:ascii="Times New Roman" w:hAnsi="Times New Roman" w:eastAsia="宋体" w:cs="Times New Roman"/>
                  <w:color w:val="auto"/>
                  <w:kern w:val="2"/>
                  <w:sz w:val="21"/>
                  <w:szCs w:val="21"/>
                </w:rPr>
                <w:id w:val="144797208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；平水期</w:t>
            </w:r>
            <w:sdt>
              <w:sdtPr>
                <w:rPr>
                  <w:rFonts w:hint="default" w:ascii="Times New Roman" w:hAnsi="Times New Roman" w:eastAsia="宋体" w:cs="Times New Roman"/>
                  <w:color w:val="auto"/>
                  <w:kern w:val="2"/>
                  <w:sz w:val="21"/>
                  <w:szCs w:val="21"/>
                </w:rPr>
                <w:id w:val="36332449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；枯水期</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；冰封期</w:t>
            </w:r>
            <w:sdt>
              <w:sdtPr>
                <w:rPr>
                  <w:rFonts w:hint="default" w:ascii="Times New Roman" w:hAnsi="Times New Roman" w:eastAsia="宋体" w:cs="Times New Roman"/>
                  <w:color w:val="auto"/>
                  <w:kern w:val="2"/>
                  <w:sz w:val="21"/>
                  <w:szCs w:val="21"/>
                </w:rPr>
                <w:id w:val="99293486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25EB340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春季</w:t>
            </w:r>
            <w:sdt>
              <w:sdtPr>
                <w:rPr>
                  <w:rFonts w:hint="default" w:ascii="Times New Roman" w:hAnsi="Times New Roman" w:eastAsia="宋体" w:cs="Times New Roman"/>
                  <w:color w:val="auto"/>
                  <w:kern w:val="2"/>
                  <w:sz w:val="21"/>
                  <w:szCs w:val="21"/>
                </w:rPr>
                <w:id w:val="45384449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；夏季</w:t>
            </w:r>
            <w:sdt>
              <w:sdtPr>
                <w:rPr>
                  <w:rFonts w:hint="default" w:ascii="Times New Roman" w:hAnsi="Times New Roman" w:eastAsia="宋体" w:cs="Times New Roman"/>
                  <w:color w:val="auto"/>
                  <w:kern w:val="2"/>
                  <w:sz w:val="21"/>
                  <w:szCs w:val="21"/>
                </w:rPr>
                <w:id w:val="75547618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；秋季</w:t>
            </w:r>
            <w:sdt>
              <w:sdtPr>
                <w:rPr>
                  <w:rFonts w:hint="default" w:ascii="Times New Roman" w:hAnsi="Times New Roman" w:eastAsia="宋体" w:cs="Times New Roman"/>
                  <w:color w:val="auto"/>
                  <w:kern w:val="2"/>
                  <w:sz w:val="21"/>
                  <w:szCs w:val="21"/>
                </w:rPr>
                <w:id w:val="50677158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；冬季</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w:t>
            </w:r>
          </w:p>
        </w:tc>
      </w:tr>
      <w:tr w14:paraId="24EC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7218823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5F2A3C9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评价结论</w:t>
            </w:r>
          </w:p>
        </w:tc>
        <w:tc>
          <w:tcPr>
            <w:tcW w:w="3149" w:type="pct"/>
            <w:gridSpan w:val="8"/>
            <w:vAlign w:val="center"/>
          </w:tcPr>
          <w:p w14:paraId="79EED3FE">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水环境功能区或水功能区、近岸海域环境功能区水质达标状况</w:t>
            </w:r>
            <w:sdt>
              <w:sdtPr>
                <w:rPr>
                  <w:rFonts w:hint="default" w:ascii="Times New Roman" w:hAnsi="Times New Roman" w:eastAsia="宋体" w:cs="Times New Roman"/>
                  <w:color w:val="auto"/>
                  <w:kern w:val="2"/>
                  <w:sz w:val="21"/>
                  <w:szCs w:val="21"/>
                </w:rPr>
                <w:id w:val="84714902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；达标</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；不达标</w:t>
            </w:r>
            <w:sdt>
              <w:sdtPr>
                <w:rPr>
                  <w:rFonts w:hint="default" w:ascii="Times New Roman" w:hAnsi="Times New Roman" w:eastAsia="宋体" w:cs="Times New Roman"/>
                  <w:color w:val="auto"/>
                  <w:kern w:val="2"/>
                  <w:sz w:val="21"/>
                  <w:szCs w:val="21"/>
                </w:rPr>
                <w:id w:val="895037968"/>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5D00AE37">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水环境控制单元或断面水质达标状况</w:t>
            </w:r>
            <w:sdt>
              <w:sdtPr>
                <w:rPr>
                  <w:rFonts w:hint="default" w:ascii="Times New Roman" w:hAnsi="Times New Roman" w:eastAsia="宋体" w:cs="Times New Roman"/>
                  <w:color w:val="auto"/>
                  <w:kern w:val="2"/>
                  <w:sz w:val="21"/>
                  <w:szCs w:val="21"/>
                </w:rPr>
                <w:id w:val="175862941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；达标</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；不达标</w:t>
            </w:r>
            <w:sdt>
              <w:sdtPr>
                <w:rPr>
                  <w:rFonts w:hint="default" w:ascii="Times New Roman" w:hAnsi="Times New Roman" w:eastAsia="宋体" w:cs="Times New Roman"/>
                  <w:color w:val="auto"/>
                  <w:kern w:val="2"/>
                  <w:sz w:val="21"/>
                  <w:szCs w:val="21"/>
                </w:rPr>
                <w:id w:val="50996239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4D8B4E31">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水环境保护目标质量状况</w:t>
            </w:r>
            <w:sdt>
              <w:sdtPr>
                <w:rPr>
                  <w:rFonts w:hint="default" w:ascii="Times New Roman" w:hAnsi="Times New Roman" w:eastAsia="宋体" w:cs="Times New Roman"/>
                  <w:color w:val="auto"/>
                  <w:kern w:val="2"/>
                  <w:sz w:val="21"/>
                  <w:szCs w:val="21"/>
                </w:rPr>
                <w:id w:val="39426253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；达标</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；不达标</w:t>
            </w:r>
            <w:sdt>
              <w:sdtPr>
                <w:rPr>
                  <w:rFonts w:hint="default" w:ascii="Times New Roman" w:hAnsi="Times New Roman" w:eastAsia="宋体" w:cs="Times New Roman"/>
                  <w:color w:val="auto"/>
                  <w:kern w:val="2"/>
                  <w:sz w:val="21"/>
                  <w:szCs w:val="21"/>
                </w:rPr>
                <w:id w:val="127104356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2A275811">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对照断面、控制断面等代表性断面的水质状况</w:t>
            </w:r>
            <w:sdt>
              <w:sdtPr>
                <w:rPr>
                  <w:rFonts w:hint="default" w:ascii="Times New Roman" w:hAnsi="Times New Roman" w:eastAsia="宋体" w:cs="Times New Roman"/>
                  <w:color w:val="auto"/>
                  <w:kern w:val="2"/>
                  <w:sz w:val="21"/>
                  <w:szCs w:val="21"/>
                </w:rPr>
                <w:id w:val="188036156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MS Gothic" w:hAnsi="MS Gothic" w:eastAsia="宋体" w:cs="Times New Roman"/>
                    <w:color w:val="auto"/>
                    <w:kern w:val="2"/>
                    <w:sz w:val="21"/>
                    <w:szCs w:val="21"/>
                    <w:lang w:val="en-US" w:eastAsia="zh-CN" w:bidi="ar-SA"/>
                  </w:rPr>
                  <w:t>☐</w:t>
                </w:r>
              </w:sdtContent>
            </w:sdt>
            <w:r>
              <w:rPr>
                <w:rFonts w:hint="default" w:ascii="Times New Roman" w:hAnsi="Times New Roman" w:eastAsia="宋体" w:cs="Times New Roman"/>
                <w:color w:val="auto"/>
                <w:kern w:val="2"/>
                <w:sz w:val="21"/>
                <w:szCs w:val="21"/>
              </w:rPr>
              <w:t>；达标</w:t>
            </w:r>
            <w:sdt>
              <w:sdtPr>
                <w:rPr>
                  <w:rFonts w:hint="default" w:ascii="Times New Roman" w:hAnsi="Times New Roman" w:eastAsia="宋体" w:cs="Times New Roman"/>
                  <w:color w:val="auto"/>
                  <w:kern w:val="2"/>
                  <w:sz w:val="21"/>
                  <w:szCs w:val="21"/>
                </w:rPr>
                <w:id w:val="67746956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；不达标</w:t>
            </w:r>
            <w:sdt>
              <w:sdtPr>
                <w:rPr>
                  <w:rFonts w:hint="default" w:ascii="Times New Roman" w:hAnsi="Times New Roman" w:eastAsia="宋体" w:cs="Times New Roman"/>
                  <w:color w:val="auto"/>
                  <w:kern w:val="2"/>
                  <w:sz w:val="21"/>
                  <w:szCs w:val="21"/>
                </w:rPr>
                <w:id w:val="49324657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3A5F16A8">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底泥污染评价</w:t>
            </w:r>
            <w:sdt>
              <w:sdtPr>
                <w:rPr>
                  <w:rFonts w:hint="default" w:ascii="Times New Roman" w:hAnsi="Times New Roman" w:eastAsia="宋体" w:cs="Times New Roman"/>
                  <w:color w:val="auto"/>
                  <w:kern w:val="2"/>
                  <w:sz w:val="21"/>
                  <w:szCs w:val="21"/>
                </w:rPr>
                <w:id w:val="50143841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6BAFD9E5">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水资源与开发利用程度及其水文情势评价</w:t>
            </w:r>
            <w:sdt>
              <w:sdtPr>
                <w:rPr>
                  <w:rFonts w:hint="default" w:ascii="Times New Roman" w:hAnsi="Times New Roman" w:eastAsia="宋体" w:cs="Times New Roman"/>
                  <w:color w:val="auto"/>
                  <w:kern w:val="2"/>
                  <w:sz w:val="21"/>
                  <w:szCs w:val="21"/>
                </w:rPr>
                <w:id w:val="130303912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71683FBF">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水环境质量回顾评价</w:t>
            </w:r>
            <w:sdt>
              <w:sdtPr>
                <w:rPr>
                  <w:rFonts w:hint="default" w:ascii="Times New Roman" w:hAnsi="Times New Roman" w:eastAsia="宋体" w:cs="Times New Roman"/>
                  <w:color w:val="auto"/>
                  <w:kern w:val="2"/>
                  <w:sz w:val="21"/>
                  <w:szCs w:val="21"/>
                </w:rPr>
                <w:id w:val="165904453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37E3C979">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both"/>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流域（区域）水资源（包括水能资源）与开发利用总体状况、生态流量管理要求与现状满足程度、建设项目占用水域空间的水流状况与河湖演变状况</w:t>
            </w:r>
            <w:sdt>
              <w:sdtPr>
                <w:rPr>
                  <w:rFonts w:hint="default" w:ascii="Times New Roman" w:hAnsi="Times New Roman" w:eastAsia="宋体" w:cs="Times New Roman"/>
                  <w:color w:val="auto"/>
                  <w:kern w:val="2"/>
                  <w:sz w:val="21"/>
                  <w:szCs w:val="21"/>
                </w:rPr>
                <w:id w:val="74484421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c>
          <w:tcPr>
            <w:tcW w:w="601" w:type="pct"/>
            <w:gridSpan w:val="2"/>
            <w:vAlign w:val="center"/>
          </w:tcPr>
          <w:p w14:paraId="49EA0DD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达标区</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w:t>
            </w:r>
          </w:p>
          <w:p w14:paraId="320EDE6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不达标区</w:t>
            </w:r>
            <w:sdt>
              <w:sdtPr>
                <w:rPr>
                  <w:rFonts w:hint="default" w:ascii="Times New Roman" w:hAnsi="Times New Roman" w:eastAsia="宋体" w:cs="Times New Roman"/>
                  <w:color w:val="auto"/>
                  <w:kern w:val="2"/>
                  <w:sz w:val="21"/>
                  <w:szCs w:val="21"/>
                </w:rPr>
                <w:id w:val="55173926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75CB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restart"/>
            <w:vAlign w:val="center"/>
          </w:tcPr>
          <w:p w14:paraId="1C45649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影响预测</w:t>
            </w:r>
          </w:p>
        </w:tc>
        <w:tc>
          <w:tcPr>
            <w:tcW w:w="1013" w:type="pct"/>
            <w:vAlign w:val="center"/>
          </w:tcPr>
          <w:p w14:paraId="6FE1ECD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预测范围</w:t>
            </w:r>
          </w:p>
        </w:tc>
        <w:tc>
          <w:tcPr>
            <w:tcW w:w="3750" w:type="pct"/>
            <w:gridSpan w:val="10"/>
            <w:vAlign w:val="center"/>
          </w:tcPr>
          <w:p w14:paraId="29C6349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河流：长度（）km；湖库、河口及近岸海域：面积（）km</w:t>
            </w:r>
            <w:r>
              <w:rPr>
                <w:rFonts w:hint="default" w:ascii="Times New Roman" w:hAnsi="Times New Roman" w:eastAsia="宋体" w:cs="Times New Roman"/>
                <w:color w:val="auto"/>
                <w:kern w:val="2"/>
                <w:sz w:val="21"/>
                <w:szCs w:val="21"/>
                <w:vertAlign w:val="superscript"/>
              </w:rPr>
              <w:t>2</w:t>
            </w:r>
          </w:p>
        </w:tc>
      </w:tr>
      <w:tr w14:paraId="6274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7A0349C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1555B63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预测因子</w:t>
            </w:r>
          </w:p>
        </w:tc>
        <w:tc>
          <w:tcPr>
            <w:tcW w:w="3750" w:type="pct"/>
            <w:gridSpan w:val="10"/>
            <w:vAlign w:val="center"/>
          </w:tcPr>
          <w:p w14:paraId="4EFEAD3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r w14:paraId="454E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784F615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2B5DD25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预测时期</w:t>
            </w:r>
          </w:p>
        </w:tc>
        <w:tc>
          <w:tcPr>
            <w:tcW w:w="3750" w:type="pct"/>
            <w:gridSpan w:val="10"/>
            <w:vAlign w:val="center"/>
          </w:tcPr>
          <w:p w14:paraId="564E42C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丰水期</w:t>
            </w:r>
            <w:sdt>
              <w:sdtPr>
                <w:rPr>
                  <w:rFonts w:hint="default" w:ascii="Times New Roman" w:hAnsi="Times New Roman" w:eastAsia="宋体" w:cs="Times New Roman"/>
                  <w:color w:val="auto"/>
                  <w:kern w:val="2"/>
                  <w:sz w:val="21"/>
                  <w:szCs w:val="21"/>
                </w:rPr>
                <w:id w:val="55526058"/>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；平水期</w:t>
            </w:r>
            <w:sdt>
              <w:sdtPr>
                <w:rPr>
                  <w:rFonts w:hint="default" w:ascii="Times New Roman" w:hAnsi="Times New Roman" w:eastAsia="宋体" w:cs="Times New Roman"/>
                  <w:color w:val="auto"/>
                  <w:kern w:val="2"/>
                  <w:sz w:val="21"/>
                  <w:szCs w:val="21"/>
                </w:rPr>
                <w:id w:val="40012622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；枯水期</w:t>
            </w:r>
            <w:sdt>
              <w:sdtPr>
                <w:rPr>
                  <w:rFonts w:hint="default" w:ascii="Times New Roman" w:hAnsi="Times New Roman" w:eastAsia="宋体" w:cs="Times New Roman"/>
                  <w:color w:val="auto"/>
                  <w:kern w:val="2"/>
                  <w:sz w:val="21"/>
                  <w:szCs w:val="21"/>
                </w:rPr>
                <w:id w:val="77279832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；冰封期</w:t>
            </w:r>
            <w:sdt>
              <w:sdtPr>
                <w:rPr>
                  <w:rFonts w:hint="default" w:ascii="Times New Roman" w:hAnsi="Times New Roman" w:eastAsia="宋体" w:cs="Times New Roman"/>
                  <w:color w:val="auto"/>
                  <w:kern w:val="2"/>
                  <w:sz w:val="21"/>
                  <w:szCs w:val="21"/>
                </w:rPr>
                <w:id w:val="34829665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3A50C2A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春季</w:t>
            </w:r>
            <w:sdt>
              <w:sdtPr>
                <w:rPr>
                  <w:rFonts w:hint="default" w:ascii="Times New Roman" w:hAnsi="Times New Roman" w:eastAsia="宋体" w:cs="Times New Roman"/>
                  <w:color w:val="auto"/>
                  <w:kern w:val="2"/>
                  <w:sz w:val="21"/>
                  <w:szCs w:val="21"/>
                </w:rPr>
                <w:id w:val="99749230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；夏季</w:t>
            </w:r>
            <w:sdt>
              <w:sdtPr>
                <w:rPr>
                  <w:rFonts w:hint="default" w:ascii="Times New Roman" w:hAnsi="Times New Roman" w:eastAsia="宋体" w:cs="Times New Roman"/>
                  <w:color w:val="auto"/>
                  <w:kern w:val="2"/>
                  <w:sz w:val="21"/>
                  <w:szCs w:val="21"/>
                </w:rPr>
                <w:id w:val="93716419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；秋季</w:t>
            </w:r>
            <w:sdt>
              <w:sdtPr>
                <w:rPr>
                  <w:rFonts w:hint="default" w:ascii="Times New Roman" w:hAnsi="Times New Roman" w:eastAsia="宋体" w:cs="Times New Roman"/>
                  <w:color w:val="auto"/>
                  <w:kern w:val="2"/>
                  <w:sz w:val="21"/>
                  <w:szCs w:val="21"/>
                </w:rPr>
                <w:id w:val="163405358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；冬季</w:t>
            </w:r>
            <w:sdt>
              <w:sdtPr>
                <w:rPr>
                  <w:rFonts w:hint="default" w:ascii="Times New Roman" w:hAnsi="Times New Roman" w:eastAsia="宋体" w:cs="Times New Roman"/>
                  <w:color w:val="auto"/>
                  <w:kern w:val="2"/>
                  <w:sz w:val="21"/>
                  <w:szCs w:val="21"/>
                </w:rPr>
                <w:id w:val="54379247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6C02F9E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设计水文条件</w:t>
            </w:r>
            <w:sdt>
              <w:sdtPr>
                <w:rPr>
                  <w:rFonts w:hint="default" w:ascii="Times New Roman" w:hAnsi="Times New Roman" w:eastAsia="宋体" w:cs="Times New Roman"/>
                  <w:color w:val="auto"/>
                  <w:kern w:val="2"/>
                  <w:sz w:val="21"/>
                  <w:szCs w:val="21"/>
                </w:rPr>
                <w:id w:val="46292667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066E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4CC4B35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3238298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预测情景</w:t>
            </w:r>
          </w:p>
        </w:tc>
        <w:tc>
          <w:tcPr>
            <w:tcW w:w="3750" w:type="pct"/>
            <w:gridSpan w:val="10"/>
            <w:vAlign w:val="center"/>
          </w:tcPr>
          <w:p w14:paraId="65428DF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建设期</w:t>
            </w:r>
            <w:sdt>
              <w:sdtPr>
                <w:rPr>
                  <w:rFonts w:hint="default" w:ascii="Times New Roman" w:hAnsi="Times New Roman" w:eastAsia="宋体" w:cs="Times New Roman"/>
                  <w:color w:val="auto"/>
                  <w:kern w:val="2"/>
                  <w:sz w:val="21"/>
                  <w:szCs w:val="21"/>
                </w:rPr>
                <w:id w:val="69780554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；生产运行期</w:t>
            </w:r>
            <w:sdt>
              <w:sdtPr>
                <w:rPr>
                  <w:rFonts w:hint="default" w:ascii="Times New Roman" w:hAnsi="Times New Roman" w:eastAsia="宋体" w:cs="Times New Roman"/>
                  <w:color w:val="auto"/>
                  <w:kern w:val="2"/>
                  <w:sz w:val="21"/>
                  <w:szCs w:val="21"/>
                </w:rPr>
                <w:id w:val="78185067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；服务期满后</w:t>
            </w:r>
            <w:sdt>
              <w:sdtPr>
                <w:rPr>
                  <w:rFonts w:hint="default" w:ascii="Times New Roman" w:hAnsi="Times New Roman" w:eastAsia="宋体" w:cs="Times New Roman"/>
                  <w:color w:val="auto"/>
                  <w:kern w:val="2"/>
                  <w:sz w:val="21"/>
                  <w:szCs w:val="21"/>
                </w:rPr>
                <w:id w:val="79380094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19EAB58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正常工况</w:t>
            </w:r>
            <w:sdt>
              <w:sdtPr>
                <w:rPr>
                  <w:rFonts w:hint="default" w:ascii="Times New Roman" w:hAnsi="Times New Roman" w:eastAsia="宋体" w:cs="Times New Roman"/>
                  <w:color w:val="auto"/>
                  <w:kern w:val="2"/>
                  <w:sz w:val="21"/>
                  <w:szCs w:val="21"/>
                </w:rPr>
                <w:id w:val="77094137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；非正常工况</w:t>
            </w:r>
            <w:sdt>
              <w:sdtPr>
                <w:rPr>
                  <w:rFonts w:hint="default" w:ascii="Times New Roman" w:hAnsi="Times New Roman" w:eastAsia="宋体" w:cs="Times New Roman"/>
                  <w:color w:val="auto"/>
                  <w:kern w:val="2"/>
                  <w:sz w:val="21"/>
                  <w:szCs w:val="21"/>
                </w:rPr>
                <w:id w:val="10296147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3B4A141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污染控制和减缓措施方案</w:t>
            </w:r>
            <w:sdt>
              <w:sdtPr>
                <w:rPr>
                  <w:rFonts w:hint="default" w:ascii="Times New Roman" w:hAnsi="Times New Roman" w:eastAsia="宋体" w:cs="Times New Roman"/>
                  <w:color w:val="auto"/>
                  <w:kern w:val="2"/>
                  <w:sz w:val="21"/>
                  <w:szCs w:val="21"/>
                </w:rPr>
                <w:id w:val="62076184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02BD79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区（流）域环境质量改善目标要求情景</w:t>
            </w:r>
            <w:sdt>
              <w:sdtPr>
                <w:rPr>
                  <w:rFonts w:hint="default" w:ascii="Times New Roman" w:hAnsi="Times New Roman" w:eastAsia="宋体" w:cs="Times New Roman"/>
                  <w:color w:val="auto"/>
                  <w:kern w:val="2"/>
                  <w:sz w:val="21"/>
                  <w:szCs w:val="21"/>
                </w:rPr>
                <w:id w:val="42130263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3BB3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5E58D43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305D6B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预测方法</w:t>
            </w:r>
          </w:p>
        </w:tc>
        <w:tc>
          <w:tcPr>
            <w:tcW w:w="3750" w:type="pct"/>
            <w:gridSpan w:val="10"/>
            <w:vAlign w:val="center"/>
          </w:tcPr>
          <w:p w14:paraId="2A77BCD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数值解</w:t>
            </w:r>
            <w:sdt>
              <w:sdtPr>
                <w:rPr>
                  <w:rFonts w:hint="default" w:ascii="Times New Roman" w:hAnsi="Times New Roman" w:eastAsia="宋体" w:cs="Times New Roman"/>
                  <w:color w:val="auto"/>
                  <w:kern w:val="2"/>
                  <w:sz w:val="21"/>
                  <w:szCs w:val="21"/>
                </w:rPr>
                <w:id w:val="99200363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；解析解</w:t>
            </w:r>
            <w:sdt>
              <w:sdtPr>
                <w:rPr>
                  <w:rFonts w:hint="default" w:ascii="Times New Roman" w:hAnsi="Times New Roman" w:eastAsia="宋体" w:cs="Times New Roman"/>
                  <w:color w:val="auto"/>
                  <w:kern w:val="2"/>
                  <w:sz w:val="21"/>
                  <w:szCs w:val="21"/>
                </w:rPr>
                <w:id w:val="99336745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sdt>
              <w:sdtPr>
                <w:rPr>
                  <w:rFonts w:hint="default" w:ascii="Times New Roman" w:hAnsi="Times New Roman" w:eastAsia="宋体" w:cs="Times New Roman"/>
                  <w:color w:val="auto"/>
                  <w:kern w:val="2"/>
                  <w:sz w:val="21"/>
                  <w:szCs w:val="21"/>
                </w:rPr>
                <w:id w:val="183309424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；导则推荐模式</w:t>
            </w:r>
            <w:sdt>
              <w:sdtPr>
                <w:rPr>
                  <w:rFonts w:hint="default" w:ascii="Times New Roman" w:hAnsi="Times New Roman" w:eastAsia="宋体" w:cs="Times New Roman"/>
                  <w:color w:val="auto"/>
                  <w:kern w:val="2"/>
                  <w:sz w:val="21"/>
                  <w:szCs w:val="21"/>
                </w:rPr>
                <w:id w:val="67892697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sdt>
              <w:sdtPr>
                <w:rPr>
                  <w:rFonts w:hint="default" w:ascii="Times New Roman" w:hAnsi="Times New Roman" w:eastAsia="宋体" w:cs="Times New Roman"/>
                  <w:color w:val="auto"/>
                  <w:kern w:val="2"/>
                  <w:sz w:val="21"/>
                  <w:szCs w:val="21"/>
                </w:rPr>
                <w:id w:val="84077548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3546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restart"/>
            <w:vAlign w:val="center"/>
          </w:tcPr>
          <w:p w14:paraId="298953B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影响评价</w:t>
            </w:r>
          </w:p>
        </w:tc>
        <w:tc>
          <w:tcPr>
            <w:tcW w:w="1013" w:type="pct"/>
            <w:vAlign w:val="center"/>
          </w:tcPr>
          <w:p w14:paraId="46C68A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水污染控制和水源井影响减缓措施有效性评价</w:t>
            </w:r>
          </w:p>
        </w:tc>
        <w:tc>
          <w:tcPr>
            <w:tcW w:w="3750" w:type="pct"/>
            <w:gridSpan w:val="10"/>
            <w:vAlign w:val="center"/>
          </w:tcPr>
          <w:p w14:paraId="0F0BF1B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区（流）域水环境质量改善目标</w:t>
            </w:r>
            <w:sdt>
              <w:sdtPr>
                <w:rPr>
                  <w:rFonts w:hint="default" w:ascii="Times New Roman" w:hAnsi="Times New Roman" w:eastAsia="宋体" w:cs="Times New Roman"/>
                  <w:color w:val="auto"/>
                  <w:kern w:val="2"/>
                  <w:sz w:val="21"/>
                  <w:szCs w:val="21"/>
                </w:rPr>
                <w:id w:val="85552139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；替代削减源</w:t>
            </w:r>
            <w:sdt>
              <w:sdtPr>
                <w:rPr>
                  <w:rFonts w:hint="default" w:ascii="Times New Roman" w:hAnsi="Times New Roman" w:eastAsia="宋体" w:cs="Times New Roman"/>
                  <w:color w:val="auto"/>
                  <w:kern w:val="2"/>
                  <w:sz w:val="21"/>
                  <w:szCs w:val="21"/>
                </w:rPr>
                <w:id w:val="2095693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0AED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2320B57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1A56A3D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水环境影响评价</w:t>
            </w:r>
          </w:p>
        </w:tc>
        <w:tc>
          <w:tcPr>
            <w:tcW w:w="3750" w:type="pct"/>
            <w:gridSpan w:val="10"/>
            <w:vAlign w:val="center"/>
          </w:tcPr>
          <w:p w14:paraId="735FCD9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排放口混合区外满足水环境管理要求</w:t>
            </w:r>
            <w:sdt>
              <w:sdtPr>
                <w:rPr>
                  <w:rFonts w:hint="default" w:ascii="Times New Roman" w:hAnsi="Times New Roman" w:eastAsia="宋体" w:cs="Times New Roman"/>
                  <w:color w:val="auto"/>
                  <w:kern w:val="2"/>
                  <w:sz w:val="21"/>
                  <w:szCs w:val="21"/>
                </w:rPr>
                <w:id w:val="19640065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7A2A9F1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水环境功能区或水功能区、近岸海域环境功能区水质达标</w:t>
            </w:r>
            <w:sdt>
              <w:sdtPr>
                <w:rPr>
                  <w:rFonts w:hint="default" w:ascii="Times New Roman" w:hAnsi="Times New Roman" w:eastAsia="宋体" w:cs="Times New Roman"/>
                  <w:color w:val="auto"/>
                  <w:kern w:val="2"/>
                  <w:sz w:val="21"/>
                  <w:szCs w:val="21"/>
                </w:rPr>
                <w:id w:val="11876585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6C77A43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满足水环境保护目标水域水环境质量要求</w:t>
            </w:r>
            <w:sdt>
              <w:sdtPr>
                <w:rPr>
                  <w:rFonts w:hint="default" w:ascii="Times New Roman" w:hAnsi="Times New Roman" w:eastAsia="宋体" w:cs="Times New Roman"/>
                  <w:color w:val="auto"/>
                  <w:kern w:val="2"/>
                  <w:sz w:val="21"/>
                  <w:szCs w:val="21"/>
                </w:rPr>
                <w:id w:val="36866124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084BBE4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水环境控制单元或断面水质达标</w:t>
            </w:r>
            <w:sdt>
              <w:sdtPr>
                <w:rPr>
                  <w:rFonts w:hint="default" w:ascii="Times New Roman" w:hAnsi="Times New Roman" w:eastAsia="宋体" w:cs="Times New Roman"/>
                  <w:color w:val="auto"/>
                  <w:kern w:val="2"/>
                  <w:sz w:val="21"/>
                  <w:szCs w:val="21"/>
                </w:rPr>
                <w:id w:val="198011390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2EA03D4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满足重点水污染物排放总量控制指标要求，重点行业建设项目，主要污染物排放满足等量或减量替代要求</w:t>
            </w:r>
            <w:sdt>
              <w:sdtPr>
                <w:rPr>
                  <w:rFonts w:hint="default" w:ascii="Times New Roman" w:hAnsi="Times New Roman" w:eastAsia="宋体" w:cs="Times New Roman"/>
                  <w:color w:val="auto"/>
                  <w:kern w:val="2"/>
                  <w:sz w:val="21"/>
                  <w:szCs w:val="21"/>
                </w:rPr>
                <w:id w:val="4185186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6E8D22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满足区（流）域水环境质量改善目标要求</w:t>
            </w:r>
            <w:sdt>
              <w:sdtPr>
                <w:rPr>
                  <w:rFonts w:hint="default" w:ascii="Times New Roman" w:hAnsi="Times New Roman" w:eastAsia="宋体" w:cs="Times New Roman"/>
                  <w:color w:val="auto"/>
                  <w:kern w:val="2"/>
                  <w:sz w:val="21"/>
                  <w:szCs w:val="21"/>
                </w:rPr>
                <w:id w:val="44095942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0FD7DBC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水文要素影响型建设项目同时应包括水文情势变化评价、主要水文特征值影响评价、生态流量符合性评价</w:t>
            </w:r>
            <w:sdt>
              <w:sdtPr>
                <w:rPr>
                  <w:rFonts w:hint="default" w:ascii="Times New Roman" w:hAnsi="Times New Roman" w:eastAsia="宋体" w:cs="Times New Roman"/>
                  <w:color w:val="auto"/>
                  <w:kern w:val="2"/>
                  <w:sz w:val="21"/>
                  <w:szCs w:val="21"/>
                </w:rPr>
                <w:id w:val="34660194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11E56B2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对于新设或调整入河（湖库、近岸海域）排放口的建设项目，应包括排放口设置的环境合理性评价</w:t>
            </w:r>
            <w:sdt>
              <w:sdtPr>
                <w:rPr>
                  <w:rFonts w:hint="default" w:ascii="Times New Roman" w:hAnsi="Times New Roman" w:eastAsia="宋体" w:cs="Times New Roman"/>
                  <w:color w:val="auto"/>
                  <w:kern w:val="2"/>
                  <w:sz w:val="21"/>
                  <w:szCs w:val="21"/>
                </w:rPr>
                <w:id w:val="72675838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p w14:paraId="73815B2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满足生态保护红线、水环境质量底线、资源利用上线和环境准入清单管理要求</w:t>
            </w:r>
            <w:sdt>
              <w:sdtPr>
                <w:rPr>
                  <w:rFonts w:hint="default" w:ascii="Times New Roman" w:hAnsi="Times New Roman" w:eastAsia="宋体" w:cs="Times New Roman"/>
                  <w:color w:val="auto"/>
                  <w:kern w:val="2"/>
                  <w:sz w:val="21"/>
                  <w:szCs w:val="21"/>
                </w:rPr>
                <w:id w:val="980962795"/>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24CA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6D5AA63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restart"/>
            <w:vAlign w:val="center"/>
          </w:tcPr>
          <w:p w14:paraId="36E9362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污染源排放量核算</w:t>
            </w:r>
          </w:p>
        </w:tc>
        <w:tc>
          <w:tcPr>
            <w:tcW w:w="2306" w:type="pct"/>
            <w:gridSpan w:val="5"/>
            <w:vAlign w:val="center"/>
          </w:tcPr>
          <w:p w14:paraId="217AB05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污染物名称</w:t>
            </w:r>
          </w:p>
        </w:tc>
        <w:tc>
          <w:tcPr>
            <w:tcW w:w="419" w:type="pct"/>
            <w:vAlign w:val="center"/>
          </w:tcPr>
          <w:p w14:paraId="10EAB76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排放量/（t/a）</w:t>
            </w:r>
          </w:p>
        </w:tc>
        <w:tc>
          <w:tcPr>
            <w:tcW w:w="1024" w:type="pct"/>
            <w:gridSpan w:val="4"/>
            <w:vAlign w:val="center"/>
          </w:tcPr>
          <w:p w14:paraId="444AF4C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排放浓度/（mg/L）</w:t>
            </w:r>
          </w:p>
        </w:tc>
      </w:tr>
      <w:tr w14:paraId="0583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6427EB2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3FDACBD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2306" w:type="pct"/>
            <w:gridSpan w:val="5"/>
            <w:vAlign w:val="center"/>
          </w:tcPr>
          <w:p w14:paraId="01ED879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419" w:type="pct"/>
            <w:vAlign w:val="center"/>
          </w:tcPr>
          <w:p w14:paraId="72D55FE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1024" w:type="pct"/>
            <w:gridSpan w:val="4"/>
            <w:vAlign w:val="center"/>
          </w:tcPr>
          <w:p w14:paraId="4384682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r w14:paraId="3FD0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6E301CA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restart"/>
            <w:vAlign w:val="center"/>
          </w:tcPr>
          <w:p w14:paraId="036442E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替代源排放情况</w:t>
            </w:r>
          </w:p>
        </w:tc>
        <w:tc>
          <w:tcPr>
            <w:tcW w:w="982" w:type="pct"/>
            <w:vAlign w:val="center"/>
          </w:tcPr>
          <w:p w14:paraId="7AC5459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污染源名称</w:t>
            </w:r>
          </w:p>
        </w:tc>
        <w:tc>
          <w:tcPr>
            <w:tcW w:w="774" w:type="pct"/>
            <w:gridSpan w:val="2"/>
            <w:vAlign w:val="center"/>
          </w:tcPr>
          <w:p w14:paraId="1D42B60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排放许可证编号</w:t>
            </w:r>
          </w:p>
        </w:tc>
        <w:tc>
          <w:tcPr>
            <w:tcW w:w="550" w:type="pct"/>
            <w:gridSpan w:val="2"/>
            <w:vAlign w:val="center"/>
          </w:tcPr>
          <w:p w14:paraId="0DBFCE2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污染物名称</w:t>
            </w:r>
          </w:p>
        </w:tc>
        <w:tc>
          <w:tcPr>
            <w:tcW w:w="876" w:type="pct"/>
            <w:gridSpan w:val="4"/>
            <w:vAlign w:val="center"/>
          </w:tcPr>
          <w:p w14:paraId="2C174C6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排放量/（t/a）</w:t>
            </w:r>
          </w:p>
        </w:tc>
        <w:tc>
          <w:tcPr>
            <w:tcW w:w="568" w:type="pct"/>
            <w:vAlign w:val="center"/>
          </w:tcPr>
          <w:p w14:paraId="140551B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排放浓度/（mg/L）</w:t>
            </w:r>
          </w:p>
        </w:tc>
      </w:tr>
      <w:tr w14:paraId="0DE9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3EEBAF4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4BE4063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982" w:type="pct"/>
            <w:vAlign w:val="center"/>
          </w:tcPr>
          <w:p w14:paraId="05E2937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774" w:type="pct"/>
            <w:gridSpan w:val="2"/>
            <w:vAlign w:val="center"/>
          </w:tcPr>
          <w:p w14:paraId="2D8175A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550" w:type="pct"/>
            <w:gridSpan w:val="2"/>
            <w:vAlign w:val="center"/>
          </w:tcPr>
          <w:p w14:paraId="162EDBA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876" w:type="pct"/>
            <w:gridSpan w:val="4"/>
            <w:vAlign w:val="center"/>
          </w:tcPr>
          <w:p w14:paraId="4B6809A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568" w:type="pct"/>
            <w:vAlign w:val="center"/>
          </w:tcPr>
          <w:p w14:paraId="17BBA54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r w14:paraId="3C74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1802CBA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528FE0A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生态流量确定</w:t>
            </w:r>
          </w:p>
        </w:tc>
        <w:tc>
          <w:tcPr>
            <w:tcW w:w="3750" w:type="pct"/>
            <w:gridSpan w:val="10"/>
            <w:vAlign w:val="center"/>
          </w:tcPr>
          <w:p w14:paraId="42B8AF3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生态流量：一般水期（）m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/s；鱼类繁殖期（）m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/s；其他（）m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/s；</w:t>
            </w:r>
          </w:p>
          <w:p w14:paraId="6C6A2CF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生态水位：一般水期（）m；鱼类繁殖期（）m；其他（）m；</w:t>
            </w:r>
          </w:p>
        </w:tc>
      </w:tr>
      <w:tr w14:paraId="1AF2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restart"/>
            <w:vAlign w:val="center"/>
          </w:tcPr>
          <w:p w14:paraId="1FD2878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防治措施</w:t>
            </w:r>
          </w:p>
        </w:tc>
        <w:tc>
          <w:tcPr>
            <w:tcW w:w="1013" w:type="pct"/>
            <w:vAlign w:val="center"/>
          </w:tcPr>
          <w:p w14:paraId="378EA33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环境措施</w:t>
            </w:r>
          </w:p>
        </w:tc>
        <w:tc>
          <w:tcPr>
            <w:tcW w:w="3750" w:type="pct"/>
            <w:gridSpan w:val="10"/>
            <w:vAlign w:val="center"/>
          </w:tcPr>
          <w:p w14:paraId="38AF309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污水处理设施</w:t>
            </w:r>
            <w:sdt>
              <w:sdtPr>
                <w:rPr>
                  <w:rFonts w:hint="default" w:ascii="Times New Roman" w:hAnsi="Times New Roman" w:eastAsia="宋体" w:cs="Times New Roman"/>
                  <w:color w:val="auto"/>
                  <w:kern w:val="2"/>
                  <w:sz w:val="21"/>
                  <w:szCs w:val="21"/>
                </w:rPr>
                <w:id w:val="875432829"/>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；水文减缓设施</w:t>
            </w:r>
            <w:sdt>
              <w:sdtPr>
                <w:rPr>
                  <w:rFonts w:hint="default" w:ascii="Times New Roman" w:hAnsi="Times New Roman" w:eastAsia="宋体" w:cs="Times New Roman"/>
                  <w:color w:val="auto"/>
                  <w:kern w:val="2"/>
                  <w:sz w:val="21"/>
                  <w:szCs w:val="21"/>
                </w:rPr>
                <w:id w:val="85753655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；生态流量保障设施</w:t>
            </w:r>
            <w:sdt>
              <w:sdtPr>
                <w:rPr>
                  <w:rFonts w:hint="default" w:ascii="Times New Roman" w:hAnsi="Times New Roman" w:eastAsia="宋体" w:cs="Times New Roman"/>
                  <w:color w:val="auto"/>
                  <w:kern w:val="2"/>
                  <w:sz w:val="21"/>
                  <w:szCs w:val="21"/>
                </w:rPr>
                <w:id w:val="116003748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；区域消减</w:t>
            </w:r>
            <w:sdt>
              <w:sdtPr>
                <w:rPr>
                  <w:rFonts w:hint="default" w:ascii="Times New Roman" w:hAnsi="Times New Roman" w:eastAsia="宋体" w:cs="Times New Roman"/>
                  <w:color w:val="auto"/>
                  <w:kern w:val="2"/>
                  <w:sz w:val="21"/>
                  <w:szCs w:val="21"/>
                </w:rPr>
                <w:id w:val="889000897"/>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；依托其他工程措施</w:t>
            </w:r>
            <w:sdt>
              <w:sdtPr>
                <w:rPr>
                  <w:rFonts w:hint="default" w:ascii="Times New Roman" w:hAnsi="Times New Roman" w:eastAsia="宋体" w:cs="Times New Roman"/>
                  <w:color w:val="auto"/>
                  <w:kern w:val="2"/>
                  <w:sz w:val="21"/>
                  <w:szCs w:val="21"/>
                </w:rPr>
                <w:id w:val="176340828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；其他</w:t>
            </w:r>
            <w:sdt>
              <w:sdtPr>
                <w:rPr>
                  <w:rFonts w:hint="default" w:ascii="Times New Roman" w:hAnsi="Times New Roman" w:eastAsia="宋体" w:cs="Times New Roman"/>
                  <w:color w:val="auto"/>
                  <w:kern w:val="2"/>
                  <w:sz w:val="21"/>
                  <w:szCs w:val="21"/>
                </w:rPr>
                <w:id w:val="151387132"/>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0D5E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4B62EF2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restart"/>
            <w:vAlign w:val="center"/>
          </w:tcPr>
          <w:p w14:paraId="396B5D8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监测计划</w:t>
            </w:r>
          </w:p>
        </w:tc>
        <w:tc>
          <w:tcPr>
            <w:tcW w:w="1910" w:type="pct"/>
            <w:gridSpan w:val="4"/>
            <w:vAlign w:val="center"/>
          </w:tcPr>
          <w:p w14:paraId="5572464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816" w:type="pct"/>
            <w:gridSpan w:val="2"/>
            <w:vAlign w:val="center"/>
          </w:tcPr>
          <w:p w14:paraId="38D8F01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环境质量</w:t>
            </w:r>
          </w:p>
        </w:tc>
        <w:tc>
          <w:tcPr>
            <w:tcW w:w="1024" w:type="pct"/>
            <w:gridSpan w:val="4"/>
            <w:vAlign w:val="center"/>
          </w:tcPr>
          <w:p w14:paraId="54CE97C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污染源</w:t>
            </w:r>
          </w:p>
        </w:tc>
      </w:tr>
      <w:tr w14:paraId="457A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1769318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28F8EC4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910" w:type="pct"/>
            <w:gridSpan w:val="4"/>
            <w:vAlign w:val="center"/>
          </w:tcPr>
          <w:p w14:paraId="4963EC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监测方式</w:t>
            </w:r>
          </w:p>
        </w:tc>
        <w:tc>
          <w:tcPr>
            <w:tcW w:w="816" w:type="pct"/>
            <w:gridSpan w:val="2"/>
            <w:vAlign w:val="center"/>
          </w:tcPr>
          <w:p w14:paraId="3062D92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手动</w:t>
            </w:r>
            <w:sdt>
              <w:sdtPr>
                <w:rPr>
                  <w:rFonts w:hint="default" w:ascii="Times New Roman" w:hAnsi="Times New Roman" w:eastAsia="宋体" w:cs="Times New Roman"/>
                  <w:color w:val="auto"/>
                  <w:kern w:val="2"/>
                  <w:sz w:val="21"/>
                  <w:szCs w:val="21"/>
                </w:rPr>
                <w:id w:val="622987150"/>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；自动</w:t>
            </w:r>
            <w:sdt>
              <w:sdtPr>
                <w:rPr>
                  <w:rFonts w:hint="default" w:ascii="Times New Roman" w:hAnsi="Times New Roman" w:eastAsia="宋体" w:cs="Times New Roman"/>
                  <w:color w:val="auto"/>
                  <w:kern w:val="2"/>
                  <w:sz w:val="21"/>
                  <w:szCs w:val="21"/>
                </w:rPr>
                <w:id w:val="283263436"/>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；无监测</w:t>
            </w:r>
            <w:sdt>
              <w:sdtPr>
                <w:rPr>
                  <w:rFonts w:hint="default" w:ascii="Times New Roman" w:hAnsi="Times New Roman" w:eastAsia="宋体" w:cs="Times New Roman"/>
                  <w:color w:val="auto"/>
                  <w:kern w:val="2"/>
                  <w:sz w:val="21"/>
                  <w:szCs w:val="21"/>
                </w:rPr>
                <w:id w:val="68137304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c>
          <w:tcPr>
            <w:tcW w:w="1024" w:type="pct"/>
            <w:gridSpan w:val="4"/>
            <w:vAlign w:val="center"/>
          </w:tcPr>
          <w:p w14:paraId="54FD9FF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手动</w:t>
            </w:r>
            <w:r>
              <w:rPr>
                <w:rFonts w:hint="eastAsia" w:ascii="Times New Roman" w:hAnsi="Times New Roman" w:cs="Times New Roman"/>
                <w:color w:val="auto"/>
                <w:kern w:val="2"/>
                <w:sz w:val="21"/>
                <w:szCs w:val="21"/>
                <w:lang w:eastAsia="zh-CN"/>
              </w:rPr>
              <w:t>□</w:t>
            </w:r>
            <w:r>
              <w:rPr>
                <w:rFonts w:hint="default" w:ascii="Times New Roman" w:hAnsi="Times New Roman" w:eastAsia="宋体" w:cs="Times New Roman"/>
                <w:color w:val="auto"/>
                <w:kern w:val="2"/>
                <w:sz w:val="21"/>
                <w:szCs w:val="21"/>
              </w:rPr>
              <w:t>；自动</w:t>
            </w:r>
            <w:sdt>
              <w:sdtPr>
                <w:rPr>
                  <w:rFonts w:hint="default" w:ascii="Times New Roman" w:hAnsi="Times New Roman" w:eastAsia="宋体" w:cs="Times New Roman"/>
                  <w:color w:val="auto"/>
                  <w:kern w:val="2"/>
                  <w:sz w:val="21"/>
                  <w:szCs w:val="21"/>
                </w:rPr>
                <w:id w:val="11623372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；无监测</w:t>
            </w:r>
            <w:sdt>
              <w:sdtPr>
                <w:rPr>
                  <w:rFonts w:hint="default" w:ascii="Times New Roman" w:hAnsi="Times New Roman" w:eastAsia="宋体" w:cs="Times New Roman"/>
                  <w:color w:val="auto"/>
                  <w:kern w:val="2"/>
                  <w:sz w:val="21"/>
                  <w:szCs w:val="21"/>
                </w:rPr>
                <w:id w:val="147473761"/>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00A3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104F20E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7F77281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910" w:type="pct"/>
            <w:gridSpan w:val="4"/>
            <w:vAlign w:val="center"/>
          </w:tcPr>
          <w:p w14:paraId="1586D86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监测点位</w:t>
            </w:r>
          </w:p>
        </w:tc>
        <w:tc>
          <w:tcPr>
            <w:tcW w:w="816" w:type="pct"/>
            <w:gridSpan w:val="2"/>
            <w:vAlign w:val="center"/>
          </w:tcPr>
          <w:p w14:paraId="0FA8C91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1024" w:type="pct"/>
            <w:gridSpan w:val="4"/>
            <w:vAlign w:val="center"/>
          </w:tcPr>
          <w:p w14:paraId="17A01B8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r w14:paraId="7EE3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0BFF21D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Merge w:val="continue"/>
            <w:vAlign w:val="center"/>
          </w:tcPr>
          <w:p w14:paraId="417EBF7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910" w:type="pct"/>
            <w:gridSpan w:val="4"/>
            <w:vAlign w:val="center"/>
          </w:tcPr>
          <w:p w14:paraId="554AE67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监测因子</w:t>
            </w:r>
          </w:p>
        </w:tc>
        <w:tc>
          <w:tcPr>
            <w:tcW w:w="816" w:type="pct"/>
            <w:gridSpan w:val="2"/>
            <w:vAlign w:val="center"/>
          </w:tcPr>
          <w:p w14:paraId="28A8400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1024" w:type="pct"/>
            <w:gridSpan w:val="4"/>
            <w:vAlign w:val="center"/>
          </w:tcPr>
          <w:p w14:paraId="0997B56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r w14:paraId="7FCB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35" w:type="pct"/>
            <w:vMerge w:val="continue"/>
            <w:vAlign w:val="center"/>
          </w:tcPr>
          <w:p w14:paraId="2B56D22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p>
        </w:tc>
        <w:tc>
          <w:tcPr>
            <w:tcW w:w="1013" w:type="pct"/>
            <w:vAlign w:val="center"/>
          </w:tcPr>
          <w:p w14:paraId="7062B31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污染物排放清单</w:t>
            </w:r>
          </w:p>
        </w:tc>
        <w:tc>
          <w:tcPr>
            <w:tcW w:w="3750" w:type="pct"/>
            <w:gridSpan w:val="10"/>
            <w:vAlign w:val="center"/>
          </w:tcPr>
          <w:p w14:paraId="53A0F6C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sdt>
              <w:sdtPr>
                <w:rPr>
                  <w:rFonts w:hint="default" w:ascii="Times New Roman" w:hAnsi="Times New Roman" w:eastAsia="宋体" w:cs="Times New Roman"/>
                  <w:color w:val="auto"/>
                  <w:kern w:val="2"/>
                  <w:sz w:val="21"/>
                  <w:szCs w:val="21"/>
                </w:rPr>
                <w:id w:val="124937063"/>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p>
        </w:tc>
      </w:tr>
      <w:tr w14:paraId="0E3F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249" w:type="pct"/>
            <w:gridSpan w:val="2"/>
            <w:vAlign w:val="center"/>
          </w:tcPr>
          <w:p w14:paraId="101C091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评价结论</w:t>
            </w:r>
          </w:p>
        </w:tc>
        <w:tc>
          <w:tcPr>
            <w:tcW w:w="3750" w:type="pct"/>
            <w:gridSpan w:val="10"/>
            <w:vAlign w:val="center"/>
          </w:tcPr>
          <w:p w14:paraId="6D7646D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可以接受√；不可以接受</w:t>
            </w:r>
            <w:sdt>
              <w:sdtPr>
                <w:rPr>
                  <w:rFonts w:hint="default" w:ascii="Times New Roman" w:hAnsi="Times New Roman" w:eastAsia="宋体" w:cs="Times New Roman"/>
                  <w:color w:val="auto"/>
                  <w:kern w:val="2"/>
                  <w:sz w:val="21"/>
                  <w:szCs w:val="21"/>
                </w:rPr>
                <w:id w:val="520489344"/>
                <w14:checkbox>
                  <w14:checked w14:val="0"/>
                  <w14:checkedState w14:val="0052" w14:font="Bahnschrift SemiBold SemiConden"/>
                  <w14:uncheckedState w14:val="2610" w14:font="MS Gothic"/>
                </w14:checkbox>
              </w:sdtPr>
              <w:sdtEndPr>
                <w:rPr>
                  <w:rFonts w:hint="default" w:ascii="Times New Roman" w:hAnsi="Times New Roman" w:eastAsia="宋体" w:cs="Times New Roman"/>
                  <w:color w:val="auto"/>
                  <w:kern w:val="2"/>
                  <w:sz w:val="21"/>
                  <w:szCs w:val="21"/>
                </w:rPr>
              </w:sdtEndPr>
              <w:sdtContent>
                <w:r>
                  <w:rPr>
                    <w:rFonts w:hint="default" w:ascii="Times New Roman" w:hAnsi="Times New Roman" w:eastAsia="宋体" w:cs="Times New Roman"/>
                    <w:color w:val="auto"/>
                    <w:kern w:val="2"/>
                    <w:sz w:val="21"/>
                    <w:szCs w:val="21"/>
                  </w:rPr>
                  <w:t>☐</w:t>
                </w:r>
              </w:sdtContent>
            </w:sdt>
            <w:r>
              <w:rPr>
                <w:rFonts w:hint="default" w:ascii="Times New Roman" w:hAnsi="Times New Roman" w:eastAsia="宋体" w:cs="Times New Roman"/>
                <w:color w:val="auto"/>
                <w:kern w:val="2"/>
                <w:sz w:val="21"/>
                <w:szCs w:val="21"/>
              </w:rPr>
              <w:t>；</w:t>
            </w:r>
          </w:p>
        </w:tc>
      </w:tr>
      <w:tr w14:paraId="5A8A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000" w:type="pct"/>
            <w:gridSpan w:val="12"/>
            <w:vAlign w:val="center"/>
          </w:tcPr>
          <w:p w14:paraId="6BBD4D2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注：“□”为勾选项”，可√；“（）”为内容填写项；“备注”为其他补充内容</w:t>
            </w:r>
          </w:p>
        </w:tc>
      </w:tr>
    </w:tbl>
    <w:p w14:paraId="432A9C74">
      <w:pPr>
        <w:pStyle w:val="5"/>
        <w:bidi w:val="0"/>
        <w:rPr>
          <w:rFonts w:hint="default"/>
          <w:color w:val="auto"/>
          <w:lang w:val="en-US" w:eastAsia="zh-CN"/>
        </w:rPr>
      </w:pPr>
      <w:r>
        <w:rPr>
          <w:rFonts w:hint="eastAsia"/>
          <w:color w:val="auto"/>
          <w:lang w:val="en-US" w:eastAsia="zh-CN"/>
        </w:rPr>
        <w:t>5.2.3运营期地下水环境影响预测与评价</w:t>
      </w:r>
    </w:p>
    <w:p w14:paraId="65544A47">
      <w:pPr>
        <w:pStyle w:val="6"/>
        <w:bidi w:val="0"/>
        <w:rPr>
          <w:rFonts w:hint="default"/>
          <w:color w:val="auto"/>
          <w:lang w:val="en-US" w:eastAsia="zh-CN"/>
        </w:rPr>
      </w:pPr>
      <w:r>
        <w:rPr>
          <w:rFonts w:hint="eastAsia"/>
          <w:color w:val="auto"/>
          <w:lang w:val="en-US" w:eastAsia="zh-CN"/>
        </w:rPr>
        <w:t>5.2.3.1井下作业废水对地下水的影响</w:t>
      </w:r>
    </w:p>
    <w:p w14:paraId="69628233">
      <w:pPr>
        <w:pStyle w:val="11"/>
        <w:bidi w:val="0"/>
        <w:rPr>
          <w:rFonts w:hint="default" w:ascii="Times New Roman" w:hAnsi="Times New Roman" w:eastAsia="宋体"/>
          <w:color w:val="auto"/>
        </w:rPr>
      </w:pPr>
      <w:r>
        <w:rPr>
          <w:rFonts w:hint="eastAsia" w:ascii="Times New Roman" w:hAnsi="Times New Roman" w:eastAsia="宋体"/>
          <w:color w:val="auto"/>
          <w:lang w:val="en-US" w:eastAsia="zh-CN"/>
        </w:rPr>
        <w:t>百口泉采油厂</w:t>
      </w:r>
      <w:r>
        <w:rPr>
          <w:rFonts w:hint="default" w:ascii="Times New Roman" w:hAnsi="Times New Roman" w:eastAsia="宋体"/>
          <w:color w:val="auto"/>
        </w:rPr>
        <w:t>作业区要求井下作业必须采取带罐作业，井下作业废水全部回收，采用专用废液收集罐收集后运至</w:t>
      </w:r>
      <w:r>
        <w:rPr>
          <w:rFonts w:hint="eastAsia" w:ascii="Times New Roman" w:hAnsi="Times New Roman" w:eastAsia="宋体"/>
          <w:color w:val="auto"/>
          <w:lang w:val="en-US" w:eastAsia="zh-CN"/>
        </w:rPr>
        <w:t>百联站采出水</w:t>
      </w:r>
      <w:r>
        <w:rPr>
          <w:rFonts w:hint="default" w:ascii="Times New Roman" w:hAnsi="Times New Roman" w:eastAsia="宋体"/>
          <w:color w:val="auto"/>
        </w:rPr>
        <w:t>处理系统进行处理。</w:t>
      </w:r>
    </w:p>
    <w:p w14:paraId="7553D8AA">
      <w:pPr>
        <w:pStyle w:val="11"/>
        <w:bidi w:val="0"/>
        <w:rPr>
          <w:rFonts w:hint="default" w:ascii="Times New Roman" w:hAnsi="Times New Roman" w:eastAsia="宋体"/>
          <w:color w:val="auto"/>
        </w:rPr>
      </w:pPr>
      <w:r>
        <w:rPr>
          <w:rFonts w:hint="default" w:ascii="Times New Roman" w:hAnsi="Times New Roman" w:eastAsia="宋体"/>
          <w:color w:val="auto"/>
        </w:rPr>
        <w:t>综上所述，正常生产状况下，油田建设期和生产</w:t>
      </w:r>
      <w:r>
        <w:rPr>
          <w:rFonts w:hint="eastAsia" w:ascii="Times New Roman" w:hAnsi="Times New Roman" w:eastAsia="宋体"/>
          <w:color w:val="auto"/>
          <w:lang w:eastAsia="zh-CN"/>
        </w:rPr>
        <w:t>运营</w:t>
      </w:r>
      <w:r>
        <w:rPr>
          <w:rFonts w:hint="default" w:ascii="Times New Roman" w:hAnsi="Times New Roman" w:eastAsia="宋体"/>
          <w:color w:val="auto"/>
        </w:rPr>
        <w:t>过程中废水不会对地下水环境产生影响。</w:t>
      </w:r>
    </w:p>
    <w:p w14:paraId="0734E603">
      <w:pPr>
        <w:pStyle w:val="6"/>
        <w:bidi w:val="0"/>
        <w:rPr>
          <w:rFonts w:hint="default"/>
          <w:color w:val="auto"/>
          <w:lang w:val="en-US" w:eastAsia="zh-CN"/>
        </w:rPr>
      </w:pPr>
      <w:r>
        <w:rPr>
          <w:rFonts w:hint="eastAsia"/>
          <w:color w:val="auto"/>
          <w:lang w:val="en-US" w:eastAsia="zh-CN"/>
        </w:rPr>
        <w:t>5.2.3.2采出水对地下水的影响</w:t>
      </w:r>
    </w:p>
    <w:p w14:paraId="2EC336C4">
      <w:pPr>
        <w:pStyle w:val="11"/>
        <w:bidi w:val="0"/>
        <w:rPr>
          <w:rFonts w:ascii="Times New Roman" w:hAnsi="Times New Roman" w:eastAsia="宋体"/>
          <w:color w:val="auto"/>
        </w:rPr>
      </w:pPr>
      <w:r>
        <w:rPr>
          <w:rFonts w:hint="default" w:ascii="Times New Roman" w:hAnsi="Times New Roman" w:cs="Times New Roman"/>
          <w:color w:val="auto"/>
          <w:sz w:val="24"/>
          <w:szCs w:val="24"/>
        </w:rPr>
        <w:t>根据开发方案，本项目采出水进入</w:t>
      </w:r>
      <w:r>
        <w:rPr>
          <w:rFonts w:hint="eastAsia" w:ascii="Times New Roman" w:hAnsi="Times New Roman" w:cs="Times New Roman"/>
          <w:color w:val="auto"/>
          <w:sz w:val="24"/>
          <w:szCs w:val="24"/>
          <w:lang w:val="en-US" w:eastAsia="zh-CN"/>
        </w:rPr>
        <w:t>百联站采出水</w:t>
      </w:r>
      <w:r>
        <w:rPr>
          <w:rFonts w:hint="default" w:ascii="Times New Roman" w:hAnsi="Times New Roman" w:cs="Times New Roman"/>
          <w:color w:val="auto"/>
          <w:sz w:val="24"/>
          <w:szCs w:val="24"/>
        </w:rPr>
        <w:t>处理系统进行处理，处理达标的净化水用于回注油藏，不外排。</w:t>
      </w:r>
    </w:p>
    <w:p w14:paraId="2A3511E9">
      <w:pPr>
        <w:pStyle w:val="6"/>
        <w:bidi w:val="0"/>
        <w:rPr>
          <w:rFonts w:hint="default"/>
          <w:color w:val="auto"/>
          <w:lang w:val="en-US" w:eastAsia="zh-CN"/>
        </w:rPr>
      </w:pPr>
      <w:r>
        <w:rPr>
          <w:rFonts w:hint="eastAsia"/>
          <w:color w:val="auto"/>
          <w:lang w:val="en-US" w:eastAsia="zh-CN"/>
        </w:rPr>
        <w:t>5.2.3.3落地油对地下水的影响</w:t>
      </w:r>
    </w:p>
    <w:p w14:paraId="76BEACCD">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w:t>
      </w:r>
      <w:r>
        <w:rPr>
          <w:rFonts w:hint="eastAsia" w:ascii="Times New Roman" w:hAnsi="Times New Roman" w:cs="Times New Roman"/>
          <w:color w:val="auto"/>
          <w:sz w:val="24"/>
          <w:szCs w:val="24"/>
          <w:lang w:val="en-US" w:eastAsia="zh-CN"/>
        </w:rPr>
        <w:t>工程</w:t>
      </w:r>
      <w:r>
        <w:rPr>
          <w:rFonts w:hint="default" w:ascii="Times New Roman" w:hAnsi="Times New Roman" w:cs="Times New Roman"/>
          <w:color w:val="auto"/>
          <w:sz w:val="24"/>
          <w:szCs w:val="24"/>
        </w:rPr>
        <w:t>产生的落地原油及时回收，并根据油田环境保护的要求，对落地油必须进行100%的回收。本项目地处干旱少雨的荒漠地带，地表干燥，落地原油主要污染表层土壤。由于土壤对石油分子的吸附作用，土壤中石油类污染物大多集中在0～20cm的表层，最大下渗一般不会超过1m。油田区域的气候干旱少雨，不存在大量降水的淋滤作用，因此，落地原油没有进入地下水层的途径，不存在污染地下水的可能。</w:t>
      </w:r>
    </w:p>
    <w:p w14:paraId="3F3741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综上所述，正常生产状况下，</w:t>
      </w:r>
      <w:r>
        <w:rPr>
          <w:rFonts w:hint="eastAsia" w:ascii="Times New Roman" w:hAnsi="Times New Roman" w:cs="Times New Roman"/>
          <w:color w:val="auto"/>
          <w:sz w:val="24"/>
          <w:szCs w:val="24"/>
          <w:lang w:val="en-US" w:eastAsia="zh-CN"/>
        </w:rPr>
        <w:t>本工程</w:t>
      </w:r>
      <w:r>
        <w:rPr>
          <w:rFonts w:hint="default" w:ascii="Times New Roman" w:hAnsi="Times New Roman" w:cs="Times New Roman"/>
          <w:color w:val="auto"/>
          <w:sz w:val="24"/>
          <w:szCs w:val="24"/>
        </w:rPr>
        <w:t>落地原油不会对地下水环境产生影响，但考虑到长期积累情况下，可能存在影响，应加强收集措施及管理要求，确保落地原油100%回收。</w:t>
      </w:r>
    </w:p>
    <w:p w14:paraId="15CA2AC3">
      <w:pPr>
        <w:pStyle w:val="6"/>
        <w:bidi w:val="0"/>
        <w:rPr>
          <w:rFonts w:hint="default"/>
          <w:color w:val="auto"/>
          <w:lang w:val="en-US" w:eastAsia="zh-CN"/>
        </w:rPr>
      </w:pPr>
      <w:r>
        <w:rPr>
          <w:rFonts w:hint="eastAsia"/>
          <w:color w:val="auto"/>
          <w:lang w:val="en-US" w:eastAsia="zh-CN"/>
        </w:rPr>
        <w:t>5.2.3.4含油污泥对地下水的影响</w:t>
      </w:r>
    </w:p>
    <w:p w14:paraId="49AAB4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在原油脱水和采出水的处理过程中，各种处理容器和构筑物均会产生含油污泥。含油污泥属危险固体废物，按照《危险废物贮存污染控制标准》</w:t>
      </w:r>
      <w:r>
        <w:rPr>
          <w:rFonts w:hint="eastAsia"/>
          <w:color w:val="auto"/>
          <w:sz w:val="24"/>
          <w:szCs w:val="28"/>
          <w:lang w:eastAsia="zh-CN"/>
        </w:rPr>
        <w:t>（</w:t>
      </w:r>
      <w:r>
        <w:rPr>
          <w:rFonts w:hint="eastAsia"/>
          <w:color w:val="auto"/>
          <w:sz w:val="24"/>
          <w:szCs w:val="28"/>
          <w:lang w:val="en-US" w:eastAsia="zh-CN"/>
        </w:rPr>
        <w:t>GB18597</w:t>
      </w:r>
      <w:r>
        <w:rPr>
          <w:rFonts w:hint="eastAsia"/>
          <w:color w:val="auto"/>
          <w:sz w:val="24"/>
          <w:szCs w:val="28"/>
          <w:lang w:eastAsia="zh-CN"/>
        </w:rPr>
        <w:t>）</w:t>
      </w:r>
      <w:r>
        <w:rPr>
          <w:color w:val="auto"/>
          <w:sz w:val="24"/>
          <w:szCs w:val="28"/>
        </w:rPr>
        <w:t>等相关标准贮存、处置，最终全部</w:t>
      </w:r>
      <w:r>
        <w:rPr>
          <w:rFonts w:hint="eastAsia"/>
          <w:color w:val="auto"/>
          <w:sz w:val="24"/>
          <w:szCs w:val="28"/>
          <w:lang w:val="en-US" w:eastAsia="zh-CN"/>
        </w:rPr>
        <w:t>交</w:t>
      </w:r>
      <w:r>
        <w:rPr>
          <w:color w:val="auto"/>
          <w:sz w:val="24"/>
          <w:szCs w:val="28"/>
        </w:rPr>
        <w:t>有资质单位处置。因此正常</w:t>
      </w:r>
      <w:r>
        <w:rPr>
          <w:rFonts w:hint="eastAsia"/>
          <w:color w:val="auto"/>
          <w:sz w:val="24"/>
          <w:szCs w:val="28"/>
          <w:lang w:eastAsia="zh-CN"/>
        </w:rPr>
        <w:t>运营</w:t>
      </w:r>
      <w:r>
        <w:rPr>
          <w:color w:val="auto"/>
          <w:sz w:val="24"/>
          <w:szCs w:val="28"/>
        </w:rPr>
        <w:t>情况下认为对地下水环境基本不会产生影响。</w:t>
      </w:r>
    </w:p>
    <w:p w14:paraId="4D17FAB2">
      <w:pPr>
        <w:pStyle w:val="6"/>
        <w:bidi w:val="0"/>
        <w:rPr>
          <w:rFonts w:hint="default"/>
          <w:color w:val="auto"/>
          <w:lang w:val="en-US" w:eastAsia="zh-CN"/>
        </w:rPr>
      </w:pPr>
      <w:r>
        <w:rPr>
          <w:rFonts w:hint="eastAsia"/>
          <w:color w:val="auto"/>
          <w:lang w:val="en-US" w:eastAsia="zh-CN"/>
        </w:rPr>
        <w:t>5.2.3.5沾油废物对地下水的影响</w:t>
      </w:r>
    </w:p>
    <w:p w14:paraId="34E358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8"/>
          <w:lang w:val="en-US" w:eastAsia="zh-CN"/>
        </w:rPr>
      </w:pPr>
      <w:r>
        <w:rPr>
          <w:color w:val="auto"/>
          <w:sz w:val="24"/>
          <w:szCs w:val="28"/>
        </w:rPr>
        <w:t>根据工程分析，设备维护及修井作业产生的</w:t>
      </w:r>
      <w:r>
        <w:rPr>
          <w:rFonts w:hint="eastAsia"/>
          <w:color w:val="auto"/>
          <w:sz w:val="24"/>
          <w:szCs w:val="28"/>
          <w:lang w:val="en-US" w:eastAsia="zh-CN"/>
        </w:rPr>
        <w:t>沾油废物</w:t>
      </w:r>
      <w:r>
        <w:rPr>
          <w:color w:val="auto"/>
          <w:sz w:val="24"/>
          <w:szCs w:val="28"/>
        </w:rPr>
        <w:t>，属于《国家危险废物名录（202</w:t>
      </w:r>
      <w:r>
        <w:rPr>
          <w:rFonts w:hint="eastAsia"/>
          <w:color w:val="auto"/>
          <w:sz w:val="24"/>
          <w:szCs w:val="28"/>
          <w:lang w:val="en-US" w:eastAsia="zh-CN"/>
        </w:rPr>
        <w:t>5</w:t>
      </w:r>
      <w:r>
        <w:rPr>
          <w:color w:val="auto"/>
          <w:sz w:val="24"/>
          <w:szCs w:val="28"/>
        </w:rPr>
        <w:t>年版）》中HW08类危险废物，收集后送至现有危废</w:t>
      </w:r>
      <w:r>
        <w:rPr>
          <w:rFonts w:hint="eastAsia"/>
          <w:color w:val="auto"/>
          <w:sz w:val="24"/>
          <w:szCs w:val="28"/>
          <w:lang w:val="en-US" w:eastAsia="zh-CN"/>
        </w:rPr>
        <w:t>储</w:t>
      </w:r>
      <w:r>
        <w:rPr>
          <w:color w:val="auto"/>
          <w:sz w:val="24"/>
          <w:szCs w:val="28"/>
        </w:rPr>
        <w:t>存</w:t>
      </w:r>
      <w:r>
        <w:rPr>
          <w:rFonts w:hint="eastAsia"/>
          <w:color w:val="auto"/>
          <w:sz w:val="24"/>
          <w:szCs w:val="28"/>
          <w:lang w:val="en-US" w:eastAsia="zh-CN"/>
        </w:rPr>
        <w:t>场</w:t>
      </w:r>
      <w:r>
        <w:rPr>
          <w:color w:val="auto"/>
          <w:sz w:val="24"/>
          <w:szCs w:val="28"/>
        </w:rPr>
        <w:t>暂存，定期委托有资质单位处置</w:t>
      </w:r>
      <w:r>
        <w:rPr>
          <w:rFonts w:hint="eastAsia"/>
          <w:color w:val="auto"/>
          <w:sz w:val="24"/>
          <w:szCs w:val="28"/>
          <w:lang w:eastAsia="zh-CN"/>
        </w:rPr>
        <w:t>，</w:t>
      </w:r>
      <w:r>
        <w:rPr>
          <w:rFonts w:hint="eastAsia"/>
          <w:color w:val="auto"/>
          <w:sz w:val="24"/>
          <w:szCs w:val="28"/>
          <w:lang w:val="en-US" w:eastAsia="zh-CN"/>
        </w:rPr>
        <w:t>不会对地下水产生影响。</w:t>
      </w:r>
    </w:p>
    <w:p w14:paraId="7AB81005">
      <w:pPr>
        <w:pStyle w:val="6"/>
        <w:bidi w:val="0"/>
        <w:rPr>
          <w:rFonts w:hint="default"/>
          <w:color w:val="auto"/>
          <w:lang w:val="en-US" w:eastAsia="zh-CN"/>
        </w:rPr>
      </w:pPr>
      <w:r>
        <w:rPr>
          <w:rFonts w:hint="eastAsia"/>
          <w:color w:val="auto"/>
          <w:lang w:val="en-US" w:eastAsia="zh-CN"/>
        </w:rPr>
        <w:t>5.2.3.4非正常状况对地下水的影响</w:t>
      </w:r>
    </w:p>
    <w:p w14:paraId="471AF733">
      <w:pPr>
        <w:pStyle w:val="11"/>
        <w:bidi w:val="0"/>
        <w:rPr>
          <w:rFonts w:hint="default" w:ascii="Times New Roman" w:hAnsi="Times New Roman" w:eastAsia="宋体"/>
          <w:color w:val="auto"/>
          <w:lang w:val="en-US" w:eastAsia="zh-CN"/>
        </w:rPr>
      </w:pPr>
      <w:r>
        <w:rPr>
          <w:rFonts w:hint="eastAsia"/>
          <w:color w:val="auto"/>
          <w:lang w:val="en-US" w:eastAsia="zh-CN"/>
        </w:rPr>
        <w:t>1、井喷事故对地下水的影响</w:t>
      </w:r>
    </w:p>
    <w:p w14:paraId="313BEF62">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井喷事故一旦发生，大量的油气喷出井口，散落于井场周围，除造成重大经济损失外，还会造成严重的环境污染。根据测算，井喷发生后，一般需要1～2d才能得以控制。</w:t>
      </w:r>
    </w:p>
    <w:p w14:paraId="586EE5DC">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据类比资料显示，井喷污染范围在半径约300m左右时，井喷持续时间2d，井喷范围内土壤表层可见有蜡状的原油喷散物，井喷的影响范围及影响程度较大。但从事故井区土壤剖面分析，井喷事故后石油类污染物主要聚集在土壤剖面1m以内，石油类污染物很难下渗到2m以下，井喷事故对水环境的影响主要表现为对其周围土壤的影响，对地下水体有一定的影响，若及时采取有效措施治理污染，井喷对地下水的影响极小。</w:t>
      </w:r>
    </w:p>
    <w:p w14:paraId="3CDACA5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2、</w:t>
      </w:r>
      <w:r>
        <w:rPr>
          <w:rFonts w:hint="default"/>
          <w:color w:val="auto"/>
          <w:sz w:val="24"/>
          <w:szCs w:val="28"/>
          <w:lang w:val="en-US" w:eastAsia="zh-CN"/>
        </w:rPr>
        <w:t>井漏、油水窜层对地下水环境影响分析</w:t>
      </w:r>
    </w:p>
    <w:p w14:paraId="045B105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井下作业过程中可能发生井漏和油水窜层事故，通常是由于套管破损或者固井质量不好，导致修井液漏入地层。漏层的类型、井漏的严重程度，因漏失层位各不相同，变化很大，一旦发生井漏，使大量修井液漏失，除造成经济损失外，还可能对地下含水层造成一定的污染和危害。在井下作业前先对套管和固井质量进行检查，确保套管和固井质量良好的情况再进行井下作业，不会对地下水产生明显不利影响。</w:t>
      </w:r>
    </w:p>
    <w:p w14:paraId="2F85071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3、</w:t>
      </w:r>
      <w:r>
        <w:rPr>
          <w:rFonts w:hint="default"/>
          <w:color w:val="auto"/>
          <w:sz w:val="24"/>
          <w:szCs w:val="28"/>
          <w:lang w:val="en-US" w:eastAsia="zh-CN"/>
        </w:rPr>
        <w:t>井下作业收集罐泄漏对地下水环境影响分析</w:t>
      </w:r>
    </w:p>
    <w:p w14:paraId="62DB087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井下作业定期进行，在井下作业过程时及时检查废水收集罐，确保收集罐完好再进行井下作业，且井下作业时间较短，废水收集罐发生泄漏的可</w:t>
      </w:r>
      <w:r>
        <w:rPr>
          <w:rFonts w:hint="eastAsia" w:cs="Times New Roman"/>
          <w:color w:val="auto"/>
          <w:sz w:val="24"/>
          <w:szCs w:val="24"/>
          <w:lang w:eastAsia="zh-CN"/>
        </w:rPr>
        <w:t>能性</w:t>
      </w:r>
      <w:r>
        <w:rPr>
          <w:rFonts w:hint="default" w:ascii="Times New Roman" w:hAnsi="Times New Roman" w:eastAsia="宋体" w:cs="Times New Roman"/>
          <w:color w:val="auto"/>
          <w:sz w:val="24"/>
          <w:szCs w:val="24"/>
        </w:rPr>
        <w:t>较低，不会对区域地下水产生明显不利影响。</w:t>
      </w:r>
    </w:p>
    <w:p w14:paraId="7FC46362">
      <w:pPr>
        <w:pStyle w:val="11"/>
        <w:bidi w:val="0"/>
        <w:rPr>
          <w:rFonts w:hint="default" w:ascii="Times New Roman" w:hAnsi="Times New Roman" w:eastAsia="宋体"/>
          <w:color w:val="auto"/>
          <w:lang w:val="en-US" w:eastAsia="zh-CN"/>
        </w:rPr>
      </w:pPr>
      <w:r>
        <w:rPr>
          <w:rFonts w:hint="eastAsia"/>
          <w:color w:val="auto"/>
          <w:lang w:val="en-US" w:eastAsia="zh-CN"/>
        </w:rPr>
        <w:t>4、原油泄漏对地下水的影响</w:t>
      </w:r>
    </w:p>
    <w:p w14:paraId="591CB747">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泄漏于土体中的原油可以同时向表面溢出和向地下渗透，并选择疏松位置运移。如果有足够多的原油泄漏到疏松的土体中，就有可能下渗至潜水带并在潜水带顶面扩展而形成“油饼”。通常原油泄漏产生的污染物以点源形式通过土壤表层下渗进入地下含水层。因而原油泄漏事故对地下水环境的影响程度主要取决于原油的物理性质、泄漏量、泄漏方式、多孔介质特征及地下水位埋深等因素。</w:t>
      </w:r>
    </w:p>
    <w:p w14:paraId="2066C16D">
      <w:pPr>
        <w:pStyle w:val="11"/>
        <w:bidi w:val="0"/>
        <w:rPr>
          <w:rFonts w:hint="default" w:ascii="Times New Roman" w:hAnsi="Times New Roman" w:eastAsia="宋体"/>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泄漏源强</w:t>
      </w:r>
    </w:p>
    <w:p w14:paraId="382F055B">
      <w:pPr>
        <w:pStyle w:val="11"/>
        <w:bidi w:val="0"/>
        <w:rPr>
          <w:rFonts w:hint="default" w:ascii="Times New Roman" w:hAnsi="Times New Roman" w:eastAsia="宋体"/>
          <w:color w:val="auto"/>
          <w:lang w:val="en-US" w:eastAsia="zh-CN"/>
        </w:rPr>
      </w:pPr>
      <w:r>
        <w:rPr>
          <w:rFonts w:hint="eastAsia"/>
          <w:color w:val="auto"/>
          <w:lang w:val="en-US" w:eastAsia="zh-CN"/>
        </w:rPr>
        <w:t>①管线输送泄漏</w:t>
      </w:r>
    </w:p>
    <w:p w14:paraId="5D96924E">
      <w:pPr>
        <w:spacing w:line="360" w:lineRule="auto"/>
        <w:ind w:firstLine="480" w:firstLineChars="200"/>
        <w:rPr>
          <w:color w:val="auto"/>
          <w:sz w:val="24"/>
        </w:rPr>
      </w:pPr>
      <w:r>
        <w:rPr>
          <w:color w:val="auto"/>
          <w:sz w:val="24"/>
        </w:rPr>
        <w:t>根据《环境影响评价技术导则 地下水环境》（修订征求意见稿）中附录F中管道泄漏量公式：</w:t>
      </w:r>
    </w:p>
    <w:p w14:paraId="6EE524F2">
      <w:pPr>
        <w:spacing w:line="360" w:lineRule="auto"/>
        <w:jc w:val="center"/>
        <w:rPr>
          <w:color w:val="auto"/>
          <w:sz w:val="24"/>
        </w:rPr>
      </w:pPr>
      <w:r>
        <w:rPr>
          <w:color w:val="auto"/>
        </w:rPr>
        <w:drawing>
          <wp:inline distT="0" distB="0" distL="114300" distR="114300">
            <wp:extent cx="1028700" cy="297180"/>
            <wp:effectExtent l="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4">
                      <a:clrChange>
                        <a:clrFrom>
                          <a:srgbClr val="FFFFFF"/>
                        </a:clrFrom>
                        <a:clrTo>
                          <a:srgbClr val="FFFFFF">
                            <a:alpha val="0"/>
                          </a:srgbClr>
                        </a:clrTo>
                      </a:clrChange>
                    </a:blip>
                    <a:stretch>
                      <a:fillRect/>
                    </a:stretch>
                  </pic:blipFill>
                  <pic:spPr>
                    <a:xfrm>
                      <a:off x="0" y="0"/>
                      <a:ext cx="1028700" cy="297180"/>
                    </a:xfrm>
                    <a:prstGeom prst="rect">
                      <a:avLst/>
                    </a:prstGeom>
                    <a:noFill/>
                    <a:ln>
                      <a:noFill/>
                    </a:ln>
                  </pic:spPr>
                </pic:pic>
              </a:graphicData>
            </a:graphic>
          </wp:inline>
        </w:drawing>
      </w:r>
    </w:p>
    <w:p w14:paraId="3EC8DE0F">
      <w:pPr>
        <w:spacing w:line="360" w:lineRule="auto"/>
        <w:ind w:firstLine="480" w:firstLineChars="200"/>
        <w:rPr>
          <w:color w:val="auto"/>
          <w:sz w:val="24"/>
        </w:rPr>
      </w:pPr>
      <w:r>
        <w:rPr>
          <w:color w:val="auto"/>
          <w:sz w:val="24"/>
        </w:rPr>
        <w:t>式中：</w:t>
      </w:r>
    </w:p>
    <w:p w14:paraId="2D1B26EC">
      <w:pPr>
        <w:spacing w:line="360" w:lineRule="auto"/>
        <w:ind w:firstLine="480" w:firstLineChars="200"/>
        <w:rPr>
          <w:color w:val="auto"/>
          <w:sz w:val="24"/>
        </w:rPr>
      </w:pPr>
      <w:r>
        <w:rPr>
          <w:color w:val="auto"/>
          <w:sz w:val="24"/>
        </w:rPr>
        <w:t>Q——废污水渗透量，m</w:t>
      </w:r>
      <w:r>
        <w:rPr>
          <w:color w:val="auto"/>
          <w:sz w:val="24"/>
          <w:vertAlign w:val="superscript"/>
        </w:rPr>
        <w:t>3</w:t>
      </w:r>
      <w:r>
        <w:rPr>
          <w:color w:val="auto"/>
          <w:sz w:val="24"/>
        </w:rPr>
        <w:t>/d；</w:t>
      </w:r>
    </w:p>
    <w:p w14:paraId="3B4A3F68">
      <w:pPr>
        <w:spacing w:line="360" w:lineRule="auto"/>
        <w:ind w:firstLine="480" w:firstLineChars="200"/>
        <w:rPr>
          <w:color w:val="auto"/>
          <w:sz w:val="24"/>
        </w:rPr>
      </w:pPr>
      <w:r>
        <w:rPr>
          <w:color w:val="auto"/>
          <w:sz w:val="24"/>
        </w:rPr>
        <w:t>L——管道长度，km；本</w:t>
      </w:r>
      <w:r>
        <w:rPr>
          <w:rFonts w:hint="eastAsia"/>
          <w:color w:val="auto"/>
          <w:sz w:val="24"/>
          <w:lang w:val="en-US" w:eastAsia="zh-CN"/>
        </w:rPr>
        <w:t>工程</w:t>
      </w:r>
      <w:r>
        <w:rPr>
          <w:rFonts w:ascii="宋体" w:hAnsi="宋体" w:eastAsia="宋体" w:cs="宋体"/>
          <w:color w:val="auto"/>
          <w:spacing w:val="-1"/>
          <w:sz w:val="24"/>
          <w:szCs w:val="24"/>
        </w:rPr>
        <w:t>选取最大管径泄漏，</w:t>
      </w:r>
      <w:r>
        <w:rPr>
          <w:rFonts w:hint="eastAsia" w:ascii="Times New Roman" w:hAnsi="Times New Roman" w:eastAsia="宋体" w:cs="Times New Roman"/>
          <w:color w:val="auto"/>
          <w:sz w:val="24"/>
        </w:rPr>
        <w:t>百79阀池3至百79阀池2</w:t>
      </w:r>
      <w:r>
        <w:rPr>
          <w:rFonts w:hint="eastAsia" w:ascii="宋体" w:hAnsi="宋体" w:eastAsia="宋体" w:cs="宋体"/>
          <w:color w:val="auto"/>
          <w:spacing w:val="-1"/>
          <w:sz w:val="24"/>
          <w:szCs w:val="24"/>
          <w:lang w:eastAsia="zh-CN"/>
        </w:rPr>
        <w:t>（</w:t>
      </w:r>
      <w:r>
        <w:rPr>
          <w:rFonts w:ascii="Times New Roman" w:hAnsi="Times New Roman" w:eastAsia="Times New Roman" w:cs="Times New Roman"/>
          <w:color w:val="auto"/>
          <w:spacing w:val="-1"/>
          <w:sz w:val="24"/>
          <w:szCs w:val="24"/>
        </w:rPr>
        <w:t>DN</w:t>
      </w:r>
      <w:r>
        <w:rPr>
          <w:rFonts w:hint="eastAsia" w:cs="Times New Roman"/>
          <w:color w:val="auto"/>
          <w:spacing w:val="-1"/>
          <w:sz w:val="24"/>
          <w:szCs w:val="24"/>
          <w:lang w:val="en-US" w:eastAsia="zh-CN"/>
        </w:rPr>
        <w:t>150</w:t>
      </w:r>
      <w:r>
        <w:rPr>
          <w:rFonts w:ascii="宋体" w:hAnsi="宋体" w:eastAsia="宋体" w:cs="宋体"/>
          <w:color w:val="auto"/>
          <w:spacing w:val="-1"/>
          <w:sz w:val="24"/>
          <w:szCs w:val="24"/>
        </w:rPr>
        <w:t>，</w:t>
      </w:r>
      <w:r>
        <w:rPr>
          <w:rFonts w:hint="eastAsia" w:cs="Times New Roman"/>
          <w:color w:val="auto"/>
          <w:spacing w:val="-1"/>
          <w:sz w:val="24"/>
          <w:szCs w:val="24"/>
          <w:lang w:val="en-US" w:eastAsia="zh-CN"/>
        </w:rPr>
        <w:t>2.3</w:t>
      </w:r>
      <w:r>
        <w:rPr>
          <w:rFonts w:ascii="Times New Roman" w:hAnsi="Times New Roman" w:eastAsia="Times New Roman" w:cs="Times New Roman"/>
          <w:color w:val="auto"/>
          <w:spacing w:val="-1"/>
          <w:sz w:val="24"/>
          <w:szCs w:val="24"/>
        </w:rPr>
        <w:t>k</w:t>
      </w:r>
      <w:r>
        <w:rPr>
          <w:rFonts w:ascii="Times New Roman" w:hAnsi="Times New Roman" w:eastAsia="Times New Roman" w:cs="Times New Roman"/>
          <w:color w:val="auto"/>
          <w:spacing w:val="-2"/>
          <w:sz w:val="24"/>
          <w:szCs w:val="24"/>
        </w:rPr>
        <w:t>m</w:t>
      </w:r>
      <w:r>
        <w:rPr>
          <w:rFonts w:hint="eastAsia" w:ascii="宋体" w:hAnsi="宋体" w:eastAsia="宋体" w:cs="宋体"/>
          <w:color w:val="auto"/>
          <w:spacing w:val="-1"/>
          <w:sz w:val="24"/>
          <w:szCs w:val="24"/>
          <w:lang w:eastAsia="zh-CN"/>
        </w:rPr>
        <w:t>）</w:t>
      </w:r>
      <w:r>
        <w:rPr>
          <w:rFonts w:ascii="宋体" w:hAnsi="宋体" w:eastAsia="宋体" w:cs="宋体"/>
          <w:color w:val="auto"/>
          <w:spacing w:val="-2"/>
          <w:sz w:val="24"/>
          <w:szCs w:val="24"/>
        </w:rPr>
        <w:t>；</w:t>
      </w:r>
    </w:p>
    <w:p w14:paraId="2BD8570A">
      <w:pPr>
        <w:spacing w:line="360" w:lineRule="auto"/>
        <w:ind w:firstLine="480" w:firstLineChars="200"/>
        <w:rPr>
          <w:color w:val="auto"/>
          <w:sz w:val="24"/>
        </w:rPr>
      </w:pPr>
      <w:r>
        <w:rPr>
          <w:color w:val="auto"/>
          <w:sz w:val="24"/>
        </w:rPr>
        <w:t>α——变差系数，一般可取0.1~1.0，管道采取特殊防渗措施时根据防渗能力选取；</w:t>
      </w:r>
      <w:r>
        <w:rPr>
          <w:rFonts w:ascii="宋体" w:hAnsi="宋体" w:eastAsia="宋体" w:cs="宋体"/>
          <w:color w:val="auto"/>
          <w:spacing w:val="-2"/>
          <w:sz w:val="24"/>
          <w:szCs w:val="24"/>
        </w:rPr>
        <w:t>考虑最不利因素，本项目取</w:t>
      </w:r>
      <w:r>
        <w:rPr>
          <w:rFonts w:ascii="Times New Roman" w:hAnsi="Times New Roman" w:eastAsia="Times New Roman" w:cs="Times New Roman"/>
          <w:color w:val="auto"/>
          <w:spacing w:val="-2"/>
          <w:sz w:val="24"/>
          <w:szCs w:val="24"/>
        </w:rPr>
        <w:t>1.0</w:t>
      </w:r>
      <w:r>
        <w:rPr>
          <w:rFonts w:ascii="宋体" w:hAnsi="宋体" w:eastAsia="宋体" w:cs="宋体"/>
          <w:color w:val="auto"/>
          <w:spacing w:val="-2"/>
          <w:sz w:val="24"/>
          <w:szCs w:val="24"/>
        </w:rPr>
        <w:t>；</w:t>
      </w:r>
    </w:p>
    <w:p w14:paraId="19076697">
      <w:pPr>
        <w:spacing w:line="360" w:lineRule="auto"/>
        <w:ind w:firstLine="480" w:firstLineChars="200"/>
        <w:rPr>
          <w:color w:val="auto"/>
          <w:sz w:val="24"/>
        </w:rPr>
      </w:pPr>
      <w:r>
        <w:rPr>
          <w:color w:val="auto"/>
          <w:sz w:val="24"/>
        </w:rPr>
        <w:t>β——调整系数，针对不同压力管道单位渗漏量的量纲差异给出的调整系数，有压管道取值3.6，无压管道和渠道取值0.001；本</w:t>
      </w:r>
      <w:r>
        <w:rPr>
          <w:rFonts w:hint="eastAsia"/>
          <w:color w:val="auto"/>
          <w:sz w:val="24"/>
          <w:lang w:val="en-US" w:eastAsia="zh-CN"/>
        </w:rPr>
        <w:t>工程</w:t>
      </w:r>
      <w:r>
        <w:rPr>
          <w:color w:val="auto"/>
          <w:sz w:val="24"/>
        </w:rPr>
        <w:t>取值3.6；</w:t>
      </w:r>
    </w:p>
    <w:p w14:paraId="20FB48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q——单位渗漏量，L/min·km或L/d·km，不同材质有压管道和无压管道的单位渗漏量分别见F.3.1和F.3.2，渠道或管渠渗漏量见F.3.3。</w:t>
      </w:r>
      <w:r>
        <w:rPr>
          <w:rFonts w:hint="eastAsia"/>
          <w:color w:val="auto"/>
          <w:sz w:val="24"/>
        </w:rPr>
        <w:t>本</w:t>
      </w:r>
      <w:r>
        <w:rPr>
          <w:rFonts w:hint="eastAsia"/>
          <w:color w:val="auto"/>
          <w:sz w:val="24"/>
          <w:lang w:val="en-US" w:eastAsia="zh-CN"/>
        </w:rPr>
        <w:t>工程管道为</w:t>
      </w:r>
      <w:r>
        <w:rPr>
          <w:rFonts w:hint="eastAsia"/>
          <w:color w:val="auto"/>
          <w:sz w:val="24"/>
        </w:rPr>
        <w:t>DN</w:t>
      </w:r>
      <w:r>
        <w:rPr>
          <w:rFonts w:hint="eastAsia"/>
          <w:color w:val="auto"/>
          <w:sz w:val="24"/>
          <w:lang w:val="en-US" w:eastAsia="zh-CN"/>
        </w:rPr>
        <w:t>150</w:t>
      </w:r>
      <w:r>
        <w:rPr>
          <w:rFonts w:hint="eastAsia"/>
          <w:color w:val="auto"/>
          <w:sz w:val="24"/>
        </w:rPr>
        <w:t>，则取值为</w:t>
      </w:r>
      <w:r>
        <w:rPr>
          <w:rFonts w:hint="eastAsia"/>
          <w:color w:val="auto"/>
          <w:sz w:val="24"/>
          <w:lang w:val="en-US" w:eastAsia="zh-CN"/>
        </w:rPr>
        <w:t>1.05</w:t>
      </w:r>
      <w:r>
        <w:rPr>
          <w:color w:val="auto"/>
          <w:sz w:val="24"/>
        </w:rPr>
        <w:t>L/min·km</w:t>
      </w:r>
      <w:r>
        <w:rPr>
          <w:rFonts w:hint="eastAsia"/>
          <w:color w:val="auto"/>
          <w:sz w:val="24"/>
        </w:rPr>
        <w:t>。</w:t>
      </w:r>
    </w:p>
    <w:p w14:paraId="3C5EF2E9">
      <w:pPr>
        <w:pStyle w:val="11"/>
        <w:bidi w:val="0"/>
        <w:rPr>
          <w:rFonts w:ascii="Times New Roman" w:hAnsi="Times New Roman" w:eastAsia="宋体"/>
          <w:color w:val="auto"/>
        </w:rPr>
      </w:pPr>
      <w:r>
        <w:rPr>
          <w:color w:val="auto"/>
          <w:sz w:val="24"/>
        </w:rPr>
        <w:t>根据上述公式</w:t>
      </w:r>
      <w:r>
        <w:rPr>
          <w:rFonts w:hint="eastAsia"/>
          <w:color w:val="auto"/>
          <w:sz w:val="24"/>
          <w:lang w:eastAsia="zh-CN"/>
        </w:rPr>
        <w:t>，</w:t>
      </w:r>
      <w:r>
        <w:rPr>
          <w:color w:val="auto"/>
          <w:sz w:val="24"/>
        </w:rPr>
        <w:t>管线发生事故，最长</w:t>
      </w:r>
      <w:r>
        <w:rPr>
          <w:rFonts w:hint="eastAsia"/>
          <w:color w:val="auto"/>
          <w:sz w:val="24"/>
          <w:lang w:val="en-US" w:eastAsia="zh-CN"/>
        </w:rPr>
        <w:t>1h</w:t>
      </w:r>
      <w:r>
        <w:rPr>
          <w:color w:val="auto"/>
          <w:sz w:val="24"/>
        </w:rPr>
        <w:t>可以到达事故地进行处置，则</w:t>
      </w:r>
      <w:r>
        <w:rPr>
          <w:rFonts w:hint="eastAsia"/>
          <w:color w:val="auto"/>
          <w:sz w:val="24"/>
          <w:lang w:val="en-US" w:eastAsia="zh-CN"/>
        </w:rPr>
        <w:t>1h</w:t>
      </w:r>
      <w:r>
        <w:rPr>
          <w:color w:val="auto"/>
          <w:sz w:val="24"/>
        </w:rPr>
        <w:t>内管线泄漏量为</w:t>
      </w:r>
      <w:r>
        <w:rPr>
          <w:rFonts w:hint="eastAsia"/>
          <w:color w:val="auto"/>
          <w:sz w:val="24"/>
          <w:lang w:val="en-US" w:eastAsia="zh-CN"/>
        </w:rPr>
        <w:t>0.52</w:t>
      </w:r>
      <w:r>
        <w:rPr>
          <w:color w:val="auto"/>
          <w:sz w:val="24"/>
        </w:rPr>
        <w:t>m</w:t>
      </w:r>
      <w:r>
        <w:rPr>
          <w:color w:val="auto"/>
          <w:sz w:val="24"/>
          <w:vertAlign w:val="superscript"/>
        </w:rPr>
        <w:t>3</w:t>
      </w:r>
      <w:r>
        <w:rPr>
          <w:color w:val="auto"/>
          <w:sz w:val="24"/>
        </w:rPr>
        <w:t>，根据建设单位提供的资料，</w:t>
      </w:r>
      <w:r>
        <w:rPr>
          <w:rFonts w:hint="eastAsia"/>
          <w:color w:val="auto"/>
          <w:sz w:val="24"/>
          <w:lang w:val="en-US" w:eastAsia="zh-CN"/>
        </w:rPr>
        <w:t>本工程</w:t>
      </w:r>
      <w:r>
        <w:rPr>
          <w:rFonts w:hint="eastAsia"/>
          <w:color w:val="auto"/>
          <w:sz w:val="24"/>
        </w:rPr>
        <w:t>区块原油密度约</w:t>
      </w:r>
      <w:r>
        <w:rPr>
          <w:rFonts w:hint="eastAsia"/>
          <w:color w:val="auto"/>
          <w:sz w:val="24"/>
          <w:lang w:val="en-US" w:eastAsia="zh-CN"/>
        </w:rPr>
        <w:t>840</w:t>
      </w:r>
      <w:r>
        <w:rPr>
          <w:rFonts w:hint="eastAsia"/>
          <w:color w:val="auto"/>
          <w:sz w:val="24"/>
        </w:rPr>
        <w:t>kg/m</w:t>
      </w:r>
      <w:r>
        <w:rPr>
          <w:rFonts w:hint="eastAsia"/>
          <w:color w:val="auto"/>
          <w:sz w:val="24"/>
          <w:vertAlign w:val="superscript"/>
        </w:rPr>
        <w:t>3</w:t>
      </w:r>
      <w:r>
        <w:rPr>
          <w:rFonts w:hint="eastAsia"/>
          <w:color w:val="auto"/>
          <w:sz w:val="24"/>
        </w:rPr>
        <w:t>，</w:t>
      </w:r>
      <w:r>
        <w:rPr>
          <w:rFonts w:hint="eastAsia"/>
          <w:color w:val="auto"/>
          <w:sz w:val="24"/>
          <w:highlight w:val="none"/>
          <w:lang w:eastAsia="zh-CN"/>
        </w:rPr>
        <w:t>石油类</w:t>
      </w:r>
      <w:r>
        <w:rPr>
          <w:color w:val="auto"/>
          <w:sz w:val="24"/>
          <w:highlight w:val="none"/>
        </w:rPr>
        <w:t>泄漏量为</w:t>
      </w:r>
      <w:r>
        <w:rPr>
          <w:rFonts w:hint="eastAsia"/>
          <w:color w:val="auto"/>
          <w:sz w:val="24"/>
          <w:highlight w:val="none"/>
          <w:lang w:val="en-US" w:eastAsia="zh-CN"/>
        </w:rPr>
        <w:t>0.437t</w:t>
      </w:r>
      <w:r>
        <w:rPr>
          <w:color w:val="auto"/>
          <w:sz w:val="24"/>
          <w:highlight w:val="none"/>
        </w:rPr>
        <w:t>。</w:t>
      </w:r>
    </w:p>
    <w:p w14:paraId="0DE1B841">
      <w:pPr>
        <w:pStyle w:val="11"/>
        <w:bidi w:val="0"/>
        <w:rPr>
          <w:rFonts w:hint="default" w:ascii="Times New Roman" w:hAnsi="Times New Roman" w:eastAsia="宋体"/>
          <w:color w:val="auto"/>
          <w:lang w:val="en-US" w:eastAsia="zh-CN"/>
        </w:rPr>
      </w:pPr>
      <w:r>
        <w:rPr>
          <w:rFonts w:hint="eastAsia"/>
          <w:color w:val="auto"/>
          <w:lang w:val="en-US" w:eastAsia="zh-CN"/>
        </w:rPr>
        <w:t>②油井套管破损</w:t>
      </w:r>
    </w:p>
    <w:p w14:paraId="6C1832D1">
      <w:pPr>
        <w:pStyle w:val="11"/>
        <w:bidi w:val="0"/>
        <w:rPr>
          <w:rFonts w:ascii="Times New Roman" w:hAnsi="Times New Roman" w:eastAsia="宋体"/>
          <w:color w:val="auto"/>
        </w:rPr>
      </w:pPr>
      <w:r>
        <w:rPr>
          <w:rFonts w:hint="default" w:ascii="Times New Roman" w:hAnsi="Times New Roman" w:eastAsia="宋体" w:cs="Times New Roman"/>
          <w:bCs/>
          <w:color w:val="auto"/>
          <w:kern w:val="0"/>
        </w:rPr>
        <w:t>假设油井套管破损发生泄漏，本</w:t>
      </w:r>
      <w:r>
        <w:rPr>
          <w:rFonts w:hint="eastAsia" w:ascii="Times New Roman" w:hAnsi="Times New Roman" w:eastAsia="宋体" w:cs="Times New Roman"/>
          <w:bCs/>
          <w:color w:val="auto"/>
          <w:kern w:val="0"/>
          <w:lang w:val="en-US" w:eastAsia="zh-CN"/>
        </w:rPr>
        <w:t>工程</w:t>
      </w:r>
      <w:r>
        <w:rPr>
          <w:rFonts w:hint="eastAsia" w:cs="Times New Roman"/>
          <w:bCs/>
          <w:color w:val="auto"/>
          <w:kern w:val="0"/>
          <w:lang w:val="en-US" w:eastAsia="zh-CN"/>
        </w:rPr>
        <w:t>转产能</w:t>
      </w:r>
      <w:r>
        <w:rPr>
          <w:rFonts w:hint="default" w:ascii="Times New Roman" w:hAnsi="Times New Roman" w:eastAsia="宋体" w:cs="Times New Roman"/>
          <w:bCs/>
          <w:color w:val="auto"/>
          <w:kern w:val="0"/>
        </w:rPr>
        <w:t>单口油井最大产油量为</w:t>
      </w:r>
      <w:r>
        <w:rPr>
          <w:rFonts w:hint="eastAsia" w:ascii="Times New Roman" w:hAnsi="Times New Roman" w:eastAsia="宋体" w:cs="Times New Roman"/>
          <w:bCs/>
          <w:color w:val="auto"/>
          <w:kern w:val="0"/>
          <w:lang w:val="en-US" w:eastAsia="zh-CN"/>
        </w:rPr>
        <w:t>77.7</w:t>
      </w:r>
      <w:r>
        <w:rPr>
          <w:rFonts w:hint="default" w:ascii="Times New Roman" w:hAnsi="Times New Roman" w:eastAsia="宋体" w:cs="Times New Roman"/>
          <w:bCs/>
          <w:color w:val="auto"/>
          <w:kern w:val="0"/>
        </w:rPr>
        <w:t>t/d，泄漏源强以单井产油量的10%计，由于油井泄漏不能实时控制，因此，该泄漏是不易被发现的，只能在井下作业时对油井套管检测等措施进行控制，泄漏的原油量为</w:t>
      </w:r>
      <w:r>
        <w:rPr>
          <w:rFonts w:hint="eastAsia" w:ascii="Times New Roman" w:hAnsi="Times New Roman" w:eastAsia="宋体" w:cs="Times New Roman"/>
          <w:bCs/>
          <w:color w:val="auto"/>
          <w:kern w:val="0"/>
          <w:lang w:val="en-US" w:eastAsia="zh-CN"/>
        </w:rPr>
        <w:t>7770</w:t>
      </w:r>
      <w:r>
        <w:rPr>
          <w:rFonts w:hint="default" w:ascii="Times New Roman" w:hAnsi="Times New Roman" w:eastAsia="宋体" w:cs="Times New Roman"/>
          <w:bCs/>
          <w:color w:val="auto"/>
          <w:kern w:val="0"/>
        </w:rPr>
        <w:t>kg/d。</w:t>
      </w:r>
    </w:p>
    <w:p w14:paraId="5092642B">
      <w:pPr>
        <w:pStyle w:val="11"/>
        <w:bidi w:val="0"/>
        <w:rPr>
          <w:rFonts w:hint="default" w:ascii="Times New Roman" w:hAnsi="Times New Roman"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预测因子</w:t>
      </w:r>
    </w:p>
    <w:p w14:paraId="3E5B66DF">
      <w:pPr>
        <w:pStyle w:val="11"/>
        <w:bidi w:val="0"/>
        <w:rPr>
          <w:rFonts w:ascii="Times New Roman" w:hAnsi="Times New Roman" w:eastAsia="宋体"/>
          <w:color w:val="auto"/>
        </w:rPr>
      </w:pPr>
      <w:r>
        <w:rPr>
          <w:color w:val="auto"/>
        </w:rPr>
        <w:t>根据工程分析，</w:t>
      </w:r>
      <w:r>
        <w:rPr>
          <w:color w:val="auto"/>
          <w:lang w:eastAsia="zh"/>
        </w:rPr>
        <w:t>本</w:t>
      </w:r>
      <w:r>
        <w:rPr>
          <w:rFonts w:hint="eastAsia"/>
          <w:color w:val="auto"/>
          <w:lang w:val="en-US" w:eastAsia="zh-CN"/>
        </w:rPr>
        <w:t>工程</w:t>
      </w:r>
      <w:r>
        <w:rPr>
          <w:color w:val="auto"/>
        </w:rPr>
        <w:t>选择石油类作为预测因子。</w:t>
      </w:r>
    </w:p>
    <w:p w14:paraId="39E0A4D3">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预测模式</w:t>
      </w:r>
    </w:p>
    <w:p w14:paraId="3CF45720">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事故状态下的地下水溶质运移模拟</w:t>
      </w:r>
      <w:r>
        <w:rPr>
          <w:rFonts w:hint="eastAsia" w:cs="Times New Roman"/>
          <w:color w:val="auto"/>
          <w:sz w:val="24"/>
          <w:lang w:eastAsia="zh-CN"/>
        </w:rPr>
        <w:t>可看作是</w:t>
      </w:r>
      <w:r>
        <w:rPr>
          <w:rFonts w:ascii="Times New Roman" w:hAnsi="Times New Roman" w:eastAsia="宋体" w:cs="Times New Roman"/>
          <w:color w:val="auto"/>
          <w:sz w:val="24"/>
        </w:rPr>
        <w:t>一维稳定流动二维水动力弥散问题，根据《环境影响评价技术导则 地下水环境》（HJ 610-2016），此次预测采用平面瞬时点源污染问题水动力弥散方程解析解作为预测数学模型。平面瞬时点源污染水动力弥散方程解析解见式。</w:t>
      </w:r>
    </w:p>
    <w:p w14:paraId="3340ACC7">
      <w:pPr>
        <w:pStyle w:val="4"/>
        <w:rPr>
          <w:color w:val="auto"/>
        </w:rPr>
      </w:pPr>
      <m:oMathPara>
        <m:oMath>
          <m:r>
            <m:rPr/>
            <w:rPr>
              <w:rFonts w:ascii="Cambria Math" w:hAnsi="Cambria Math"/>
              <w:color w:val="auto"/>
            </w:rPr>
            <m:t>C</m:t>
          </m:r>
          <m:d>
            <m:dPr>
              <m:ctrlPr>
                <w:rPr>
                  <w:rFonts w:ascii="Cambria Math" w:hAnsi="Cambria Math"/>
                  <w:color w:val="auto"/>
                </w:rPr>
              </m:ctrlPr>
            </m:dPr>
            <m:e>
              <m:r>
                <m:rPr/>
                <w:rPr>
                  <w:rFonts w:ascii="Cambria Math" w:hAnsi="Cambria Math"/>
                  <w:color w:val="auto"/>
                </w:rPr>
                <m:t>x</m:t>
              </m:r>
              <m:r>
                <m:rPr>
                  <m:sty m:val="p"/>
                </m:rPr>
                <w:rPr>
                  <w:rFonts w:ascii="Cambria Math" w:hAnsi="Cambria Math"/>
                  <w:color w:val="auto"/>
                </w:rPr>
                <m:t>,</m:t>
              </m:r>
              <m:r>
                <m:rPr/>
                <w:rPr>
                  <w:rFonts w:ascii="Cambria Math" w:hAnsi="Cambria Math"/>
                  <w:color w:val="auto"/>
                </w:rPr>
                <m:t>y</m:t>
              </m:r>
              <m:r>
                <m:rPr>
                  <m:sty m:val="p"/>
                </m:rPr>
                <w:rPr>
                  <w:rFonts w:ascii="Cambria Math" w:hAnsi="Cambria Math"/>
                  <w:color w:val="auto"/>
                </w:rPr>
                <m:t>,</m:t>
              </m:r>
              <m:r>
                <m:rPr/>
                <w:rPr>
                  <w:rFonts w:ascii="Cambria Math" w:hAnsi="Cambria Math"/>
                  <w:color w:val="auto"/>
                </w:rPr>
                <m:t>t</m:t>
              </m:r>
              <m:ctrlPr>
                <w:rPr>
                  <w:rFonts w:ascii="Cambria Math" w:hAnsi="Cambria Math"/>
                  <w:color w:val="auto"/>
                </w:rPr>
              </m:ctrlPr>
            </m:e>
          </m:d>
          <m:r>
            <m:rPr>
              <m:sty m:val="p"/>
            </m:rPr>
            <w:rPr>
              <w:rFonts w:ascii="Cambria Math" w:hAnsi="Cambria Math"/>
              <w:color w:val="auto"/>
            </w:rPr>
            <m:t>=</m:t>
          </m:r>
          <m:f>
            <m:fPr>
              <m:ctrlPr>
                <w:rPr>
                  <w:rFonts w:ascii="Cambria Math" w:hAnsi="Cambria Math"/>
                  <w:color w:val="auto"/>
                </w:rPr>
              </m:ctrlPr>
            </m:fPr>
            <m:num>
              <m:f>
                <m:fPr>
                  <m:type m:val="lin"/>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m</m:t>
                      </m:r>
                      <m:ctrlPr>
                        <w:rPr>
                          <w:rFonts w:ascii="Cambria Math" w:hAnsi="Cambria Math"/>
                          <w:color w:val="auto"/>
                        </w:rPr>
                      </m:ctrlPr>
                    </m:e>
                    <m:sub>
                      <m:r>
                        <m:rPr/>
                        <w:rPr>
                          <w:rFonts w:ascii="Cambria Math" w:hAnsi="Cambria Math"/>
                          <w:color w:val="auto"/>
                        </w:rPr>
                        <m:t>M</m:t>
                      </m:r>
                      <m:ctrlPr>
                        <w:rPr>
                          <w:rFonts w:ascii="Cambria Math" w:hAnsi="Cambria Math"/>
                          <w:color w:val="auto"/>
                        </w:rPr>
                      </m:ctrlPr>
                    </m:sub>
                  </m:sSub>
                  <m:ctrlPr>
                    <w:rPr>
                      <w:rFonts w:ascii="Cambria Math" w:hAnsi="Cambria Math"/>
                      <w:color w:val="auto"/>
                    </w:rPr>
                  </m:ctrlPr>
                </m:num>
                <m:den>
                  <m:r>
                    <m:rPr/>
                    <w:rPr>
                      <w:rFonts w:ascii="Cambria Math" w:hAnsi="Cambria Math"/>
                      <w:color w:val="auto"/>
                    </w:rPr>
                    <m:t>M</m:t>
                  </m:r>
                  <m:ctrlPr>
                    <w:rPr>
                      <w:rFonts w:ascii="Cambria Math" w:hAnsi="Cambria Math"/>
                      <w:color w:val="auto"/>
                    </w:rPr>
                  </m:ctrlPr>
                </m:den>
              </m:f>
              <m:ctrlPr>
                <w:rPr>
                  <w:rFonts w:ascii="Cambria Math" w:hAnsi="Cambria Math"/>
                  <w:color w:val="auto"/>
                </w:rPr>
              </m:ctrlPr>
            </m:num>
            <m:den>
              <m:r>
                <m:rPr>
                  <m:sty m:val="p"/>
                </m:rPr>
                <w:rPr>
                  <w:rFonts w:ascii="Cambria Math" w:hAnsi="Cambria Math"/>
                  <w:color w:val="auto"/>
                </w:rPr>
                <m:t>4</m:t>
              </m:r>
              <m:r>
                <m:rPr/>
                <w:rPr>
                  <w:rFonts w:ascii="Cambria Math" w:hAnsi="Cambria Math"/>
                  <w:color w:val="auto"/>
                </w:rPr>
                <m:t>πnt</m:t>
              </m:r>
              <m:rad>
                <m:radPr>
                  <m:degHide m:val="1"/>
                  <m:ctrlPr>
                    <w:rPr>
                      <w:rFonts w:ascii="Cambria Math" w:hAnsi="Cambria Math"/>
                      <w:color w:val="auto"/>
                    </w:rPr>
                  </m:ctrlPr>
                </m:radPr>
                <m:deg>
                  <m:ctrlPr>
                    <w:rPr>
                      <w:rFonts w:ascii="Cambria Math" w:hAnsi="Cambria Math"/>
                      <w:color w:val="auto"/>
                    </w:rPr>
                  </m:ctrlPr>
                </m:deg>
                <m:e>
                  <m:sSub>
                    <m:sSubPr>
                      <m:ctrlPr>
                        <w:rPr>
                          <w:rFonts w:ascii="Cambria Math" w:hAnsi="Cambria Math"/>
                          <w:color w:val="auto"/>
                        </w:rPr>
                      </m:ctrlPr>
                    </m:sSubPr>
                    <m:e>
                      <m:r>
                        <m:rPr/>
                        <w:rPr>
                          <w:rFonts w:ascii="Cambria Math" w:hAnsi="Cambria Math"/>
                          <w:color w:val="auto"/>
                        </w:rPr>
                        <m:t>D</m:t>
                      </m:r>
                      <m:ctrlPr>
                        <w:rPr>
                          <w:rFonts w:ascii="Cambria Math" w:hAnsi="Cambria Math"/>
                          <w:color w:val="auto"/>
                        </w:rPr>
                      </m:ctrlPr>
                    </m:e>
                    <m:sub>
                      <m:r>
                        <m:rPr/>
                        <w:rPr>
                          <w:rFonts w:ascii="Cambria Math" w:hAnsi="Cambria Math"/>
                          <w:color w:val="auto"/>
                        </w:rPr>
                        <m:t>L</m:t>
                      </m:r>
                      <m:ctrlPr>
                        <w:rPr>
                          <w:rFonts w:ascii="Cambria Math" w:hAnsi="Cambria Math"/>
                          <w:color w:val="auto"/>
                        </w:rPr>
                      </m:ctrlPr>
                    </m:sub>
                  </m:sSub>
                  <m:sSub>
                    <m:sSubPr>
                      <m:ctrlPr>
                        <w:rPr>
                          <w:rFonts w:ascii="Cambria Math" w:hAnsi="Cambria Math"/>
                          <w:color w:val="auto"/>
                        </w:rPr>
                      </m:ctrlPr>
                    </m:sSubPr>
                    <m:e>
                      <m:r>
                        <m:rPr/>
                        <w:rPr>
                          <w:rFonts w:ascii="Cambria Math" w:hAnsi="Cambria Math"/>
                          <w:color w:val="auto"/>
                        </w:rPr>
                        <m:t>D</m:t>
                      </m:r>
                      <m:ctrlPr>
                        <w:rPr>
                          <w:rFonts w:ascii="Cambria Math" w:hAnsi="Cambria Math"/>
                          <w:color w:val="auto"/>
                        </w:rPr>
                      </m:ctrlPr>
                    </m:e>
                    <m:sub>
                      <m:r>
                        <m:rPr/>
                        <w:rPr>
                          <w:rFonts w:ascii="Cambria Math" w:hAnsi="Cambria Math"/>
                          <w:color w:val="auto"/>
                        </w:rPr>
                        <m:t>T</m:t>
                      </m:r>
                      <m:ctrlPr>
                        <w:rPr>
                          <w:rFonts w:ascii="Cambria Math" w:hAnsi="Cambria Math"/>
                          <w:color w:val="auto"/>
                        </w:rPr>
                      </m:ctrlPr>
                    </m:sub>
                  </m:sSub>
                  <m:ctrlPr>
                    <w:rPr>
                      <w:rFonts w:ascii="Cambria Math" w:hAnsi="Cambria Math"/>
                      <w:color w:val="auto"/>
                    </w:rPr>
                  </m:ctrlPr>
                </m:e>
              </m:rad>
              <m:ctrlPr>
                <w:rPr>
                  <w:rFonts w:ascii="Cambria Math" w:hAnsi="Cambria Math"/>
                  <w:color w:val="auto"/>
                </w:rPr>
              </m:ctrlPr>
            </m:den>
          </m:f>
          <m:sSup>
            <m:sSupPr>
              <m:ctrlPr>
                <w:rPr>
                  <w:rFonts w:ascii="Cambria Math" w:hAnsi="Cambria Math"/>
                  <w:color w:val="auto"/>
                </w:rPr>
              </m:ctrlPr>
            </m:sSupPr>
            <m:e>
              <m:r>
                <m:rPr/>
                <w:rPr>
                  <w:rFonts w:ascii="Cambria Math" w:hAnsi="Cambria Math"/>
                  <w:color w:val="auto"/>
                </w:rPr>
                <m:t>e</m:t>
              </m:r>
              <m:ctrlPr>
                <w:rPr>
                  <w:rFonts w:ascii="Cambria Math" w:hAnsi="Cambria Math"/>
                  <w:color w:val="auto"/>
                </w:rPr>
              </m:ctrlPr>
            </m:e>
            <m:sup>
              <m:r>
                <m:rPr>
                  <m:sty m:val="p"/>
                </m:rPr>
                <w:rPr>
                  <w:rFonts w:ascii="Cambria Math" w:hAnsi="Cambria Math"/>
                  <w:color w:val="auto"/>
                </w:rPr>
                <m:t>−</m:t>
              </m:r>
              <m:d>
                <m:dPr>
                  <m:begChr m:val="["/>
                  <m:endChr m:val="]"/>
                  <m:ctrlPr>
                    <w:rPr>
                      <w:rFonts w:ascii="Cambria Math" w:hAnsi="Cambria Math"/>
                      <w:color w:val="auto"/>
                    </w:rPr>
                  </m:ctrlPr>
                </m:dPr>
                <m:e>
                  <m:f>
                    <m:fPr>
                      <m:ctrlPr>
                        <w:rPr>
                          <w:rFonts w:ascii="Cambria Math" w:hAnsi="Cambria Math"/>
                          <w:color w:val="auto"/>
                        </w:rPr>
                      </m:ctrlPr>
                    </m:fPr>
                    <m:num>
                      <m:sSup>
                        <m:sSupPr>
                          <m:ctrlPr>
                            <w:rPr>
                              <w:rFonts w:ascii="Cambria Math" w:hAnsi="Cambria Math"/>
                              <w:color w:val="auto"/>
                            </w:rPr>
                          </m:ctrlPr>
                        </m:sSupPr>
                        <m:e>
                          <m:d>
                            <m:dPr>
                              <m:ctrlPr>
                                <w:rPr>
                                  <w:rFonts w:ascii="Cambria Math" w:hAnsi="Cambria Math"/>
                                  <w:color w:val="auto"/>
                                </w:rPr>
                              </m:ctrlPr>
                            </m:dPr>
                            <m:e>
                              <m:r>
                                <m:rPr/>
                                <w:rPr>
                                  <w:rFonts w:ascii="Cambria Math" w:hAnsi="Cambria Math"/>
                                  <w:color w:val="auto"/>
                                </w:rPr>
                                <m:t>x</m:t>
                              </m:r>
                              <m:r>
                                <m:rPr>
                                  <m:sty m:val="p"/>
                                </m:rPr>
                                <w:rPr>
                                  <w:rFonts w:ascii="Cambria Math" w:hAnsi="Cambria Math"/>
                                  <w:color w:val="auto"/>
                                </w:rPr>
                                <m:t>−</m:t>
                              </m:r>
                              <m:r>
                                <m:rPr/>
                                <w:rPr>
                                  <w:rFonts w:ascii="Cambria Math" w:hAnsi="Cambria Math"/>
                                  <w:color w:val="auto"/>
                                </w:rPr>
                                <m:t>ut</m:t>
                              </m:r>
                              <m:ctrlPr>
                                <w:rPr>
                                  <w:rFonts w:ascii="Cambria Math" w:hAnsi="Cambria Math"/>
                                  <w:color w:val="auto"/>
                                </w:rPr>
                              </m:ctrlPr>
                            </m:e>
                          </m:d>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ctrlPr>
                        <w:rPr>
                          <w:rFonts w:ascii="Cambria Math" w:hAnsi="Cambria Math"/>
                          <w:color w:val="auto"/>
                        </w:rPr>
                      </m:ctrlPr>
                    </m:num>
                    <m:den>
                      <m:r>
                        <m:rPr>
                          <m:sty m:val="p"/>
                        </m:rPr>
                        <w:rPr>
                          <w:rFonts w:ascii="Cambria Math" w:hAnsi="Cambria Math"/>
                          <w:color w:val="auto"/>
                        </w:rPr>
                        <m:t>4</m:t>
                      </m:r>
                      <m:sSub>
                        <m:sSubPr>
                          <m:ctrlPr>
                            <w:rPr>
                              <w:rFonts w:ascii="Cambria Math" w:hAnsi="Cambria Math"/>
                              <w:color w:val="auto"/>
                            </w:rPr>
                          </m:ctrlPr>
                        </m:sSubPr>
                        <m:e>
                          <m:r>
                            <m:rPr/>
                            <w:rPr>
                              <w:rFonts w:ascii="Cambria Math" w:hAnsi="Cambria Math"/>
                              <w:color w:val="auto"/>
                            </w:rPr>
                            <m:t>D</m:t>
                          </m:r>
                          <m:ctrlPr>
                            <w:rPr>
                              <w:rFonts w:ascii="Cambria Math" w:hAnsi="Cambria Math"/>
                              <w:color w:val="auto"/>
                            </w:rPr>
                          </m:ctrlPr>
                        </m:e>
                        <m:sub>
                          <m:r>
                            <m:rPr/>
                            <w:rPr>
                              <w:rFonts w:ascii="Cambria Math" w:hAnsi="Cambria Math"/>
                              <w:color w:val="auto"/>
                            </w:rPr>
                            <m:t>L</m:t>
                          </m:r>
                          <m:ctrlPr>
                            <w:rPr>
                              <w:rFonts w:ascii="Cambria Math" w:hAnsi="Cambria Math"/>
                              <w:color w:val="auto"/>
                            </w:rPr>
                          </m:ctrlPr>
                        </m:sub>
                      </m:sSub>
                      <m:r>
                        <m:rPr/>
                        <w:rPr>
                          <w:rFonts w:ascii="Cambria Math" w:hAnsi="Cambria Math"/>
                          <w:color w:val="auto"/>
                        </w:rPr>
                        <m:t>t</m:t>
                      </m:r>
                      <m:ctrlPr>
                        <w:rPr>
                          <w:rFonts w:ascii="Cambria Math" w:hAnsi="Cambria Math"/>
                          <w:color w:val="auto"/>
                        </w:rPr>
                      </m:ctrlPr>
                    </m:den>
                  </m:f>
                  <m:r>
                    <m:rPr>
                      <m:sty m:val="p"/>
                    </m:rPr>
                    <w:rPr>
                      <w:rFonts w:ascii="Cambria Math" w:hAnsi="Cambria Math"/>
                      <w:color w:val="auto"/>
                    </w:rPr>
                    <m:t>+</m:t>
                  </m:r>
                  <m:f>
                    <m:fPr>
                      <m:ctrlPr>
                        <w:rPr>
                          <w:rFonts w:ascii="Cambria Math" w:hAnsi="Cambria Math"/>
                          <w:color w:val="auto"/>
                        </w:rPr>
                      </m:ctrlPr>
                    </m:fPr>
                    <m:num>
                      <m:sSup>
                        <m:sSupPr>
                          <m:ctrlPr>
                            <w:rPr>
                              <w:rFonts w:ascii="Cambria Math" w:hAnsi="Cambria Math"/>
                              <w:color w:val="auto"/>
                            </w:rPr>
                          </m:ctrlPr>
                        </m:sSupPr>
                        <m:e>
                          <m:r>
                            <m:rPr/>
                            <w:rPr>
                              <w:rFonts w:ascii="Cambria Math" w:hAnsi="Cambria Math"/>
                              <w:color w:val="auto"/>
                            </w:rPr>
                            <m:t>y</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ctrlPr>
                        <w:rPr>
                          <w:rFonts w:ascii="Cambria Math" w:hAnsi="Cambria Math"/>
                          <w:color w:val="auto"/>
                        </w:rPr>
                      </m:ctrlPr>
                    </m:num>
                    <m:den>
                      <m:r>
                        <m:rPr>
                          <m:sty m:val="p"/>
                        </m:rPr>
                        <w:rPr>
                          <w:rFonts w:ascii="Cambria Math" w:hAnsi="Cambria Math"/>
                          <w:color w:val="auto"/>
                        </w:rPr>
                        <m:t>4</m:t>
                      </m:r>
                      <m:sSub>
                        <m:sSubPr>
                          <m:ctrlPr>
                            <w:rPr>
                              <w:rFonts w:ascii="Cambria Math" w:hAnsi="Cambria Math"/>
                              <w:color w:val="auto"/>
                            </w:rPr>
                          </m:ctrlPr>
                        </m:sSubPr>
                        <m:e>
                          <m:r>
                            <m:rPr/>
                            <w:rPr>
                              <w:rFonts w:ascii="Cambria Math" w:hAnsi="Cambria Math"/>
                              <w:color w:val="auto"/>
                            </w:rPr>
                            <m:t>D</m:t>
                          </m:r>
                          <m:ctrlPr>
                            <w:rPr>
                              <w:rFonts w:ascii="Cambria Math" w:hAnsi="Cambria Math"/>
                              <w:color w:val="auto"/>
                            </w:rPr>
                          </m:ctrlPr>
                        </m:e>
                        <m:sub>
                          <m:r>
                            <m:rPr/>
                            <w:rPr>
                              <w:rFonts w:ascii="Cambria Math" w:hAnsi="Cambria Math"/>
                              <w:color w:val="auto"/>
                            </w:rPr>
                            <m:t>T</m:t>
                          </m:r>
                          <m:ctrlPr>
                            <w:rPr>
                              <w:rFonts w:ascii="Cambria Math" w:hAnsi="Cambria Math"/>
                              <w:color w:val="auto"/>
                            </w:rPr>
                          </m:ctrlPr>
                        </m:sub>
                      </m:sSub>
                      <m:r>
                        <m:rPr/>
                        <w:rPr>
                          <w:rFonts w:ascii="Cambria Math" w:hAnsi="Cambria Math"/>
                          <w:color w:val="auto"/>
                        </w:rPr>
                        <m:t>t</m:t>
                      </m:r>
                      <m:ctrlPr>
                        <w:rPr>
                          <w:rFonts w:ascii="Cambria Math" w:hAnsi="Cambria Math"/>
                          <w:color w:val="auto"/>
                        </w:rPr>
                      </m:ctrlPr>
                    </m:den>
                  </m:f>
                  <m:ctrlPr>
                    <w:rPr>
                      <w:rFonts w:ascii="Cambria Math" w:hAnsi="Cambria Math"/>
                      <w:color w:val="auto"/>
                    </w:rPr>
                  </m:ctrlPr>
                </m:e>
              </m:d>
              <m:ctrlPr>
                <w:rPr>
                  <w:rFonts w:ascii="Cambria Math" w:hAnsi="Cambria Math"/>
                  <w:color w:val="auto"/>
                </w:rPr>
              </m:ctrlPr>
            </m:sup>
          </m:sSup>
        </m:oMath>
      </m:oMathPara>
    </w:p>
    <w:p w14:paraId="4D33C4AF">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式中：x，y——计算点处的位置坐标；</w:t>
      </w:r>
    </w:p>
    <w:p w14:paraId="480AE11B">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t——时间，d；</w:t>
      </w:r>
    </w:p>
    <w:p w14:paraId="54D11D73">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C（x，y，t）——t时刻点（x，y）处的污染物浓度，mg/L；</w:t>
      </w:r>
    </w:p>
    <w:p w14:paraId="6AB8F0AF">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M——含水层的厚度，m；</w:t>
      </w:r>
    </w:p>
    <w:p w14:paraId="4FAFBB49">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bscript"/>
          <w:lang w:val="en-US" w:eastAsia="zh-CN"/>
        </w:rPr>
        <w:t>M</w:t>
      </w:r>
      <w:r>
        <w:rPr>
          <w:rFonts w:hint="eastAsia" w:ascii="Times New Roman" w:hAnsi="Times New Roman" w:eastAsia="宋体" w:cs="Times New Roman"/>
          <w:color w:val="auto"/>
          <w:sz w:val="24"/>
          <w:lang w:val="en-US" w:eastAsia="zh-CN"/>
        </w:rPr>
        <w:t>——长度为M的线源瞬时注入污染物的质量，kg；</w:t>
      </w:r>
    </w:p>
    <w:p w14:paraId="23A6E24D">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u——水流速度，m/d；</w:t>
      </w:r>
    </w:p>
    <w:p w14:paraId="1981AC42">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n——有效孔隙度，无量纲；</w:t>
      </w:r>
    </w:p>
    <w:p w14:paraId="0BC79052">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vertAlign w:val="subscript"/>
          <w:lang w:val="en-US" w:eastAsia="zh-CN"/>
        </w:rPr>
        <w:t>L</w:t>
      </w:r>
      <w:r>
        <w:rPr>
          <w:rFonts w:hint="eastAsia" w:ascii="Times New Roman" w:hAnsi="Times New Roman" w:eastAsia="宋体" w:cs="Times New Roman"/>
          <w:color w:val="auto"/>
          <w:sz w:val="24"/>
          <w:lang w:val="en-US" w:eastAsia="zh-CN"/>
        </w:rPr>
        <w:t>——纵向弥散系数，m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/d；</w:t>
      </w:r>
    </w:p>
    <w:p w14:paraId="7A1A74E3">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vertAlign w:val="subscript"/>
          <w:lang w:val="en-US" w:eastAsia="zh-CN"/>
        </w:rPr>
        <w:t>T</w:t>
      </w:r>
      <w:r>
        <w:rPr>
          <w:rFonts w:hint="eastAsia" w:ascii="Times New Roman" w:hAnsi="Times New Roman" w:eastAsia="宋体" w:cs="Times New Roman"/>
          <w:color w:val="auto"/>
          <w:sz w:val="24"/>
          <w:lang w:val="en-US" w:eastAsia="zh-CN"/>
        </w:rPr>
        <w:t>——横向y方向弥散系数，m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/d；</w:t>
      </w:r>
    </w:p>
    <w:p w14:paraId="73B5E620">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π——圆周率</w:t>
      </w:r>
      <w:r>
        <w:rPr>
          <w:rFonts w:hint="eastAsia" w:ascii="Times New Roman" w:hAnsi="Times New Roman" w:eastAsia="宋体" w:cs="Times New Roman"/>
          <w:color w:val="auto"/>
          <w:sz w:val="24"/>
          <w:lang w:val="en-US" w:eastAsia="zh-CN"/>
        </w:rPr>
        <w:t>。</w:t>
      </w:r>
    </w:p>
    <w:p w14:paraId="5F07F3EE">
      <w:pPr>
        <w:spacing w:line="360" w:lineRule="auto"/>
        <w:ind w:firstLine="480" w:firstLineChars="200"/>
        <w:rPr>
          <w:rFonts w:hint="default"/>
          <w:color w:val="auto"/>
          <w:sz w:val="24"/>
          <w:szCs w:val="28"/>
          <w:lang w:val="en-US" w:eastAsia="zh-CN"/>
        </w:rPr>
      </w:pPr>
      <w:r>
        <w:rPr>
          <w:rFonts w:hint="eastAsia"/>
          <w:color w:val="auto"/>
          <w:sz w:val="24"/>
          <w:szCs w:val="28"/>
          <w:lang w:val="en-US" w:eastAsia="zh-CN"/>
        </w:rPr>
        <w:t>（4）预测时段</w:t>
      </w:r>
    </w:p>
    <w:p w14:paraId="0452A8A9">
      <w:pPr>
        <w:spacing w:line="360" w:lineRule="auto"/>
        <w:ind w:firstLine="480" w:firstLineChars="200"/>
        <w:rPr>
          <w:rFonts w:hint="eastAsia" w:ascii="Times New Roman" w:hAnsi="Times New Roman" w:eastAsia="宋体" w:cs="Times New Roman"/>
          <w:color w:val="auto"/>
          <w:sz w:val="24"/>
          <w:lang w:val="en-US" w:eastAsia="zh-CN"/>
        </w:rPr>
      </w:pPr>
      <w:r>
        <w:rPr>
          <w:rFonts w:hint="eastAsia"/>
          <w:color w:val="auto"/>
          <w:sz w:val="24"/>
          <w:szCs w:val="28"/>
          <w:lang w:val="en-US" w:eastAsia="zh-CN"/>
        </w:rPr>
        <w:t>根据《环境影响评价技术导则 地下水环境》（HJ610-2016），地下水环境影响预测时段应选取可能产生地下水污染的关键时段，至少包括污染物发生后100d、1000d和服务年限或能反映特征因子迁移规律的其他重要时间节点。结合本工程的特点，预测时段选择为100d、500d、1000d、3650d。</w:t>
      </w:r>
    </w:p>
    <w:p w14:paraId="37316B8E">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（5）预测参数</w:t>
      </w:r>
    </w:p>
    <w:p w14:paraId="35B0BA12">
      <w:pPr>
        <w:spacing w:line="360" w:lineRule="auto"/>
        <w:ind w:firstLine="480" w:firstLineChars="200"/>
        <w:rPr>
          <w:color w:val="auto"/>
          <w:sz w:val="24"/>
        </w:rPr>
      </w:pPr>
      <w:r>
        <w:rPr>
          <w:color w:val="auto"/>
          <w:sz w:val="24"/>
        </w:rPr>
        <w:t>模型中所需参数选取见表</w:t>
      </w:r>
      <w:r>
        <w:rPr>
          <w:rFonts w:hint="eastAsia"/>
          <w:color w:val="auto"/>
          <w:sz w:val="24"/>
          <w:lang w:val="en-US" w:eastAsia="zh-CN"/>
        </w:rPr>
        <w:t>5.2-9</w:t>
      </w:r>
      <w:r>
        <w:rPr>
          <w:color w:val="auto"/>
          <w:sz w:val="24"/>
        </w:rPr>
        <w:t>。</w:t>
      </w:r>
    </w:p>
    <w:p w14:paraId="6636276B">
      <w:pPr>
        <w:pStyle w:val="32"/>
        <w:bidi w:val="0"/>
        <w:rPr>
          <w:color w:val="auto"/>
        </w:rPr>
      </w:pPr>
      <w:r>
        <w:rPr>
          <w:color w:val="auto"/>
        </w:rPr>
        <w:t>表</w:t>
      </w:r>
      <w:r>
        <w:rPr>
          <w:rFonts w:hint="eastAsia"/>
          <w:color w:val="auto"/>
          <w:lang w:val="en-US" w:eastAsia="zh-CN"/>
        </w:rPr>
        <w:t>5.2-9</w:t>
      </w:r>
      <w:r>
        <w:rPr>
          <w:color w:val="auto"/>
        </w:rPr>
        <w:t xml:space="preserve">  模型参数一览表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103"/>
        <w:gridCol w:w="2805"/>
        <w:gridCol w:w="3698"/>
      </w:tblGrid>
      <w:tr w14:paraId="79EC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noWrap w:val="0"/>
            <w:vAlign w:val="center"/>
          </w:tcPr>
          <w:p w14:paraId="7F8A3DD4">
            <w:pPr>
              <w:jc w:val="center"/>
              <w:rPr>
                <w:b/>
                <w:bCs/>
                <w:color w:val="auto"/>
                <w:sz w:val="21"/>
                <w:szCs w:val="21"/>
              </w:rPr>
            </w:pPr>
            <w:r>
              <w:rPr>
                <w:b/>
                <w:bCs/>
                <w:color w:val="auto"/>
                <w:sz w:val="21"/>
                <w:szCs w:val="21"/>
              </w:rPr>
              <w:t>序号</w:t>
            </w:r>
          </w:p>
        </w:tc>
        <w:tc>
          <w:tcPr>
            <w:tcW w:w="1103" w:type="dxa"/>
            <w:noWrap w:val="0"/>
            <w:vAlign w:val="center"/>
          </w:tcPr>
          <w:p w14:paraId="442A50B1">
            <w:pPr>
              <w:jc w:val="center"/>
              <w:rPr>
                <w:b/>
                <w:bCs/>
                <w:color w:val="auto"/>
                <w:sz w:val="21"/>
                <w:szCs w:val="21"/>
              </w:rPr>
            </w:pPr>
            <w:r>
              <w:rPr>
                <w:b/>
                <w:bCs/>
                <w:color w:val="auto"/>
                <w:sz w:val="21"/>
                <w:szCs w:val="21"/>
              </w:rPr>
              <w:t>参数符号</w:t>
            </w:r>
          </w:p>
        </w:tc>
        <w:tc>
          <w:tcPr>
            <w:tcW w:w="2805" w:type="dxa"/>
            <w:noWrap w:val="0"/>
            <w:vAlign w:val="center"/>
          </w:tcPr>
          <w:p w14:paraId="03088816">
            <w:pPr>
              <w:jc w:val="center"/>
              <w:rPr>
                <w:b/>
                <w:bCs/>
                <w:color w:val="auto"/>
                <w:sz w:val="21"/>
                <w:szCs w:val="21"/>
              </w:rPr>
            </w:pPr>
            <w:r>
              <w:rPr>
                <w:b/>
                <w:bCs/>
                <w:color w:val="auto"/>
                <w:sz w:val="21"/>
                <w:szCs w:val="21"/>
              </w:rPr>
              <w:t>参数名称</w:t>
            </w:r>
          </w:p>
        </w:tc>
        <w:tc>
          <w:tcPr>
            <w:tcW w:w="3698" w:type="dxa"/>
            <w:noWrap w:val="0"/>
            <w:vAlign w:val="center"/>
          </w:tcPr>
          <w:p w14:paraId="725C90CE">
            <w:pPr>
              <w:jc w:val="center"/>
              <w:rPr>
                <w:b/>
                <w:bCs/>
                <w:color w:val="auto"/>
                <w:sz w:val="21"/>
                <w:szCs w:val="21"/>
              </w:rPr>
            </w:pPr>
            <w:r>
              <w:rPr>
                <w:b/>
                <w:bCs/>
                <w:color w:val="auto"/>
                <w:sz w:val="21"/>
                <w:szCs w:val="21"/>
              </w:rPr>
              <w:t>参考值</w:t>
            </w:r>
          </w:p>
        </w:tc>
      </w:tr>
      <w:tr w14:paraId="5BA2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noWrap w:val="0"/>
            <w:vAlign w:val="center"/>
          </w:tcPr>
          <w:p w14:paraId="2B851CB9">
            <w:pPr>
              <w:jc w:val="center"/>
              <w:rPr>
                <w:color w:val="auto"/>
                <w:sz w:val="21"/>
                <w:szCs w:val="21"/>
              </w:rPr>
            </w:pPr>
            <w:r>
              <w:rPr>
                <w:color w:val="auto"/>
                <w:sz w:val="21"/>
                <w:szCs w:val="21"/>
              </w:rPr>
              <w:t>1</w:t>
            </w:r>
          </w:p>
        </w:tc>
        <w:tc>
          <w:tcPr>
            <w:tcW w:w="1103" w:type="dxa"/>
            <w:noWrap w:val="0"/>
            <w:vAlign w:val="center"/>
          </w:tcPr>
          <w:p w14:paraId="69AFADE1">
            <w:pPr>
              <w:jc w:val="center"/>
              <w:rPr>
                <w:color w:val="auto"/>
                <w:sz w:val="21"/>
                <w:szCs w:val="21"/>
              </w:rPr>
            </w:pPr>
            <w:r>
              <w:rPr>
                <w:color w:val="auto"/>
                <w:sz w:val="21"/>
                <w:szCs w:val="21"/>
              </w:rPr>
              <w:t>t</w:t>
            </w:r>
          </w:p>
        </w:tc>
        <w:tc>
          <w:tcPr>
            <w:tcW w:w="2805" w:type="dxa"/>
            <w:noWrap w:val="0"/>
            <w:vAlign w:val="center"/>
          </w:tcPr>
          <w:p w14:paraId="3EEFF360">
            <w:pPr>
              <w:jc w:val="center"/>
              <w:rPr>
                <w:color w:val="auto"/>
                <w:sz w:val="21"/>
                <w:szCs w:val="21"/>
              </w:rPr>
            </w:pPr>
            <w:r>
              <w:rPr>
                <w:color w:val="auto"/>
                <w:sz w:val="21"/>
                <w:szCs w:val="21"/>
              </w:rPr>
              <w:t>时间，d</w:t>
            </w:r>
          </w:p>
        </w:tc>
        <w:tc>
          <w:tcPr>
            <w:tcW w:w="3698" w:type="dxa"/>
            <w:noWrap w:val="0"/>
            <w:vAlign w:val="center"/>
          </w:tcPr>
          <w:p w14:paraId="447A67BE">
            <w:pPr>
              <w:jc w:val="center"/>
              <w:rPr>
                <w:rFonts w:hint="default" w:eastAsia="宋体"/>
                <w:color w:val="auto"/>
                <w:sz w:val="21"/>
                <w:szCs w:val="21"/>
                <w:lang w:val="en-US" w:eastAsia="zh-CN"/>
              </w:rPr>
            </w:pPr>
            <w:r>
              <w:rPr>
                <w:color w:val="auto"/>
                <w:sz w:val="21"/>
                <w:szCs w:val="21"/>
              </w:rPr>
              <w:t>100，</w:t>
            </w:r>
            <w:r>
              <w:rPr>
                <w:rFonts w:hint="eastAsia"/>
                <w:color w:val="auto"/>
                <w:sz w:val="21"/>
                <w:szCs w:val="21"/>
                <w:lang w:val="en-US" w:eastAsia="zh-CN"/>
              </w:rPr>
              <w:t>500，</w:t>
            </w:r>
            <w:r>
              <w:rPr>
                <w:color w:val="auto"/>
                <w:sz w:val="21"/>
                <w:szCs w:val="21"/>
              </w:rPr>
              <w:t>1000，</w:t>
            </w:r>
            <w:r>
              <w:rPr>
                <w:rFonts w:hint="eastAsia"/>
                <w:color w:val="auto"/>
                <w:sz w:val="21"/>
                <w:szCs w:val="21"/>
                <w:lang w:val="en-US" w:eastAsia="zh-CN"/>
              </w:rPr>
              <w:t>3650</w:t>
            </w:r>
          </w:p>
        </w:tc>
      </w:tr>
      <w:tr w14:paraId="6910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noWrap w:val="0"/>
            <w:vAlign w:val="center"/>
          </w:tcPr>
          <w:p w14:paraId="4ABD9ABC">
            <w:pPr>
              <w:jc w:val="center"/>
              <w:rPr>
                <w:color w:val="auto"/>
                <w:sz w:val="21"/>
                <w:szCs w:val="21"/>
              </w:rPr>
            </w:pPr>
            <w:r>
              <w:rPr>
                <w:color w:val="auto"/>
                <w:sz w:val="21"/>
                <w:szCs w:val="21"/>
              </w:rPr>
              <w:t>2</w:t>
            </w:r>
          </w:p>
        </w:tc>
        <w:tc>
          <w:tcPr>
            <w:tcW w:w="1103" w:type="dxa"/>
            <w:noWrap w:val="0"/>
            <w:vAlign w:val="center"/>
          </w:tcPr>
          <w:p w14:paraId="314B789D">
            <w:pPr>
              <w:jc w:val="center"/>
              <w:rPr>
                <w:color w:val="auto"/>
                <w:sz w:val="21"/>
                <w:szCs w:val="21"/>
              </w:rPr>
            </w:pPr>
            <w:r>
              <w:rPr>
                <w:color w:val="auto"/>
                <w:sz w:val="21"/>
                <w:szCs w:val="21"/>
              </w:rPr>
              <w:t>m</w:t>
            </w:r>
            <w:r>
              <w:rPr>
                <w:color w:val="auto"/>
                <w:sz w:val="21"/>
                <w:szCs w:val="21"/>
                <w:vertAlign w:val="subscript"/>
              </w:rPr>
              <w:t>M</w:t>
            </w:r>
          </w:p>
        </w:tc>
        <w:tc>
          <w:tcPr>
            <w:tcW w:w="2805" w:type="dxa"/>
            <w:noWrap w:val="0"/>
            <w:vAlign w:val="center"/>
          </w:tcPr>
          <w:p w14:paraId="0012FE7F">
            <w:pPr>
              <w:jc w:val="center"/>
              <w:rPr>
                <w:color w:val="auto"/>
                <w:sz w:val="21"/>
                <w:szCs w:val="21"/>
              </w:rPr>
            </w:pPr>
            <w:r>
              <w:rPr>
                <w:color w:val="auto"/>
                <w:sz w:val="21"/>
                <w:szCs w:val="21"/>
              </w:rPr>
              <w:t>瞬时注入的质量，kg</w:t>
            </w:r>
          </w:p>
        </w:tc>
        <w:tc>
          <w:tcPr>
            <w:tcW w:w="3698" w:type="dxa"/>
            <w:noWrap w:val="0"/>
            <w:vAlign w:val="center"/>
          </w:tcPr>
          <w:p w14:paraId="05D6291F">
            <w:pPr>
              <w:jc w:val="center"/>
              <w:rPr>
                <w:rFonts w:hint="default" w:eastAsia="宋体"/>
                <w:color w:val="auto"/>
                <w:sz w:val="21"/>
                <w:szCs w:val="21"/>
                <w:lang w:val="en-US" w:eastAsia="zh-CN"/>
              </w:rPr>
            </w:pPr>
            <w:r>
              <w:rPr>
                <w:rFonts w:hint="eastAsia"/>
                <w:color w:val="auto"/>
                <w:sz w:val="21"/>
                <w:szCs w:val="21"/>
                <w:lang w:val="en-US" w:eastAsia="zh-CN"/>
              </w:rPr>
              <w:t>437、7770</w:t>
            </w:r>
            <w:r>
              <w:rPr>
                <w:color w:val="auto"/>
                <w:sz w:val="21"/>
                <w:szCs w:val="21"/>
              </w:rPr>
              <w:t>，</w:t>
            </w:r>
            <w:r>
              <w:rPr>
                <w:rFonts w:hint="eastAsia"/>
                <w:color w:val="auto"/>
                <w:sz w:val="21"/>
                <w:szCs w:val="21"/>
                <w:lang w:val="en-US" w:eastAsia="zh-CN"/>
              </w:rPr>
              <w:t>见泄漏源强</w:t>
            </w:r>
          </w:p>
        </w:tc>
      </w:tr>
      <w:tr w14:paraId="170A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noWrap w:val="0"/>
            <w:vAlign w:val="center"/>
          </w:tcPr>
          <w:p w14:paraId="5BE95B6A">
            <w:pPr>
              <w:jc w:val="center"/>
              <w:rPr>
                <w:color w:val="auto"/>
                <w:sz w:val="21"/>
                <w:szCs w:val="21"/>
              </w:rPr>
            </w:pPr>
            <w:r>
              <w:rPr>
                <w:color w:val="auto"/>
                <w:sz w:val="21"/>
                <w:szCs w:val="21"/>
              </w:rPr>
              <w:t>3</w:t>
            </w:r>
          </w:p>
        </w:tc>
        <w:tc>
          <w:tcPr>
            <w:tcW w:w="1103" w:type="dxa"/>
            <w:noWrap w:val="0"/>
            <w:vAlign w:val="center"/>
          </w:tcPr>
          <w:p w14:paraId="6699E5E0">
            <w:pPr>
              <w:jc w:val="center"/>
              <w:rPr>
                <w:color w:val="auto"/>
                <w:sz w:val="21"/>
                <w:szCs w:val="21"/>
              </w:rPr>
            </w:pPr>
            <w:r>
              <w:rPr>
                <w:color w:val="auto"/>
                <w:sz w:val="21"/>
                <w:szCs w:val="21"/>
              </w:rPr>
              <w:t>u</w:t>
            </w:r>
          </w:p>
        </w:tc>
        <w:tc>
          <w:tcPr>
            <w:tcW w:w="2805" w:type="dxa"/>
            <w:noWrap w:val="0"/>
            <w:vAlign w:val="center"/>
          </w:tcPr>
          <w:p w14:paraId="55CACC57">
            <w:pPr>
              <w:jc w:val="center"/>
              <w:rPr>
                <w:color w:val="auto"/>
                <w:sz w:val="21"/>
                <w:szCs w:val="21"/>
              </w:rPr>
            </w:pPr>
            <w:r>
              <w:rPr>
                <w:color w:val="auto"/>
                <w:sz w:val="21"/>
                <w:szCs w:val="21"/>
              </w:rPr>
              <w:t>水流速度，m/d</w:t>
            </w:r>
          </w:p>
        </w:tc>
        <w:tc>
          <w:tcPr>
            <w:tcW w:w="3698" w:type="dxa"/>
            <w:noWrap w:val="0"/>
            <w:vAlign w:val="center"/>
          </w:tcPr>
          <w:p w14:paraId="5EC30372">
            <w:pPr>
              <w:jc w:val="center"/>
              <w:rPr>
                <w:rFonts w:hint="default" w:eastAsia="宋体"/>
                <w:color w:val="auto"/>
                <w:sz w:val="21"/>
                <w:szCs w:val="21"/>
                <w:lang w:val="en-US" w:eastAsia="zh-CN"/>
              </w:rPr>
            </w:pPr>
            <w:r>
              <w:rPr>
                <w:rFonts w:hint="eastAsia"/>
                <w:color w:val="auto"/>
                <w:sz w:val="21"/>
                <w:szCs w:val="21"/>
                <w:lang w:val="en-US" w:eastAsia="zh-CN"/>
              </w:rPr>
              <w:t>0.077，地下水的平均实际流速u=KI/n，渗透系数为1.9m/d，水力坡度2.44</w:t>
            </w:r>
            <w:r>
              <w:rPr>
                <w:rFonts w:hint="default" w:ascii="Times New Roman" w:hAnsi="Times New Roman" w:cs="Times New Roman"/>
                <w:color w:val="auto"/>
                <w:sz w:val="21"/>
                <w:szCs w:val="21"/>
                <w:lang w:val="en-US" w:eastAsia="zh-CN"/>
              </w:rPr>
              <w:t>‰</w:t>
            </w:r>
          </w:p>
        </w:tc>
      </w:tr>
      <w:tr w14:paraId="7511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noWrap w:val="0"/>
            <w:vAlign w:val="center"/>
          </w:tcPr>
          <w:p w14:paraId="60E47AC1">
            <w:pPr>
              <w:jc w:val="center"/>
              <w:rPr>
                <w:color w:val="auto"/>
                <w:sz w:val="21"/>
                <w:szCs w:val="21"/>
              </w:rPr>
            </w:pPr>
            <w:r>
              <w:rPr>
                <w:color w:val="auto"/>
                <w:sz w:val="21"/>
                <w:szCs w:val="21"/>
              </w:rPr>
              <w:t>4</w:t>
            </w:r>
          </w:p>
        </w:tc>
        <w:tc>
          <w:tcPr>
            <w:tcW w:w="1103" w:type="dxa"/>
            <w:noWrap w:val="0"/>
            <w:vAlign w:val="center"/>
          </w:tcPr>
          <w:p w14:paraId="7E5A18A5">
            <w:pPr>
              <w:jc w:val="center"/>
              <w:rPr>
                <w:color w:val="auto"/>
                <w:sz w:val="21"/>
                <w:szCs w:val="21"/>
              </w:rPr>
            </w:pPr>
            <w:r>
              <w:rPr>
                <w:color w:val="auto"/>
                <w:sz w:val="21"/>
                <w:szCs w:val="21"/>
              </w:rPr>
              <w:t>n</w:t>
            </w:r>
          </w:p>
        </w:tc>
        <w:tc>
          <w:tcPr>
            <w:tcW w:w="2805" w:type="dxa"/>
            <w:noWrap w:val="0"/>
            <w:vAlign w:val="center"/>
          </w:tcPr>
          <w:p w14:paraId="7C57C631">
            <w:pPr>
              <w:jc w:val="center"/>
              <w:rPr>
                <w:color w:val="auto"/>
                <w:sz w:val="21"/>
                <w:szCs w:val="21"/>
              </w:rPr>
            </w:pPr>
            <w:r>
              <w:rPr>
                <w:color w:val="auto"/>
                <w:sz w:val="21"/>
                <w:szCs w:val="21"/>
              </w:rPr>
              <w:t>有效孔隙度</w:t>
            </w:r>
          </w:p>
        </w:tc>
        <w:tc>
          <w:tcPr>
            <w:tcW w:w="3698" w:type="dxa"/>
            <w:noWrap w:val="0"/>
            <w:vAlign w:val="center"/>
          </w:tcPr>
          <w:p w14:paraId="1623D8E0">
            <w:pPr>
              <w:jc w:val="center"/>
              <w:rPr>
                <w:rFonts w:hint="default" w:eastAsia="宋体"/>
                <w:color w:val="auto"/>
                <w:sz w:val="21"/>
                <w:szCs w:val="21"/>
                <w:lang w:val="en-US" w:eastAsia="zh-CN"/>
              </w:rPr>
            </w:pPr>
            <w:r>
              <w:rPr>
                <w:rFonts w:hint="eastAsia" w:eastAsia="宋体"/>
                <w:color w:val="auto"/>
                <w:sz w:val="21"/>
                <w:szCs w:val="21"/>
                <w:lang w:val="en-US" w:eastAsia="zh-CN"/>
              </w:rPr>
              <w:t>0.06</w:t>
            </w:r>
          </w:p>
        </w:tc>
      </w:tr>
      <w:tr w14:paraId="09D5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noWrap w:val="0"/>
            <w:vAlign w:val="center"/>
          </w:tcPr>
          <w:p w14:paraId="4E93539D">
            <w:pPr>
              <w:jc w:val="center"/>
              <w:rPr>
                <w:color w:val="auto"/>
                <w:sz w:val="21"/>
                <w:szCs w:val="21"/>
              </w:rPr>
            </w:pPr>
            <w:r>
              <w:rPr>
                <w:color w:val="auto"/>
                <w:sz w:val="21"/>
                <w:szCs w:val="21"/>
              </w:rPr>
              <w:t>5</w:t>
            </w:r>
          </w:p>
        </w:tc>
        <w:tc>
          <w:tcPr>
            <w:tcW w:w="1103" w:type="dxa"/>
            <w:noWrap w:val="0"/>
            <w:vAlign w:val="center"/>
          </w:tcPr>
          <w:p w14:paraId="35BF5C10">
            <w:pPr>
              <w:jc w:val="center"/>
              <w:rPr>
                <w:color w:val="auto"/>
                <w:sz w:val="21"/>
                <w:szCs w:val="21"/>
              </w:rPr>
            </w:pPr>
            <w:r>
              <w:rPr>
                <w:color w:val="auto"/>
                <w:sz w:val="21"/>
                <w:szCs w:val="21"/>
              </w:rPr>
              <w:t>D</w:t>
            </w:r>
            <w:r>
              <w:rPr>
                <w:color w:val="auto"/>
                <w:sz w:val="21"/>
                <w:szCs w:val="21"/>
                <w:vertAlign w:val="subscript"/>
              </w:rPr>
              <w:t>L</w:t>
            </w:r>
          </w:p>
        </w:tc>
        <w:tc>
          <w:tcPr>
            <w:tcW w:w="2805" w:type="dxa"/>
            <w:noWrap w:val="0"/>
            <w:vAlign w:val="center"/>
          </w:tcPr>
          <w:p w14:paraId="7033A8B1">
            <w:pPr>
              <w:jc w:val="center"/>
              <w:rPr>
                <w:color w:val="auto"/>
                <w:sz w:val="21"/>
                <w:szCs w:val="21"/>
              </w:rPr>
            </w:pPr>
            <w:r>
              <w:rPr>
                <w:color w:val="auto"/>
                <w:sz w:val="21"/>
                <w:szCs w:val="21"/>
              </w:rPr>
              <w:t>纵向弥散系数，m</w:t>
            </w:r>
            <w:r>
              <w:rPr>
                <w:color w:val="auto"/>
                <w:sz w:val="21"/>
                <w:szCs w:val="21"/>
                <w:vertAlign w:val="superscript"/>
              </w:rPr>
              <w:t>2</w:t>
            </w:r>
            <w:r>
              <w:rPr>
                <w:color w:val="auto"/>
                <w:sz w:val="21"/>
                <w:szCs w:val="21"/>
              </w:rPr>
              <w:t>/d</w:t>
            </w:r>
          </w:p>
        </w:tc>
        <w:tc>
          <w:tcPr>
            <w:tcW w:w="3698" w:type="dxa"/>
            <w:noWrap w:val="0"/>
            <w:vAlign w:val="center"/>
          </w:tcPr>
          <w:p w14:paraId="23EBDF34">
            <w:pPr>
              <w:jc w:val="center"/>
              <w:rPr>
                <w:rFonts w:hint="default" w:eastAsia="宋体"/>
                <w:color w:val="auto"/>
                <w:sz w:val="21"/>
                <w:szCs w:val="21"/>
                <w:lang w:val="en-US" w:eastAsia="zh-CN"/>
              </w:rPr>
            </w:pPr>
            <w:r>
              <w:rPr>
                <w:rFonts w:hint="eastAsia"/>
                <w:color w:val="auto"/>
                <w:sz w:val="21"/>
                <w:szCs w:val="21"/>
                <w:lang w:val="en-US" w:eastAsia="zh-CN"/>
              </w:rPr>
              <w:t>1.92</w:t>
            </w:r>
          </w:p>
        </w:tc>
      </w:tr>
      <w:tr w14:paraId="6EF6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noWrap w:val="0"/>
            <w:vAlign w:val="center"/>
          </w:tcPr>
          <w:p w14:paraId="726A9BAE">
            <w:pPr>
              <w:jc w:val="center"/>
              <w:rPr>
                <w:color w:val="auto"/>
                <w:sz w:val="21"/>
                <w:szCs w:val="21"/>
              </w:rPr>
            </w:pPr>
            <w:r>
              <w:rPr>
                <w:color w:val="auto"/>
                <w:sz w:val="21"/>
                <w:szCs w:val="21"/>
              </w:rPr>
              <w:t>6</w:t>
            </w:r>
          </w:p>
        </w:tc>
        <w:tc>
          <w:tcPr>
            <w:tcW w:w="1103" w:type="dxa"/>
            <w:noWrap w:val="0"/>
            <w:vAlign w:val="center"/>
          </w:tcPr>
          <w:p w14:paraId="4A141626">
            <w:pPr>
              <w:jc w:val="center"/>
              <w:rPr>
                <w:color w:val="auto"/>
                <w:sz w:val="21"/>
                <w:szCs w:val="21"/>
              </w:rPr>
            </w:pPr>
            <w:r>
              <w:rPr>
                <w:color w:val="auto"/>
                <w:sz w:val="21"/>
                <w:szCs w:val="21"/>
              </w:rPr>
              <w:t>D</w:t>
            </w:r>
            <w:r>
              <w:rPr>
                <w:color w:val="auto"/>
                <w:sz w:val="21"/>
                <w:szCs w:val="21"/>
                <w:vertAlign w:val="subscript"/>
              </w:rPr>
              <w:t>T</w:t>
            </w:r>
          </w:p>
        </w:tc>
        <w:tc>
          <w:tcPr>
            <w:tcW w:w="2805" w:type="dxa"/>
            <w:noWrap w:val="0"/>
            <w:vAlign w:val="center"/>
          </w:tcPr>
          <w:p w14:paraId="523719A6">
            <w:pPr>
              <w:jc w:val="center"/>
              <w:rPr>
                <w:color w:val="auto"/>
                <w:sz w:val="21"/>
                <w:szCs w:val="21"/>
              </w:rPr>
            </w:pPr>
            <w:r>
              <w:rPr>
                <w:color w:val="auto"/>
                <w:sz w:val="21"/>
                <w:szCs w:val="21"/>
              </w:rPr>
              <w:t>横向y方向的弥散系数，m</w:t>
            </w:r>
            <w:r>
              <w:rPr>
                <w:color w:val="auto"/>
                <w:sz w:val="21"/>
                <w:szCs w:val="21"/>
                <w:vertAlign w:val="superscript"/>
              </w:rPr>
              <w:t>2</w:t>
            </w:r>
            <w:r>
              <w:rPr>
                <w:color w:val="auto"/>
                <w:sz w:val="21"/>
                <w:szCs w:val="21"/>
              </w:rPr>
              <w:t>/d</w:t>
            </w:r>
          </w:p>
        </w:tc>
        <w:tc>
          <w:tcPr>
            <w:tcW w:w="3698" w:type="dxa"/>
            <w:noWrap w:val="0"/>
            <w:vAlign w:val="center"/>
          </w:tcPr>
          <w:p w14:paraId="15B97EAD">
            <w:pPr>
              <w:keepNext w:val="0"/>
              <w:keepLines w:val="0"/>
              <w:pageBreakBefore w:val="0"/>
              <w:widowControl/>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ascii="Times New Roman" w:hAnsi="Times New Roman" w:cs="Times New Roman"/>
                <w:color w:val="auto"/>
                <w:sz w:val="21"/>
                <w:szCs w:val="21"/>
                <w:lang w:val="en-US" w:eastAsia="zh-CN"/>
              </w:rPr>
              <w:t>0.192</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DL=aLu，aL为纵向弥散度。由于水动力弥散尺度效应，难以通过野外或室内弥散试验获得真实的弥散度，参考前人的研究成果《空隙介质水动力弥散尺度效应的分形特征及弥散度初步估计》（李国敏、陈崇希）中孔隙介质数值模型的lgαL—lgL，结合项目区水文地质条件，弥散度应介于1～10之间，按照最不利的评价原则，本次模拟取弥散度参数值取10</w:t>
            </w:r>
          </w:p>
        </w:tc>
      </w:tr>
      <w:tr w14:paraId="1279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noWrap w:val="0"/>
            <w:vAlign w:val="center"/>
          </w:tcPr>
          <w:p w14:paraId="18265FA3">
            <w:pPr>
              <w:jc w:val="center"/>
              <w:rPr>
                <w:color w:val="auto"/>
                <w:sz w:val="21"/>
                <w:szCs w:val="21"/>
              </w:rPr>
            </w:pPr>
            <w:r>
              <w:rPr>
                <w:color w:val="auto"/>
                <w:sz w:val="21"/>
                <w:szCs w:val="21"/>
              </w:rPr>
              <w:t>7</w:t>
            </w:r>
          </w:p>
        </w:tc>
        <w:tc>
          <w:tcPr>
            <w:tcW w:w="1103" w:type="dxa"/>
            <w:noWrap w:val="0"/>
            <w:vAlign w:val="center"/>
          </w:tcPr>
          <w:p w14:paraId="5E23BC20">
            <w:pPr>
              <w:jc w:val="center"/>
              <w:rPr>
                <w:color w:val="auto"/>
                <w:sz w:val="21"/>
                <w:szCs w:val="21"/>
              </w:rPr>
            </w:pPr>
            <w:r>
              <w:rPr>
                <w:color w:val="auto"/>
                <w:sz w:val="21"/>
                <w:szCs w:val="21"/>
              </w:rPr>
              <w:t>M</w:t>
            </w:r>
          </w:p>
        </w:tc>
        <w:tc>
          <w:tcPr>
            <w:tcW w:w="2805" w:type="dxa"/>
            <w:noWrap w:val="0"/>
            <w:vAlign w:val="center"/>
          </w:tcPr>
          <w:p w14:paraId="64C330DC">
            <w:pPr>
              <w:jc w:val="center"/>
              <w:rPr>
                <w:color w:val="auto"/>
                <w:sz w:val="21"/>
                <w:szCs w:val="21"/>
              </w:rPr>
            </w:pPr>
            <w:r>
              <w:rPr>
                <w:color w:val="auto"/>
                <w:sz w:val="21"/>
                <w:szCs w:val="21"/>
              </w:rPr>
              <w:t>承压含水层的厚度，m</w:t>
            </w:r>
          </w:p>
        </w:tc>
        <w:tc>
          <w:tcPr>
            <w:tcW w:w="3698" w:type="dxa"/>
            <w:noWrap w:val="0"/>
            <w:vAlign w:val="center"/>
          </w:tcPr>
          <w:p w14:paraId="7C2577B8">
            <w:pPr>
              <w:jc w:val="center"/>
              <w:rPr>
                <w:rFonts w:hint="default" w:eastAsia="宋体"/>
                <w:color w:val="auto"/>
                <w:sz w:val="21"/>
                <w:szCs w:val="21"/>
                <w:lang w:val="en-US" w:eastAsia="zh-CN"/>
              </w:rPr>
            </w:pPr>
            <w:r>
              <w:rPr>
                <w:rFonts w:hint="eastAsia"/>
                <w:color w:val="auto"/>
                <w:sz w:val="21"/>
                <w:szCs w:val="21"/>
                <w:lang w:val="en-US" w:eastAsia="zh-CN"/>
              </w:rPr>
              <w:t>50</w:t>
            </w:r>
          </w:p>
        </w:tc>
      </w:tr>
    </w:tbl>
    <w:p w14:paraId="3183CA92">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（6）预测结果及分析</w:t>
      </w:r>
    </w:p>
    <w:p w14:paraId="1715C8EA">
      <w:pPr>
        <w:pStyle w:val="11"/>
        <w:bidi w:val="0"/>
        <w:rPr>
          <w:rFonts w:hint="default" w:ascii="Times New Roman" w:hAnsi="Times New Roman" w:eastAsia="宋体"/>
          <w:color w:val="auto"/>
          <w:lang w:val="en-US" w:eastAsia="zh-CN"/>
        </w:rPr>
      </w:pPr>
      <w:r>
        <w:rPr>
          <w:rFonts w:hint="eastAsia"/>
          <w:color w:val="auto"/>
          <w:lang w:val="en-US" w:eastAsia="zh-CN"/>
        </w:rPr>
        <w:t>①管线输送泄漏</w:t>
      </w:r>
    </w:p>
    <w:p w14:paraId="5BB15423">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sz w:val="24"/>
          <w:szCs w:val="24"/>
        </w:rPr>
      </w:pPr>
      <w:r>
        <w:rPr>
          <w:color w:val="auto"/>
          <w:sz w:val="24"/>
        </w:rPr>
        <w:t>当发生泄漏时，石油类物质经过100d、</w:t>
      </w:r>
      <w:r>
        <w:rPr>
          <w:rFonts w:hint="eastAsia"/>
          <w:color w:val="auto"/>
          <w:sz w:val="24"/>
          <w:lang w:val="en-US" w:eastAsia="zh-CN"/>
        </w:rPr>
        <w:t>500d、</w:t>
      </w:r>
      <w:r>
        <w:rPr>
          <w:color w:val="auto"/>
          <w:sz w:val="24"/>
        </w:rPr>
        <w:t>1000d和</w:t>
      </w:r>
      <w:r>
        <w:rPr>
          <w:rFonts w:hint="eastAsia"/>
          <w:color w:val="auto"/>
          <w:sz w:val="24"/>
          <w:lang w:val="en-US" w:eastAsia="zh-CN"/>
        </w:rPr>
        <w:t>3650</w:t>
      </w:r>
      <w:r>
        <w:rPr>
          <w:color w:val="auto"/>
          <w:sz w:val="24"/>
        </w:rPr>
        <w:t>d后在地下水中的扩散结果见表</w:t>
      </w:r>
      <w:r>
        <w:rPr>
          <w:rFonts w:hint="eastAsia"/>
          <w:color w:val="auto"/>
          <w:sz w:val="24"/>
          <w:lang w:val="en-US" w:eastAsia="zh-CN"/>
        </w:rPr>
        <w:t>5.2-10</w:t>
      </w:r>
      <w:r>
        <w:rPr>
          <w:rFonts w:hint="eastAsia"/>
          <w:color w:val="auto"/>
          <w:sz w:val="24"/>
          <w:lang w:eastAsia="zh-CN"/>
        </w:rPr>
        <w:t>，</w:t>
      </w:r>
      <w:r>
        <w:rPr>
          <w:rFonts w:hint="default" w:ascii="Times New Roman" w:hAnsi="Times New Roman" w:eastAsia="宋体" w:cs="Times New Roman"/>
          <w:color w:val="auto"/>
          <w:sz w:val="24"/>
          <w:szCs w:val="24"/>
        </w:rPr>
        <w:t>石油类在含水层中的运移情况见图</w:t>
      </w:r>
      <w:r>
        <w:rPr>
          <w:rFonts w:hint="eastAsia" w:eastAsia="宋体" w:cs="Times New Roman"/>
          <w:color w:val="auto"/>
          <w:sz w:val="24"/>
          <w:szCs w:val="24"/>
          <w:lang w:val="en-US" w:eastAsia="zh-CN"/>
        </w:rPr>
        <w:t>5.2-1</w:t>
      </w:r>
      <w:r>
        <w:rPr>
          <w:rFonts w:hint="default" w:ascii="Times New Roman" w:hAnsi="Times New Roman" w:eastAsia="宋体" w:cs="Times New Roman"/>
          <w:color w:val="auto"/>
          <w:sz w:val="24"/>
          <w:szCs w:val="24"/>
        </w:rPr>
        <w:t>，其中（0，0）点为泄漏点位置。</w:t>
      </w:r>
    </w:p>
    <w:p w14:paraId="045AE893">
      <w:pPr>
        <w:pStyle w:val="32"/>
        <w:bidi w:val="0"/>
        <w:rPr>
          <w:color w:val="auto"/>
        </w:rPr>
      </w:pPr>
      <w:r>
        <w:rPr>
          <w:color w:val="auto"/>
        </w:rPr>
        <w:t>表</w:t>
      </w:r>
      <w:r>
        <w:rPr>
          <w:rFonts w:hint="eastAsia"/>
          <w:color w:val="auto"/>
          <w:lang w:val="en-US" w:eastAsia="zh-CN"/>
        </w:rPr>
        <w:t xml:space="preserve">5.2-10 </w:t>
      </w:r>
      <w:r>
        <w:rPr>
          <w:color w:val="auto"/>
        </w:rPr>
        <w:t xml:space="preserve"> </w:t>
      </w:r>
      <w:r>
        <w:rPr>
          <w:rFonts w:hint="eastAsia"/>
          <w:color w:val="auto"/>
          <w:lang w:val="en-US" w:eastAsia="zh-CN"/>
        </w:rPr>
        <w:t>管线输送泄漏</w:t>
      </w:r>
      <w:r>
        <w:rPr>
          <w:color w:val="auto"/>
        </w:rPr>
        <w:t>地下水影响预测结果一览表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999"/>
        <w:gridCol w:w="1204"/>
        <w:gridCol w:w="1645"/>
        <w:gridCol w:w="1537"/>
        <w:gridCol w:w="1389"/>
        <w:gridCol w:w="1385"/>
      </w:tblGrid>
      <w:tr w14:paraId="1B4C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noWrap w:val="0"/>
            <w:vAlign w:val="center"/>
          </w:tcPr>
          <w:p w14:paraId="4F28C734">
            <w:pPr>
              <w:jc w:val="center"/>
              <w:rPr>
                <w:b/>
                <w:bCs/>
                <w:color w:val="auto"/>
                <w:szCs w:val="21"/>
              </w:rPr>
            </w:pPr>
            <w:r>
              <w:rPr>
                <w:b/>
                <w:bCs/>
                <w:color w:val="auto"/>
                <w:szCs w:val="21"/>
              </w:rPr>
              <w:t>污染物</w:t>
            </w:r>
          </w:p>
        </w:tc>
        <w:tc>
          <w:tcPr>
            <w:tcW w:w="558" w:type="pct"/>
            <w:noWrap w:val="0"/>
            <w:vAlign w:val="center"/>
          </w:tcPr>
          <w:p w14:paraId="35EA9622">
            <w:pPr>
              <w:jc w:val="center"/>
              <w:rPr>
                <w:b/>
                <w:bCs/>
                <w:color w:val="auto"/>
                <w:szCs w:val="21"/>
              </w:rPr>
            </w:pPr>
            <w:r>
              <w:rPr>
                <w:b/>
                <w:bCs/>
                <w:color w:val="auto"/>
                <w:szCs w:val="21"/>
              </w:rPr>
              <w:t>预测时间（d）</w:t>
            </w:r>
          </w:p>
        </w:tc>
        <w:tc>
          <w:tcPr>
            <w:tcW w:w="673" w:type="pct"/>
            <w:noWrap w:val="0"/>
            <w:vAlign w:val="center"/>
          </w:tcPr>
          <w:p w14:paraId="7AC59D63">
            <w:pPr>
              <w:jc w:val="center"/>
              <w:rPr>
                <w:b/>
                <w:bCs/>
                <w:color w:val="auto"/>
                <w:szCs w:val="21"/>
              </w:rPr>
            </w:pPr>
            <w:r>
              <w:rPr>
                <w:b/>
                <w:bCs/>
                <w:color w:val="auto"/>
                <w:szCs w:val="21"/>
              </w:rPr>
              <w:t>最大浓度（mg/L）</w:t>
            </w:r>
          </w:p>
        </w:tc>
        <w:tc>
          <w:tcPr>
            <w:tcW w:w="919" w:type="pct"/>
            <w:noWrap w:val="0"/>
            <w:vAlign w:val="center"/>
          </w:tcPr>
          <w:p w14:paraId="72BBA214">
            <w:pPr>
              <w:jc w:val="center"/>
              <w:rPr>
                <w:b/>
                <w:bCs/>
                <w:color w:val="auto"/>
                <w:szCs w:val="21"/>
              </w:rPr>
            </w:pPr>
            <w:r>
              <w:rPr>
                <w:b/>
                <w:bCs/>
                <w:color w:val="auto"/>
                <w:szCs w:val="21"/>
              </w:rPr>
              <w:t>最大</w:t>
            </w:r>
            <w:r>
              <w:rPr>
                <w:rFonts w:hint="eastAsia"/>
                <w:b/>
                <w:bCs/>
                <w:color w:val="auto"/>
                <w:szCs w:val="21"/>
                <w:lang w:eastAsia="zh-CN"/>
              </w:rPr>
              <w:t>超标</w:t>
            </w:r>
            <w:r>
              <w:rPr>
                <w:b/>
                <w:bCs/>
                <w:color w:val="auto"/>
                <w:szCs w:val="21"/>
              </w:rPr>
              <w:t>距离（m）</w:t>
            </w:r>
          </w:p>
        </w:tc>
        <w:tc>
          <w:tcPr>
            <w:tcW w:w="859" w:type="pct"/>
            <w:noWrap w:val="0"/>
            <w:vAlign w:val="center"/>
          </w:tcPr>
          <w:p w14:paraId="263DAAC4">
            <w:pPr>
              <w:jc w:val="center"/>
              <w:rPr>
                <w:b/>
                <w:bCs/>
                <w:color w:val="auto"/>
                <w:szCs w:val="21"/>
              </w:rPr>
            </w:pPr>
            <w:r>
              <w:rPr>
                <w:b/>
                <w:bCs/>
                <w:color w:val="auto"/>
                <w:szCs w:val="21"/>
              </w:rPr>
              <w:t>最大</w:t>
            </w:r>
            <w:r>
              <w:rPr>
                <w:rFonts w:hint="eastAsia"/>
                <w:b/>
                <w:bCs/>
                <w:color w:val="auto"/>
                <w:szCs w:val="21"/>
                <w:lang w:eastAsia="zh-CN"/>
              </w:rPr>
              <w:t>扩散</w:t>
            </w:r>
            <w:r>
              <w:rPr>
                <w:b/>
                <w:bCs/>
                <w:color w:val="auto"/>
                <w:szCs w:val="21"/>
              </w:rPr>
              <w:t>距离（m）</w:t>
            </w:r>
          </w:p>
        </w:tc>
        <w:tc>
          <w:tcPr>
            <w:tcW w:w="776" w:type="pct"/>
            <w:noWrap w:val="0"/>
            <w:vAlign w:val="center"/>
          </w:tcPr>
          <w:p w14:paraId="4CE076D6">
            <w:pPr>
              <w:jc w:val="center"/>
              <w:rPr>
                <w:b/>
                <w:bCs/>
                <w:color w:val="auto"/>
                <w:kern w:val="2"/>
                <w:sz w:val="21"/>
                <w:szCs w:val="21"/>
                <w:lang w:val="en-US" w:eastAsia="zh-CN" w:bidi="ar-SA"/>
              </w:rPr>
            </w:pPr>
            <w:r>
              <w:rPr>
                <w:b/>
                <w:bCs/>
                <w:color w:val="auto"/>
                <w:szCs w:val="21"/>
              </w:rPr>
              <w:t>影响范围（m</w:t>
            </w:r>
            <w:r>
              <w:rPr>
                <w:b/>
                <w:bCs/>
                <w:color w:val="auto"/>
                <w:szCs w:val="21"/>
                <w:vertAlign w:val="superscript"/>
              </w:rPr>
              <w:t>2</w:t>
            </w:r>
            <w:r>
              <w:rPr>
                <w:b/>
                <w:bCs/>
                <w:color w:val="auto"/>
                <w:szCs w:val="21"/>
              </w:rPr>
              <w:t>）</w:t>
            </w:r>
          </w:p>
        </w:tc>
        <w:tc>
          <w:tcPr>
            <w:tcW w:w="774" w:type="pct"/>
            <w:noWrap w:val="0"/>
            <w:vAlign w:val="center"/>
          </w:tcPr>
          <w:p w14:paraId="0412E37B">
            <w:pPr>
              <w:jc w:val="center"/>
              <w:rPr>
                <w:b/>
                <w:bCs/>
                <w:color w:val="auto"/>
                <w:kern w:val="2"/>
                <w:sz w:val="21"/>
                <w:szCs w:val="21"/>
                <w:lang w:val="en-US" w:eastAsia="zh-CN" w:bidi="ar-SA"/>
              </w:rPr>
            </w:pPr>
            <w:r>
              <w:rPr>
                <w:b/>
                <w:bCs/>
                <w:color w:val="auto"/>
                <w:szCs w:val="21"/>
              </w:rPr>
              <w:t>超标范围（m</w:t>
            </w:r>
            <w:r>
              <w:rPr>
                <w:b/>
                <w:bCs/>
                <w:color w:val="auto"/>
                <w:szCs w:val="21"/>
                <w:vertAlign w:val="superscript"/>
              </w:rPr>
              <w:t>2</w:t>
            </w:r>
            <w:r>
              <w:rPr>
                <w:b/>
                <w:bCs/>
                <w:color w:val="auto"/>
                <w:szCs w:val="21"/>
              </w:rPr>
              <w:t>）</w:t>
            </w:r>
          </w:p>
        </w:tc>
      </w:tr>
      <w:tr w14:paraId="78DA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vMerge w:val="restart"/>
            <w:noWrap w:val="0"/>
            <w:vAlign w:val="center"/>
          </w:tcPr>
          <w:p w14:paraId="6730FF0C">
            <w:pPr>
              <w:jc w:val="center"/>
              <w:rPr>
                <w:color w:val="auto"/>
                <w:szCs w:val="21"/>
              </w:rPr>
            </w:pPr>
            <w:r>
              <w:rPr>
                <w:color w:val="auto"/>
                <w:szCs w:val="21"/>
              </w:rPr>
              <w:t>石油类</w:t>
            </w:r>
          </w:p>
        </w:tc>
        <w:tc>
          <w:tcPr>
            <w:tcW w:w="558" w:type="pct"/>
            <w:noWrap w:val="0"/>
            <w:vAlign w:val="center"/>
          </w:tcPr>
          <w:p w14:paraId="17E3F9F2">
            <w:pPr>
              <w:jc w:val="center"/>
              <w:rPr>
                <w:color w:val="auto"/>
                <w:szCs w:val="21"/>
              </w:rPr>
            </w:pPr>
            <w:r>
              <w:rPr>
                <w:color w:val="auto"/>
                <w:szCs w:val="21"/>
              </w:rPr>
              <w:t>100</w:t>
            </w:r>
          </w:p>
        </w:tc>
        <w:tc>
          <w:tcPr>
            <w:tcW w:w="1147" w:type="dxa"/>
            <w:noWrap w:val="0"/>
            <w:vAlign w:val="center"/>
          </w:tcPr>
          <w:p w14:paraId="43344763">
            <w:pPr>
              <w:jc w:val="center"/>
              <w:rPr>
                <w:rFonts w:hint="default" w:eastAsia="宋体"/>
                <w:color w:val="auto"/>
                <w:szCs w:val="21"/>
                <w:lang w:val="en-US" w:eastAsia="zh-CN"/>
              </w:rPr>
            </w:pPr>
            <w:r>
              <w:rPr>
                <w:rFonts w:hint="eastAsia"/>
                <w:color w:val="auto"/>
                <w:szCs w:val="21"/>
                <w:lang w:val="en-US" w:eastAsia="zh-CN"/>
              </w:rPr>
              <w:t>190.91</w:t>
            </w:r>
          </w:p>
        </w:tc>
        <w:tc>
          <w:tcPr>
            <w:tcW w:w="1566" w:type="dxa"/>
            <w:noWrap w:val="0"/>
            <w:vAlign w:val="center"/>
          </w:tcPr>
          <w:p w14:paraId="19081A90">
            <w:pPr>
              <w:jc w:val="center"/>
              <w:rPr>
                <w:rFonts w:hint="default" w:eastAsia="宋体"/>
                <w:color w:val="auto"/>
                <w:szCs w:val="21"/>
                <w:lang w:val="en-US" w:eastAsia="zh-CN"/>
              </w:rPr>
            </w:pPr>
            <w:r>
              <w:rPr>
                <w:rFonts w:hint="eastAsia"/>
                <w:color w:val="auto"/>
                <w:szCs w:val="21"/>
                <w:lang w:val="en-US" w:eastAsia="zh-CN"/>
              </w:rPr>
              <w:t>87.7</w:t>
            </w:r>
          </w:p>
        </w:tc>
        <w:tc>
          <w:tcPr>
            <w:tcW w:w="1464" w:type="dxa"/>
            <w:noWrap w:val="0"/>
            <w:vAlign w:val="center"/>
          </w:tcPr>
          <w:p w14:paraId="3F717E1C">
            <w:pPr>
              <w:jc w:val="center"/>
              <w:rPr>
                <w:rFonts w:hint="default" w:eastAsia="宋体"/>
                <w:color w:val="auto"/>
                <w:szCs w:val="21"/>
                <w:lang w:val="en-US" w:eastAsia="zh-CN"/>
              </w:rPr>
            </w:pPr>
            <w:r>
              <w:rPr>
                <w:rFonts w:hint="eastAsia"/>
                <w:color w:val="auto"/>
                <w:szCs w:val="21"/>
                <w:lang w:val="en-US" w:eastAsia="zh-CN"/>
              </w:rPr>
              <w:t>95.7</w:t>
            </w:r>
          </w:p>
        </w:tc>
        <w:tc>
          <w:tcPr>
            <w:tcW w:w="1323" w:type="dxa"/>
            <w:noWrap w:val="0"/>
            <w:vAlign w:val="center"/>
          </w:tcPr>
          <w:p w14:paraId="4ACD38BA">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7526.0</w:t>
            </w:r>
          </w:p>
        </w:tc>
        <w:tc>
          <w:tcPr>
            <w:tcW w:w="1319" w:type="dxa"/>
            <w:noWrap w:val="0"/>
            <w:vAlign w:val="center"/>
          </w:tcPr>
          <w:p w14:paraId="6A090D86">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6288.0</w:t>
            </w:r>
          </w:p>
        </w:tc>
      </w:tr>
      <w:tr w14:paraId="42C8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vMerge w:val="continue"/>
            <w:noWrap w:val="0"/>
            <w:vAlign w:val="center"/>
          </w:tcPr>
          <w:p w14:paraId="45DE816C">
            <w:pPr>
              <w:jc w:val="center"/>
              <w:rPr>
                <w:color w:val="auto"/>
                <w:szCs w:val="21"/>
              </w:rPr>
            </w:pPr>
          </w:p>
        </w:tc>
        <w:tc>
          <w:tcPr>
            <w:tcW w:w="558" w:type="pct"/>
            <w:noWrap w:val="0"/>
            <w:vAlign w:val="center"/>
          </w:tcPr>
          <w:p w14:paraId="5D33B2E0">
            <w:pPr>
              <w:jc w:val="center"/>
              <w:rPr>
                <w:rFonts w:hint="default" w:eastAsia="宋体"/>
                <w:color w:val="auto"/>
                <w:szCs w:val="21"/>
                <w:lang w:val="en-US" w:eastAsia="zh-CN"/>
              </w:rPr>
            </w:pPr>
            <w:r>
              <w:rPr>
                <w:rFonts w:hint="eastAsia"/>
                <w:color w:val="auto"/>
                <w:szCs w:val="21"/>
                <w:lang w:val="en-US" w:eastAsia="zh-CN"/>
              </w:rPr>
              <w:t>500</w:t>
            </w:r>
          </w:p>
        </w:tc>
        <w:tc>
          <w:tcPr>
            <w:tcW w:w="1147" w:type="dxa"/>
            <w:noWrap w:val="0"/>
            <w:vAlign w:val="center"/>
          </w:tcPr>
          <w:p w14:paraId="42B28DD8">
            <w:pPr>
              <w:jc w:val="center"/>
              <w:rPr>
                <w:rFonts w:hint="default" w:eastAsia="宋体"/>
                <w:color w:val="auto"/>
                <w:szCs w:val="21"/>
                <w:lang w:val="en-US" w:eastAsia="zh-CN"/>
              </w:rPr>
            </w:pPr>
            <w:r>
              <w:rPr>
                <w:rFonts w:hint="eastAsia"/>
                <w:color w:val="auto"/>
                <w:szCs w:val="21"/>
                <w:lang w:val="en-US" w:eastAsia="zh-CN"/>
              </w:rPr>
              <w:t>38.18</w:t>
            </w:r>
          </w:p>
        </w:tc>
        <w:tc>
          <w:tcPr>
            <w:tcW w:w="1566" w:type="dxa"/>
            <w:noWrap w:val="0"/>
            <w:vAlign w:val="center"/>
          </w:tcPr>
          <w:p w14:paraId="30553557">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198.5</w:t>
            </w:r>
          </w:p>
        </w:tc>
        <w:tc>
          <w:tcPr>
            <w:tcW w:w="1464" w:type="dxa"/>
            <w:noWrap w:val="0"/>
            <w:vAlign w:val="center"/>
          </w:tcPr>
          <w:p w14:paraId="71535892">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216.5</w:t>
            </w:r>
          </w:p>
        </w:tc>
        <w:tc>
          <w:tcPr>
            <w:tcW w:w="1323" w:type="dxa"/>
            <w:noWrap w:val="0"/>
            <w:vAlign w:val="center"/>
          </w:tcPr>
          <w:p w14:paraId="0192ACE5">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31448.0</w:t>
            </w:r>
          </w:p>
        </w:tc>
        <w:tc>
          <w:tcPr>
            <w:tcW w:w="1319" w:type="dxa"/>
            <w:noWrap w:val="0"/>
            <w:vAlign w:val="center"/>
          </w:tcPr>
          <w:p w14:paraId="49FCFC83">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25326.0</w:t>
            </w:r>
          </w:p>
        </w:tc>
      </w:tr>
      <w:tr w14:paraId="1095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vMerge w:val="continue"/>
            <w:noWrap w:val="0"/>
            <w:vAlign w:val="center"/>
          </w:tcPr>
          <w:p w14:paraId="309EBFD9">
            <w:pPr>
              <w:jc w:val="center"/>
              <w:rPr>
                <w:color w:val="auto"/>
                <w:szCs w:val="21"/>
              </w:rPr>
            </w:pPr>
          </w:p>
        </w:tc>
        <w:tc>
          <w:tcPr>
            <w:tcW w:w="558" w:type="pct"/>
            <w:noWrap w:val="0"/>
            <w:vAlign w:val="center"/>
          </w:tcPr>
          <w:p w14:paraId="1E79BA36">
            <w:pPr>
              <w:jc w:val="center"/>
              <w:rPr>
                <w:color w:val="auto"/>
                <w:szCs w:val="21"/>
              </w:rPr>
            </w:pPr>
            <w:r>
              <w:rPr>
                <w:color w:val="auto"/>
                <w:szCs w:val="21"/>
              </w:rPr>
              <w:t>1000</w:t>
            </w:r>
          </w:p>
        </w:tc>
        <w:tc>
          <w:tcPr>
            <w:tcW w:w="1147" w:type="dxa"/>
            <w:noWrap w:val="0"/>
            <w:vAlign w:val="center"/>
          </w:tcPr>
          <w:p w14:paraId="5BDB83ED">
            <w:pPr>
              <w:jc w:val="center"/>
              <w:rPr>
                <w:rFonts w:hint="default" w:eastAsia="宋体"/>
                <w:color w:val="auto"/>
                <w:szCs w:val="21"/>
                <w:lang w:val="en-US" w:eastAsia="zh-CN"/>
              </w:rPr>
            </w:pPr>
            <w:r>
              <w:rPr>
                <w:rFonts w:hint="eastAsia"/>
                <w:color w:val="auto"/>
                <w:szCs w:val="21"/>
                <w:lang w:val="en-US" w:eastAsia="zh-CN"/>
              </w:rPr>
              <w:t>19.09</w:t>
            </w:r>
          </w:p>
        </w:tc>
        <w:tc>
          <w:tcPr>
            <w:tcW w:w="1566" w:type="dxa"/>
            <w:noWrap w:val="0"/>
            <w:vAlign w:val="center"/>
          </w:tcPr>
          <w:p w14:paraId="0232748B">
            <w:pPr>
              <w:jc w:val="center"/>
              <w:rPr>
                <w:rFonts w:hint="default" w:eastAsia="宋体"/>
                <w:color w:val="auto"/>
                <w:szCs w:val="21"/>
                <w:lang w:val="en-US" w:eastAsia="zh-CN"/>
              </w:rPr>
            </w:pPr>
            <w:r>
              <w:rPr>
                <w:rFonts w:hint="eastAsia"/>
                <w:color w:val="auto"/>
                <w:szCs w:val="21"/>
                <w:lang w:val="en-US" w:eastAsia="zh-CN"/>
              </w:rPr>
              <w:t>291.0</w:t>
            </w:r>
          </w:p>
        </w:tc>
        <w:tc>
          <w:tcPr>
            <w:tcW w:w="1464" w:type="dxa"/>
            <w:noWrap w:val="0"/>
            <w:vAlign w:val="center"/>
          </w:tcPr>
          <w:p w14:paraId="2544903B">
            <w:pPr>
              <w:jc w:val="center"/>
              <w:rPr>
                <w:rFonts w:hint="default" w:eastAsia="宋体"/>
                <w:color w:val="auto"/>
                <w:szCs w:val="21"/>
                <w:lang w:val="en-US" w:eastAsia="zh-CN"/>
              </w:rPr>
            </w:pPr>
            <w:r>
              <w:rPr>
                <w:rFonts w:hint="eastAsia"/>
                <w:color w:val="auto"/>
                <w:szCs w:val="21"/>
                <w:lang w:val="en-US" w:eastAsia="zh-CN"/>
              </w:rPr>
              <w:t>318.0</w:t>
            </w:r>
          </w:p>
        </w:tc>
        <w:tc>
          <w:tcPr>
            <w:tcW w:w="1323" w:type="dxa"/>
            <w:noWrap w:val="0"/>
            <w:vAlign w:val="center"/>
          </w:tcPr>
          <w:p w14:paraId="70FD9AD1">
            <w:pPr>
              <w:jc w:val="center"/>
              <w:rPr>
                <w:rFonts w:hint="default" w:eastAsia="宋体"/>
                <w:color w:val="auto"/>
                <w:szCs w:val="21"/>
                <w:lang w:val="en-US" w:eastAsia="zh-CN"/>
              </w:rPr>
            </w:pPr>
            <w:r>
              <w:rPr>
                <w:rFonts w:hint="eastAsia"/>
                <w:color w:val="auto"/>
                <w:szCs w:val="21"/>
                <w:lang w:val="en-US" w:eastAsia="zh-CN"/>
              </w:rPr>
              <w:t>57631.6</w:t>
            </w:r>
          </w:p>
        </w:tc>
        <w:tc>
          <w:tcPr>
            <w:tcW w:w="1319" w:type="dxa"/>
            <w:noWrap w:val="0"/>
            <w:vAlign w:val="center"/>
          </w:tcPr>
          <w:p w14:paraId="2E13BB5D">
            <w:pPr>
              <w:jc w:val="center"/>
              <w:rPr>
                <w:rFonts w:hint="default" w:eastAsia="宋体"/>
                <w:color w:val="auto"/>
                <w:szCs w:val="21"/>
                <w:lang w:val="en-US" w:eastAsia="zh-CN"/>
              </w:rPr>
            </w:pPr>
            <w:r>
              <w:rPr>
                <w:rFonts w:hint="eastAsia"/>
                <w:color w:val="auto"/>
                <w:szCs w:val="21"/>
                <w:lang w:val="en-US" w:eastAsia="zh-CN"/>
              </w:rPr>
              <w:t>4537.5</w:t>
            </w:r>
          </w:p>
        </w:tc>
      </w:tr>
      <w:tr w14:paraId="0D32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vMerge w:val="continue"/>
            <w:noWrap w:val="0"/>
            <w:vAlign w:val="center"/>
          </w:tcPr>
          <w:p w14:paraId="36992394">
            <w:pPr>
              <w:jc w:val="center"/>
              <w:rPr>
                <w:color w:val="auto"/>
                <w:szCs w:val="21"/>
              </w:rPr>
            </w:pPr>
          </w:p>
        </w:tc>
        <w:tc>
          <w:tcPr>
            <w:tcW w:w="558" w:type="pct"/>
            <w:noWrap w:val="0"/>
            <w:vAlign w:val="center"/>
          </w:tcPr>
          <w:p w14:paraId="3FB3AD54">
            <w:pPr>
              <w:jc w:val="center"/>
              <w:rPr>
                <w:rFonts w:hint="default" w:eastAsia="宋体"/>
                <w:color w:val="auto"/>
                <w:szCs w:val="21"/>
                <w:lang w:val="en-US" w:eastAsia="zh-CN"/>
              </w:rPr>
            </w:pPr>
            <w:r>
              <w:rPr>
                <w:rFonts w:hint="eastAsia"/>
                <w:color w:val="auto"/>
                <w:szCs w:val="21"/>
                <w:lang w:val="en-US" w:eastAsia="zh-CN"/>
              </w:rPr>
              <w:t>3650</w:t>
            </w:r>
          </w:p>
        </w:tc>
        <w:tc>
          <w:tcPr>
            <w:tcW w:w="1147" w:type="dxa"/>
            <w:noWrap w:val="0"/>
            <w:vAlign w:val="center"/>
          </w:tcPr>
          <w:p w14:paraId="31F6AF0A">
            <w:pPr>
              <w:jc w:val="center"/>
              <w:rPr>
                <w:rFonts w:hint="default" w:eastAsia="宋体"/>
                <w:color w:val="auto"/>
                <w:szCs w:val="21"/>
                <w:lang w:val="en-US" w:eastAsia="zh-CN"/>
              </w:rPr>
            </w:pPr>
            <w:r>
              <w:rPr>
                <w:rFonts w:hint="eastAsia"/>
                <w:color w:val="auto"/>
                <w:szCs w:val="21"/>
                <w:lang w:val="en-US" w:eastAsia="zh-CN"/>
              </w:rPr>
              <w:t>5.23</w:t>
            </w:r>
          </w:p>
        </w:tc>
        <w:tc>
          <w:tcPr>
            <w:tcW w:w="1566" w:type="dxa"/>
            <w:noWrap w:val="0"/>
            <w:vAlign w:val="center"/>
          </w:tcPr>
          <w:p w14:paraId="5935502E">
            <w:pPr>
              <w:jc w:val="center"/>
              <w:rPr>
                <w:rFonts w:hint="default" w:eastAsia="宋体"/>
                <w:color w:val="auto"/>
                <w:szCs w:val="21"/>
                <w:lang w:val="en-US" w:eastAsia="zh-CN"/>
              </w:rPr>
            </w:pPr>
            <w:r>
              <w:rPr>
                <w:rFonts w:hint="eastAsia"/>
                <w:color w:val="auto"/>
                <w:szCs w:val="21"/>
                <w:lang w:val="en-US" w:eastAsia="zh-CN"/>
              </w:rPr>
              <w:t>643.05</w:t>
            </w:r>
          </w:p>
        </w:tc>
        <w:tc>
          <w:tcPr>
            <w:tcW w:w="1464" w:type="dxa"/>
            <w:noWrap w:val="0"/>
            <w:vAlign w:val="center"/>
          </w:tcPr>
          <w:p w14:paraId="06EE5D90">
            <w:pPr>
              <w:jc w:val="center"/>
              <w:rPr>
                <w:rFonts w:hint="default" w:eastAsia="宋体"/>
                <w:color w:val="auto"/>
                <w:szCs w:val="21"/>
                <w:lang w:val="en-US" w:eastAsia="zh-CN"/>
              </w:rPr>
            </w:pPr>
            <w:r>
              <w:rPr>
                <w:rFonts w:hint="eastAsia"/>
                <w:color w:val="auto"/>
                <w:szCs w:val="21"/>
                <w:lang w:val="en-US" w:eastAsia="zh-CN"/>
              </w:rPr>
              <w:t>700.05</w:t>
            </w:r>
          </w:p>
        </w:tc>
        <w:tc>
          <w:tcPr>
            <w:tcW w:w="1323" w:type="dxa"/>
            <w:noWrap w:val="0"/>
            <w:vAlign w:val="center"/>
          </w:tcPr>
          <w:p w14:paraId="57E7BD6D">
            <w:pPr>
              <w:jc w:val="center"/>
              <w:rPr>
                <w:rFonts w:hint="default" w:eastAsia="宋体"/>
                <w:color w:val="auto"/>
                <w:szCs w:val="21"/>
                <w:lang w:val="en-US" w:eastAsia="zh-CN"/>
              </w:rPr>
            </w:pPr>
            <w:r>
              <w:rPr>
                <w:rFonts w:hint="eastAsia"/>
                <w:color w:val="auto"/>
                <w:szCs w:val="21"/>
                <w:lang w:val="en-US" w:eastAsia="zh-CN"/>
              </w:rPr>
              <w:t>174329.5</w:t>
            </w:r>
          </w:p>
        </w:tc>
        <w:tc>
          <w:tcPr>
            <w:tcW w:w="1319" w:type="dxa"/>
            <w:noWrap w:val="0"/>
            <w:vAlign w:val="center"/>
          </w:tcPr>
          <w:p w14:paraId="0555CFC1">
            <w:pPr>
              <w:jc w:val="center"/>
              <w:rPr>
                <w:rFonts w:hint="default" w:eastAsia="宋体"/>
                <w:color w:val="auto"/>
                <w:szCs w:val="21"/>
                <w:lang w:val="en-US" w:eastAsia="zh-CN"/>
              </w:rPr>
            </w:pPr>
            <w:r>
              <w:rPr>
                <w:rFonts w:hint="eastAsia"/>
                <w:color w:val="auto"/>
                <w:szCs w:val="21"/>
                <w:lang w:val="en-US" w:eastAsia="zh-CN"/>
              </w:rPr>
              <w:t>129478.1</w:t>
            </w:r>
          </w:p>
        </w:tc>
      </w:tr>
    </w:tbl>
    <w:p w14:paraId="7F7EAA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color w:val="auto"/>
          <w:sz w:val="24"/>
          <w:szCs w:val="24"/>
          <w:lang w:val="en-US" w:eastAsia="zh-CN"/>
        </w:rPr>
      </w:pPr>
      <w:r>
        <w:rPr>
          <w:color w:val="auto"/>
          <w:kern w:val="0"/>
          <w:sz w:val="24"/>
          <w:lang w:bidi="ar"/>
        </w:rPr>
        <w:t>从预测结果可知：</w:t>
      </w:r>
      <w:r>
        <w:rPr>
          <w:rFonts w:hint="eastAsia"/>
          <w:color w:val="auto"/>
          <w:kern w:val="0"/>
          <w:sz w:val="24"/>
          <w:lang w:eastAsia="zh-CN" w:bidi="ar"/>
        </w:rPr>
        <w:t>在假设的非正常状况下，</w:t>
      </w:r>
      <w:r>
        <w:rPr>
          <w:rFonts w:hint="eastAsia"/>
          <w:color w:val="auto"/>
          <w:sz w:val="24"/>
          <w:szCs w:val="24"/>
        </w:rPr>
        <w:t>随着时间的推移，石油类浓度逐渐变小，</w:t>
      </w:r>
      <w:r>
        <w:rPr>
          <w:color w:val="auto"/>
          <w:kern w:val="0"/>
          <w:sz w:val="24"/>
          <w:lang w:bidi="ar"/>
        </w:rPr>
        <w:t>随着时间的增加，管线发生泄漏后100d、</w:t>
      </w:r>
      <w:r>
        <w:rPr>
          <w:rFonts w:hint="eastAsia"/>
          <w:color w:val="auto"/>
          <w:kern w:val="0"/>
          <w:sz w:val="24"/>
          <w:lang w:val="en-US" w:eastAsia="zh-CN" w:bidi="ar"/>
        </w:rPr>
        <w:t>500d、</w:t>
      </w:r>
      <w:r>
        <w:rPr>
          <w:color w:val="auto"/>
          <w:kern w:val="0"/>
          <w:sz w:val="24"/>
          <w:lang w:bidi="ar"/>
        </w:rPr>
        <w:t>1000d和3650d的污染物最大浓度对应运移距离分别为</w:t>
      </w:r>
      <w:r>
        <w:rPr>
          <w:rFonts w:hint="eastAsia"/>
          <w:color w:val="auto"/>
          <w:kern w:val="0"/>
          <w:sz w:val="24"/>
          <w:lang w:val="en-US" w:eastAsia="zh-CN" w:bidi="ar"/>
        </w:rPr>
        <w:t>95.7</w:t>
      </w:r>
      <w:r>
        <w:rPr>
          <w:color w:val="auto"/>
          <w:kern w:val="0"/>
          <w:sz w:val="24"/>
          <w:lang w:bidi="ar"/>
        </w:rPr>
        <w:t>m、</w:t>
      </w:r>
      <w:r>
        <w:rPr>
          <w:rFonts w:hint="eastAsia"/>
          <w:color w:val="auto"/>
          <w:kern w:val="0"/>
          <w:sz w:val="24"/>
          <w:lang w:val="en-US" w:eastAsia="zh-CN" w:bidi="ar"/>
        </w:rPr>
        <w:t>216.5</w:t>
      </w:r>
      <w:r>
        <w:rPr>
          <w:color w:val="auto"/>
          <w:kern w:val="0"/>
          <w:sz w:val="24"/>
          <w:lang w:bidi="ar"/>
        </w:rPr>
        <w:t>m、</w:t>
      </w:r>
      <w:r>
        <w:rPr>
          <w:rFonts w:hint="eastAsia"/>
          <w:color w:val="auto"/>
          <w:kern w:val="0"/>
          <w:sz w:val="24"/>
          <w:lang w:val="en-US" w:eastAsia="zh-CN" w:bidi="ar"/>
        </w:rPr>
        <w:t>318</w:t>
      </w:r>
      <w:r>
        <w:rPr>
          <w:color w:val="auto"/>
          <w:kern w:val="0"/>
          <w:sz w:val="24"/>
          <w:lang w:bidi="ar"/>
        </w:rPr>
        <w:t>m</w:t>
      </w:r>
      <w:r>
        <w:rPr>
          <w:rFonts w:hint="eastAsia"/>
          <w:color w:val="auto"/>
          <w:kern w:val="0"/>
          <w:sz w:val="24"/>
          <w:lang w:eastAsia="zh-CN" w:bidi="ar"/>
        </w:rPr>
        <w:t>、</w:t>
      </w:r>
      <w:r>
        <w:rPr>
          <w:rFonts w:hint="eastAsia"/>
          <w:color w:val="auto"/>
          <w:kern w:val="0"/>
          <w:sz w:val="24"/>
          <w:lang w:val="en-US" w:eastAsia="zh-CN" w:bidi="ar"/>
        </w:rPr>
        <w:t>700.05</w:t>
      </w:r>
      <w:r>
        <w:rPr>
          <w:color w:val="auto"/>
          <w:kern w:val="0"/>
          <w:sz w:val="24"/>
          <w:lang w:bidi="ar"/>
        </w:rPr>
        <w:t>m</w:t>
      </w:r>
      <w:r>
        <w:rPr>
          <w:rFonts w:hint="eastAsia"/>
          <w:color w:val="auto"/>
          <w:kern w:val="0"/>
          <w:sz w:val="24"/>
          <w:lang w:eastAsia="zh-CN" w:bidi="ar"/>
        </w:rPr>
        <w:t>，在发生渗漏后100d</w:t>
      </w:r>
      <w:r>
        <w:rPr>
          <w:rFonts w:hint="eastAsia"/>
          <w:color w:val="auto"/>
          <w:kern w:val="0"/>
          <w:sz w:val="24"/>
          <w:lang w:val="en-US" w:eastAsia="zh-CN" w:bidi="ar"/>
        </w:rPr>
        <w:t>时</w:t>
      </w:r>
      <w:r>
        <w:rPr>
          <w:rFonts w:hint="eastAsia"/>
          <w:color w:val="auto"/>
          <w:kern w:val="0"/>
          <w:sz w:val="24"/>
          <w:lang w:eastAsia="zh-CN" w:bidi="ar"/>
        </w:rPr>
        <w:t>，石油类浓度最大为</w:t>
      </w:r>
      <w:r>
        <w:rPr>
          <w:rFonts w:hint="eastAsia"/>
          <w:color w:val="auto"/>
          <w:kern w:val="0"/>
          <w:sz w:val="24"/>
          <w:lang w:val="en-US" w:eastAsia="zh-CN" w:bidi="ar"/>
        </w:rPr>
        <w:t>190.91</w:t>
      </w:r>
      <w:r>
        <w:rPr>
          <w:rFonts w:hint="eastAsia"/>
          <w:color w:val="auto"/>
          <w:kern w:val="0"/>
          <w:sz w:val="24"/>
          <w:lang w:eastAsia="zh-CN" w:bidi="ar"/>
        </w:rPr>
        <w:t>mg/L，</w:t>
      </w:r>
      <w:r>
        <w:rPr>
          <w:rFonts w:hint="eastAsia"/>
          <w:color w:val="auto"/>
          <w:kern w:val="0"/>
          <w:sz w:val="24"/>
          <w:lang w:val="en-US" w:eastAsia="zh-CN" w:bidi="ar"/>
        </w:rPr>
        <w:t>最大超标距离为87.7m；</w:t>
      </w:r>
      <w:r>
        <w:rPr>
          <w:rFonts w:hint="eastAsia"/>
          <w:color w:val="auto"/>
          <w:kern w:val="0"/>
          <w:sz w:val="24"/>
          <w:lang w:eastAsia="zh-CN" w:bidi="ar"/>
        </w:rPr>
        <w:t>第</w:t>
      </w:r>
      <w:r>
        <w:rPr>
          <w:rFonts w:hint="eastAsia"/>
          <w:color w:val="auto"/>
          <w:kern w:val="0"/>
          <w:sz w:val="24"/>
          <w:lang w:val="en-US" w:eastAsia="zh-CN" w:bidi="ar"/>
        </w:rPr>
        <w:t>500</w:t>
      </w:r>
      <w:r>
        <w:rPr>
          <w:rFonts w:hint="eastAsia"/>
          <w:color w:val="auto"/>
          <w:kern w:val="0"/>
          <w:sz w:val="24"/>
          <w:lang w:eastAsia="zh-CN" w:bidi="ar"/>
        </w:rPr>
        <w:t>d时，石油类浓度最大为</w:t>
      </w:r>
      <w:r>
        <w:rPr>
          <w:rFonts w:hint="eastAsia"/>
          <w:color w:val="auto"/>
          <w:kern w:val="0"/>
          <w:sz w:val="24"/>
          <w:lang w:val="en-US" w:eastAsia="zh-CN" w:bidi="ar"/>
        </w:rPr>
        <w:t>38.18</w:t>
      </w:r>
      <w:r>
        <w:rPr>
          <w:rFonts w:hint="eastAsia"/>
          <w:color w:val="auto"/>
          <w:kern w:val="0"/>
          <w:sz w:val="24"/>
          <w:lang w:eastAsia="zh-CN" w:bidi="ar"/>
        </w:rPr>
        <w:t>mg/L，</w:t>
      </w:r>
      <w:r>
        <w:rPr>
          <w:rFonts w:hint="eastAsia"/>
          <w:color w:val="auto"/>
          <w:kern w:val="0"/>
          <w:sz w:val="24"/>
          <w:lang w:val="en-US" w:eastAsia="zh-CN" w:bidi="ar"/>
        </w:rPr>
        <w:t>最大超标距离为198.5m</w:t>
      </w:r>
      <w:r>
        <w:rPr>
          <w:rFonts w:hint="eastAsia"/>
          <w:color w:val="auto"/>
          <w:kern w:val="0"/>
          <w:sz w:val="24"/>
          <w:lang w:eastAsia="zh-CN" w:bidi="ar"/>
        </w:rPr>
        <w:t>；第1000d时，石油类浓度最大为</w:t>
      </w:r>
      <w:r>
        <w:rPr>
          <w:rFonts w:hint="eastAsia"/>
          <w:color w:val="auto"/>
          <w:kern w:val="0"/>
          <w:sz w:val="24"/>
          <w:lang w:val="en-US" w:eastAsia="zh-CN" w:bidi="ar"/>
        </w:rPr>
        <w:t>19.09</w:t>
      </w:r>
      <w:r>
        <w:rPr>
          <w:rFonts w:hint="eastAsia"/>
          <w:color w:val="auto"/>
          <w:kern w:val="0"/>
          <w:sz w:val="24"/>
          <w:lang w:eastAsia="zh-CN" w:bidi="ar"/>
        </w:rPr>
        <w:t>mg/L，最大</w:t>
      </w:r>
      <w:r>
        <w:rPr>
          <w:rFonts w:hint="eastAsia"/>
          <w:color w:val="auto"/>
          <w:kern w:val="0"/>
          <w:sz w:val="24"/>
          <w:lang w:val="en-US" w:eastAsia="zh-CN" w:bidi="ar"/>
        </w:rPr>
        <w:t>超标</w:t>
      </w:r>
      <w:r>
        <w:rPr>
          <w:rFonts w:hint="eastAsia"/>
          <w:color w:val="auto"/>
          <w:kern w:val="0"/>
          <w:sz w:val="24"/>
          <w:lang w:eastAsia="zh-CN" w:bidi="ar"/>
        </w:rPr>
        <w:t>距离为</w:t>
      </w:r>
      <w:r>
        <w:rPr>
          <w:rFonts w:hint="eastAsia"/>
          <w:color w:val="auto"/>
          <w:kern w:val="0"/>
          <w:sz w:val="24"/>
          <w:lang w:val="en-US" w:eastAsia="zh-CN" w:bidi="ar"/>
        </w:rPr>
        <w:t>291</w:t>
      </w:r>
      <w:r>
        <w:rPr>
          <w:rFonts w:hint="eastAsia"/>
          <w:color w:val="auto"/>
          <w:kern w:val="0"/>
          <w:sz w:val="24"/>
          <w:lang w:eastAsia="zh-CN" w:bidi="ar"/>
        </w:rPr>
        <w:t>m；</w:t>
      </w:r>
      <w:r>
        <w:rPr>
          <w:rFonts w:hint="eastAsia"/>
          <w:color w:val="auto"/>
          <w:kern w:val="0"/>
          <w:sz w:val="24"/>
          <w:lang w:val="en-US" w:eastAsia="zh-CN" w:bidi="ar"/>
        </w:rPr>
        <w:t>第3650d时，</w:t>
      </w:r>
      <w:r>
        <w:rPr>
          <w:rFonts w:hint="eastAsia"/>
          <w:color w:val="auto"/>
          <w:kern w:val="0"/>
          <w:sz w:val="24"/>
          <w:lang w:eastAsia="zh-CN" w:bidi="ar"/>
        </w:rPr>
        <w:t>石油类浓度最大为</w:t>
      </w:r>
      <w:r>
        <w:rPr>
          <w:rFonts w:hint="eastAsia"/>
          <w:color w:val="auto"/>
          <w:kern w:val="0"/>
          <w:sz w:val="24"/>
          <w:lang w:val="en-US" w:eastAsia="zh-CN" w:bidi="ar"/>
        </w:rPr>
        <w:t>5.23</w:t>
      </w:r>
      <w:r>
        <w:rPr>
          <w:rFonts w:hint="eastAsia"/>
          <w:color w:val="auto"/>
          <w:kern w:val="0"/>
          <w:sz w:val="24"/>
          <w:lang w:eastAsia="zh-CN" w:bidi="ar"/>
        </w:rPr>
        <w:t>mg/L，最大</w:t>
      </w:r>
      <w:r>
        <w:rPr>
          <w:rFonts w:hint="eastAsia"/>
          <w:color w:val="auto"/>
          <w:kern w:val="0"/>
          <w:sz w:val="24"/>
          <w:lang w:val="en-US" w:eastAsia="zh-CN" w:bidi="ar"/>
        </w:rPr>
        <w:t>超标</w:t>
      </w:r>
      <w:r>
        <w:rPr>
          <w:rFonts w:hint="eastAsia"/>
          <w:color w:val="auto"/>
          <w:kern w:val="0"/>
          <w:sz w:val="24"/>
          <w:lang w:eastAsia="zh-CN" w:bidi="ar"/>
        </w:rPr>
        <w:t>距离为</w:t>
      </w:r>
      <w:r>
        <w:rPr>
          <w:rFonts w:hint="eastAsia"/>
          <w:color w:val="auto"/>
          <w:kern w:val="0"/>
          <w:sz w:val="24"/>
          <w:lang w:val="en-US" w:eastAsia="zh-CN" w:bidi="ar"/>
        </w:rPr>
        <w:t>643.05</w:t>
      </w:r>
      <w:r>
        <w:rPr>
          <w:rFonts w:hint="eastAsia"/>
          <w:color w:val="auto"/>
          <w:kern w:val="0"/>
          <w:sz w:val="24"/>
          <w:lang w:eastAsia="zh-CN" w:bidi="ar"/>
        </w:rPr>
        <w:t>m。</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4261"/>
        <w:gridCol w:w="4261"/>
      </w:tblGrid>
      <w:tr w14:paraId="75E1A7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58" w:hRule="exact"/>
        </w:trPr>
        <w:tc>
          <w:tcPr>
            <w:tcW w:w="4261" w:type="dxa"/>
            <w:tcBorders>
              <w:tl2br w:val="nil"/>
              <w:tr2bl w:val="nil"/>
            </w:tcBorders>
            <w:vAlign w:val="center"/>
          </w:tcPr>
          <w:p w14:paraId="39DE2C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261" w:type="dxa"/>
            <w:tcBorders>
              <w:tl2br w:val="nil"/>
              <w:tr2bl w:val="nil"/>
            </w:tcBorders>
            <w:vAlign w:val="center"/>
          </w:tcPr>
          <w:p w14:paraId="7FBF3B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0853FF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261" w:type="dxa"/>
            <w:tcBorders>
              <w:tl2br w:val="nil"/>
              <w:tr2bl w:val="nil"/>
            </w:tcBorders>
            <w:vAlign w:val="center"/>
          </w:tcPr>
          <w:p w14:paraId="7406CA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管线泄漏石油类在潜水含水层运移100d</w:t>
            </w:r>
          </w:p>
        </w:tc>
        <w:tc>
          <w:tcPr>
            <w:tcW w:w="4261" w:type="dxa"/>
            <w:tcBorders>
              <w:tl2br w:val="nil"/>
              <w:tr2bl w:val="nil"/>
            </w:tcBorders>
            <w:vAlign w:val="center"/>
          </w:tcPr>
          <w:p w14:paraId="205477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管线泄漏石油类在潜水含水层运移500d</w:t>
            </w:r>
          </w:p>
        </w:tc>
      </w:tr>
      <w:tr w14:paraId="40836F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58" w:hRule="exact"/>
        </w:trPr>
        <w:tc>
          <w:tcPr>
            <w:tcW w:w="4261" w:type="dxa"/>
            <w:tcBorders>
              <w:tl2br w:val="nil"/>
              <w:tr2bl w:val="nil"/>
            </w:tcBorders>
            <w:vAlign w:val="center"/>
          </w:tcPr>
          <w:p w14:paraId="32673E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261" w:type="dxa"/>
            <w:tcBorders>
              <w:tl2br w:val="nil"/>
              <w:tr2bl w:val="nil"/>
            </w:tcBorders>
            <w:vAlign w:val="center"/>
          </w:tcPr>
          <w:p w14:paraId="1341C3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40F656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261" w:type="dxa"/>
            <w:tcBorders>
              <w:tl2br w:val="nil"/>
              <w:tr2bl w:val="nil"/>
            </w:tcBorders>
            <w:vAlign w:val="center"/>
          </w:tcPr>
          <w:p w14:paraId="304300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管线泄漏石油类在潜水含水层运移1000d</w:t>
            </w:r>
          </w:p>
        </w:tc>
        <w:tc>
          <w:tcPr>
            <w:tcW w:w="4261" w:type="dxa"/>
            <w:tcBorders>
              <w:tl2br w:val="nil"/>
              <w:tr2bl w:val="nil"/>
            </w:tcBorders>
            <w:vAlign w:val="center"/>
          </w:tcPr>
          <w:p w14:paraId="276768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管线泄漏石油类在潜水含水层运移3650d</w:t>
            </w:r>
          </w:p>
        </w:tc>
      </w:tr>
      <w:tr w14:paraId="036FEC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522" w:type="dxa"/>
            <w:gridSpan w:val="2"/>
            <w:tcBorders>
              <w:tl2br w:val="nil"/>
              <w:tr2bl w:val="nil"/>
            </w:tcBorders>
            <w:vAlign w:val="center"/>
          </w:tcPr>
          <w:p w14:paraId="62C18E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图5.2-1  </w:t>
            </w:r>
            <w:r>
              <w:rPr>
                <w:rFonts w:hint="eastAsia" w:cs="Times New Roman"/>
                <w:b/>
                <w:bCs/>
                <w:color w:val="auto"/>
                <w:sz w:val="21"/>
                <w:szCs w:val="21"/>
                <w:lang w:val="en-US" w:eastAsia="zh-CN"/>
              </w:rPr>
              <w:t>管线泄漏</w:t>
            </w:r>
            <w:r>
              <w:rPr>
                <w:rFonts w:hint="default" w:ascii="Times New Roman" w:hAnsi="Times New Roman" w:eastAsia="宋体" w:cs="Times New Roman"/>
                <w:b/>
                <w:bCs/>
                <w:color w:val="auto"/>
                <w:sz w:val="21"/>
                <w:szCs w:val="21"/>
              </w:rPr>
              <w:t>石油类在含水层中的运移情况图</w:t>
            </w:r>
          </w:p>
        </w:tc>
      </w:tr>
    </w:tbl>
    <w:p w14:paraId="58D1D35D">
      <w:pPr>
        <w:pStyle w:val="11"/>
        <w:bidi w:val="0"/>
        <w:rPr>
          <w:rFonts w:hint="eastAsia"/>
          <w:color w:val="auto"/>
          <w:lang w:val="en-US" w:eastAsia="zh-CN"/>
        </w:rPr>
      </w:pPr>
      <w:r>
        <w:rPr>
          <w:rFonts w:hint="eastAsia"/>
          <w:color w:val="auto"/>
          <w:lang w:val="en-US" w:eastAsia="zh-CN"/>
        </w:rPr>
        <w:t>②油井套管破损</w:t>
      </w:r>
    </w:p>
    <w:p w14:paraId="3E9602AC">
      <w:pPr>
        <w:pStyle w:val="33"/>
        <w:bidi w:val="0"/>
        <w:rPr>
          <w:rFonts w:hint="default"/>
          <w:color w:val="auto"/>
          <w:lang w:val="en-US" w:eastAsia="zh-CN"/>
        </w:rPr>
      </w:pPr>
      <w:r>
        <w:rPr>
          <w:color w:val="auto"/>
        </w:rPr>
        <w:t>当发生泄漏时，石油类物质经过100d、</w:t>
      </w:r>
      <w:r>
        <w:rPr>
          <w:rFonts w:hint="eastAsia"/>
          <w:color w:val="auto"/>
          <w:lang w:val="en-US" w:eastAsia="zh-CN"/>
        </w:rPr>
        <w:t>500d、</w:t>
      </w:r>
      <w:r>
        <w:rPr>
          <w:color w:val="auto"/>
        </w:rPr>
        <w:t>1000d和</w:t>
      </w:r>
      <w:r>
        <w:rPr>
          <w:rFonts w:hint="eastAsia"/>
          <w:color w:val="auto"/>
          <w:lang w:val="en-US" w:eastAsia="zh-CN"/>
        </w:rPr>
        <w:t>3650</w:t>
      </w:r>
      <w:r>
        <w:rPr>
          <w:color w:val="auto"/>
        </w:rPr>
        <w:t>d后在地下水中的扩散结果见表</w:t>
      </w:r>
      <w:r>
        <w:rPr>
          <w:rFonts w:hint="eastAsia"/>
          <w:color w:val="auto"/>
          <w:lang w:val="en-US" w:eastAsia="zh-CN"/>
        </w:rPr>
        <w:t>5.2-11</w:t>
      </w:r>
      <w:r>
        <w:rPr>
          <w:rFonts w:hint="eastAsia"/>
          <w:color w:val="auto"/>
          <w:lang w:eastAsia="zh-CN"/>
        </w:rPr>
        <w:t>，</w:t>
      </w:r>
      <w:r>
        <w:rPr>
          <w:rFonts w:hint="default"/>
          <w:color w:val="auto"/>
        </w:rPr>
        <w:t>石油类在含水层中的运移情况见图</w:t>
      </w:r>
      <w:r>
        <w:rPr>
          <w:rFonts w:hint="eastAsia"/>
          <w:color w:val="auto"/>
          <w:lang w:val="en-US" w:eastAsia="zh-CN"/>
        </w:rPr>
        <w:t>5.2-2</w:t>
      </w:r>
      <w:r>
        <w:rPr>
          <w:rFonts w:hint="default"/>
          <w:color w:val="auto"/>
        </w:rPr>
        <w:t>，其中（0，0）点为泄漏点位置。</w:t>
      </w:r>
    </w:p>
    <w:p w14:paraId="4A56ED62">
      <w:pPr>
        <w:pStyle w:val="32"/>
        <w:bidi w:val="0"/>
        <w:rPr>
          <w:color w:val="auto"/>
        </w:rPr>
      </w:pPr>
      <w:r>
        <w:rPr>
          <w:color w:val="auto"/>
        </w:rPr>
        <w:t>表</w:t>
      </w:r>
      <w:r>
        <w:rPr>
          <w:rFonts w:hint="eastAsia"/>
          <w:color w:val="auto"/>
          <w:lang w:val="en-US" w:eastAsia="zh-CN"/>
        </w:rPr>
        <w:t xml:space="preserve">5.2-11 </w:t>
      </w:r>
      <w:r>
        <w:rPr>
          <w:color w:val="auto"/>
        </w:rPr>
        <w:t xml:space="preserve"> </w:t>
      </w:r>
      <w:r>
        <w:rPr>
          <w:rFonts w:hint="eastAsia"/>
          <w:color w:val="auto"/>
          <w:lang w:val="en-US" w:eastAsia="zh-CN"/>
        </w:rPr>
        <w:t>油井套管破损</w:t>
      </w:r>
      <w:r>
        <w:rPr>
          <w:color w:val="auto"/>
        </w:rPr>
        <w:t>地下水影响预测结果一览表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999"/>
        <w:gridCol w:w="1204"/>
        <w:gridCol w:w="1645"/>
        <w:gridCol w:w="1537"/>
        <w:gridCol w:w="1389"/>
        <w:gridCol w:w="1385"/>
      </w:tblGrid>
      <w:tr w14:paraId="19E0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noWrap w:val="0"/>
            <w:vAlign w:val="center"/>
          </w:tcPr>
          <w:p w14:paraId="4EF6B034">
            <w:pPr>
              <w:jc w:val="center"/>
              <w:rPr>
                <w:b/>
                <w:bCs/>
                <w:color w:val="auto"/>
                <w:szCs w:val="21"/>
              </w:rPr>
            </w:pPr>
            <w:r>
              <w:rPr>
                <w:b/>
                <w:bCs/>
                <w:color w:val="auto"/>
                <w:szCs w:val="21"/>
              </w:rPr>
              <w:t>污染物</w:t>
            </w:r>
          </w:p>
        </w:tc>
        <w:tc>
          <w:tcPr>
            <w:tcW w:w="558" w:type="pct"/>
            <w:noWrap w:val="0"/>
            <w:vAlign w:val="center"/>
          </w:tcPr>
          <w:p w14:paraId="25EBA808">
            <w:pPr>
              <w:jc w:val="center"/>
              <w:rPr>
                <w:b/>
                <w:bCs/>
                <w:color w:val="auto"/>
                <w:szCs w:val="21"/>
              </w:rPr>
            </w:pPr>
            <w:r>
              <w:rPr>
                <w:b/>
                <w:bCs/>
                <w:color w:val="auto"/>
                <w:szCs w:val="21"/>
              </w:rPr>
              <w:t>预测时间（d）</w:t>
            </w:r>
          </w:p>
        </w:tc>
        <w:tc>
          <w:tcPr>
            <w:tcW w:w="673" w:type="pct"/>
            <w:noWrap w:val="0"/>
            <w:vAlign w:val="center"/>
          </w:tcPr>
          <w:p w14:paraId="2207B166">
            <w:pPr>
              <w:jc w:val="center"/>
              <w:rPr>
                <w:b/>
                <w:bCs/>
                <w:color w:val="auto"/>
                <w:szCs w:val="21"/>
              </w:rPr>
            </w:pPr>
            <w:r>
              <w:rPr>
                <w:b/>
                <w:bCs/>
                <w:color w:val="auto"/>
                <w:szCs w:val="21"/>
              </w:rPr>
              <w:t>最大浓度（mg/L）</w:t>
            </w:r>
          </w:p>
        </w:tc>
        <w:tc>
          <w:tcPr>
            <w:tcW w:w="919" w:type="pct"/>
            <w:noWrap w:val="0"/>
            <w:vAlign w:val="center"/>
          </w:tcPr>
          <w:p w14:paraId="382AD2A4">
            <w:pPr>
              <w:jc w:val="center"/>
              <w:rPr>
                <w:b/>
                <w:bCs/>
                <w:color w:val="auto"/>
                <w:szCs w:val="21"/>
              </w:rPr>
            </w:pPr>
            <w:r>
              <w:rPr>
                <w:b/>
                <w:bCs/>
                <w:color w:val="auto"/>
                <w:szCs w:val="21"/>
              </w:rPr>
              <w:t>最大</w:t>
            </w:r>
            <w:r>
              <w:rPr>
                <w:rFonts w:hint="eastAsia"/>
                <w:b/>
                <w:bCs/>
                <w:color w:val="auto"/>
                <w:szCs w:val="21"/>
                <w:lang w:eastAsia="zh-CN"/>
              </w:rPr>
              <w:t>超标</w:t>
            </w:r>
            <w:r>
              <w:rPr>
                <w:b/>
                <w:bCs/>
                <w:color w:val="auto"/>
                <w:szCs w:val="21"/>
              </w:rPr>
              <w:t>距离（m）</w:t>
            </w:r>
          </w:p>
        </w:tc>
        <w:tc>
          <w:tcPr>
            <w:tcW w:w="859" w:type="pct"/>
            <w:noWrap w:val="0"/>
            <w:vAlign w:val="center"/>
          </w:tcPr>
          <w:p w14:paraId="2099D251">
            <w:pPr>
              <w:jc w:val="center"/>
              <w:rPr>
                <w:b/>
                <w:bCs/>
                <w:color w:val="auto"/>
                <w:szCs w:val="21"/>
              </w:rPr>
            </w:pPr>
            <w:r>
              <w:rPr>
                <w:b/>
                <w:bCs/>
                <w:color w:val="auto"/>
                <w:szCs w:val="21"/>
              </w:rPr>
              <w:t>最大</w:t>
            </w:r>
            <w:r>
              <w:rPr>
                <w:rFonts w:hint="eastAsia"/>
                <w:b/>
                <w:bCs/>
                <w:color w:val="auto"/>
                <w:szCs w:val="21"/>
                <w:lang w:eastAsia="zh-CN"/>
              </w:rPr>
              <w:t>扩散</w:t>
            </w:r>
            <w:r>
              <w:rPr>
                <w:b/>
                <w:bCs/>
                <w:color w:val="auto"/>
                <w:szCs w:val="21"/>
              </w:rPr>
              <w:t>距离（m）</w:t>
            </w:r>
          </w:p>
        </w:tc>
        <w:tc>
          <w:tcPr>
            <w:tcW w:w="776" w:type="pct"/>
            <w:noWrap w:val="0"/>
            <w:vAlign w:val="center"/>
          </w:tcPr>
          <w:p w14:paraId="34EED2CC">
            <w:pPr>
              <w:jc w:val="center"/>
              <w:rPr>
                <w:b/>
                <w:bCs/>
                <w:color w:val="auto"/>
                <w:kern w:val="2"/>
                <w:sz w:val="21"/>
                <w:szCs w:val="21"/>
                <w:lang w:val="en-US" w:eastAsia="zh-CN" w:bidi="ar-SA"/>
              </w:rPr>
            </w:pPr>
            <w:r>
              <w:rPr>
                <w:b/>
                <w:bCs/>
                <w:color w:val="auto"/>
                <w:szCs w:val="21"/>
              </w:rPr>
              <w:t>影响范围（m</w:t>
            </w:r>
            <w:r>
              <w:rPr>
                <w:b/>
                <w:bCs/>
                <w:color w:val="auto"/>
                <w:szCs w:val="21"/>
                <w:vertAlign w:val="superscript"/>
              </w:rPr>
              <w:t>2</w:t>
            </w:r>
            <w:r>
              <w:rPr>
                <w:b/>
                <w:bCs/>
                <w:color w:val="auto"/>
                <w:szCs w:val="21"/>
              </w:rPr>
              <w:t>）</w:t>
            </w:r>
          </w:p>
        </w:tc>
        <w:tc>
          <w:tcPr>
            <w:tcW w:w="774" w:type="pct"/>
            <w:noWrap w:val="0"/>
            <w:vAlign w:val="center"/>
          </w:tcPr>
          <w:p w14:paraId="5BC3A92A">
            <w:pPr>
              <w:jc w:val="center"/>
              <w:rPr>
                <w:b/>
                <w:bCs/>
                <w:color w:val="auto"/>
                <w:kern w:val="2"/>
                <w:sz w:val="21"/>
                <w:szCs w:val="21"/>
                <w:lang w:val="en-US" w:eastAsia="zh-CN" w:bidi="ar-SA"/>
              </w:rPr>
            </w:pPr>
            <w:r>
              <w:rPr>
                <w:b/>
                <w:bCs/>
                <w:color w:val="auto"/>
                <w:szCs w:val="21"/>
              </w:rPr>
              <w:t>超标范围（m</w:t>
            </w:r>
            <w:r>
              <w:rPr>
                <w:b/>
                <w:bCs/>
                <w:color w:val="auto"/>
                <w:szCs w:val="21"/>
                <w:vertAlign w:val="superscript"/>
              </w:rPr>
              <w:t>2</w:t>
            </w:r>
            <w:r>
              <w:rPr>
                <w:b/>
                <w:bCs/>
                <w:color w:val="auto"/>
                <w:szCs w:val="21"/>
              </w:rPr>
              <w:t>）</w:t>
            </w:r>
          </w:p>
        </w:tc>
      </w:tr>
      <w:tr w14:paraId="60D8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vMerge w:val="restart"/>
            <w:noWrap w:val="0"/>
            <w:vAlign w:val="center"/>
          </w:tcPr>
          <w:p w14:paraId="02BB5321">
            <w:pPr>
              <w:jc w:val="center"/>
              <w:rPr>
                <w:color w:val="auto"/>
                <w:szCs w:val="21"/>
              </w:rPr>
            </w:pPr>
            <w:r>
              <w:rPr>
                <w:color w:val="auto"/>
                <w:szCs w:val="21"/>
              </w:rPr>
              <w:t>石油类</w:t>
            </w:r>
          </w:p>
        </w:tc>
        <w:tc>
          <w:tcPr>
            <w:tcW w:w="558" w:type="pct"/>
            <w:noWrap w:val="0"/>
            <w:vAlign w:val="center"/>
          </w:tcPr>
          <w:p w14:paraId="73548EB9">
            <w:pPr>
              <w:jc w:val="center"/>
              <w:rPr>
                <w:color w:val="auto"/>
                <w:szCs w:val="21"/>
              </w:rPr>
            </w:pPr>
            <w:r>
              <w:rPr>
                <w:color w:val="auto"/>
                <w:szCs w:val="21"/>
              </w:rPr>
              <w:t>100</w:t>
            </w:r>
          </w:p>
        </w:tc>
        <w:tc>
          <w:tcPr>
            <w:tcW w:w="673" w:type="pct"/>
            <w:noWrap w:val="0"/>
            <w:vAlign w:val="center"/>
          </w:tcPr>
          <w:p w14:paraId="0B8E31F4">
            <w:pPr>
              <w:jc w:val="center"/>
              <w:rPr>
                <w:rFonts w:hint="default" w:eastAsia="宋体"/>
                <w:color w:val="auto"/>
                <w:szCs w:val="21"/>
                <w:lang w:val="en-US" w:eastAsia="zh-CN"/>
              </w:rPr>
            </w:pPr>
            <w:r>
              <w:rPr>
                <w:rFonts w:hint="eastAsia"/>
                <w:color w:val="auto"/>
                <w:szCs w:val="21"/>
                <w:lang w:val="en-US" w:eastAsia="zh-CN"/>
              </w:rPr>
              <w:t>3394.6</w:t>
            </w:r>
          </w:p>
        </w:tc>
        <w:tc>
          <w:tcPr>
            <w:tcW w:w="919" w:type="pct"/>
            <w:noWrap w:val="0"/>
            <w:vAlign w:val="center"/>
          </w:tcPr>
          <w:p w14:paraId="04F6EC0A">
            <w:pPr>
              <w:jc w:val="center"/>
              <w:rPr>
                <w:rFonts w:hint="default" w:eastAsia="宋体"/>
                <w:color w:val="auto"/>
                <w:szCs w:val="21"/>
                <w:lang w:val="en-US" w:eastAsia="zh-CN"/>
              </w:rPr>
            </w:pPr>
            <w:r>
              <w:rPr>
                <w:rFonts w:hint="eastAsia"/>
                <w:color w:val="auto"/>
                <w:szCs w:val="21"/>
                <w:lang w:val="en-US" w:eastAsia="zh-CN"/>
              </w:rPr>
              <w:t>100.7</w:t>
            </w:r>
          </w:p>
        </w:tc>
        <w:tc>
          <w:tcPr>
            <w:tcW w:w="859" w:type="pct"/>
            <w:noWrap w:val="0"/>
            <w:vAlign w:val="center"/>
          </w:tcPr>
          <w:p w14:paraId="14CD4481">
            <w:pPr>
              <w:jc w:val="center"/>
              <w:rPr>
                <w:rFonts w:hint="default" w:eastAsia="宋体"/>
                <w:color w:val="auto"/>
                <w:szCs w:val="21"/>
                <w:lang w:val="en-US" w:eastAsia="zh-CN"/>
              </w:rPr>
            </w:pPr>
            <w:r>
              <w:rPr>
                <w:rFonts w:hint="eastAsia"/>
                <w:color w:val="auto"/>
                <w:szCs w:val="21"/>
                <w:lang w:val="en-US" w:eastAsia="zh-CN"/>
              </w:rPr>
              <w:t>106.7</w:t>
            </w:r>
          </w:p>
        </w:tc>
        <w:tc>
          <w:tcPr>
            <w:tcW w:w="776" w:type="pct"/>
            <w:noWrap w:val="0"/>
            <w:vAlign w:val="center"/>
          </w:tcPr>
          <w:p w14:paraId="346EC4BB">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9718.0</w:t>
            </w:r>
          </w:p>
        </w:tc>
        <w:tc>
          <w:tcPr>
            <w:tcW w:w="774" w:type="pct"/>
            <w:noWrap w:val="0"/>
            <w:vAlign w:val="center"/>
          </w:tcPr>
          <w:p w14:paraId="38FFC993">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8486.0</w:t>
            </w:r>
          </w:p>
        </w:tc>
      </w:tr>
      <w:tr w14:paraId="1FCA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vMerge w:val="continue"/>
            <w:noWrap w:val="0"/>
            <w:vAlign w:val="center"/>
          </w:tcPr>
          <w:p w14:paraId="19AF2A6D">
            <w:pPr>
              <w:jc w:val="center"/>
              <w:rPr>
                <w:color w:val="auto"/>
                <w:szCs w:val="21"/>
              </w:rPr>
            </w:pPr>
          </w:p>
        </w:tc>
        <w:tc>
          <w:tcPr>
            <w:tcW w:w="558" w:type="pct"/>
            <w:noWrap w:val="0"/>
            <w:vAlign w:val="center"/>
          </w:tcPr>
          <w:p w14:paraId="4FF61EC6">
            <w:pPr>
              <w:jc w:val="center"/>
              <w:rPr>
                <w:rFonts w:hint="default" w:eastAsia="宋体"/>
                <w:color w:val="auto"/>
                <w:szCs w:val="21"/>
                <w:lang w:val="en-US" w:eastAsia="zh-CN"/>
              </w:rPr>
            </w:pPr>
            <w:r>
              <w:rPr>
                <w:rFonts w:hint="eastAsia"/>
                <w:color w:val="auto"/>
                <w:szCs w:val="21"/>
                <w:lang w:val="en-US" w:eastAsia="zh-CN"/>
              </w:rPr>
              <w:t>500</w:t>
            </w:r>
          </w:p>
        </w:tc>
        <w:tc>
          <w:tcPr>
            <w:tcW w:w="673" w:type="pct"/>
            <w:noWrap w:val="0"/>
            <w:vAlign w:val="center"/>
          </w:tcPr>
          <w:p w14:paraId="312DFE64">
            <w:pPr>
              <w:jc w:val="center"/>
              <w:rPr>
                <w:rFonts w:hint="default" w:eastAsia="宋体"/>
                <w:color w:val="auto"/>
                <w:szCs w:val="21"/>
                <w:lang w:val="en-US" w:eastAsia="zh-CN"/>
              </w:rPr>
            </w:pPr>
            <w:r>
              <w:rPr>
                <w:rFonts w:hint="eastAsia"/>
                <w:color w:val="auto"/>
                <w:szCs w:val="21"/>
                <w:lang w:val="en-US" w:eastAsia="zh-CN"/>
              </w:rPr>
              <w:t>678.9</w:t>
            </w:r>
          </w:p>
        </w:tc>
        <w:tc>
          <w:tcPr>
            <w:tcW w:w="919" w:type="pct"/>
            <w:noWrap w:val="0"/>
            <w:vAlign w:val="center"/>
          </w:tcPr>
          <w:p w14:paraId="65CBEA88">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230.5</w:t>
            </w:r>
          </w:p>
        </w:tc>
        <w:tc>
          <w:tcPr>
            <w:tcW w:w="859" w:type="pct"/>
            <w:noWrap w:val="0"/>
            <w:vAlign w:val="center"/>
          </w:tcPr>
          <w:p w14:paraId="5B57D87C">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245.5</w:t>
            </w:r>
          </w:p>
        </w:tc>
        <w:tc>
          <w:tcPr>
            <w:tcW w:w="776" w:type="pct"/>
            <w:noWrap w:val="0"/>
            <w:vAlign w:val="center"/>
          </w:tcPr>
          <w:p w14:paraId="63979D3F">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42429.0</w:t>
            </w:r>
          </w:p>
        </w:tc>
        <w:tc>
          <w:tcPr>
            <w:tcW w:w="774" w:type="pct"/>
            <w:noWrap w:val="0"/>
            <w:vAlign w:val="center"/>
          </w:tcPr>
          <w:p w14:paraId="3D4469E2">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36298.0</w:t>
            </w:r>
          </w:p>
        </w:tc>
      </w:tr>
      <w:tr w14:paraId="34D7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vMerge w:val="continue"/>
            <w:noWrap w:val="0"/>
            <w:vAlign w:val="center"/>
          </w:tcPr>
          <w:p w14:paraId="7B1527B7">
            <w:pPr>
              <w:jc w:val="center"/>
              <w:rPr>
                <w:color w:val="auto"/>
                <w:szCs w:val="21"/>
              </w:rPr>
            </w:pPr>
          </w:p>
        </w:tc>
        <w:tc>
          <w:tcPr>
            <w:tcW w:w="558" w:type="pct"/>
            <w:noWrap w:val="0"/>
            <w:vAlign w:val="center"/>
          </w:tcPr>
          <w:p w14:paraId="2583BA37">
            <w:pPr>
              <w:jc w:val="center"/>
              <w:rPr>
                <w:color w:val="auto"/>
                <w:szCs w:val="21"/>
              </w:rPr>
            </w:pPr>
            <w:r>
              <w:rPr>
                <w:color w:val="auto"/>
                <w:szCs w:val="21"/>
              </w:rPr>
              <w:t>1000</w:t>
            </w:r>
          </w:p>
        </w:tc>
        <w:tc>
          <w:tcPr>
            <w:tcW w:w="673" w:type="pct"/>
            <w:noWrap w:val="0"/>
            <w:vAlign w:val="center"/>
          </w:tcPr>
          <w:p w14:paraId="52A6D712">
            <w:pPr>
              <w:jc w:val="center"/>
              <w:rPr>
                <w:rFonts w:hint="default" w:eastAsia="宋体"/>
                <w:color w:val="auto"/>
                <w:szCs w:val="21"/>
                <w:lang w:val="en-US" w:eastAsia="zh-CN"/>
              </w:rPr>
            </w:pPr>
            <w:r>
              <w:rPr>
                <w:rFonts w:hint="eastAsia"/>
                <w:color w:val="auto"/>
                <w:szCs w:val="21"/>
                <w:lang w:val="en-US" w:eastAsia="zh-CN"/>
              </w:rPr>
              <w:t>339.4</w:t>
            </w:r>
          </w:p>
        </w:tc>
        <w:tc>
          <w:tcPr>
            <w:tcW w:w="919" w:type="pct"/>
            <w:noWrap w:val="0"/>
            <w:vAlign w:val="center"/>
          </w:tcPr>
          <w:p w14:paraId="4F3153BF">
            <w:pPr>
              <w:jc w:val="center"/>
              <w:rPr>
                <w:rFonts w:hint="default" w:eastAsia="宋体"/>
                <w:color w:val="auto"/>
                <w:szCs w:val="21"/>
                <w:lang w:val="en-US" w:eastAsia="zh-CN"/>
              </w:rPr>
            </w:pPr>
            <w:r>
              <w:rPr>
                <w:rFonts w:hint="eastAsia"/>
                <w:color w:val="auto"/>
                <w:szCs w:val="21"/>
                <w:lang w:val="en-US" w:eastAsia="zh-CN"/>
              </w:rPr>
              <w:t>338.0</w:t>
            </w:r>
          </w:p>
        </w:tc>
        <w:tc>
          <w:tcPr>
            <w:tcW w:w="859" w:type="pct"/>
            <w:noWrap w:val="0"/>
            <w:vAlign w:val="center"/>
          </w:tcPr>
          <w:p w14:paraId="78DD2E40">
            <w:pPr>
              <w:jc w:val="center"/>
              <w:rPr>
                <w:rFonts w:hint="default" w:eastAsia="宋体"/>
                <w:color w:val="auto"/>
                <w:szCs w:val="21"/>
                <w:lang w:val="en-US" w:eastAsia="zh-CN"/>
              </w:rPr>
            </w:pPr>
            <w:r>
              <w:rPr>
                <w:rFonts w:hint="eastAsia"/>
                <w:color w:val="auto"/>
                <w:szCs w:val="21"/>
                <w:lang w:val="en-US" w:eastAsia="zh-CN"/>
              </w:rPr>
              <w:t>361.0</w:t>
            </w:r>
          </w:p>
        </w:tc>
        <w:tc>
          <w:tcPr>
            <w:tcW w:w="776" w:type="pct"/>
            <w:noWrap w:val="0"/>
            <w:vAlign w:val="center"/>
          </w:tcPr>
          <w:p w14:paraId="63513EFF">
            <w:pPr>
              <w:jc w:val="center"/>
              <w:rPr>
                <w:rFonts w:hint="default" w:eastAsia="宋体"/>
                <w:color w:val="auto"/>
                <w:szCs w:val="21"/>
                <w:lang w:val="en-US" w:eastAsia="zh-CN"/>
              </w:rPr>
            </w:pPr>
            <w:r>
              <w:rPr>
                <w:rFonts w:hint="eastAsia"/>
                <w:color w:val="auto"/>
                <w:szCs w:val="21"/>
                <w:lang w:val="en-US" w:eastAsia="zh-CN"/>
              </w:rPr>
              <w:t>79608.2</w:t>
            </w:r>
          </w:p>
        </w:tc>
        <w:tc>
          <w:tcPr>
            <w:tcW w:w="774" w:type="pct"/>
            <w:noWrap w:val="0"/>
            <w:vAlign w:val="center"/>
          </w:tcPr>
          <w:p w14:paraId="7A4BA253">
            <w:pPr>
              <w:jc w:val="center"/>
              <w:rPr>
                <w:rFonts w:hint="default" w:eastAsia="宋体"/>
                <w:color w:val="auto"/>
                <w:szCs w:val="21"/>
                <w:lang w:val="en-US" w:eastAsia="zh-CN"/>
              </w:rPr>
            </w:pPr>
            <w:r>
              <w:rPr>
                <w:rFonts w:hint="eastAsia"/>
                <w:color w:val="auto"/>
                <w:szCs w:val="21"/>
                <w:lang w:val="en-US" w:eastAsia="zh-CN"/>
              </w:rPr>
              <w:t>67329.7</w:t>
            </w:r>
          </w:p>
        </w:tc>
      </w:tr>
      <w:tr w14:paraId="0F93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vMerge w:val="continue"/>
            <w:noWrap w:val="0"/>
            <w:vAlign w:val="center"/>
          </w:tcPr>
          <w:p w14:paraId="4E8B6866">
            <w:pPr>
              <w:jc w:val="center"/>
              <w:rPr>
                <w:color w:val="auto"/>
                <w:szCs w:val="21"/>
              </w:rPr>
            </w:pPr>
          </w:p>
        </w:tc>
        <w:tc>
          <w:tcPr>
            <w:tcW w:w="558" w:type="pct"/>
            <w:noWrap w:val="0"/>
            <w:vAlign w:val="center"/>
          </w:tcPr>
          <w:p w14:paraId="651CF518">
            <w:pPr>
              <w:jc w:val="center"/>
              <w:rPr>
                <w:rFonts w:hint="default" w:eastAsia="宋体"/>
                <w:color w:val="auto"/>
                <w:szCs w:val="21"/>
                <w:lang w:val="en-US" w:eastAsia="zh-CN"/>
              </w:rPr>
            </w:pPr>
            <w:r>
              <w:rPr>
                <w:rFonts w:hint="eastAsia"/>
                <w:color w:val="auto"/>
                <w:szCs w:val="21"/>
                <w:lang w:val="en-US" w:eastAsia="zh-CN"/>
              </w:rPr>
              <w:t>3650</w:t>
            </w:r>
          </w:p>
        </w:tc>
        <w:tc>
          <w:tcPr>
            <w:tcW w:w="673" w:type="pct"/>
            <w:noWrap w:val="0"/>
            <w:vAlign w:val="center"/>
          </w:tcPr>
          <w:p w14:paraId="35739770">
            <w:pPr>
              <w:jc w:val="center"/>
              <w:rPr>
                <w:rFonts w:hint="default" w:eastAsia="宋体"/>
                <w:color w:val="auto"/>
                <w:szCs w:val="21"/>
                <w:lang w:val="en-US" w:eastAsia="zh-CN"/>
              </w:rPr>
            </w:pPr>
            <w:r>
              <w:rPr>
                <w:rFonts w:hint="eastAsia"/>
                <w:color w:val="auto"/>
                <w:szCs w:val="21"/>
                <w:lang w:val="en-US" w:eastAsia="zh-CN"/>
              </w:rPr>
              <w:t>93.0</w:t>
            </w:r>
          </w:p>
        </w:tc>
        <w:tc>
          <w:tcPr>
            <w:tcW w:w="919" w:type="pct"/>
            <w:noWrap w:val="0"/>
            <w:vAlign w:val="center"/>
          </w:tcPr>
          <w:p w14:paraId="1B964825">
            <w:pPr>
              <w:jc w:val="center"/>
              <w:rPr>
                <w:rFonts w:hint="default" w:eastAsia="宋体"/>
                <w:color w:val="auto"/>
                <w:szCs w:val="21"/>
                <w:lang w:val="en-US" w:eastAsia="zh-CN"/>
              </w:rPr>
            </w:pPr>
            <w:r>
              <w:rPr>
                <w:rFonts w:hint="eastAsia"/>
                <w:color w:val="auto"/>
                <w:szCs w:val="21"/>
                <w:lang w:val="en-US" w:eastAsia="zh-CN"/>
              </w:rPr>
              <w:t>741.05</w:t>
            </w:r>
          </w:p>
        </w:tc>
        <w:tc>
          <w:tcPr>
            <w:tcW w:w="859" w:type="pct"/>
            <w:noWrap w:val="0"/>
            <w:vAlign w:val="center"/>
          </w:tcPr>
          <w:p w14:paraId="4E13E2EA">
            <w:pPr>
              <w:jc w:val="center"/>
              <w:rPr>
                <w:rFonts w:hint="default" w:eastAsia="宋体"/>
                <w:color w:val="auto"/>
                <w:szCs w:val="21"/>
                <w:lang w:val="en-US" w:eastAsia="zh-CN"/>
              </w:rPr>
            </w:pPr>
            <w:r>
              <w:rPr>
                <w:rFonts w:hint="eastAsia"/>
                <w:color w:val="auto"/>
                <w:szCs w:val="21"/>
                <w:lang w:val="en-US" w:eastAsia="zh-CN"/>
              </w:rPr>
              <w:t>788.05</w:t>
            </w:r>
          </w:p>
        </w:tc>
        <w:tc>
          <w:tcPr>
            <w:tcW w:w="776" w:type="pct"/>
            <w:noWrap w:val="0"/>
            <w:vAlign w:val="center"/>
          </w:tcPr>
          <w:p w14:paraId="4F172050">
            <w:pPr>
              <w:jc w:val="center"/>
              <w:rPr>
                <w:rFonts w:hint="default" w:eastAsia="宋体"/>
                <w:color w:val="auto"/>
                <w:szCs w:val="21"/>
                <w:lang w:val="en-US" w:eastAsia="zh-CN"/>
              </w:rPr>
            </w:pPr>
            <w:r>
              <w:rPr>
                <w:rFonts w:hint="eastAsia"/>
                <w:color w:val="auto"/>
                <w:szCs w:val="21"/>
                <w:lang w:val="en-US" w:eastAsia="zh-CN"/>
              </w:rPr>
              <w:t>254543.3</w:t>
            </w:r>
          </w:p>
        </w:tc>
        <w:tc>
          <w:tcPr>
            <w:tcW w:w="774" w:type="pct"/>
            <w:noWrap w:val="0"/>
            <w:vAlign w:val="center"/>
          </w:tcPr>
          <w:p w14:paraId="7E8572A7">
            <w:pPr>
              <w:jc w:val="center"/>
              <w:rPr>
                <w:rFonts w:hint="default" w:eastAsia="宋体"/>
                <w:color w:val="auto"/>
                <w:szCs w:val="21"/>
                <w:lang w:val="en-US" w:eastAsia="zh-CN"/>
              </w:rPr>
            </w:pPr>
            <w:r>
              <w:rPr>
                <w:rFonts w:hint="eastAsia"/>
                <w:color w:val="auto"/>
                <w:szCs w:val="21"/>
                <w:lang w:val="en-US" w:eastAsia="zh-CN"/>
              </w:rPr>
              <w:t>209629.1</w:t>
            </w:r>
          </w:p>
        </w:tc>
      </w:tr>
    </w:tbl>
    <w:p w14:paraId="5237B620">
      <w:pPr>
        <w:pStyle w:val="33"/>
        <w:bidi w:val="0"/>
        <w:rPr>
          <w:color w:val="auto"/>
        </w:rPr>
      </w:pPr>
      <w:r>
        <w:rPr>
          <w:rFonts w:hint="eastAsia"/>
          <w:color w:val="auto"/>
        </w:rPr>
        <w:t>从图表中可以看出，在假设的非正常状况下，在第100d时，石油类浓度最大为</w:t>
      </w:r>
      <w:r>
        <w:rPr>
          <w:rFonts w:hint="eastAsia"/>
          <w:color w:val="auto"/>
          <w:lang w:val="en-US" w:eastAsia="zh-CN"/>
        </w:rPr>
        <w:t>3394.6</w:t>
      </w:r>
      <w:r>
        <w:rPr>
          <w:rFonts w:hint="eastAsia"/>
          <w:color w:val="auto"/>
        </w:rPr>
        <w:t>mg/L，此时污染晕最大迁移距离为</w:t>
      </w:r>
      <w:r>
        <w:rPr>
          <w:rFonts w:hint="eastAsia"/>
          <w:color w:val="auto"/>
          <w:lang w:val="en-US" w:eastAsia="zh-CN"/>
        </w:rPr>
        <w:t>106.7</w:t>
      </w:r>
      <w:r>
        <w:rPr>
          <w:rFonts w:hint="eastAsia"/>
          <w:color w:val="auto"/>
        </w:rPr>
        <w:t>m，最大超标距离</w:t>
      </w:r>
      <w:r>
        <w:rPr>
          <w:rFonts w:hint="eastAsia"/>
          <w:color w:val="auto"/>
          <w:lang w:val="en-US" w:eastAsia="zh-CN"/>
        </w:rPr>
        <w:t>100.7</w:t>
      </w:r>
      <w:r>
        <w:rPr>
          <w:rFonts w:hint="eastAsia"/>
          <w:color w:val="auto"/>
        </w:rPr>
        <w:t>m；第</w:t>
      </w:r>
      <w:r>
        <w:rPr>
          <w:rFonts w:hint="eastAsia"/>
          <w:color w:val="auto"/>
          <w:lang w:val="en-US" w:eastAsia="zh-CN"/>
        </w:rPr>
        <w:t>5</w:t>
      </w:r>
      <w:r>
        <w:rPr>
          <w:rFonts w:hint="eastAsia"/>
          <w:color w:val="auto"/>
        </w:rPr>
        <w:t>00d时，石油类浓度最大为</w:t>
      </w:r>
      <w:r>
        <w:rPr>
          <w:rFonts w:hint="eastAsia"/>
          <w:color w:val="auto"/>
          <w:lang w:val="en-US" w:eastAsia="zh-CN"/>
        </w:rPr>
        <w:t>678.9</w:t>
      </w:r>
      <w:r>
        <w:rPr>
          <w:rFonts w:hint="eastAsia"/>
          <w:color w:val="auto"/>
        </w:rPr>
        <w:t>mg/L，此时污染晕最大迁移距离为</w:t>
      </w:r>
      <w:r>
        <w:rPr>
          <w:rFonts w:hint="eastAsia"/>
          <w:color w:val="auto"/>
          <w:lang w:val="en-US" w:eastAsia="zh-CN"/>
        </w:rPr>
        <w:t>245.5</w:t>
      </w:r>
      <w:r>
        <w:rPr>
          <w:rFonts w:hint="eastAsia"/>
          <w:color w:val="auto"/>
        </w:rPr>
        <w:t>m，最大超标距离</w:t>
      </w:r>
      <w:r>
        <w:rPr>
          <w:rFonts w:hint="eastAsia"/>
          <w:color w:val="auto"/>
          <w:lang w:val="en-US" w:eastAsia="zh-CN"/>
        </w:rPr>
        <w:t>230.5</w:t>
      </w:r>
      <w:r>
        <w:rPr>
          <w:rFonts w:hint="eastAsia"/>
          <w:color w:val="auto"/>
        </w:rPr>
        <w:t>m；第1000d时，石油类浓度最大为</w:t>
      </w:r>
      <w:r>
        <w:rPr>
          <w:rFonts w:hint="eastAsia"/>
          <w:color w:val="auto"/>
          <w:lang w:val="en-US" w:eastAsia="zh-CN"/>
        </w:rPr>
        <w:t>339.4</w:t>
      </w:r>
      <w:r>
        <w:rPr>
          <w:rFonts w:hint="eastAsia"/>
          <w:color w:val="auto"/>
        </w:rPr>
        <w:t>mg/L，此时污染晕最大迁移距离为</w:t>
      </w:r>
      <w:r>
        <w:rPr>
          <w:rFonts w:hint="eastAsia"/>
          <w:color w:val="auto"/>
          <w:lang w:val="en-US" w:eastAsia="zh-CN"/>
        </w:rPr>
        <w:t>361</w:t>
      </w:r>
      <w:r>
        <w:rPr>
          <w:rFonts w:hint="eastAsia"/>
          <w:color w:val="auto"/>
        </w:rPr>
        <w:t>m，最大超标距离</w:t>
      </w:r>
      <w:r>
        <w:rPr>
          <w:rFonts w:hint="eastAsia"/>
          <w:color w:val="auto"/>
          <w:lang w:val="en-US" w:eastAsia="zh-CN"/>
        </w:rPr>
        <w:t>338</w:t>
      </w:r>
      <w:r>
        <w:rPr>
          <w:rFonts w:hint="eastAsia"/>
          <w:color w:val="auto"/>
        </w:rPr>
        <w:t>m；第</w:t>
      </w:r>
      <w:r>
        <w:rPr>
          <w:rFonts w:hint="eastAsia"/>
          <w:color w:val="auto"/>
          <w:lang w:val="en-US" w:eastAsia="zh-CN"/>
        </w:rPr>
        <w:t>3650</w:t>
      </w:r>
      <w:r>
        <w:rPr>
          <w:rFonts w:hint="eastAsia"/>
          <w:color w:val="auto"/>
        </w:rPr>
        <w:t>d时，石油类浓度最大为</w:t>
      </w:r>
      <w:r>
        <w:rPr>
          <w:rFonts w:hint="eastAsia"/>
          <w:color w:val="auto"/>
          <w:lang w:val="en-US" w:eastAsia="zh-CN"/>
        </w:rPr>
        <w:t>93</w:t>
      </w:r>
      <w:r>
        <w:rPr>
          <w:rFonts w:hint="eastAsia"/>
          <w:color w:val="auto"/>
        </w:rPr>
        <w:t>mg/L，此时污染晕最大迁移距离为</w:t>
      </w:r>
      <w:r>
        <w:rPr>
          <w:rFonts w:hint="eastAsia"/>
          <w:color w:val="auto"/>
          <w:lang w:val="en-US" w:eastAsia="zh-CN"/>
        </w:rPr>
        <w:t>788.05</w:t>
      </w:r>
      <w:r>
        <w:rPr>
          <w:rFonts w:hint="eastAsia"/>
          <w:color w:val="auto"/>
        </w:rPr>
        <w:t>m，最大超标距离</w:t>
      </w:r>
      <w:r>
        <w:rPr>
          <w:rFonts w:hint="eastAsia"/>
          <w:color w:val="auto"/>
          <w:lang w:val="en-US" w:eastAsia="zh-CN"/>
        </w:rPr>
        <w:t>741.05</w:t>
      </w:r>
      <w:r>
        <w:rPr>
          <w:rFonts w:hint="eastAsia"/>
          <w:color w:val="auto"/>
        </w:rPr>
        <w:t>m。</w:t>
      </w:r>
    </w:p>
    <w:tbl>
      <w:tblPr>
        <w:tblStyle w:val="28"/>
        <w:tblW w:w="4997"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4471"/>
        <w:gridCol w:w="4472"/>
      </w:tblGrid>
      <w:tr w14:paraId="6992E8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42" w:hRule="exact"/>
        </w:trPr>
        <w:tc>
          <w:tcPr>
            <w:tcW w:w="2385" w:type="pct"/>
            <w:tcBorders>
              <w:tl2br w:val="nil"/>
              <w:tr2bl w:val="nil"/>
            </w:tcBorders>
            <w:vAlign w:val="center"/>
          </w:tcPr>
          <w:p w14:paraId="5B002B0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385" w:type="pct"/>
            <w:tcBorders>
              <w:tl2br w:val="nil"/>
              <w:tr2bl w:val="nil"/>
            </w:tcBorders>
            <w:vAlign w:val="center"/>
          </w:tcPr>
          <w:p w14:paraId="676741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571972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385" w:type="pct"/>
            <w:tcBorders>
              <w:tl2br w:val="nil"/>
              <w:tr2bl w:val="nil"/>
            </w:tcBorders>
            <w:vAlign w:val="center"/>
          </w:tcPr>
          <w:p w14:paraId="1819427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油井套管破损石油类在潜水含水层运移100d</w:t>
            </w:r>
          </w:p>
        </w:tc>
        <w:tc>
          <w:tcPr>
            <w:tcW w:w="2385" w:type="pct"/>
            <w:tcBorders>
              <w:tl2br w:val="nil"/>
              <w:tr2bl w:val="nil"/>
            </w:tcBorders>
            <w:vAlign w:val="center"/>
          </w:tcPr>
          <w:p w14:paraId="021A57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油井套管破损石油类在潜水含水层运移500d</w:t>
            </w:r>
          </w:p>
        </w:tc>
      </w:tr>
      <w:tr w14:paraId="6648E1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42" w:hRule="exact"/>
        </w:trPr>
        <w:tc>
          <w:tcPr>
            <w:tcW w:w="2385" w:type="pct"/>
            <w:tcBorders>
              <w:tl2br w:val="nil"/>
              <w:tr2bl w:val="nil"/>
            </w:tcBorders>
            <w:vAlign w:val="center"/>
          </w:tcPr>
          <w:p w14:paraId="16A847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385" w:type="pct"/>
            <w:tcBorders>
              <w:tl2br w:val="nil"/>
              <w:tr2bl w:val="nil"/>
            </w:tcBorders>
            <w:vAlign w:val="center"/>
          </w:tcPr>
          <w:p w14:paraId="1333EA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27EE20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385" w:type="pct"/>
            <w:tcBorders>
              <w:tl2br w:val="nil"/>
              <w:tr2bl w:val="nil"/>
            </w:tcBorders>
            <w:vAlign w:val="center"/>
          </w:tcPr>
          <w:p w14:paraId="045868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油井套管破损石油类在潜水含水层运移1000d</w:t>
            </w:r>
          </w:p>
        </w:tc>
        <w:tc>
          <w:tcPr>
            <w:tcW w:w="2385" w:type="pct"/>
            <w:tcBorders>
              <w:tl2br w:val="nil"/>
              <w:tr2bl w:val="nil"/>
            </w:tcBorders>
            <w:vAlign w:val="center"/>
          </w:tcPr>
          <w:p w14:paraId="761EEE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油井套管破损石油类在潜水含水层运移3650d</w:t>
            </w:r>
          </w:p>
        </w:tc>
      </w:tr>
      <w:tr w14:paraId="4A6164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770" w:type="pct"/>
            <w:gridSpan w:val="2"/>
            <w:tcBorders>
              <w:tl2br w:val="nil"/>
              <w:tr2bl w:val="nil"/>
            </w:tcBorders>
            <w:vAlign w:val="center"/>
          </w:tcPr>
          <w:p w14:paraId="05A8A3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图5.2-</w:t>
            </w:r>
            <w:r>
              <w:rPr>
                <w:rFonts w:hint="eastAsia" w:ascii="Times New Roman" w:hAnsi="Times New Roman"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油井套管破损</w:t>
            </w:r>
            <w:r>
              <w:rPr>
                <w:rFonts w:hint="default" w:ascii="Times New Roman" w:hAnsi="Times New Roman" w:eastAsia="宋体" w:cs="Times New Roman"/>
                <w:b/>
                <w:bCs/>
                <w:color w:val="auto"/>
                <w:sz w:val="21"/>
                <w:szCs w:val="21"/>
              </w:rPr>
              <w:t>石油类在含水层中的运移情况图</w:t>
            </w:r>
          </w:p>
        </w:tc>
      </w:tr>
    </w:tbl>
    <w:p w14:paraId="20EC1A82">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采油废水中石油类污染物在土壤中的迁移规律研究》（岳战林等，009），土壤中原油基本上不随土壤水上下移动，毛细管作用也不活跃。石油对土壤的污染仅限于20cm表层，只有极少量的落地油最多可下渗到20cm。本</w:t>
      </w:r>
      <w:r>
        <w:rPr>
          <w:rFonts w:hint="eastAsia" w:ascii="Times New Roman" w:hAnsi="Times New Roman" w:cs="Times New Roman"/>
          <w:color w:val="auto"/>
          <w:sz w:val="24"/>
          <w:szCs w:val="24"/>
          <w:lang w:val="en-US" w:eastAsia="zh-CN"/>
        </w:rPr>
        <w:t>工程</w:t>
      </w:r>
      <w:r>
        <w:rPr>
          <w:rFonts w:hint="default" w:ascii="Times New Roman" w:hAnsi="Times New Roman" w:cs="Times New Roman"/>
          <w:color w:val="auto"/>
          <w:sz w:val="24"/>
          <w:szCs w:val="24"/>
        </w:rPr>
        <w:t>区域浅层地下水深度在10m以下，泄漏的原油进入地下水的可能性很小。当发生泄漏事故后，在采取及时堵漏等风险应急措施的情况下，泄漏的原油虽然可能会对潜水含水层产生一定的影响，但受承压水隔水顶板的保护作用，基本不会对承压水含水层产生影响。</w:t>
      </w:r>
    </w:p>
    <w:p w14:paraId="41D461D4">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要求建设单位定期对设备进行检修，将事故发生的概率降至最低，发生泄漏后做到及时发现、及时处理，彻底清除泄漏油品及被污染的土壤。</w:t>
      </w:r>
    </w:p>
    <w:p w14:paraId="541A6581">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综上，在发生泄漏后采取相应的措施后不会对地下水环境产生大的影响。</w:t>
      </w:r>
    </w:p>
    <w:p w14:paraId="246B6306">
      <w:pPr>
        <w:pStyle w:val="5"/>
        <w:bidi w:val="0"/>
        <w:rPr>
          <w:rFonts w:hint="default"/>
          <w:color w:val="auto"/>
          <w:lang w:val="en-US" w:eastAsia="zh-CN"/>
        </w:rPr>
      </w:pPr>
      <w:r>
        <w:rPr>
          <w:rFonts w:hint="eastAsia"/>
          <w:color w:val="auto"/>
          <w:lang w:val="en-US" w:eastAsia="zh-CN"/>
        </w:rPr>
        <w:t>5.2.4运营期声环境影响预测与评价</w:t>
      </w:r>
    </w:p>
    <w:p w14:paraId="6517723D">
      <w:pPr>
        <w:pStyle w:val="11"/>
        <w:bidi w:val="0"/>
        <w:rPr>
          <w:rFonts w:ascii="Times New Roman" w:hAnsi="Times New Roman" w:eastAsia="宋体"/>
          <w:color w:val="auto"/>
        </w:rPr>
      </w:pPr>
      <w:r>
        <w:rPr>
          <w:color w:val="auto"/>
        </w:rPr>
        <w:t>本</w:t>
      </w:r>
      <w:r>
        <w:rPr>
          <w:rFonts w:hint="eastAsia"/>
          <w:color w:val="auto"/>
          <w:lang w:val="en-US" w:eastAsia="zh-CN"/>
        </w:rPr>
        <w:t>工程</w:t>
      </w:r>
      <w:r>
        <w:rPr>
          <w:color w:val="auto"/>
        </w:rPr>
        <w:t>地面工程主要为井场、</w:t>
      </w:r>
      <w:r>
        <w:rPr>
          <w:rFonts w:hint="eastAsia"/>
          <w:color w:val="auto"/>
          <w:lang w:val="en-US" w:eastAsia="zh-CN"/>
        </w:rPr>
        <w:t>集油</w:t>
      </w:r>
      <w:r>
        <w:rPr>
          <w:color w:val="auto"/>
        </w:rPr>
        <w:t>管线，</w:t>
      </w:r>
      <w:r>
        <w:rPr>
          <w:rFonts w:hint="eastAsia"/>
          <w:color w:val="auto"/>
          <w:lang w:eastAsia="zh-CN"/>
        </w:rPr>
        <w:t>运营</w:t>
      </w:r>
      <w:r>
        <w:rPr>
          <w:color w:val="auto"/>
        </w:rPr>
        <w:t>期噪声主要来自生产井场运行时产生的噪声。</w:t>
      </w:r>
    </w:p>
    <w:p w14:paraId="53FEC29E">
      <w:pPr>
        <w:pStyle w:val="6"/>
        <w:bidi w:val="0"/>
        <w:rPr>
          <w:rFonts w:hint="default"/>
          <w:color w:val="auto"/>
          <w:lang w:val="en-US" w:eastAsia="zh-CN"/>
        </w:rPr>
      </w:pPr>
      <w:r>
        <w:rPr>
          <w:rFonts w:hint="eastAsia"/>
          <w:color w:val="auto"/>
          <w:lang w:val="en-US" w:eastAsia="zh-CN"/>
        </w:rPr>
        <w:t>5.2.4.1预测方案</w:t>
      </w:r>
    </w:p>
    <w:p w14:paraId="15010A99">
      <w:pPr>
        <w:pStyle w:val="11"/>
        <w:bidi w:val="0"/>
        <w:rPr>
          <w:rFonts w:ascii="Times New Roman" w:hAnsi="Times New Roman" w:eastAsia="宋体"/>
          <w:color w:val="auto"/>
        </w:rPr>
      </w:pPr>
      <w:r>
        <w:rPr>
          <w:color w:val="auto"/>
        </w:rPr>
        <w:t>本次评价选取正常</w:t>
      </w:r>
      <w:r>
        <w:rPr>
          <w:rFonts w:hint="eastAsia"/>
          <w:color w:val="auto"/>
          <w:lang w:eastAsia="zh-CN"/>
        </w:rPr>
        <w:t>运营</w:t>
      </w:r>
      <w:r>
        <w:rPr>
          <w:color w:val="auto"/>
        </w:rPr>
        <w:t>工况下</w:t>
      </w:r>
      <w:r>
        <w:rPr>
          <w:rFonts w:hint="eastAsia"/>
          <w:color w:val="auto"/>
          <w:lang w:eastAsia="zh-CN"/>
        </w:rPr>
        <w:t>，具</w:t>
      </w:r>
      <w:r>
        <w:rPr>
          <w:color w:val="auto"/>
        </w:rPr>
        <w:t>有代表性的井场进行厂界噪声预测，预测以</w:t>
      </w:r>
      <w:r>
        <w:rPr>
          <w:rFonts w:hint="eastAsia"/>
          <w:color w:val="auto"/>
          <w:lang w:val="en-US" w:eastAsia="zh-CN"/>
        </w:rPr>
        <w:t>井场</w:t>
      </w:r>
      <w:r>
        <w:rPr>
          <w:color w:val="auto"/>
        </w:rPr>
        <w:t>占地边界为预测厂界，给出厂界噪声排放值。</w:t>
      </w:r>
    </w:p>
    <w:p w14:paraId="6B967F49">
      <w:pPr>
        <w:pStyle w:val="6"/>
        <w:bidi w:val="0"/>
        <w:rPr>
          <w:rFonts w:hint="default"/>
          <w:color w:val="auto"/>
          <w:lang w:val="en-US" w:eastAsia="zh-CN"/>
        </w:rPr>
      </w:pPr>
      <w:r>
        <w:rPr>
          <w:rFonts w:hint="eastAsia"/>
          <w:color w:val="auto"/>
          <w:lang w:val="en-US" w:eastAsia="zh-CN"/>
        </w:rPr>
        <w:t>5.2.4.2预测条件及模式</w:t>
      </w:r>
    </w:p>
    <w:p w14:paraId="0B69E903">
      <w:pPr>
        <w:pStyle w:val="11"/>
        <w:bidi w:val="0"/>
        <w:rPr>
          <w:rFonts w:ascii="Times New Roman" w:hAnsi="Times New Roman" w:eastAsia="宋体"/>
          <w:color w:val="auto"/>
        </w:rPr>
      </w:pPr>
      <w:r>
        <w:rPr>
          <w:rFonts w:ascii="Times New Roman" w:hAnsi="Times New Roman" w:eastAsia="宋体"/>
          <w:color w:val="auto"/>
        </w:rPr>
        <w:t>（1）预测条件假设</w:t>
      </w:r>
    </w:p>
    <w:p w14:paraId="78A2C3E8">
      <w:pPr>
        <w:pStyle w:val="11"/>
        <w:bidi w:val="0"/>
        <w:rPr>
          <w:rFonts w:ascii="Times New Roman" w:hAnsi="Times New Roman" w:eastAsia="宋体"/>
          <w:color w:val="auto"/>
        </w:rPr>
      </w:pPr>
      <w:r>
        <w:rPr>
          <w:rFonts w:ascii="Times New Roman" w:hAnsi="Times New Roman" w:eastAsia="宋体"/>
          <w:color w:val="auto"/>
        </w:rPr>
        <w:t>①所有产噪设备均在正常工况条件下</w:t>
      </w:r>
      <w:r>
        <w:rPr>
          <w:rFonts w:hint="eastAsia" w:ascii="Times New Roman" w:hAnsi="Times New Roman" w:eastAsia="宋体"/>
          <w:color w:val="auto"/>
          <w:lang w:val="en-US" w:eastAsia="zh-CN"/>
        </w:rPr>
        <w:t>连续</w:t>
      </w:r>
      <w:r>
        <w:rPr>
          <w:rFonts w:ascii="Times New Roman" w:hAnsi="Times New Roman" w:eastAsia="宋体"/>
          <w:color w:val="auto"/>
        </w:rPr>
        <w:t>运行；</w:t>
      </w:r>
    </w:p>
    <w:p w14:paraId="0332618A">
      <w:pPr>
        <w:pStyle w:val="11"/>
        <w:bidi w:val="0"/>
        <w:rPr>
          <w:rFonts w:ascii="Times New Roman" w:hAnsi="Times New Roman" w:eastAsia="宋体"/>
          <w:color w:val="auto"/>
        </w:rPr>
      </w:pPr>
      <w:r>
        <w:rPr>
          <w:rFonts w:ascii="Times New Roman" w:hAnsi="Times New Roman" w:eastAsia="宋体"/>
          <w:color w:val="auto"/>
        </w:rPr>
        <w:t>②</w:t>
      </w:r>
      <w:r>
        <w:rPr>
          <w:rFonts w:hint="eastAsia" w:ascii="Times New Roman" w:hAnsi="Times New Roman" w:eastAsia="宋体"/>
          <w:color w:val="auto"/>
          <w:lang w:val="en-US" w:eastAsia="zh-CN"/>
        </w:rPr>
        <w:t>本次预测的代表性井场的新增产噪设备均位于室外，按室外噪声源的衰减模型，</w:t>
      </w:r>
      <w:r>
        <w:rPr>
          <w:rFonts w:ascii="Times New Roman" w:hAnsi="Times New Roman" w:eastAsia="宋体"/>
          <w:color w:val="auto"/>
        </w:rPr>
        <w:t>考虑声源至预测点的距离衰减，忽略传播中建筑物的阻挡、地面反射以及空气吸收、雨、雪、温度等影响；</w:t>
      </w:r>
    </w:p>
    <w:p w14:paraId="4CF00170">
      <w:pPr>
        <w:pStyle w:val="11"/>
        <w:bidi w:val="0"/>
        <w:rPr>
          <w:rFonts w:ascii="Times New Roman" w:hAnsi="Times New Roman" w:eastAsia="宋体"/>
          <w:color w:val="auto"/>
        </w:rPr>
      </w:pPr>
      <w:r>
        <w:rPr>
          <w:rFonts w:ascii="Times New Roman" w:hAnsi="Times New Roman" w:eastAsia="宋体"/>
          <w:color w:val="auto"/>
        </w:rPr>
        <w:t>（2）预测模式</w:t>
      </w:r>
    </w:p>
    <w:p w14:paraId="23179B06">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①室外贡献值（点声源半自由场）</w:t>
      </w:r>
    </w:p>
    <w:p w14:paraId="2DD465AA">
      <w:pPr>
        <w:pStyle w:val="11"/>
        <w:bidi w:val="0"/>
        <w:jc w:val="center"/>
        <w:rPr>
          <w:rFonts w:ascii="Times New Roman" w:hAnsi="Times New Roman" w:eastAsia="宋体"/>
          <w:color w:val="auto"/>
        </w:rPr>
      </w:pPr>
      <w:r>
        <w:rPr>
          <w:rFonts w:hint="default" w:ascii="Times New Roman" w:hAnsi="Times New Roman" w:eastAsia="宋体"/>
          <w:color w:val="auto"/>
        </w:rPr>
        <w:object>
          <v:shape id="_x0000_i1036" o:spt="75" type="#_x0000_t75" style="height:18pt;width:135pt;" o:ole="t" filled="f" o:preferrelative="t" stroked="f" coordsize="21600,21600">
            <v:path/>
            <v:fill on="f" focussize="0,0"/>
            <v:stroke on="f"/>
            <v:imagedata r:id="rId36" o:title=""/>
            <o:lock v:ext="edit" aspectratio="t"/>
            <w10:wrap type="none"/>
            <w10:anchorlock/>
          </v:shape>
          <o:OLEObject Type="Embed" ProgID="Equation.KSEE3" ShapeID="_x0000_i1036" DrawAspect="Content" ObjectID="_1468075736" r:id="rId35">
            <o:LockedField>false</o:LockedField>
          </o:OLEObject>
        </w:object>
      </w:r>
    </w:p>
    <w:p w14:paraId="76F8DCE9">
      <w:pPr>
        <w:pStyle w:val="11"/>
        <w:bidi w:val="0"/>
        <w:rPr>
          <w:rFonts w:ascii="Times New Roman" w:hAnsi="Times New Roman" w:eastAsia="宋体"/>
          <w:color w:val="auto"/>
        </w:rPr>
      </w:pPr>
      <w:bookmarkStart w:id="258" w:name="_Hlk91273773"/>
      <w:r>
        <w:rPr>
          <w:rFonts w:ascii="Times New Roman" w:hAnsi="Times New Roman" w:eastAsia="宋体"/>
          <w:color w:val="auto"/>
        </w:rPr>
        <w:t>式中：</w:t>
      </w:r>
      <w:bookmarkStart w:id="259" w:name="_Hlk91273316"/>
      <w:r>
        <w:rPr>
          <w:rFonts w:ascii="Times New Roman" w:hAnsi="Times New Roman" w:eastAsia="宋体"/>
          <w:color w:val="auto"/>
        </w:rPr>
        <w:t>L</w:t>
      </w:r>
      <w:r>
        <w:rPr>
          <w:rFonts w:hint="eastAsia" w:ascii="Times New Roman" w:hAnsi="Times New Roman" w:eastAsia="宋体"/>
          <w:color w:val="auto"/>
          <w:vertAlign w:val="subscript"/>
          <w:lang w:val="en-US" w:eastAsia="zh-CN"/>
        </w:rPr>
        <w:t>A</w:t>
      </w:r>
      <w:r>
        <w:rPr>
          <w:rFonts w:ascii="Times New Roman" w:hAnsi="Times New Roman" w:eastAsia="宋体"/>
          <w:color w:val="auto"/>
        </w:rPr>
        <w:t>（r）</w:t>
      </w:r>
      <w:bookmarkEnd w:id="259"/>
      <w:r>
        <w:rPr>
          <w:rFonts w:ascii="Times New Roman" w:hAnsi="Times New Roman" w:eastAsia="宋体"/>
          <w:color w:val="auto"/>
        </w:rPr>
        <w:t>—噪声源在预测点的声压级，dB(A)；</w:t>
      </w:r>
    </w:p>
    <w:p w14:paraId="7E4D4524">
      <w:pPr>
        <w:pStyle w:val="11"/>
        <w:bidi w:val="0"/>
        <w:rPr>
          <w:rFonts w:ascii="Times New Roman" w:hAnsi="Times New Roman" w:eastAsia="宋体"/>
          <w:color w:val="auto"/>
        </w:rPr>
      </w:pPr>
      <w:r>
        <w:rPr>
          <w:rFonts w:ascii="Times New Roman" w:hAnsi="Times New Roman" w:eastAsia="宋体"/>
          <w:color w:val="auto"/>
        </w:rPr>
        <w:t>L</w:t>
      </w:r>
      <w:r>
        <w:rPr>
          <w:rFonts w:hint="eastAsia" w:ascii="Times New Roman" w:hAnsi="Times New Roman" w:eastAsia="宋体"/>
          <w:color w:val="auto"/>
          <w:vertAlign w:val="subscript"/>
          <w:lang w:val="en-US" w:eastAsia="zh-CN"/>
        </w:rPr>
        <w:t>AW</w:t>
      </w:r>
      <w:r>
        <w:rPr>
          <w:rFonts w:ascii="Times New Roman" w:hAnsi="Times New Roman" w:eastAsia="宋体"/>
          <w:color w:val="auto"/>
        </w:rPr>
        <w:t>—</w:t>
      </w:r>
      <w:r>
        <w:rPr>
          <w:rFonts w:hint="eastAsia" w:ascii="Times New Roman" w:hAnsi="Times New Roman" w:eastAsia="宋体"/>
          <w:color w:val="auto"/>
        </w:rPr>
        <w:t>点声源A计权声功率级</w:t>
      </w:r>
      <w:r>
        <w:rPr>
          <w:rFonts w:ascii="Times New Roman" w:hAnsi="Times New Roman" w:eastAsia="宋体"/>
          <w:color w:val="auto"/>
        </w:rPr>
        <w:t>，dB(A)；</w:t>
      </w:r>
    </w:p>
    <w:p w14:paraId="4E54AFF9">
      <w:pPr>
        <w:pStyle w:val="11"/>
        <w:bidi w:val="0"/>
        <w:rPr>
          <w:rFonts w:ascii="Times New Roman" w:hAnsi="Times New Roman" w:eastAsia="宋体"/>
          <w:color w:val="auto"/>
        </w:rPr>
      </w:pPr>
      <w:r>
        <w:rPr>
          <w:rFonts w:ascii="Times New Roman" w:hAnsi="Times New Roman" w:eastAsia="宋体"/>
          <w:color w:val="auto"/>
        </w:rPr>
        <w:t>r—声源中心至预测点的距离，m；</w:t>
      </w:r>
    </w:p>
    <w:bookmarkEnd w:id="258"/>
    <w:p w14:paraId="7EB58F74">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②预测值计算</w:t>
      </w:r>
    </w:p>
    <w:p w14:paraId="3415236E">
      <w:pPr>
        <w:pStyle w:val="11"/>
        <w:bidi w:val="0"/>
        <w:jc w:val="center"/>
        <w:rPr>
          <w:rFonts w:hint="default" w:ascii="Times New Roman" w:hAnsi="Times New Roman" w:eastAsia="宋体"/>
          <w:color w:val="auto"/>
          <w:lang w:val="en-US" w:eastAsia="zh-CN"/>
        </w:rPr>
      </w:pPr>
      <w:r>
        <w:rPr>
          <w:rFonts w:hint="default" w:ascii="Times New Roman" w:hAnsi="Times New Roman" w:eastAsia="宋体"/>
          <w:color w:val="auto"/>
        </w:rPr>
        <w:object>
          <v:shape id="_x0000_i1037" o:spt="75" type="#_x0000_t75" style="height:21pt;width:136pt;" o:ole="t" filled="f" o:preferrelative="t" stroked="f" coordsize="21600,21600">
            <v:path/>
            <v:fill on="f" focussize="0,0"/>
            <v:stroke on="f"/>
            <v:imagedata r:id="rId38" o:title=""/>
            <o:lock v:ext="edit" aspectratio="t"/>
            <w10:wrap type="none"/>
            <w10:anchorlock/>
          </v:shape>
          <o:OLEObject Type="Embed" ProgID="Equation.KSEE3" ShapeID="_x0000_i1037" DrawAspect="Content" ObjectID="_1468075737" r:id="rId37">
            <o:LockedField>false</o:LockedField>
          </o:OLEObject>
        </w:object>
      </w:r>
    </w:p>
    <w:p w14:paraId="23B52DDC">
      <w:pPr>
        <w:pStyle w:val="1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式中：L</w:t>
      </w:r>
      <w:r>
        <w:rPr>
          <w:rFonts w:hint="default" w:ascii="Times New Roman" w:hAnsi="Times New Roman" w:eastAsia="宋体"/>
          <w:color w:val="auto"/>
          <w:vertAlign w:val="subscript"/>
          <w:lang w:val="en-US" w:eastAsia="zh-CN"/>
        </w:rPr>
        <w:t>ep</w:t>
      </w:r>
      <w:r>
        <w:rPr>
          <w:rFonts w:hint="default" w:ascii="Times New Roman" w:hAnsi="Times New Roman" w:eastAsia="宋体"/>
          <w:color w:val="auto"/>
          <w:lang w:val="en-US" w:eastAsia="zh-CN"/>
        </w:rPr>
        <w:t>：预测点的噪声预测值，dB；</w:t>
      </w:r>
    </w:p>
    <w:p w14:paraId="7FDA5CEA">
      <w:pPr>
        <w:pStyle w:val="1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L</w:t>
      </w:r>
      <w:r>
        <w:rPr>
          <w:rFonts w:hint="default" w:ascii="Times New Roman" w:hAnsi="Times New Roman" w:eastAsia="宋体"/>
          <w:color w:val="auto"/>
          <w:vertAlign w:val="subscript"/>
          <w:lang w:val="en-US" w:eastAsia="zh-CN"/>
        </w:rPr>
        <w:t>epg</w:t>
      </w:r>
      <w:r>
        <w:rPr>
          <w:rFonts w:hint="default" w:ascii="Times New Roman" w:hAnsi="Times New Roman" w:eastAsia="宋体"/>
          <w:color w:val="auto"/>
          <w:lang w:val="en-US" w:eastAsia="zh-CN"/>
        </w:rPr>
        <w:t>：建设项目预测点产生的噪声贡献值，dB；</w:t>
      </w:r>
    </w:p>
    <w:p w14:paraId="420E6580">
      <w:pPr>
        <w:pStyle w:val="1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L</w:t>
      </w:r>
      <w:r>
        <w:rPr>
          <w:rFonts w:hint="default" w:ascii="Times New Roman" w:hAnsi="Times New Roman" w:eastAsia="宋体"/>
          <w:color w:val="auto"/>
          <w:vertAlign w:val="subscript"/>
          <w:lang w:val="en-US" w:eastAsia="zh-CN"/>
        </w:rPr>
        <w:t>epb</w:t>
      </w:r>
      <w:r>
        <w:rPr>
          <w:rFonts w:hint="default" w:ascii="Times New Roman" w:hAnsi="Times New Roman" w:eastAsia="宋体"/>
          <w:color w:val="auto"/>
          <w:lang w:val="en-US" w:eastAsia="zh-CN"/>
        </w:rPr>
        <w:t>：预测点的背景噪声值，dB；</w:t>
      </w:r>
    </w:p>
    <w:p w14:paraId="12D85D8A">
      <w:pPr>
        <w:pStyle w:val="6"/>
        <w:bidi w:val="0"/>
        <w:rPr>
          <w:rFonts w:hint="default"/>
          <w:color w:val="auto"/>
          <w:lang w:val="en-US" w:eastAsia="zh-CN"/>
        </w:rPr>
      </w:pPr>
      <w:r>
        <w:rPr>
          <w:rFonts w:hint="eastAsia"/>
          <w:color w:val="auto"/>
          <w:lang w:val="en-US" w:eastAsia="zh-CN"/>
        </w:rPr>
        <w:t>5.2.4.3噪声源分析</w:t>
      </w:r>
    </w:p>
    <w:p w14:paraId="26AE78FB">
      <w:pPr>
        <w:pStyle w:val="11"/>
        <w:bidi w:val="0"/>
        <w:rPr>
          <w:rFonts w:ascii="Times New Roman" w:hAnsi="Times New Roman" w:eastAsia="宋体"/>
          <w:color w:val="auto"/>
          <w:lang w:eastAsia="zh"/>
        </w:rPr>
      </w:pPr>
      <w:r>
        <w:rPr>
          <w:rFonts w:hint="eastAsia" w:ascii="Times New Roman" w:hAnsi="Times New Roman" w:eastAsia="宋体"/>
          <w:color w:val="auto"/>
          <w:lang w:val="en-US" w:eastAsia="zh-CN"/>
        </w:rPr>
        <w:t>①</w:t>
      </w:r>
      <w:r>
        <w:rPr>
          <w:rFonts w:ascii="Times New Roman" w:hAnsi="Times New Roman" w:eastAsia="宋体"/>
          <w:color w:val="auto"/>
          <w:lang w:eastAsia="zh"/>
        </w:rPr>
        <w:t>井场采油作业噪声影响分析</w:t>
      </w:r>
    </w:p>
    <w:p w14:paraId="2D355410">
      <w:pPr>
        <w:pStyle w:val="11"/>
        <w:bidi w:val="0"/>
        <w:rPr>
          <w:rFonts w:ascii="Times New Roman" w:hAnsi="Times New Roman" w:eastAsia="宋体"/>
          <w:color w:val="auto"/>
        </w:rPr>
      </w:pPr>
      <w:r>
        <w:rPr>
          <w:rFonts w:ascii="Times New Roman" w:hAnsi="Times New Roman" w:eastAsia="宋体"/>
          <w:color w:val="auto"/>
        </w:rPr>
        <w:t>根据现场调查，本项目井场均采用标准化设计和施工工艺，抽油机和泵类等噪声设备型号与历年建设井场的设备型号基本一致，</w:t>
      </w:r>
      <w:r>
        <w:rPr>
          <w:rFonts w:hint="eastAsia" w:ascii="Times New Roman" w:hAnsi="Times New Roman" w:eastAsia="宋体"/>
          <w:color w:val="auto"/>
          <w:lang w:eastAsia="zh-CN"/>
        </w:rPr>
        <w:t>运营</w:t>
      </w:r>
      <w:r>
        <w:rPr>
          <w:rFonts w:ascii="Times New Roman" w:hAnsi="Times New Roman" w:eastAsia="宋体"/>
          <w:color w:val="auto"/>
        </w:rPr>
        <w:t>过程中所采取的降噪措施相同，类比数据，抽油机单台运行噪声约</w:t>
      </w:r>
      <w:r>
        <w:rPr>
          <w:rFonts w:hint="eastAsia" w:ascii="Times New Roman" w:hAnsi="Times New Roman" w:eastAsia="宋体"/>
          <w:color w:val="auto"/>
          <w:lang w:val="en-US" w:eastAsia="zh-CN"/>
        </w:rPr>
        <w:t>75</w:t>
      </w:r>
      <w:r>
        <w:rPr>
          <w:rFonts w:ascii="Times New Roman" w:hAnsi="Times New Roman" w:eastAsia="宋体"/>
          <w:color w:val="auto"/>
        </w:rPr>
        <w:t>dB（A）</w:t>
      </w:r>
      <w:r>
        <w:rPr>
          <w:rFonts w:hint="eastAsia" w:ascii="Times New Roman" w:hAnsi="Times New Roman" w:eastAsia="宋体"/>
          <w:color w:val="auto"/>
          <w:lang w:eastAsia="zh-CN"/>
        </w:rPr>
        <w:t>，</w:t>
      </w:r>
      <w:r>
        <w:rPr>
          <w:rFonts w:ascii="Times New Roman" w:hAnsi="Times New Roman" w:eastAsia="宋体"/>
          <w:color w:val="auto"/>
        </w:rPr>
        <w:t>根据《环境影响评价技术导则 声环境》（HJ2.4-2021）中</w:t>
      </w:r>
      <w:r>
        <w:rPr>
          <w:rFonts w:hint="eastAsia" w:ascii="宋体" w:hAnsi="宋体" w:eastAsia="宋体" w:cs="宋体"/>
          <w:color w:val="auto"/>
        </w:rPr>
        <w:t>“点声源的几何发散衰减”模</w:t>
      </w:r>
      <w:r>
        <w:rPr>
          <w:rFonts w:ascii="Times New Roman" w:hAnsi="Times New Roman" w:eastAsia="宋体"/>
          <w:color w:val="auto"/>
        </w:rPr>
        <w:t>式计算抽油机衰减分布结果见下表。</w:t>
      </w:r>
    </w:p>
    <w:p w14:paraId="4E43DB20">
      <w:pPr>
        <w:pStyle w:val="43"/>
        <w:bidi w:val="0"/>
        <w:rPr>
          <w:rFonts w:cs="Times New Roman"/>
          <w:color w:val="auto"/>
          <w:lang w:eastAsia="zh"/>
        </w:rPr>
      </w:pPr>
      <w:r>
        <w:rPr>
          <w:rFonts w:cs="Times New Roman"/>
          <w:color w:val="auto"/>
        </w:rPr>
        <w:t>表</w:t>
      </w:r>
      <w:r>
        <w:rPr>
          <w:rFonts w:hint="eastAsia" w:cs="Times New Roman"/>
          <w:color w:val="auto"/>
          <w:lang w:val="en-US" w:eastAsia="zh-CN"/>
        </w:rPr>
        <w:t>5.2-12</w:t>
      </w:r>
      <w:r>
        <w:rPr>
          <w:rFonts w:cs="Times New Roman"/>
          <w:color w:val="auto"/>
        </w:rPr>
        <w:t xml:space="preserve">  </w:t>
      </w:r>
      <w:r>
        <w:rPr>
          <w:rFonts w:cs="Times New Roman"/>
          <w:color w:val="auto"/>
          <w:lang w:eastAsia="zh"/>
        </w:rPr>
        <w:t>抽油机噪声衰减分布表</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258"/>
        <w:gridCol w:w="1081"/>
        <w:gridCol w:w="1081"/>
        <w:gridCol w:w="1081"/>
        <w:gridCol w:w="1081"/>
        <w:gridCol w:w="1081"/>
        <w:gridCol w:w="1081"/>
        <w:gridCol w:w="1100"/>
      </w:tblGrid>
      <w:tr w14:paraId="5300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cantSplit/>
          <w:trHeight w:val="369" w:hRule="atLeast"/>
        </w:trPr>
        <w:tc>
          <w:tcPr>
            <w:tcW w:w="71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C501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井场声源噪声级dB(A)</w:t>
            </w:r>
          </w:p>
        </w:tc>
        <w:tc>
          <w:tcPr>
            <w:tcW w:w="4288"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4E2E8C2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不同距离处声级dB(A)</w:t>
            </w:r>
          </w:p>
        </w:tc>
      </w:tr>
      <w:tr w14:paraId="5632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trPr>
        <w:tc>
          <w:tcPr>
            <w:tcW w:w="71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D25E7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3C1404C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5m</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09F9862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10m</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50B8A35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15m</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50D0392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20m</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5BC2FA0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30m</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0830344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40m</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E97167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50m</w:t>
            </w:r>
          </w:p>
        </w:tc>
      </w:tr>
      <w:tr w14:paraId="422E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trPr>
        <w:tc>
          <w:tcPr>
            <w:tcW w:w="71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6BB168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bidi="ar"/>
              </w:rPr>
              <w:t>75</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6D689C7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61</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1AEE4C7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55</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14:paraId="200F314A">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51.5</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14:paraId="17F81A6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49</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14:paraId="142E40EC">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45.5</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14:paraId="6E45076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43</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14:paraId="74A44CB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41</w:t>
            </w:r>
          </w:p>
        </w:tc>
      </w:tr>
    </w:tbl>
    <w:p w14:paraId="32048AD6">
      <w:pPr>
        <w:pStyle w:val="11"/>
        <w:bidi w:val="0"/>
        <w:rPr>
          <w:rFonts w:hint="eastAsia" w:ascii="Times New Roman" w:hAnsi="Times New Roman" w:eastAsia="宋体"/>
          <w:color w:val="auto"/>
          <w:lang w:eastAsia="zh-CN"/>
        </w:rPr>
      </w:pPr>
      <w:r>
        <w:rPr>
          <w:rFonts w:hint="eastAsia" w:ascii="Times New Roman" w:hAnsi="Times New Roman" w:eastAsia="宋体"/>
          <w:color w:val="auto"/>
          <w:lang w:eastAsia="zh-CN"/>
        </w:rPr>
        <w:t>由上表可知，抽油机噪声影响范围在</w:t>
      </w:r>
      <w:r>
        <w:rPr>
          <w:rFonts w:hint="eastAsia" w:ascii="Times New Roman" w:hAnsi="Times New Roman" w:eastAsia="宋体"/>
          <w:color w:val="auto"/>
          <w:lang w:val="en-US" w:eastAsia="zh-CN"/>
        </w:rPr>
        <w:t>20</w:t>
      </w:r>
      <w:r>
        <w:rPr>
          <w:rFonts w:hint="eastAsia" w:ascii="Times New Roman" w:hAnsi="Times New Roman" w:eastAsia="宋体"/>
          <w:color w:val="auto"/>
          <w:lang w:eastAsia="zh-CN"/>
        </w:rPr>
        <w:t>m范围，昼间在距抽油机</w:t>
      </w:r>
      <w:r>
        <w:rPr>
          <w:rFonts w:hint="eastAsia" w:ascii="Times New Roman" w:hAnsi="Times New Roman" w:eastAsia="宋体"/>
          <w:color w:val="auto"/>
          <w:lang w:val="en-US" w:eastAsia="zh-CN"/>
        </w:rPr>
        <w:t>10</w:t>
      </w:r>
      <w:r>
        <w:rPr>
          <w:rFonts w:hint="eastAsia" w:ascii="Times New Roman" w:hAnsi="Times New Roman" w:eastAsia="宋体"/>
          <w:color w:val="auto"/>
          <w:lang w:eastAsia="zh-CN"/>
        </w:rPr>
        <w:t>m外、夜间在距抽油机</w:t>
      </w:r>
      <w:r>
        <w:rPr>
          <w:rFonts w:hint="eastAsia" w:ascii="Times New Roman" w:hAnsi="Times New Roman" w:eastAsia="宋体"/>
          <w:color w:val="auto"/>
          <w:lang w:val="en-US" w:eastAsia="zh-CN"/>
        </w:rPr>
        <w:t>20</w:t>
      </w:r>
      <w:r>
        <w:rPr>
          <w:rFonts w:hint="eastAsia" w:ascii="Times New Roman" w:hAnsi="Times New Roman" w:eastAsia="宋体"/>
          <w:color w:val="auto"/>
          <w:lang w:eastAsia="zh-CN"/>
        </w:rPr>
        <w:t>m外，噪声可满足《工业企业厂界环境噪声排放标准》（GB12348-2008）中2类标准要求。根据现场调查，本次工程井场</w:t>
      </w:r>
      <w:r>
        <w:rPr>
          <w:rFonts w:hint="eastAsia" w:ascii="Times New Roman" w:hAnsi="Times New Roman" w:eastAsia="宋体"/>
          <w:color w:val="auto"/>
          <w:lang w:val="en-US" w:eastAsia="zh-CN"/>
        </w:rPr>
        <w:t>周边200</w:t>
      </w:r>
      <w:r>
        <w:rPr>
          <w:rFonts w:hint="eastAsia" w:ascii="Times New Roman" w:hAnsi="Times New Roman" w:eastAsia="宋体"/>
          <w:color w:val="auto"/>
          <w:lang w:eastAsia="zh-CN"/>
        </w:rPr>
        <w:t>m</w:t>
      </w:r>
      <w:r>
        <w:rPr>
          <w:rFonts w:hint="eastAsia" w:ascii="Times New Roman" w:hAnsi="Times New Roman" w:eastAsia="宋体"/>
          <w:color w:val="auto"/>
          <w:lang w:val="en-US" w:eastAsia="zh-CN"/>
        </w:rPr>
        <w:t>范围内无声环境敏感目标</w:t>
      </w:r>
      <w:r>
        <w:rPr>
          <w:rFonts w:hint="eastAsia" w:ascii="Times New Roman" w:hAnsi="Times New Roman" w:eastAsia="宋体"/>
          <w:color w:val="auto"/>
          <w:lang w:eastAsia="zh-CN"/>
        </w:rPr>
        <w:t>，评价认为，井场内抽油机噪声源对周围声环境影响小。</w:t>
      </w:r>
    </w:p>
    <w:p w14:paraId="110DE404">
      <w:pPr>
        <w:pStyle w:val="11"/>
        <w:bidi w:val="0"/>
        <w:rPr>
          <w:rFonts w:hint="eastAsia" w:ascii="Times New Roman" w:hAnsi="Times New Roman" w:eastAsia="宋体"/>
          <w:color w:val="auto"/>
          <w:lang w:eastAsia="zh"/>
        </w:rPr>
      </w:pPr>
      <w:r>
        <w:rPr>
          <w:rFonts w:hint="eastAsia" w:ascii="Times New Roman" w:hAnsi="Times New Roman" w:eastAsia="宋体"/>
          <w:color w:val="auto"/>
          <w:lang w:val="en-US" w:eastAsia="zh-CN"/>
        </w:rPr>
        <w:t>②</w:t>
      </w:r>
      <w:r>
        <w:rPr>
          <w:rFonts w:hint="eastAsia" w:ascii="Times New Roman" w:hAnsi="Times New Roman" w:eastAsia="宋体"/>
          <w:color w:val="auto"/>
          <w:lang w:eastAsia="zh"/>
        </w:rPr>
        <w:t>交通噪声</w:t>
      </w:r>
    </w:p>
    <w:p w14:paraId="4BA7DE13">
      <w:pPr>
        <w:pStyle w:val="11"/>
        <w:bidi w:val="0"/>
        <w:rPr>
          <w:rFonts w:hint="eastAsia" w:ascii="Times New Roman" w:hAnsi="Times New Roman" w:eastAsia="宋体"/>
          <w:color w:val="auto"/>
          <w:lang w:eastAsia="zh-CN"/>
        </w:rPr>
      </w:pPr>
      <w:r>
        <w:rPr>
          <w:rFonts w:hint="eastAsia" w:ascii="Times New Roman" w:hAnsi="Times New Roman" w:eastAsia="宋体"/>
          <w:color w:val="auto"/>
          <w:lang w:eastAsia="zh-CN"/>
        </w:rPr>
        <w:t>本工程交通噪声源主要为井场等进站道路的运输车辆及其他机动车辆。本次产建工程建成后，道路交通量略有增大，运输车辆及其他机动车辆的发动机、冷却系统、传动系统、鸣笛等部件均会产生噪声，对道路沿线声环境产生一定的影响。</w:t>
      </w:r>
    </w:p>
    <w:p w14:paraId="4522AEF5">
      <w:pPr>
        <w:pStyle w:val="11"/>
        <w:bidi w:val="0"/>
        <w:rPr>
          <w:rFonts w:hint="eastAsia" w:ascii="Times New Roman" w:hAnsi="Times New Roman" w:eastAsia="宋体"/>
          <w:color w:val="auto"/>
          <w:lang w:eastAsia="zh-CN"/>
        </w:rPr>
      </w:pPr>
      <w:r>
        <w:rPr>
          <w:rFonts w:hint="eastAsia" w:ascii="Times New Roman" w:hAnsi="Times New Roman" w:eastAsia="宋体"/>
          <w:color w:val="auto"/>
          <w:lang w:eastAsia="zh-CN"/>
        </w:rPr>
        <w:t>本次井场</w:t>
      </w:r>
      <w:r>
        <w:rPr>
          <w:rFonts w:hint="eastAsia" w:ascii="Times New Roman" w:hAnsi="Times New Roman" w:eastAsia="宋体"/>
          <w:color w:val="auto"/>
          <w:lang w:val="en-US" w:eastAsia="zh-CN"/>
        </w:rPr>
        <w:t>巡检</w:t>
      </w:r>
      <w:r>
        <w:rPr>
          <w:rFonts w:hint="eastAsia" w:ascii="Times New Roman" w:hAnsi="Times New Roman" w:eastAsia="宋体"/>
          <w:color w:val="auto"/>
          <w:lang w:eastAsia="zh-CN"/>
        </w:rPr>
        <w:t>道路标准等级较低，距离较短，车流量也相对较小，经现场调查，沿线道路两侧</w:t>
      </w:r>
      <w:r>
        <w:rPr>
          <w:rFonts w:hint="eastAsia" w:ascii="Times New Roman" w:hAnsi="Times New Roman" w:eastAsia="宋体"/>
          <w:color w:val="auto"/>
          <w:lang w:val="en-US" w:eastAsia="zh-CN"/>
        </w:rPr>
        <w:t>无声环境敏感目标</w:t>
      </w:r>
      <w:r>
        <w:rPr>
          <w:rFonts w:hint="eastAsia" w:ascii="Times New Roman" w:hAnsi="Times New Roman" w:eastAsia="宋体"/>
          <w:color w:val="auto"/>
          <w:lang w:eastAsia="zh-CN"/>
        </w:rPr>
        <w:t>。要求加强对车辆的管制，加强道路的维护和管理，对受损路面应及时修复，限制超速超重。在采取以上措施后，进站道路对沿线声环境影响较小</w:t>
      </w:r>
      <w:r>
        <w:rPr>
          <w:rFonts w:hint="eastAsia" w:ascii="Times New Roman" w:hAnsi="Times New Roman" w:eastAsia="宋体"/>
          <w:color w:val="auto"/>
          <w:lang w:eastAsia="zh"/>
        </w:rPr>
        <w:t>。</w:t>
      </w:r>
    </w:p>
    <w:p w14:paraId="3DB42874">
      <w:pPr>
        <w:pStyle w:val="6"/>
        <w:bidi w:val="0"/>
        <w:rPr>
          <w:rFonts w:hint="default"/>
          <w:color w:val="auto"/>
          <w:lang w:val="en-US" w:eastAsia="zh-CN"/>
        </w:rPr>
      </w:pPr>
      <w:r>
        <w:rPr>
          <w:rFonts w:hint="eastAsia"/>
          <w:color w:val="auto"/>
          <w:lang w:val="en-US" w:eastAsia="zh-CN"/>
        </w:rPr>
        <w:t>5.2.4.4预测结果与评价</w:t>
      </w:r>
    </w:p>
    <w:p w14:paraId="06FF11C2">
      <w:pPr>
        <w:pStyle w:val="33"/>
        <w:bidi w:val="0"/>
        <w:rPr>
          <w:rFonts w:hint="eastAsia"/>
          <w:color w:val="auto"/>
          <w:lang w:val="en-US" w:eastAsia="zh-CN"/>
        </w:rPr>
      </w:pPr>
      <w:r>
        <w:rPr>
          <w:rFonts w:hint="eastAsia"/>
          <w:color w:val="auto"/>
          <w:lang w:val="en-US" w:eastAsia="zh-CN"/>
        </w:rPr>
        <w:t>百79井场井场厂界噪声预测结果见</w:t>
      </w:r>
      <w:r>
        <w:rPr>
          <w:rFonts w:hint="eastAsia"/>
          <w:color w:val="auto"/>
          <w:lang w:val="en-US" w:eastAsia="zh-CN"/>
        </w:rPr>
        <w:fldChar w:fldCharType="begin"/>
      </w:r>
      <w:r>
        <w:rPr>
          <w:rFonts w:hint="eastAsia"/>
          <w:color w:val="auto"/>
          <w:lang w:val="en-US" w:eastAsia="zh-CN"/>
        </w:rPr>
        <w:instrText xml:space="preserve"> REF _Ref170297423 \h  \* MERGEFORMAT </w:instrText>
      </w:r>
      <w:r>
        <w:rPr>
          <w:rFonts w:hint="eastAsia"/>
          <w:color w:val="auto"/>
          <w:lang w:val="en-US" w:eastAsia="zh-CN"/>
        </w:rPr>
        <w:fldChar w:fldCharType="separate"/>
      </w:r>
      <w:r>
        <w:rPr>
          <w:rFonts w:hint="eastAsia"/>
          <w:color w:val="auto"/>
          <w:lang w:val="en-US" w:eastAsia="zh-CN"/>
        </w:rPr>
        <w:t>表5</w:t>
      </w:r>
      <w:r>
        <w:rPr>
          <w:rFonts w:hint="eastAsia"/>
          <w:color w:val="auto"/>
          <w:lang w:val="en-US" w:eastAsia="zh-CN"/>
        </w:rPr>
        <w:fldChar w:fldCharType="end"/>
      </w:r>
      <w:r>
        <w:rPr>
          <w:rFonts w:hint="eastAsia"/>
          <w:color w:val="auto"/>
          <w:lang w:val="en-US" w:eastAsia="zh-CN"/>
        </w:rPr>
        <w:t>.2-13。</w:t>
      </w:r>
    </w:p>
    <w:p w14:paraId="0A89EDE2">
      <w:pPr>
        <w:pStyle w:val="43"/>
        <w:bidi w:val="0"/>
        <w:rPr>
          <w:rFonts w:cs="Times New Roman"/>
          <w:color w:val="auto"/>
        </w:rPr>
      </w:pPr>
      <w:bookmarkStart w:id="260" w:name="_Ref170297423"/>
      <w:r>
        <w:rPr>
          <w:rFonts w:cs="Times New Roman"/>
          <w:color w:val="auto"/>
        </w:rPr>
        <w:t>表</w:t>
      </w:r>
      <w:bookmarkEnd w:id="260"/>
      <w:r>
        <w:rPr>
          <w:rFonts w:hint="eastAsia" w:cs="Times New Roman"/>
          <w:color w:val="auto"/>
          <w:lang w:val="en-US" w:eastAsia="zh-CN"/>
        </w:rPr>
        <w:t>5.2-13</w:t>
      </w:r>
      <w:r>
        <w:rPr>
          <w:rFonts w:cs="Times New Roman"/>
          <w:color w:val="auto"/>
        </w:rPr>
        <w:t xml:space="preserve">  井场噪声影响预测结果表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1025"/>
        <w:gridCol w:w="2007"/>
        <w:gridCol w:w="2074"/>
        <w:gridCol w:w="1731"/>
        <w:gridCol w:w="1997"/>
      </w:tblGrid>
      <w:tr w14:paraId="7434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cantSplit/>
          <w:trHeight w:val="369" w:hRule="atLeast"/>
          <w:jc w:val="center"/>
        </w:trPr>
        <w:tc>
          <w:tcPr>
            <w:tcW w:w="171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432A68">
            <w:pPr>
              <w:pStyle w:val="34"/>
              <w:bidi w:val="0"/>
              <w:rPr>
                <w:rFonts w:hint="default"/>
                <w:b/>
                <w:bCs/>
                <w:color w:val="auto"/>
              </w:rPr>
            </w:pPr>
            <w:r>
              <w:rPr>
                <w:rFonts w:hint="default"/>
                <w:b/>
                <w:bCs/>
                <w:color w:val="auto"/>
              </w:rPr>
              <w:t>预测点位置</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14:paraId="5A6A5F70">
            <w:pPr>
              <w:pStyle w:val="34"/>
              <w:bidi w:val="0"/>
              <w:rPr>
                <w:rFonts w:hint="default"/>
                <w:b/>
                <w:bCs/>
                <w:color w:val="auto"/>
              </w:rPr>
            </w:pPr>
            <w:r>
              <w:rPr>
                <w:rFonts w:hint="default"/>
                <w:b/>
                <w:bCs/>
                <w:color w:val="auto"/>
              </w:rPr>
              <w:t>与各厂界的距离/m</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14:paraId="6B67A91A">
            <w:pPr>
              <w:pStyle w:val="34"/>
              <w:bidi w:val="0"/>
              <w:rPr>
                <w:rFonts w:hint="default"/>
                <w:b/>
                <w:bCs/>
                <w:color w:val="auto"/>
              </w:rPr>
            </w:pPr>
            <w:r>
              <w:rPr>
                <w:rFonts w:hint="default"/>
                <w:b/>
                <w:bCs/>
                <w:color w:val="auto"/>
              </w:rPr>
              <w:t>贡献值</w:t>
            </w:r>
          </w:p>
        </w:tc>
        <w:tc>
          <w:tcPr>
            <w:tcW w:w="1131" w:type="pct"/>
            <w:tcBorders>
              <w:top w:val="single" w:color="auto" w:sz="4" w:space="0"/>
              <w:left w:val="single" w:color="auto" w:sz="4" w:space="0"/>
              <w:bottom w:val="single" w:color="auto" w:sz="4" w:space="0"/>
              <w:right w:val="single" w:color="auto" w:sz="4" w:space="0"/>
            </w:tcBorders>
            <w:shd w:val="clear" w:color="auto" w:fill="auto"/>
            <w:vAlign w:val="center"/>
          </w:tcPr>
          <w:p w14:paraId="2925FD9D">
            <w:pPr>
              <w:pStyle w:val="34"/>
              <w:bidi w:val="0"/>
              <w:rPr>
                <w:rFonts w:hint="default"/>
                <w:b/>
                <w:bCs/>
                <w:color w:val="auto"/>
              </w:rPr>
            </w:pPr>
            <w:r>
              <w:rPr>
                <w:rFonts w:hint="default"/>
                <w:b/>
                <w:bCs/>
                <w:color w:val="auto"/>
              </w:rPr>
              <w:t>标准</w:t>
            </w:r>
          </w:p>
        </w:tc>
      </w:tr>
      <w:tr w14:paraId="2347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580" w:type="pct"/>
            <w:vMerge w:val="restart"/>
            <w:tcBorders>
              <w:top w:val="nil"/>
              <w:left w:val="single" w:color="auto" w:sz="4" w:space="0"/>
              <w:bottom w:val="single" w:color="auto" w:sz="4" w:space="0"/>
              <w:right w:val="single" w:color="auto" w:sz="4" w:space="0"/>
            </w:tcBorders>
            <w:shd w:val="clear" w:color="auto" w:fill="auto"/>
            <w:vAlign w:val="center"/>
          </w:tcPr>
          <w:p w14:paraId="47962E7E">
            <w:pPr>
              <w:pStyle w:val="34"/>
              <w:bidi w:val="0"/>
              <w:rPr>
                <w:rFonts w:hint="default"/>
                <w:color w:val="auto"/>
              </w:rPr>
            </w:pPr>
            <w:r>
              <w:rPr>
                <w:rFonts w:hint="default"/>
                <w:color w:val="auto"/>
              </w:rPr>
              <w:t>厂界噪声</w:t>
            </w: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14:paraId="45606F12">
            <w:pPr>
              <w:pStyle w:val="34"/>
              <w:bidi w:val="0"/>
              <w:jc w:val="center"/>
              <w:rPr>
                <w:rFonts w:hint="default"/>
                <w:color w:val="auto"/>
              </w:rPr>
            </w:pPr>
            <w:r>
              <w:rPr>
                <w:rFonts w:hint="default"/>
                <w:color w:val="auto"/>
              </w:rPr>
              <w:t>东厂界1#</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14:paraId="365EDB25">
            <w:pPr>
              <w:pStyle w:val="34"/>
              <w:bidi w:val="0"/>
              <w:jc w:val="center"/>
              <w:rPr>
                <w:rFonts w:hint="default"/>
                <w:color w:val="auto"/>
                <w:lang w:val="en-US" w:eastAsia="zh-CN"/>
              </w:rPr>
            </w:pPr>
            <w:r>
              <w:rPr>
                <w:rFonts w:hint="eastAsia"/>
                <w:color w:val="auto"/>
                <w:lang w:val="en-US" w:eastAsia="zh-CN"/>
              </w:rPr>
              <w:t>47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14:paraId="1EC1EB93">
            <w:pPr>
              <w:pStyle w:val="34"/>
              <w:bidi w:val="0"/>
              <w:jc w:val="center"/>
              <w:rPr>
                <w:rFonts w:hint="default"/>
                <w:color w:val="auto"/>
                <w:lang w:val="en-US" w:eastAsia="zh-CN"/>
              </w:rPr>
            </w:pPr>
            <w:r>
              <w:rPr>
                <w:rFonts w:hint="eastAsia"/>
                <w:color w:val="auto"/>
                <w:lang w:val="en-US" w:eastAsia="zh-CN"/>
              </w:rPr>
              <w:t>33.6</w:t>
            </w:r>
          </w:p>
        </w:tc>
        <w:tc>
          <w:tcPr>
            <w:tcW w:w="11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A5C8A4">
            <w:pPr>
              <w:pStyle w:val="34"/>
              <w:bidi w:val="0"/>
              <w:rPr>
                <w:rFonts w:hint="default"/>
                <w:color w:val="auto"/>
              </w:rPr>
            </w:pPr>
            <w:r>
              <w:rPr>
                <w:rFonts w:hint="default"/>
                <w:color w:val="auto"/>
              </w:rPr>
              <w:t>昼间：60</w:t>
            </w:r>
          </w:p>
          <w:p w14:paraId="35407576">
            <w:pPr>
              <w:pStyle w:val="34"/>
              <w:bidi w:val="0"/>
              <w:rPr>
                <w:rFonts w:hint="default"/>
                <w:color w:val="auto"/>
              </w:rPr>
            </w:pPr>
            <w:r>
              <w:rPr>
                <w:rFonts w:hint="default"/>
                <w:color w:val="auto"/>
              </w:rPr>
              <w:t>夜间：50</w:t>
            </w:r>
          </w:p>
        </w:tc>
      </w:tr>
      <w:tr w14:paraId="1A1D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06F7AABF">
            <w:pPr>
              <w:pStyle w:val="34"/>
              <w:bidi w:val="0"/>
              <w:rPr>
                <w:rFonts w:hint="default"/>
                <w:color w:val="auto"/>
              </w:rPr>
            </w:pP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14:paraId="68671EED">
            <w:pPr>
              <w:pStyle w:val="34"/>
              <w:bidi w:val="0"/>
              <w:jc w:val="center"/>
              <w:rPr>
                <w:rFonts w:hint="default"/>
                <w:color w:val="auto"/>
              </w:rPr>
            </w:pPr>
            <w:r>
              <w:rPr>
                <w:rFonts w:hint="default"/>
                <w:color w:val="auto"/>
              </w:rPr>
              <w:t>南厂界2#</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14:paraId="3B897005">
            <w:pPr>
              <w:pStyle w:val="34"/>
              <w:bidi w:val="0"/>
              <w:jc w:val="center"/>
              <w:rPr>
                <w:rFonts w:hint="default" w:eastAsia="宋体"/>
                <w:color w:val="auto"/>
                <w:lang w:val="en-US" w:eastAsia="zh-CN"/>
              </w:rPr>
            </w:pPr>
            <w:r>
              <w:rPr>
                <w:rFonts w:hint="eastAsia"/>
                <w:color w:val="auto"/>
                <w:lang w:val="en-US" w:eastAsia="zh-CN"/>
              </w:rPr>
              <w:t>33</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14:paraId="1233DA10">
            <w:pPr>
              <w:pStyle w:val="34"/>
              <w:bidi w:val="0"/>
              <w:jc w:val="center"/>
              <w:rPr>
                <w:rFonts w:hint="default"/>
                <w:color w:val="auto"/>
                <w:lang w:val="en-US" w:eastAsia="zh-CN"/>
              </w:rPr>
            </w:pPr>
            <w:r>
              <w:rPr>
                <w:rFonts w:hint="eastAsia"/>
                <w:color w:val="auto"/>
                <w:lang w:val="en-US" w:eastAsia="zh-CN"/>
              </w:rPr>
              <w:t>36.6</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D28834">
            <w:pPr>
              <w:pStyle w:val="34"/>
              <w:bidi w:val="0"/>
              <w:rPr>
                <w:rFonts w:hint="default"/>
                <w:color w:val="auto"/>
              </w:rPr>
            </w:pPr>
          </w:p>
        </w:tc>
      </w:tr>
      <w:tr w14:paraId="1B39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535C6760">
            <w:pPr>
              <w:pStyle w:val="34"/>
              <w:bidi w:val="0"/>
              <w:rPr>
                <w:rFonts w:hint="default"/>
                <w:color w:val="auto"/>
              </w:rPr>
            </w:pP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14:paraId="2B10E2FA">
            <w:pPr>
              <w:pStyle w:val="34"/>
              <w:bidi w:val="0"/>
              <w:jc w:val="center"/>
              <w:rPr>
                <w:rFonts w:hint="default"/>
                <w:color w:val="auto"/>
              </w:rPr>
            </w:pPr>
            <w:r>
              <w:rPr>
                <w:rFonts w:hint="default"/>
                <w:color w:val="auto"/>
              </w:rPr>
              <w:t>西厂界3#</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14:paraId="4EFDF729">
            <w:pPr>
              <w:pStyle w:val="34"/>
              <w:bidi w:val="0"/>
              <w:jc w:val="center"/>
              <w:rPr>
                <w:rFonts w:hint="default"/>
                <w:color w:val="auto"/>
                <w:lang w:val="en-US" w:eastAsia="zh-CN"/>
              </w:rPr>
            </w:pPr>
            <w:r>
              <w:rPr>
                <w:rFonts w:hint="eastAsia"/>
                <w:color w:val="auto"/>
                <w:lang w:val="en-US" w:eastAsia="zh-CN"/>
              </w:rPr>
              <w:t>35</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214DCE02">
            <w:pPr>
              <w:pStyle w:val="34"/>
              <w:bidi w:val="0"/>
              <w:jc w:val="center"/>
              <w:rPr>
                <w:rFonts w:hint="default"/>
                <w:color w:val="auto"/>
                <w:lang w:val="en-US" w:eastAsia="zh-CN"/>
              </w:rPr>
            </w:pPr>
            <w:r>
              <w:rPr>
                <w:rFonts w:hint="eastAsia"/>
                <w:color w:val="auto"/>
                <w:lang w:val="en-US" w:eastAsia="zh-CN"/>
              </w:rPr>
              <w:t>36.1</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5B7DA4">
            <w:pPr>
              <w:pStyle w:val="34"/>
              <w:bidi w:val="0"/>
              <w:rPr>
                <w:rFonts w:hint="default"/>
                <w:color w:val="auto"/>
              </w:rPr>
            </w:pPr>
          </w:p>
        </w:tc>
      </w:tr>
      <w:tr w14:paraId="42FD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0A4BE693">
            <w:pPr>
              <w:pStyle w:val="34"/>
              <w:bidi w:val="0"/>
              <w:rPr>
                <w:rFonts w:hint="default"/>
                <w:color w:val="auto"/>
              </w:rPr>
            </w:pP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14:paraId="4709156B">
            <w:pPr>
              <w:pStyle w:val="34"/>
              <w:bidi w:val="0"/>
              <w:jc w:val="center"/>
              <w:rPr>
                <w:rFonts w:hint="default"/>
                <w:color w:val="auto"/>
              </w:rPr>
            </w:pPr>
            <w:r>
              <w:rPr>
                <w:rFonts w:hint="default"/>
                <w:color w:val="auto"/>
              </w:rPr>
              <w:t>北厂界4#</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14:paraId="311E7D29">
            <w:pPr>
              <w:pStyle w:val="34"/>
              <w:bidi w:val="0"/>
              <w:jc w:val="center"/>
              <w:rPr>
                <w:rFonts w:hint="default"/>
                <w:color w:val="auto"/>
                <w:lang w:val="en-US" w:eastAsia="zh-CN"/>
              </w:rPr>
            </w:pPr>
            <w:r>
              <w:rPr>
                <w:rFonts w:hint="eastAsia"/>
                <w:color w:val="auto"/>
                <w:lang w:val="en-US" w:eastAsia="zh-CN"/>
              </w:rPr>
              <w:t>38</w:t>
            </w: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14:paraId="5B5AF2C4">
            <w:pPr>
              <w:pStyle w:val="34"/>
              <w:bidi w:val="0"/>
              <w:jc w:val="center"/>
              <w:rPr>
                <w:rFonts w:hint="default" w:eastAsia="宋体"/>
                <w:color w:val="auto"/>
                <w:lang w:val="en-US" w:eastAsia="zh-CN"/>
              </w:rPr>
            </w:pPr>
            <w:r>
              <w:rPr>
                <w:rFonts w:hint="eastAsia"/>
                <w:color w:val="auto"/>
                <w:lang w:val="en-US" w:eastAsia="zh-CN"/>
              </w:rPr>
              <w:t>35.4</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9D6193">
            <w:pPr>
              <w:pStyle w:val="34"/>
              <w:bidi w:val="0"/>
              <w:rPr>
                <w:rFonts w:hint="default"/>
                <w:color w:val="auto"/>
              </w:rPr>
            </w:pPr>
          </w:p>
        </w:tc>
      </w:tr>
    </w:tbl>
    <w:p w14:paraId="7D03C6D2">
      <w:pPr>
        <w:pStyle w:val="11"/>
        <w:bidi w:val="0"/>
        <w:rPr>
          <w:color w:val="auto"/>
        </w:rPr>
      </w:pPr>
      <w:r>
        <w:rPr>
          <w:color w:val="auto"/>
        </w:rPr>
        <w:t>根据预测结果，井场厂界昼、夜间噪声贡献值均符合《工业企业厂界环境噪声排放标准》（GB12348-2008）2类标准要求。</w:t>
      </w:r>
    </w:p>
    <w:p w14:paraId="4A315A4B">
      <w:pPr>
        <w:pStyle w:val="6"/>
        <w:bidi w:val="0"/>
        <w:rPr>
          <w:rFonts w:hint="default"/>
          <w:color w:val="auto"/>
          <w:lang w:val="en-US" w:eastAsia="zh-CN"/>
        </w:rPr>
      </w:pPr>
      <w:r>
        <w:rPr>
          <w:rFonts w:hint="eastAsia"/>
          <w:color w:val="auto"/>
          <w:lang w:val="en-US" w:eastAsia="zh-CN"/>
        </w:rPr>
        <w:t>5.2.4.5声环境影响评价自查表</w:t>
      </w:r>
    </w:p>
    <w:p w14:paraId="2E8DDAF0">
      <w:pPr>
        <w:pStyle w:val="33"/>
        <w:bidi w:val="0"/>
        <w:rPr>
          <w:rFonts w:hint="default" w:eastAsia="宋体"/>
          <w:color w:val="auto"/>
          <w:lang w:val="en-US" w:eastAsia="zh-CN"/>
        </w:rPr>
      </w:pPr>
      <w:r>
        <w:rPr>
          <w:rFonts w:hint="eastAsia"/>
          <w:color w:val="auto"/>
          <w:lang w:val="en-US" w:eastAsia="zh-CN"/>
        </w:rPr>
        <w:t>声环境影响评价自查表见表5.2-14。</w:t>
      </w:r>
    </w:p>
    <w:p w14:paraId="51E928E6">
      <w:pPr>
        <w:pStyle w:val="43"/>
        <w:bidi w:val="0"/>
        <w:rPr>
          <w:rFonts w:cs="Times New Roman"/>
          <w:color w:val="auto"/>
        </w:rPr>
      </w:pPr>
      <w:r>
        <w:rPr>
          <w:rFonts w:cs="Times New Roman"/>
          <w:color w:val="auto"/>
        </w:rPr>
        <w:t>表</w:t>
      </w:r>
      <w:r>
        <w:rPr>
          <w:rFonts w:hint="eastAsia" w:cs="Times New Roman"/>
          <w:color w:val="auto"/>
          <w:lang w:val="en-US" w:eastAsia="zh-CN"/>
        </w:rPr>
        <w:t>5.2-14</w:t>
      </w:r>
      <w:r>
        <w:rPr>
          <w:rFonts w:cs="Times New Roman"/>
          <w:color w:val="auto"/>
        </w:rPr>
        <w:t xml:space="preserve">  声环境影响评价自查表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407"/>
        <w:gridCol w:w="1083"/>
        <w:gridCol w:w="548"/>
        <w:gridCol w:w="553"/>
        <w:gridCol w:w="1033"/>
        <w:gridCol w:w="57"/>
        <w:gridCol w:w="589"/>
        <w:gridCol w:w="501"/>
        <w:gridCol w:w="544"/>
        <w:gridCol w:w="335"/>
        <w:gridCol w:w="200"/>
        <w:gridCol w:w="1122"/>
      </w:tblGrid>
      <w:tr w14:paraId="618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332" w:type="pct"/>
            <w:gridSpan w:val="2"/>
            <w:tcBorders>
              <w:top w:val="single" w:color="auto" w:sz="4" w:space="0"/>
              <w:left w:val="single" w:color="auto" w:sz="4" w:space="0"/>
              <w:bottom w:val="single" w:color="auto" w:sz="4" w:space="0"/>
              <w:right w:val="single" w:color="auto" w:sz="4" w:space="0"/>
            </w:tcBorders>
            <w:vAlign w:val="center"/>
          </w:tcPr>
          <w:p w14:paraId="654E283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bookmarkStart w:id="261" w:name="_Hlk114665531"/>
            <w:r>
              <w:rPr>
                <w:rFonts w:hint="default" w:ascii="Times New Roman" w:hAnsi="Times New Roman" w:eastAsia="宋体" w:cs="Times New Roman"/>
                <w:b/>
                <w:bCs/>
                <w:color w:val="auto"/>
                <w:sz w:val="21"/>
                <w:szCs w:val="21"/>
              </w:rPr>
              <w:t>工作内容</w:t>
            </w:r>
            <w:bookmarkEnd w:id="261"/>
          </w:p>
        </w:tc>
        <w:tc>
          <w:tcPr>
            <w:tcW w:w="3667" w:type="pct"/>
            <w:gridSpan w:val="11"/>
            <w:tcBorders>
              <w:top w:val="single" w:color="auto" w:sz="4" w:space="0"/>
              <w:left w:val="single" w:color="auto" w:sz="4" w:space="0"/>
              <w:bottom w:val="single" w:color="auto" w:sz="4" w:space="0"/>
              <w:right w:val="single" w:color="auto" w:sz="4" w:space="0"/>
            </w:tcBorders>
            <w:vAlign w:val="center"/>
          </w:tcPr>
          <w:p w14:paraId="5D81EC6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自查项目</w:t>
            </w:r>
          </w:p>
        </w:tc>
      </w:tr>
      <w:tr w14:paraId="4E31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6" w:type="pct"/>
            <w:vMerge w:val="restart"/>
            <w:tcBorders>
              <w:top w:val="nil"/>
              <w:left w:val="single" w:color="auto" w:sz="4" w:space="0"/>
              <w:bottom w:val="single" w:color="auto" w:sz="4" w:space="0"/>
              <w:right w:val="single" w:color="auto" w:sz="4" w:space="0"/>
            </w:tcBorders>
            <w:vAlign w:val="center"/>
          </w:tcPr>
          <w:p w14:paraId="3D4C3EA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评价等级与范围</w:t>
            </w:r>
          </w:p>
        </w:tc>
        <w:tc>
          <w:tcPr>
            <w:tcW w:w="786" w:type="pct"/>
            <w:tcBorders>
              <w:top w:val="single" w:color="auto" w:sz="4" w:space="0"/>
              <w:left w:val="single" w:color="auto" w:sz="4" w:space="0"/>
              <w:bottom w:val="single" w:color="auto" w:sz="4" w:space="0"/>
              <w:right w:val="single" w:color="auto" w:sz="4" w:space="0"/>
            </w:tcBorders>
            <w:vAlign w:val="center"/>
          </w:tcPr>
          <w:p w14:paraId="35B50A7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3667" w:type="pct"/>
            <w:gridSpan w:val="11"/>
            <w:tcBorders>
              <w:top w:val="single" w:color="auto" w:sz="4" w:space="0"/>
              <w:left w:val="single" w:color="auto" w:sz="4" w:space="0"/>
              <w:bottom w:val="single" w:color="auto" w:sz="4" w:space="0"/>
              <w:right w:val="single" w:color="auto" w:sz="4" w:space="0"/>
            </w:tcBorders>
            <w:vAlign w:val="center"/>
          </w:tcPr>
          <w:p w14:paraId="6599454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                 二级√           三级□</w:t>
            </w:r>
          </w:p>
        </w:tc>
      </w:tr>
      <w:tr w14:paraId="4F09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AB6F1F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86" w:type="pct"/>
            <w:tcBorders>
              <w:top w:val="single" w:color="auto" w:sz="4" w:space="0"/>
              <w:left w:val="single" w:color="auto" w:sz="4" w:space="0"/>
              <w:bottom w:val="single" w:color="auto" w:sz="4" w:space="0"/>
              <w:right w:val="single" w:color="auto" w:sz="4" w:space="0"/>
            </w:tcBorders>
            <w:vAlign w:val="center"/>
          </w:tcPr>
          <w:p w14:paraId="276C604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评价范围</w:t>
            </w:r>
          </w:p>
        </w:tc>
        <w:tc>
          <w:tcPr>
            <w:tcW w:w="3667" w:type="pct"/>
            <w:gridSpan w:val="11"/>
            <w:tcBorders>
              <w:top w:val="single" w:color="auto" w:sz="4" w:space="0"/>
              <w:left w:val="single" w:color="auto" w:sz="4" w:space="0"/>
              <w:bottom w:val="single" w:color="auto" w:sz="4" w:space="0"/>
              <w:right w:val="single" w:color="auto" w:sz="4" w:space="0"/>
            </w:tcBorders>
            <w:vAlign w:val="center"/>
          </w:tcPr>
          <w:p w14:paraId="20D9050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 m</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             大于200 m□                 小于200 m□</w:t>
            </w:r>
          </w:p>
        </w:tc>
      </w:tr>
      <w:tr w14:paraId="7681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6" w:type="pct"/>
            <w:tcBorders>
              <w:top w:val="single" w:color="auto" w:sz="4" w:space="0"/>
              <w:left w:val="single" w:color="auto" w:sz="4" w:space="0"/>
              <w:bottom w:val="single" w:color="auto" w:sz="4" w:space="0"/>
              <w:right w:val="single" w:color="auto" w:sz="4" w:space="0"/>
            </w:tcBorders>
            <w:vAlign w:val="center"/>
          </w:tcPr>
          <w:p w14:paraId="067792F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786" w:type="pct"/>
            <w:tcBorders>
              <w:top w:val="single" w:color="auto" w:sz="4" w:space="0"/>
              <w:left w:val="single" w:color="auto" w:sz="4" w:space="0"/>
              <w:bottom w:val="single" w:color="auto" w:sz="4" w:space="0"/>
              <w:right w:val="single" w:color="auto" w:sz="4" w:space="0"/>
            </w:tcBorders>
            <w:vAlign w:val="center"/>
          </w:tcPr>
          <w:p w14:paraId="1F5A365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1220" w:type="pct"/>
            <w:gridSpan w:val="3"/>
            <w:tcBorders>
              <w:top w:val="single" w:color="auto" w:sz="4" w:space="0"/>
              <w:left w:val="single" w:color="auto" w:sz="4" w:space="0"/>
              <w:bottom w:val="single" w:color="auto" w:sz="4" w:space="0"/>
              <w:right w:val="single" w:color="auto" w:sz="4" w:space="0"/>
            </w:tcBorders>
            <w:vAlign w:val="center"/>
          </w:tcPr>
          <w:p w14:paraId="6BD43B5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等效连续A声级</w:t>
            </w:r>
            <w:r>
              <w:rPr>
                <w:rFonts w:hint="eastAsia" w:ascii="Times New Roman" w:hAnsi="Times New Roman" w:eastAsia="宋体" w:cs="Times New Roman"/>
                <w:color w:val="auto"/>
                <w:sz w:val="21"/>
                <w:szCs w:val="21"/>
                <w:lang w:eastAsia="zh-CN"/>
              </w:rPr>
              <w:t>☑</w:t>
            </w:r>
          </w:p>
        </w:tc>
        <w:tc>
          <w:tcPr>
            <w:tcW w:w="938" w:type="pct"/>
            <w:gridSpan w:val="3"/>
            <w:tcBorders>
              <w:top w:val="single" w:color="auto" w:sz="4" w:space="0"/>
              <w:left w:val="single" w:color="auto" w:sz="4" w:space="0"/>
              <w:bottom w:val="single" w:color="auto" w:sz="4" w:space="0"/>
              <w:right w:val="single" w:color="auto" w:sz="4" w:space="0"/>
            </w:tcBorders>
            <w:vAlign w:val="center"/>
          </w:tcPr>
          <w:p w14:paraId="243210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最大A声级□</w:t>
            </w:r>
          </w:p>
        </w:tc>
        <w:tc>
          <w:tcPr>
            <w:tcW w:w="1508" w:type="pct"/>
            <w:gridSpan w:val="5"/>
            <w:tcBorders>
              <w:top w:val="single" w:color="auto" w:sz="4" w:space="0"/>
              <w:left w:val="single" w:color="auto" w:sz="4" w:space="0"/>
              <w:bottom w:val="single" w:color="auto" w:sz="4" w:space="0"/>
              <w:right w:val="single" w:color="auto" w:sz="4" w:space="0"/>
            </w:tcBorders>
            <w:vAlign w:val="center"/>
          </w:tcPr>
          <w:p w14:paraId="000ED7F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计权等效连续感觉噪声级□</w:t>
            </w:r>
          </w:p>
        </w:tc>
      </w:tr>
      <w:tr w14:paraId="211F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6" w:type="pct"/>
            <w:tcBorders>
              <w:top w:val="single" w:color="auto" w:sz="4" w:space="0"/>
              <w:left w:val="single" w:color="auto" w:sz="4" w:space="0"/>
              <w:bottom w:val="single" w:color="auto" w:sz="4" w:space="0"/>
              <w:right w:val="single" w:color="auto" w:sz="4" w:space="0"/>
            </w:tcBorders>
            <w:vAlign w:val="center"/>
          </w:tcPr>
          <w:p w14:paraId="21D8260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786" w:type="pct"/>
            <w:tcBorders>
              <w:top w:val="single" w:color="auto" w:sz="4" w:space="0"/>
              <w:left w:val="single" w:color="auto" w:sz="4" w:space="0"/>
              <w:bottom w:val="single" w:color="auto" w:sz="4" w:space="0"/>
              <w:right w:val="single" w:color="auto" w:sz="4" w:space="0"/>
            </w:tcBorders>
            <w:vAlign w:val="center"/>
          </w:tcPr>
          <w:p w14:paraId="13BC109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1220" w:type="pct"/>
            <w:gridSpan w:val="3"/>
            <w:tcBorders>
              <w:top w:val="single" w:color="auto" w:sz="4" w:space="0"/>
              <w:left w:val="single" w:color="auto" w:sz="4" w:space="0"/>
              <w:bottom w:val="single" w:color="auto" w:sz="4" w:space="0"/>
              <w:right w:val="single" w:color="auto" w:sz="4" w:space="0"/>
            </w:tcBorders>
            <w:vAlign w:val="center"/>
          </w:tcPr>
          <w:p w14:paraId="6ED5F46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国家标准</w:t>
            </w:r>
            <w:r>
              <w:rPr>
                <w:rFonts w:hint="eastAsia" w:ascii="Times New Roman" w:hAnsi="Times New Roman" w:eastAsia="宋体" w:cs="Times New Roman"/>
                <w:color w:val="auto"/>
                <w:sz w:val="21"/>
                <w:szCs w:val="21"/>
                <w:lang w:eastAsia="zh-CN"/>
              </w:rPr>
              <w:t>☑</w:t>
            </w:r>
          </w:p>
        </w:tc>
        <w:tc>
          <w:tcPr>
            <w:tcW w:w="938" w:type="pct"/>
            <w:gridSpan w:val="3"/>
            <w:tcBorders>
              <w:top w:val="single" w:color="auto" w:sz="4" w:space="0"/>
              <w:left w:val="single" w:color="auto" w:sz="4" w:space="0"/>
              <w:bottom w:val="single" w:color="auto" w:sz="4" w:space="0"/>
              <w:right w:val="single" w:color="auto" w:sz="4" w:space="0"/>
            </w:tcBorders>
            <w:vAlign w:val="center"/>
          </w:tcPr>
          <w:p w14:paraId="1E94E18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地方标准□</w:t>
            </w:r>
          </w:p>
        </w:tc>
        <w:tc>
          <w:tcPr>
            <w:tcW w:w="771" w:type="pct"/>
            <w:gridSpan w:val="3"/>
            <w:tcBorders>
              <w:top w:val="single" w:color="auto" w:sz="4" w:space="0"/>
              <w:left w:val="single" w:color="auto" w:sz="4" w:space="0"/>
              <w:bottom w:val="single" w:color="auto" w:sz="4" w:space="0"/>
              <w:right w:val="single" w:color="auto" w:sz="4" w:space="0"/>
            </w:tcBorders>
            <w:vAlign w:val="center"/>
          </w:tcPr>
          <w:p w14:paraId="748EAA9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37" w:type="pct"/>
            <w:gridSpan w:val="2"/>
            <w:tcBorders>
              <w:top w:val="single" w:color="auto" w:sz="4" w:space="0"/>
              <w:left w:val="single" w:color="auto" w:sz="4" w:space="0"/>
              <w:bottom w:val="single" w:color="auto" w:sz="4" w:space="0"/>
              <w:right w:val="single" w:color="auto" w:sz="4" w:space="0"/>
            </w:tcBorders>
            <w:vAlign w:val="center"/>
          </w:tcPr>
          <w:p w14:paraId="2463F05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国外标准□</w:t>
            </w:r>
          </w:p>
        </w:tc>
      </w:tr>
      <w:tr w14:paraId="6407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6" w:type="pct"/>
            <w:vMerge w:val="restart"/>
            <w:tcBorders>
              <w:top w:val="nil"/>
              <w:left w:val="single" w:color="auto" w:sz="4" w:space="0"/>
              <w:bottom w:val="single" w:color="auto" w:sz="4" w:space="0"/>
              <w:right w:val="single" w:color="auto" w:sz="4" w:space="0"/>
            </w:tcBorders>
            <w:vAlign w:val="center"/>
          </w:tcPr>
          <w:p w14:paraId="5DAC25C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786" w:type="pct"/>
            <w:tcBorders>
              <w:top w:val="single" w:color="auto" w:sz="4" w:space="0"/>
              <w:left w:val="single" w:color="auto" w:sz="4" w:space="0"/>
              <w:bottom w:val="single" w:color="auto" w:sz="4" w:space="0"/>
              <w:right w:val="single" w:color="auto" w:sz="4" w:space="0"/>
            </w:tcBorders>
            <w:vAlign w:val="center"/>
          </w:tcPr>
          <w:p w14:paraId="5793DBE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605" w:type="pct"/>
            <w:tcBorders>
              <w:top w:val="single" w:color="auto" w:sz="4" w:space="0"/>
              <w:left w:val="single" w:color="auto" w:sz="4" w:space="0"/>
              <w:bottom w:val="single" w:color="auto" w:sz="4" w:space="0"/>
              <w:right w:val="single" w:color="auto" w:sz="4" w:space="0"/>
            </w:tcBorders>
            <w:vAlign w:val="center"/>
          </w:tcPr>
          <w:p w14:paraId="6AFAA62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0类区□</w:t>
            </w:r>
          </w:p>
        </w:tc>
        <w:tc>
          <w:tcPr>
            <w:tcW w:w="615" w:type="pct"/>
            <w:gridSpan w:val="2"/>
            <w:tcBorders>
              <w:top w:val="single" w:color="auto" w:sz="4" w:space="0"/>
              <w:left w:val="single" w:color="auto" w:sz="4" w:space="0"/>
              <w:bottom w:val="single" w:color="auto" w:sz="4" w:space="0"/>
              <w:right w:val="single" w:color="auto" w:sz="4" w:space="0"/>
            </w:tcBorders>
            <w:vAlign w:val="center"/>
          </w:tcPr>
          <w:p w14:paraId="1685752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1类区□</w:t>
            </w:r>
          </w:p>
        </w:tc>
        <w:tc>
          <w:tcPr>
            <w:tcW w:w="609" w:type="pct"/>
            <w:gridSpan w:val="2"/>
            <w:tcBorders>
              <w:top w:val="single" w:color="auto" w:sz="4" w:space="0"/>
              <w:left w:val="single" w:color="auto" w:sz="4" w:space="0"/>
              <w:bottom w:val="single" w:color="auto" w:sz="4" w:space="0"/>
              <w:right w:val="single" w:color="auto" w:sz="4" w:space="0"/>
            </w:tcBorders>
            <w:vAlign w:val="center"/>
          </w:tcPr>
          <w:p w14:paraId="0AD1AE8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2类区</w:t>
            </w:r>
            <w:r>
              <w:rPr>
                <w:rFonts w:hint="eastAsia" w:ascii="Times New Roman" w:hAnsi="Times New Roman" w:eastAsia="宋体" w:cs="Times New Roman"/>
                <w:color w:val="auto"/>
                <w:sz w:val="21"/>
                <w:szCs w:val="21"/>
                <w:lang w:eastAsia="zh-CN"/>
              </w:rPr>
              <w:t>☑</w:t>
            </w:r>
          </w:p>
        </w:tc>
        <w:tc>
          <w:tcPr>
            <w:tcW w:w="609" w:type="pct"/>
            <w:gridSpan w:val="2"/>
            <w:tcBorders>
              <w:top w:val="single" w:color="auto" w:sz="4" w:space="0"/>
              <w:left w:val="single" w:color="auto" w:sz="4" w:space="0"/>
              <w:bottom w:val="single" w:color="auto" w:sz="4" w:space="0"/>
              <w:right w:val="single" w:color="auto" w:sz="4" w:space="0"/>
            </w:tcBorders>
            <w:vAlign w:val="center"/>
          </w:tcPr>
          <w:p w14:paraId="01DC095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3类区□</w:t>
            </w:r>
          </w:p>
        </w:tc>
        <w:tc>
          <w:tcPr>
            <w:tcW w:w="603" w:type="pct"/>
            <w:gridSpan w:val="3"/>
            <w:tcBorders>
              <w:top w:val="single" w:color="auto" w:sz="4" w:space="0"/>
              <w:left w:val="single" w:color="auto" w:sz="4" w:space="0"/>
              <w:bottom w:val="single" w:color="auto" w:sz="4" w:space="0"/>
              <w:right w:val="single" w:color="auto" w:sz="4" w:space="0"/>
            </w:tcBorders>
            <w:vAlign w:val="center"/>
          </w:tcPr>
          <w:p w14:paraId="5EAF6FF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4a类区□</w:t>
            </w:r>
          </w:p>
        </w:tc>
        <w:tc>
          <w:tcPr>
            <w:tcW w:w="625" w:type="pct"/>
            <w:tcBorders>
              <w:top w:val="single" w:color="auto" w:sz="4" w:space="0"/>
              <w:left w:val="single" w:color="auto" w:sz="4" w:space="0"/>
              <w:bottom w:val="single" w:color="auto" w:sz="4" w:space="0"/>
              <w:right w:val="single" w:color="auto" w:sz="4" w:space="0"/>
            </w:tcBorders>
            <w:vAlign w:val="center"/>
          </w:tcPr>
          <w:p w14:paraId="5F0A178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4b类区□</w:t>
            </w:r>
          </w:p>
        </w:tc>
      </w:tr>
      <w:tr w14:paraId="739E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0ADF01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86" w:type="pct"/>
            <w:tcBorders>
              <w:top w:val="single" w:color="auto" w:sz="4" w:space="0"/>
              <w:left w:val="single" w:color="auto" w:sz="4" w:space="0"/>
              <w:bottom w:val="single" w:color="auto" w:sz="4" w:space="0"/>
              <w:right w:val="single" w:color="auto" w:sz="4" w:space="0"/>
            </w:tcBorders>
            <w:vAlign w:val="center"/>
          </w:tcPr>
          <w:p w14:paraId="4B2BF13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评价年度</w:t>
            </w:r>
          </w:p>
        </w:tc>
        <w:tc>
          <w:tcPr>
            <w:tcW w:w="911" w:type="pct"/>
            <w:gridSpan w:val="2"/>
            <w:tcBorders>
              <w:top w:val="single" w:color="auto" w:sz="4" w:space="0"/>
              <w:left w:val="single" w:color="auto" w:sz="4" w:space="0"/>
              <w:bottom w:val="single" w:color="auto" w:sz="4" w:space="0"/>
              <w:right w:val="single" w:color="auto" w:sz="4" w:space="0"/>
            </w:tcBorders>
            <w:vAlign w:val="center"/>
          </w:tcPr>
          <w:p w14:paraId="343C2F4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初期□</w:t>
            </w:r>
          </w:p>
        </w:tc>
        <w:tc>
          <w:tcPr>
            <w:tcW w:w="918" w:type="pct"/>
            <w:gridSpan w:val="3"/>
            <w:tcBorders>
              <w:top w:val="single" w:color="auto" w:sz="4" w:space="0"/>
              <w:left w:val="single" w:color="auto" w:sz="4" w:space="0"/>
              <w:bottom w:val="single" w:color="auto" w:sz="4" w:space="0"/>
              <w:right w:val="single" w:color="auto" w:sz="4" w:space="0"/>
            </w:tcBorders>
            <w:vAlign w:val="center"/>
          </w:tcPr>
          <w:p w14:paraId="54B697E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近期</w:t>
            </w:r>
            <w:r>
              <w:rPr>
                <w:rFonts w:hint="eastAsia" w:ascii="Times New Roman" w:hAnsi="Times New Roman" w:eastAsia="宋体" w:cs="Times New Roman"/>
                <w:color w:val="auto"/>
                <w:sz w:val="21"/>
                <w:szCs w:val="21"/>
                <w:lang w:eastAsia="zh-CN"/>
              </w:rPr>
              <w:t>☑</w:t>
            </w:r>
          </w:p>
        </w:tc>
        <w:tc>
          <w:tcPr>
            <w:tcW w:w="913" w:type="pct"/>
            <w:gridSpan w:val="3"/>
            <w:tcBorders>
              <w:top w:val="single" w:color="auto" w:sz="4" w:space="0"/>
              <w:left w:val="single" w:color="auto" w:sz="4" w:space="0"/>
              <w:bottom w:val="single" w:color="auto" w:sz="4" w:space="0"/>
              <w:right w:val="single" w:color="auto" w:sz="4" w:space="0"/>
            </w:tcBorders>
            <w:vAlign w:val="center"/>
          </w:tcPr>
          <w:p w14:paraId="616FC05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中期□</w:t>
            </w:r>
          </w:p>
        </w:tc>
        <w:tc>
          <w:tcPr>
            <w:tcW w:w="924" w:type="pct"/>
            <w:gridSpan w:val="3"/>
            <w:tcBorders>
              <w:top w:val="single" w:color="auto" w:sz="4" w:space="0"/>
              <w:left w:val="single" w:color="auto" w:sz="4" w:space="0"/>
              <w:bottom w:val="single" w:color="auto" w:sz="4" w:space="0"/>
              <w:right w:val="single" w:color="auto" w:sz="4" w:space="0"/>
            </w:tcBorders>
            <w:vAlign w:val="center"/>
          </w:tcPr>
          <w:p w14:paraId="3F8D90F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远期□</w:t>
            </w:r>
          </w:p>
        </w:tc>
      </w:tr>
      <w:tr w14:paraId="06C7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2B045B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86" w:type="pct"/>
            <w:tcBorders>
              <w:top w:val="single" w:color="auto" w:sz="4" w:space="0"/>
              <w:left w:val="single" w:color="auto" w:sz="4" w:space="0"/>
              <w:bottom w:val="single" w:color="auto" w:sz="4" w:space="0"/>
              <w:right w:val="single" w:color="auto" w:sz="4" w:space="0"/>
            </w:tcBorders>
            <w:vAlign w:val="center"/>
          </w:tcPr>
          <w:p w14:paraId="4980FA4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现状调查方法</w:t>
            </w:r>
          </w:p>
        </w:tc>
        <w:tc>
          <w:tcPr>
            <w:tcW w:w="1220" w:type="pct"/>
            <w:gridSpan w:val="3"/>
            <w:tcBorders>
              <w:top w:val="single" w:color="auto" w:sz="4" w:space="0"/>
              <w:left w:val="single" w:color="auto" w:sz="4" w:space="0"/>
              <w:bottom w:val="single" w:color="auto" w:sz="4" w:space="0"/>
              <w:right w:val="single" w:color="auto" w:sz="4" w:space="0"/>
            </w:tcBorders>
            <w:vAlign w:val="center"/>
          </w:tcPr>
          <w:p w14:paraId="4488806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现场实测法</w:t>
            </w:r>
            <w:r>
              <w:rPr>
                <w:rFonts w:hint="eastAsia" w:ascii="Times New Roman" w:hAnsi="Times New Roman" w:eastAsia="宋体" w:cs="Times New Roman"/>
                <w:color w:val="auto"/>
                <w:sz w:val="21"/>
                <w:szCs w:val="21"/>
                <w:lang w:eastAsia="zh-CN"/>
              </w:rPr>
              <w:t>☑</w:t>
            </w:r>
          </w:p>
        </w:tc>
        <w:tc>
          <w:tcPr>
            <w:tcW w:w="1522" w:type="pct"/>
            <w:gridSpan w:val="5"/>
            <w:tcBorders>
              <w:top w:val="single" w:color="auto" w:sz="4" w:space="0"/>
              <w:left w:val="single" w:color="auto" w:sz="4" w:space="0"/>
              <w:bottom w:val="single" w:color="auto" w:sz="4" w:space="0"/>
              <w:right w:val="single" w:color="auto" w:sz="4" w:space="0"/>
            </w:tcBorders>
            <w:vAlign w:val="center"/>
          </w:tcPr>
          <w:p w14:paraId="297017B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现场实测加模型计算法□</w:t>
            </w:r>
          </w:p>
        </w:tc>
        <w:tc>
          <w:tcPr>
            <w:tcW w:w="924" w:type="pct"/>
            <w:gridSpan w:val="3"/>
            <w:tcBorders>
              <w:top w:val="single" w:color="auto" w:sz="4" w:space="0"/>
              <w:left w:val="single" w:color="auto" w:sz="4" w:space="0"/>
              <w:bottom w:val="single" w:color="auto" w:sz="4" w:space="0"/>
              <w:right w:val="single" w:color="auto" w:sz="4" w:space="0"/>
            </w:tcBorders>
            <w:vAlign w:val="center"/>
          </w:tcPr>
          <w:p w14:paraId="1876BA0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收集资料□</w:t>
            </w:r>
          </w:p>
        </w:tc>
      </w:tr>
      <w:tr w14:paraId="6CBF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50EEA3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86" w:type="pct"/>
            <w:tcBorders>
              <w:top w:val="single" w:color="auto" w:sz="4" w:space="0"/>
              <w:left w:val="single" w:color="auto" w:sz="4" w:space="0"/>
              <w:bottom w:val="single" w:color="auto" w:sz="4" w:space="0"/>
              <w:right w:val="single" w:color="auto" w:sz="4" w:space="0"/>
            </w:tcBorders>
            <w:vAlign w:val="center"/>
          </w:tcPr>
          <w:p w14:paraId="11240D0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1220" w:type="pct"/>
            <w:gridSpan w:val="3"/>
            <w:tcBorders>
              <w:top w:val="single" w:color="auto" w:sz="4" w:space="0"/>
              <w:left w:val="single" w:color="auto" w:sz="4" w:space="0"/>
              <w:bottom w:val="single" w:color="auto" w:sz="4" w:space="0"/>
              <w:right w:val="single" w:color="auto" w:sz="4" w:space="0"/>
            </w:tcBorders>
            <w:vAlign w:val="center"/>
          </w:tcPr>
          <w:p w14:paraId="7CBD520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达标百分比</w:t>
            </w:r>
          </w:p>
        </w:tc>
        <w:tc>
          <w:tcPr>
            <w:tcW w:w="2446" w:type="pct"/>
            <w:gridSpan w:val="8"/>
            <w:tcBorders>
              <w:top w:val="single" w:color="auto" w:sz="4" w:space="0"/>
              <w:left w:val="single" w:color="auto" w:sz="4" w:space="0"/>
              <w:bottom w:val="single" w:color="auto" w:sz="4" w:space="0"/>
              <w:right w:val="single" w:color="auto" w:sz="4" w:space="0"/>
            </w:tcBorders>
            <w:vAlign w:val="center"/>
          </w:tcPr>
          <w:p w14:paraId="48ADDA7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14:paraId="38E0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6" w:type="pct"/>
            <w:tcBorders>
              <w:top w:val="single" w:color="auto" w:sz="4" w:space="0"/>
              <w:left w:val="single" w:color="auto" w:sz="4" w:space="0"/>
              <w:bottom w:val="single" w:color="auto" w:sz="4" w:space="0"/>
              <w:right w:val="single" w:color="auto" w:sz="4" w:space="0"/>
            </w:tcBorders>
            <w:vAlign w:val="center"/>
          </w:tcPr>
          <w:p w14:paraId="2F5FB7A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p w14:paraId="742F054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w:t>
            </w:r>
          </w:p>
        </w:tc>
        <w:tc>
          <w:tcPr>
            <w:tcW w:w="786" w:type="pct"/>
            <w:tcBorders>
              <w:top w:val="single" w:color="auto" w:sz="4" w:space="0"/>
              <w:left w:val="single" w:color="auto" w:sz="4" w:space="0"/>
              <w:bottom w:val="single" w:color="auto" w:sz="4" w:space="0"/>
              <w:right w:val="single" w:color="auto" w:sz="4" w:space="0"/>
            </w:tcBorders>
            <w:vAlign w:val="center"/>
          </w:tcPr>
          <w:p w14:paraId="71FD473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噪声源调查方法</w:t>
            </w:r>
          </w:p>
        </w:tc>
        <w:tc>
          <w:tcPr>
            <w:tcW w:w="1220" w:type="pct"/>
            <w:gridSpan w:val="3"/>
            <w:tcBorders>
              <w:top w:val="single" w:color="auto" w:sz="4" w:space="0"/>
              <w:left w:val="single" w:color="auto" w:sz="4" w:space="0"/>
              <w:bottom w:val="single" w:color="auto" w:sz="4" w:space="0"/>
              <w:right w:val="single" w:color="auto" w:sz="4" w:space="0"/>
            </w:tcBorders>
            <w:vAlign w:val="center"/>
          </w:tcPr>
          <w:p w14:paraId="4D6FCF3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现场实测□</w:t>
            </w:r>
          </w:p>
        </w:tc>
        <w:tc>
          <w:tcPr>
            <w:tcW w:w="1218" w:type="pct"/>
            <w:gridSpan w:val="4"/>
            <w:tcBorders>
              <w:top w:val="single" w:color="auto" w:sz="4" w:space="0"/>
              <w:left w:val="single" w:color="auto" w:sz="4" w:space="0"/>
              <w:bottom w:val="single" w:color="auto" w:sz="4" w:space="0"/>
              <w:right w:val="single" w:color="auto" w:sz="4" w:space="0"/>
            </w:tcBorders>
            <w:vAlign w:val="center"/>
          </w:tcPr>
          <w:p w14:paraId="3E03859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已有资料</w:t>
            </w:r>
            <w:r>
              <w:rPr>
                <w:rFonts w:hint="eastAsia" w:ascii="Times New Roman" w:hAnsi="Times New Roman" w:cs="Times New Roman"/>
                <w:color w:val="auto"/>
                <w:sz w:val="21"/>
                <w:szCs w:val="21"/>
                <w:lang w:eastAsia="zh-CN"/>
              </w:rPr>
              <w:t>☑</w:t>
            </w:r>
          </w:p>
        </w:tc>
        <w:tc>
          <w:tcPr>
            <w:tcW w:w="1228" w:type="pct"/>
            <w:gridSpan w:val="4"/>
            <w:tcBorders>
              <w:top w:val="single" w:color="auto" w:sz="4" w:space="0"/>
              <w:left w:val="single" w:color="auto" w:sz="4" w:space="0"/>
              <w:bottom w:val="single" w:color="auto" w:sz="4" w:space="0"/>
              <w:right w:val="single" w:color="auto" w:sz="4" w:space="0"/>
            </w:tcBorders>
            <w:vAlign w:val="center"/>
          </w:tcPr>
          <w:p w14:paraId="707DBEA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研究成果□</w:t>
            </w:r>
          </w:p>
        </w:tc>
      </w:tr>
      <w:tr w14:paraId="6F1E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6" w:type="pct"/>
            <w:vMerge w:val="restart"/>
            <w:tcBorders>
              <w:top w:val="nil"/>
              <w:left w:val="single" w:color="auto" w:sz="4" w:space="0"/>
              <w:bottom w:val="single" w:color="auto" w:sz="4" w:space="0"/>
              <w:right w:val="single" w:color="auto" w:sz="4" w:space="0"/>
            </w:tcBorders>
            <w:vAlign w:val="center"/>
          </w:tcPr>
          <w:p w14:paraId="042994F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声环境影响预测与评价</w:t>
            </w:r>
          </w:p>
        </w:tc>
        <w:tc>
          <w:tcPr>
            <w:tcW w:w="786" w:type="pct"/>
            <w:tcBorders>
              <w:top w:val="single" w:color="auto" w:sz="4" w:space="0"/>
              <w:left w:val="single" w:color="auto" w:sz="4" w:space="0"/>
              <w:bottom w:val="single" w:color="auto" w:sz="4" w:space="0"/>
              <w:right w:val="single" w:color="auto" w:sz="4" w:space="0"/>
            </w:tcBorders>
            <w:vAlign w:val="center"/>
          </w:tcPr>
          <w:p w14:paraId="31BD095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预测模型</w:t>
            </w:r>
          </w:p>
        </w:tc>
        <w:tc>
          <w:tcPr>
            <w:tcW w:w="1220" w:type="pct"/>
            <w:gridSpan w:val="3"/>
            <w:tcBorders>
              <w:top w:val="single" w:color="auto" w:sz="4" w:space="0"/>
              <w:left w:val="single" w:color="auto" w:sz="4" w:space="0"/>
              <w:bottom w:val="single" w:color="auto" w:sz="4" w:space="0"/>
              <w:right w:val="single" w:color="auto" w:sz="4" w:space="0"/>
            </w:tcBorders>
            <w:vAlign w:val="center"/>
          </w:tcPr>
          <w:p w14:paraId="648E28E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导则推荐模型</w:t>
            </w:r>
            <w:r>
              <w:rPr>
                <w:rFonts w:hint="eastAsia" w:ascii="Times New Roman" w:hAnsi="Times New Roman" w:eastAsia="宋体" w:cs="Times New Roman"/>
                <w:color w:val="auto"/>
                <w:sz w:val="21"/>
                <w:szCs w:val="21"/>
                <w:lang w:eastAsia="zh-CN"/>
              </w:rPr>
              <w:t>☑</w:t>
            </w:r>
          </w:p>
        </w:tc>
        <w:tc>
          <w:tcPr>
            <w:tcW w:w="2446" w:type="pct"/>
            <w:gridSpan w:val="8"/>
            <w:tcBorders>
              <w:top w:val="single" w:color="auto" w:sz="4" w:space="0"/>
              <w:left w:val="single" w:color="auto" w:sz="4" w:space="0"/>
              <w:bottom w:val="single" w:color="auto" w:sz="4" w:space="0"/>
              <w:right w:val="single" w:color="auto" w:sz="4" w:space="0"/>
            </w:tcBorders>
            <w:vAlign w:val="center"/>
          </w:tcPr>
          <w:p w14:paraId="5464E8D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r>
              <w:rPr>
                <w:rFonts w:hint="default" w:ascii="Times New Roman" w:hAnsi="Times New Roman" w:eastAsia="宋体" w:cs="Times New Roman"/>
                <w:color w:val="auto"/>
                <w:sz w:val="21"/>
                <w:szCs w:val="21"/>
                <w:u w:val="single"/>
              </w:rPr>
              <w:t xml:space="preserve">           </w:t>
            </w:r>
            <w:r>
              <w:rPr>
                <w:rFonts w:hint="default" w:ascii="Times New Roman" w:hAnsi="Times New Roman" w:eastAsia="宋体" w:cs="Times New Roman"/>
                <w:color w:val="auto"/>
                <w:sz w:val="21"/>
                <w:szCs w:val="21"/>
              </w:rPr>
              <w:t xml:space="preserve"> </w:t>
            </w:r>
          </w:p>
        </w:tc>
      </w:tr>
      <w:tr w14:paraId="4106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545E78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86" w:type="pct"/>
            <w:tcBorders>
              <w:top w:val="single" w:color="auto" w:sz="4" w:space="0"/>
              <w:left w:val="single" w:color="auto" w:sz="4" w:space="0"/>
              <w:bottom w:val="single" w:color="auto" w:sz="4" w:space="0"/>
              <w:right w:val="single" w:color="auto" w:sz="4" w:space="0"/>
            </w:tcBorders>
            <w:vAlign w:val="center"/>
          </w:tcPr>
          <w:p w14:paraId="5C8F47A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预测范围</w:t>
            </w:r>
          </w:p>
        </w:tc>
        <w:tc>
          <w:tcPr>
            <w:tcW w:w="1220" w:type="pct"/>
            <w:gridSpan w:val="3"/>
            <w:tcBorders>
              <w:top w:val="single" w:color="auto" w:sz="4" w:space="0"/>
              <w:left w:val="single" w:color="auto" w:sz="4" w:space="0"/>
              <w:bottom w:val="single" w:color="auto" w:sz="4" w:space="0"/>
              <w:right w:val="single" w:color="auto" w:sz="4" w:space="0"/>
            </w:tcBorders>
            <w:vAlign w:val="center"/>
          </w:tcPr>
          <w:p w14:paraId="4054154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200 m</w:t>
            </w:r>
            <w:r>
              <w:rPr>
                <w:rFonts w:hint="eastAsia" w:cs="Times New Roman"/>
                <w:color w:val="auto"/>
                <w:sz w:val="21"/>
                <w:szCs w:val="21"/>
                <w:lang w:eastAsia="zh-CN"/>
              </w:rPr>
              <w:t>☑</w:t>
            </w:r>
          </w:p>
        </w:tc>
        <w:tc>
          <w:tcPr>
            <w:tcW w:w="938" w:type="pct"/>
            <w:gridSpan w:val="3"/>
            <w:tcBorders>
              <w:top w:val="single" w:color="auto" w:sz="4" w:space="0"/>
              <w:left w:val="single" w:color="auto" w:sz="4" w:space="0"/>
              <w:bottom w:val="single" w:color="auto" w:sz="4" w:space="0"/>
              <w:right w:val="single" w:color="auto" w:sz="4" w:space="0"/>
            </w:tcBorders>
            <w:vAlign w:val="center"/>
          </w:tcPr>
          <w:p w14:paraId="0433B80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大于200 m□</w:t>
            </w:r>
          </w:p>
        </w:tc>
        <w:tc>
          <w:tcPr>
            <w:tcW w:w="1508" w:type="pct"/>
            <w:gridSpan w:val="5"/>
            <w:tcBorders>
              <w:top w:val="single" w:color="auto" w:sz="4" w:space="0"/>
              <w:left w:val="single" w:color="auto" w:sz="4" w:space="0"/>
              <w:bottom w:val="single" w:color="auto" w:sz="4" w:space="0"/>
              <w:right w:val="single" w:color="auto" w:sz="4" w:space="0"/>
            </w:tcBorders>
            <w:vAlign w:val="center"/>
          </w:tcPr>
          <w:p w14:paraId="4A313F1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小于200 m</w:t>
            </w:r>
          </w:p>
        </w:tc>
      </w:tr>
      <w:tr w14:paraId="15E4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195FFD9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86" w:type="pct"/>
            <w:tcBorders>
              <w:top w:val="single" w:color="auto" w:sz="4" w:space="0"/>
              <w:left w:val="single" w:color="auto" w:sz="4" w:space="0"/>
              <w:bottom w:val="single" w:color="auto" w:sz="4" w:space="0"/>
              <w:right w:val="single" w:color="auto" w:sz="4" w:space="0"/>
            </w:tcBorders>
            <w:vAlign w:val="center"/>
          </w:tcPr>
          <w:p w14:paraId="734D079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w:t>
            </w:r>
          </w:p>
        </w:tc>
        <w:tc>
          <w:tcPr>
            <w:tcW w:w="1220" w:type="pct"/>
            <w:gridSpan w:val="3"/>
            <w:tcBorders>
              <w:top w:val="single" w:color="auto" w:sz="4" w:space="0"/>
              <w:left w:val="single" w:color="auto" w:sz="4" w:space="0"/>
              <w:bottom w:val="single" w:color="auto" w:sz="4" w:space="0"/>
              <w:right w:val="single" w:color="auto" w:sz="4" w:space="0"/>
            </w:tcBorders>
            <w:vAlign w:val="center"/>
          </w:tcPr>
          <w:p w14:paraId="15C1B2A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等效连续A声级</w:t>
            </w:r>
            <w:r>
              <w:rPr>
                <w:rFonts w:hint="eastAsia" w:ascii="Times New Roman" w:hAnsi="Times New Roman" w:eastAsia="宋体" w:cs="Times New Roman"/>
                <w:color w:val="auto"/>
                <w:sz w:val="21"/>
                <w:szCs w:val="21"/>
                <w:lang w:eastAsia="zh-CN"/>
              </w:rPr>
              <w:t>☑</w:t>
            </w:r>
          </w:p>
        </w:tc>
        <w:tc>
          <w:tcPr>
            <w:tcW w:w="938" w:type="pct"/>
            <w:gridSpan w:val="3"/>
            <w:tcBorders>
              <w:top w:val="single" w:color="auto" w:sz="4" w:space="0"/>
              <w:left w:val="single" w:color="auto" w:sz="4" w:space="0"/>
              <w:bottom w:val="single" w:color="auto" w:sz="4" w:space="0"/>
              <w:right w:val="single" w:color="auto" w:sz="4" w:space="0"/>
            </w:tcBorders>
            <w:vAlign w:val="center"/>
          </w:tcPr>
          <w:p w14:paraId="107ED97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最大A声级□</w:t>
            </w:r>
          </w:p>
        </w:tc>
        <w:tc>
          <w:tcPr>
            <w:tcW w:w="1508" w:type="pct"/>
            <w:gridSpan w:val="5"/>
            <w:tcBorders>
              <w:top w:val="single" w:color="auto" w:sz="4" w:space="0"/>
              <w:left w:val="single" w:color="auto" w:sz="4" w:space="0"/>
              <w:bottom w:val="single" w:color="auto" w:sz="4" w:space="0"/>
              <w:right w:val="single" w:color="auto" w:sz="4" w:space="0"/>
            </w:tcBorders>
            <w:vAlign w:val="center"/>
          </w:tcPr>
          <w:p w14:paraId="0F86071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计权等效连续感觉噪声级□</w:t>
            </w:r>
          </w:p>
        </w:tc>
      </w:tr>
      <w:tr w14:paraId="14E7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C3E64C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86" w:type="pct"/>
            <w:tcBorders>
              <w:top w:val="single" w:color="auto" w:sz="4" w:space="0"/>
              <w:left w:val="single" w:color="auto" w:sz="4" w:space="0"/>
              <w:bottom w:val="single" w:color="auto" w:sz="4" w:space="0"/>
              <w:right w:val="single" w:color="auto" w:sz="4" w:space="0"/>
            </w:tcBorders>
            <w:vAlign w:val="center"/>
          </w:tcPr>
          <w:p w14:paraId="12822F0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厂界噪声贡献值</w:t>
            </w:r>
          </w:p>
        </w:tc>
        <w:tc>
          <w:tcPr>
            <w:tcW w:w="1797" w:type="pct"/>
            <w:gridSpan w:val="4"/>
            <w:tcBorders>
              <w:top w:val="single" w:color="auto" w:sz="4" w:space="0"/>
              <w:left w:val="single" w:color="auto" w:sz="4" w:space="0"/>
              <w:bottom w:val="single" w:color="auto" w:sz="4" w:space="0"/>
              <w:right w:val="single" w:color="auto" w:sz="4" w:space="0"/>
            </w:tcBorders>
            <w:vAlign w:val="center"/>
          </w:tcPr>
          <w:p w14:paraId="527E75C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达标</w:t>
            </w:r>
            <w:r>
              <w:rPr>
                <w:rFonts w:hint="eastAsia" w:ascii="Times New Roman" w:hAnsi="Times New Roman" w:eastAsia="宋体" w:cs="Times New Roman"/>
                <w:color w:val="auto"/>
                <w:sz w:val="21"/>
                <w:szCs w:val="21"/>
                <w:lang w:eastAsia="zh-CN"/>
              </w:rPr>
              <w:t>☑</w:t>
            </w:r>
          </w:p>
        </w:tc>
        <w:tc>
          <w:tcPr>
            <w:tcW w:w="1869" w:type="pct"/>
            <w:gridSpan w:val="7"/>
            <w:tcBorders>
              <w:top w:val="single" w:color="auto" w:sz="4" w:space="0"/>
              <w:left w:val="single" w:color="auto" w:sz="4" w:space="0"/>
              <w:bottom w:val="single" w:color="auto" w:sz="4" w:space="0"/>
              <w:right w:val="single" w:color="auto" w:sz="4" w:space="0"/>
            </w:tcBorders>
            <w:vAlign w:val="center"/>
          </w:tcPr>
          <w:p w14:paraId="3A748F6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不达标□</w:t>
            </w:r>
          </w:p>
        </w:tc>
      </w:tr>
      <w:tr w14:paraId="5F14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755B9F0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86" w:type="pct"/>
            <w:tcBorders>
              <w:top w:val="single" w:color="auto" w:sz="4" w:space="0"/>
              <w:left w:val="single" w:color="auto" w:sz="4" w:space="0"/>
              <w:bottom w:val="single" w:color="auto" w:sz="4" w:space="0"/>
              <w:right w:val="single" w:color="auto" w:sz="4" w:space="0"/>
            </w:tcBorders>
            <w:vAlign w:val="center"/>
          </w:tcPr>
          <w:p w14:paraId="6074E0D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声环境保护目标处噪声值</w:t>
            </w:r>
          </w:p>
        </w:tc>
        <w:tc>
          <w:tcPr>
            <w:tcW w:w="1797" w:type="pct"/>
            <w:gridSpan w:val="4"/>
            <w:tcBorders>
              <w:top w:val="single" w:color="auto" w:sz="4" w:space="0"/>
              <w:left w:val="single" w:color="auto" w:sz="4" w:space="0"/>
              <w:bottom w:val="single" w:color="auto" w:sz="4" w:space="0"/>
              <w:right w:val="single" w:color="auto" w:sz="4" w:space="0"/>
            </w:tcBorders>
            <w:vAlign w:val="center"/>
          </w:tcPr>
          <w:p w14:paraId="4184D42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869" w:type="pct"/>
            <w:gridSpan w:val="7"/>
            <w:tcBorders>
              <w:top w:val="single" w:color="auto" w:sz="4" w:space="0"/>
              <w:left w:val="single" w:color="auto" w:sz="4" w:space="0"/>
              <w:bottom w:val="single" w:color="auto" w:sz="4" w:space="0"/>
              <w:right w:val="single" w:color="auto" w:sz="4" w:space="0"/>
            </w:tcBorders>
            <w:vAlign w:val="center"/>
          </w:tcPr>
          <w:p w14:paraId="6920ED4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不达标□</w:t>
            </w:r>
          </w:p>
        </w:tc>
      </w:tr>
      <w:tr w14:paraId="014A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6" w:type="pct"/>
            <w:vMerge w:val="restart"/>
            <w:tcBorders>
              <w:top w:val="nil"/>
              <w:left w:val="single" w:color="auto" w:sz="4" w:space="0"/>
              <w:bottom w:val="single" w:color="auto" w:sz="4" w:space="0"/>
              <w:right w:val="single" w:color="auto" w:sz="4" w:space="0"/>
            </w:tcBorders>
            <w:vAlign w:val="center"/>
          </w:tcPr>
          <w:p w14:paraId="70CF885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环境监测计划</w:t>
            </w:r>
          </w:p>
        </w:tc>
        <w:tc>
          <w:tcPr>
            <w:tcW w:w="786" w:type="pct"/>
            <w:tcBorders>
              <w:top w:val="single" w:color="auto" w:sz="4" w:space="0"/>
              <w:left w:val="single" w:color="auto" w:sz="4" w:space="0"/>
              <w:bottom w:val="single" w:color="auto" w:sz="4" w:space="0"/>
              <w:right w:val="single" w:color="auto" w:sz="4" w:space="0"/>
            </w:tcBorders>
            <w:vAlign w:val="center"/>
          </w:tcPr>
          <w:p w14:paraId="3B41EA1B">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排放监测</w:t>
            </w:r>
          </w:p>
        </w:tc>
        <w:tc>
          <w:tcPr>
            <w:tcW w:w="1797" w:type="pct"/>
            <w:gridSpan w:val="4"/>
            <w:tcBorders>
              <w:top w:val="single" w:color="auto" w:sz="4" w:space="0"/>
              <w:left w:val="single" w:color="auto" w:sz="4" w:space="0"/>
              <w:bottom w:val="single" w:color="auto" w:sz="4" w:space="0"/>
              <w:right w:val="single" w:color="auto" w:sz="4" w:space="0"/>
            </w:tcBorders>
            <w:vAlign w:val="center"/>
          </w:tcPr>
          <w:p w14:paraId="4B44C01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厂界监测□    固定位置监测□</w:t>
            </w:r>
          </w:p>
        </w:tc>
        <w:tc>
          <w:tcPr>
            <w:tcW w:w="1132" w:type="pct"/>
            <w:gridSpan w:val="5"/>
            <w:tcBorders>
              <w:top w:val="single" w:color="auto" w:sz="4" w:space="0"/>
              <w:left w:val="single" w:color="auto" w:sz="4" w:space="0"/>
              <w:bottom w:val="single" w:color="auto" w:sz="4" w:space="0"/>
              <w:right w:val="single" w:color="auto" w:sz="4" w:space="0"/>
            </w:tcBorders>
            <w:vAlign w:val="center"/>
          </w:tcPr>
          <w:p w14:paraId="6664743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自动监测□</w:t>
            </w:r>
          </w:p>
          <w:p w14:paraId="343A569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手动监测□</w:t>
            </w:r>
          </w:p>
        </w:tc>
        <w:tc>
          <w:tcPr>
            <w:tcW w:w="737" w:type="pct"/>
            <w:gridSpan w:val="2"/>
            <w:tcBorders>
              <w:top w:val="single" w:color="auto" w:sz="4" w:space="0"/>
              <w:left w:val="single" w:color="auto" w:sz="4" w:space="0"/>
              <w:bottom w:val="single" w:color="auto" w:sz="4" w:space="0"/>
              <w:right w:val="single" w:color="auto" w:sz="4" w:space="0"/>
            </w:tcBorders>
            <w:vAlign w:val="center"/>
          </w:tcPr>
          <w:p w14:paraId="04B73FF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无监测</w:t>
            </w:r>
            <w:r>
              <w:rPr>
                <w:rFonts w:hint="eastAsia" w:ascii="Times New Roman" w:hAnsi="Times New Roman" w:cs="Times New Roman"/>
                <w:color w:val="auto"/>
                <w:sz w:val="21"/>
                <w:szCs w:val="21"/>
                <w:lang w:eastAsia="zh-CN"/>
              </w:rPr>
              <w:t>☑</w:t>
            </w:r>
          </w:p>
        </w:tc>
      </w:tr>
      <w:tr w14:paraId="0436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5B5F28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786" w:type="pct"/>
            <w:tcBorders>
              <w:top w:val="single" w:color="auto" w:sz="4" w:space="0"/>
              <w:left w:val="single" w:color="auto" w:sz="4" w:space="0"/>
              <w:bottom w:val="single" w:color="auto" w:sz="4" w:space="0"/>
              <w:right w:val="single" w:color="auto" w:sz="4" w:space="0"/>
            </w:tcBorders>
            <w:vAlign w:val="center"/>
          </w:tcPr>
          <w:p w14:paraId="6D5C233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声环境保护目标处噪声监测</w:t>
            </w:r>
          </w:p>
        </w:tc>
        <w:tc>
          <w:tcPr>
            <w:tcW w:w="1797" w:type="pct"/>
            <w:gridSpan w:val="4"/>
            <w:tcBorders>
              <w:top w:val="single" w:color="auto" w:sz="4" w:space="0"/>
              <w:left w:val="single" w:color="auto" w:sz="4" w:space="0"/>
              <w:bottom w:val="single" w:color="auto" w:sz="4" w:space="0"/>
              <w:right w:val="single" w:color="auto" w:sz="4" w:space="0"/>
            </w:tcBorders>
            <w:vAlign w:val="center"/>
          </w:tcPr>
          <w:p w14:paraId="441227A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监测因子：（等效连续A声级）</w:t>
            </w:r>
          </w:p>
        </w:tc>
        <w:tc>
          <w:tcPr>
            <w:tcW w:w="1132" w:type="pct"/>
            <w:gridSpan w:val="5"/>
            <w:tcBorders>
              <w:top w:val="single" w:color="auto" w:sz="4" w:space="0"/>
              <w:left w:val="single" w:color="auto" w:sz="4" w:space="0"/>
              <w:bottom w:val="single" w:color="auto" w:sz="4" w:space="0"/>
              <w:right w:val="single" w:color="auto" w:sz="4" w:space="0"/>
            </w:tcBorders>
            <w:vAlign w:val="center"/>
          </w:tcPr>
          <w:p w14:paraId="040AB77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监测点位</w:t>
            </w:r>
            <w:r>
              <w:rPr>
                <w:rFonts w:hint="eastAsia" w:cs="Times New Roman"/>
                <w:color w:val="auto"/>
                <w:sz w:val="21"/>
                <w:szCs w:val="21"/>
                <w:lang w:val="en-US" w:eastAsia="zh-CN"/>
              </w:rPr>
              <w:t>数</w:t>
            </w:r>
          </w:p>
        </w:tc>
        <w:tc>
          <w:tcPr>
            <w:tcW w:w="737" w:type="pct"/>
            <w:gridSpan w:val="2"/>
            <w:tcBorders>
              <w:top w:val="single" w:color="auto" w:sz="4" w:space="0"/>
              <w:left w:val="single" w:color="auto" w:sz="4" w:space="0"/>
              <w:bottom w:val="single" w:color="auto" w:sz="4" w:space="0"/>
              <w:right w:val="single" w:color="auto" w:sz="4" w:space="0"/>
            </w:tcBorders>
            <w:vAlign w:val="center"/>
          </w:tcPr>
          <w:p w14:paraId="164412B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无监测</w:t>
            </w:r>
            <w:r>
              <w:rPr>
                <w:rFonts w:hint="eastAsia" w:cs="Times New Roman"/>
                <w:color w:val="auto"/>
                <w:sz w:val="21"/>
                <w:szCs w:val="21"/>
                <w:lang w:eastAsia="zh-CN"/>
              </w:rPr>
              <w:t>☑</w:t>
            </w:r>
          </w:p>
        </w:tc>
      </w:tr>
      <w:tr w14:paraId="28DB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6" w:type="pct"/>
            <w:tcBorders>
              <w:top w:val="single" w:color="auto" w:sz="4" w:space="0"/>
              <w:left w:val="single" w:color="auto" w:sz="4" w:space="0"/>
              <w:bottom w:val="single" w:color="auto" w:sz="4" w:space="0"/>
              <w:right w:val="single" w:color="auto" w:sz="4" w:space="0"/>
            </w:tcBorders>
            <w:vAlign w:val="center"/>
          </w:tcPr>
          <w:p w14:paraId="2043433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786" w:type="pct"/>
            <w:tcBorders>
              <w:top w:val="single" w:color="auto" w:sz="4" w:space="0"/>
              <w:left w:val="single" w:color="auto" w:sz="4" w:space="0"/>
              <w:bottom w:val="single" w:color="auto" w:sz="4" w:space="0"/>
              <w:right w:val="single" w:color="auto" w:sz="4" w:space="0"/>
            </w:tcBorders>
            <w:vAlign w:val="center"/>
          </w:tcPr>
          <w:p w14:paraId="69A2808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w:t>
            </w:r>
          </w:p>
        </w:tc>
        <w:tc>
          <w:tcPr>
            <w:tcW w:w="3667" w:type="pct"/>
            <w:gridSpan w:val="11"/>
            <w:tcBorders>
              <w:top w:val="single" w:color="auto" w:sz="4" w:space="0"/>
              <w:left w:val="single" w:color="auto" w:sz="4" w:space="0"/>
              <w:bottom w:val="single" w:color="auto" w:sz="4" w:space="0"/>
              <w:right w:val="single" w:color="auto" w:sz="4" w:space="0"/>
            </w:tcBorders>
            <w:vAlign w:val="center"/>
          </w:tcPr>
          <w:p w14:paraId="1B34A213">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可行√        不可行□</w:t>
            </w:r>
          </w:p>
        </w:tc>
      </w:tr>
      <w:tr w14:paraId="5523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21F5241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 为勾选项 ，可√ ；“（   ）” 为内容填写项。</w:t>
            </w:r>
          </w:p>
        </w:tc>
      </w:tr>
    </w:tbl>
    <w:p w14:paraId="4D08B5A7">
      <w:pPr>
        <w:pStyle w:val="5"/>
        <w:bidi w:val="0"/>
        <w:rPr>
          <w:rFonts w:hint="default"/>
          <w:color w:val="auto"/>
          <w:lang w:val="en-US" w:eastAsia="zh-CN"/>
        </w:rPr>
      </w:pPr>
      <w:r>
        <w:rPr>
          <w:rFonts w:hint="eastAsia"/>
          <w:color w:val="auto"/>
          <w:lang w:val="en-US" w:eastAsia="zh-CN"/>
        </w:rPr>
        <w:t>5.2.5运营期固体废物影响分析</w:t>
      </w:r>
    </w:p>
    <w:p w14:paraId="7D3995CE">
      <w:pPr>
        <w:pStyle w:val="11"/>
        <w:bidi w:val="0"/>
        <w:rPr>
          <w:rFonts w:ascii="Times New Roman" w:hAnsi="Times New Roman" w:eastAsia="宋体"/>
          <w:color w:val="auto"/>
        </w:rPr>
      </w:pPr>
      <w:r>
        <w:rPr>
          <w:rFonts w:ascii="Times New Roman" w:hAnsi="Times New Roman" w:eastAsia="宋体"/>
          <w:color w:val="auto"/>
        </w:rPr>
        <w:t>本项目</w:t>
      </w:r>
      <w:r>
        <w:rPr>
          <w:rFonts w:ascii="Times New Roman" w:hAnsi="Times New Roman" w:eastAsia="宋体"/>
          <w:color w:val="auto"/>
          <w:lang w:eastAsia="zh"/>
        </w:rPr>
        <w:t>不新增劳动定员，</w:t>
      </w:r>
      <w:r>
        <w:rPr>
          <w:rFonts w:hint="eastAsia" w:ascii="Times New Roman" w:hAnsi="Times New Roman" w:eastAsia="宋体"/>
          <w:color w:val="auto"/>
          <w:lang w:eastAsia="zh-CN"/>
        </w:rPr>
        <w:t>运营</w:t>
      </w:r>
      <w:r>
        <w:rPr>
          <w:rFonts w:ascii="Times New Roman" w:hAnsi="Times New Roman" w:eastAsia="宋体"/>
          <w:color w:val="auto"/>
          <w:lang w:eastAsia="zh"/>
        </w:rPr>
        <w:t>期不涉及生活垃圾，项目</w:t>
      </w:r>
      <w:r>
        <w:rPr>
          <w:rFonts w:hint="eastAsia" w:ascii="Times New Roman" w:hAnsi="Times New Roman" w:eastAsia="宋体"/>
          <w:color w:val="auto"/>
          <w:lang w:eastAsia="zh-CN"/>
        </w:rPr>
        <w:t>运营</w:t>
      </w:r>
      <w:r>
        <w:rPr>
          <w:rFonts w:ascii="Times New Roman" w:hAnsi="Times New Roman" w:eastAsia="宋体"/>
          <w:color w:val="auto"/>
        </w:rPr>
        <w:t>期产生的固体废物有落地油、含油污泥、</w:t>
      </w:r>
      <w:r>
        <w:rPr>
          <w:rFonts w:hint="eastAsia" w:ascii="Times New Roman" w:hAnsi="Times New Roman" w:eastAsia="宋体"/>
          <w:color w:val="auto"/>
          <w:lang w:val="en-US" w:eastAsia="zh-CN"/>
        </w:rPr>
        <w:t>沾油废物</w:t>
      </w:r>
      <w:r>
        <w:rPr>
          <w:rFonts w:ascii="Times New Roman" w:hAnsi="Times New Roman" w:eastAsia="宋体"/>
          <w:color w:val="auto"/>
        </w:rPr>
        <w:t>。按照《国家危险废物名录（202</w:t>
      </w:r>
      <w:r>
        <w:rPr>
          <w:rFonts w:hint="eastAsia" w:ascii="Times New Roman" w:hAnsi="Times New Roman" w:eastAsia="宋体"/>
          <w:color w:val="auto"/>
          <w:lang w:val="en-US" w:eastAsia="zh-CN"/>
        </w:rPr>
        <w:t>5</w:t>
      </w:r>
      <w:r>
        <w:rPr>
          <w:rFonts w:ascii="Times New Roman" w:hAnsi="Times New Roman" w:eastAsia="宋体"/>
          <w:color w:val="auto"/>
        </w:rPr>
        <w:t>年版）》分类，落地油、含油污泥、</w:t>
      </w:r>
      <w:r>
        <w:rPr>
          <w:rFonts w:hint="eastAsia" w:ascii="Times New Roman" w:hAnsi="Times New Roman" w:eastAsia="宋体"/>
          <w:color w:val="auto"/>
          <w:lang w:val="en-US" w:eastAsia="zh-CN"/>
        </w:rPr>
        <w:t>沾油废物</w:t>
      </w:r>
      <w:r>
        <w:rPr>
          <w:rFonts w:ascii="Times New Roman" w:hAnsi="Times New Roman" w:eastAsia="宋体"/>
          <w:color w:val="auto"/>
        </w:rPr>
        <w:t>属危险废物。</w:t>
      </w:r>
    </w:p>
    <w:p w14:paraId="18472670">
      <w:pPr>
        <w:pStyle w:val="11"/>
        <w:bidi w:val="0"/>
        <w:rPr>
          <w:rFonts w:ascii="Times New Roman" w:hAnsi="Times New Roman" w:eastAsia="宋体"/>
          <w:color w:val="auto"/>
        </w:rPr>
      </w:pPr>
      <w:r>
        <w:rPr>
          <w:rFonts w:ascii="Times New Roman" w:hAnsi="Times New Roman" w:eastAsia="宋体"/>
          <w:color w:val="auto"/>
        </w:rPr>
        <w:t>（1）落地油环境影响分析</w:t>
      </w:r>
    </w:p>
    <w:p w14:paraId="51E7ACE2">
      <w:pPr>
        <w:pStyle w:val="11"/>
        <w:bidi w:val="0"/>
        <w:rPr>
          <w:rFonts w:ascii="Times New Roman" w:hAnsi="Times New Roman" w:eastAsia="宋体"/>
          <w:color w:val="auto"/>
        </w:rPr>
      </w:pPr>
      <w:r>
        <w:rPr>
          <w:rFonts w:ascii="Times New Roman" w:hAnsi="Times New Roman" w:eastAsia="宋体"/>
          <w:color w:val="auto"/>
        </w:rPr>
        <w:t>井区</w:t>
      </w:r>
      <w:r>
        <w:rPr>
          <w:rFonts w:hint="eastAsia" w:ascii="Times New Roman" w:hAnsi="Times New Roman" w:eastAsia="宋体"/>
          <w:color w:val="auto"/>
          <w:lang w:val="en-US" w:eastAsia="zh-CN"/>
        </w:rPr>
        <w:t>运营</w:t>
      </w:r>
      <w:r>
        <w:rPr>
          <w:rFonts w:ascii="Times New Roman" w:hAnsi="Times New Roman" w:eastAsia="宋体"/>
          <w:color w:val="auto"/>
        </w:rPr>
        <w:t>期落地油主要在修井、洗井过</w:t>
      </w:r>
      <w:r>
        <w:rPr>
          <w:rFonts w:hint="eastAsia"/>
          <w:color w:val="auto"/>
          <w:lang w:eastAsia="zh-CN"/>
        </w:rPr>
        <w:t>程中</w:t>
      </w:r>
      <w:r>
        <w:rPr>
          <w:rFonts w:ascii="Times New Roman" w:hAnsi="Times New Roman" w:eastAsia="宋体"/>
          <w:color w:val="auto"/>
        </w:rPr>
        <w:t>产生，通过在井场地面覆盖防渗布，可将落地油全部回收，避免落地油对环境产生影响。</w:t>
      </w:r>
    </w:p>
    <w:p w14:paraId="7DDF0B80">
      <w:pPr>
        <w:pStyle w:val="11"/>
        <w:bidi w:val="0"/>
        <w:rPr>
          <w:rFonts w:ascii="Times New Roman" w:hAnsi="Times New Roman" w:eastAsia="宋体"/>
          <w:color w:val="auto"/>
        </w:rPr>
      </w:pPr>
      <w:r>
        <w:rPr>
          <w:rFonts w:ascii="Times New Roman" w:hAnsi="Times New Roman" w:eastAsia="宋体"/>
          <w:color w:val="auto"/>
        </w:rPr>
        <w:t>由于井区开发区域广，油井数量多，修井、洗井、采油等生产过</w:t>
      </w:r>
      <w:r>
        <w:rPr>
          <w:rFonts w:hint="eastAsia"/>
          <w:color w:val="auto"/>
          <w:lang w:eastAsia="zh-CN"/>
        </w:rPr>
        <w:t>程中</w:t>
      </w:r>
      <w:r>
        <w:rPr>
          <w:rFonts w:ascii="Times New Roman" w:hAnsi="Times New Roman" w:eastAsia="宋体"/>
          <w:color w:val="auto"/>
        </w:rPr>
        <w:t>产生的少量落地油，若不及时清理，产生污染。</w:t>
      </w:r>
    </w:p>
    <w:p w14:paraId="0973121F">
      <w:pPr>
        <w:pStyle w:val="11"/>
        <w:bidi w:val="0"/>
        <w:rPr>
          <w:rFonts w:ascii="Times New Roman" w:hAnsi="Times New Roman" w:eastAsia="宋体"/>
          <w:color w:val="auto"/>
        </w:rPr>
      </w:pPr>
      <w:r>
        <w:rPr>
          <w:rFonts w:ascii="Times New Roman" w:hAnsi="Times New Roman" w:eastAsia="宋体"/>
          <w:color w:val="auto"/>
        </w:rPr>
        <w:t>井区开发过程中的少量落地油主要集中在井场内，由于井场采取了落地油回收处置措施。</w:t>
      </w:r>
    </w:p>
    <w:p w14:paraId="2038870F">
      <w:pPr>
        <w:pStyle w:val="11"/>
        <w:bidi w:val="0"/>
        <w:rPr>
          <w:rFonts w:ascii="Times New Roman" w:hAnsi="Times New Roman" w:eastAsia="宋体"/>
          <w:color w:val="auto"/>
        </w:rPr>
      </w:pPr>
      <w:r>
        <w:rPr>
          <w:rFonts w:ascii="Times New Roman" w:hAnsi="Times New Roman" w:eastAsia="宋体"/>
          <w:color w:val="auto"/>
        </w:rPr>
        <w:t>综上所述，只要按照《危险废物贮存污染控制标准》（GB18597-20</w:t>
      </w:r>
      <w:r>
        <w:rPr>
          <w:rFonts w:hint="eastAsia" w:ascii="Times New Roman" w:hAnsi="Times New Roman" w:eastAsia="宋体"/>
          <w:color w:val="auto"/>
          <w:lang w:val="en-US" w:eastAsia="zh-CN"/>
        </w:rPr>
        <w:t>23</w:t>
      </w:r>
      <w:r>
        <w:rPr>
          <w:rFonts w:ascii="Times New Roman" w:hAnsi="Times New Roman" w:eastAsia="宋体"/>
          <w:color w:val="auto"/>
        </w:rPr>
        <w:t>）等相关标准对落地原油采取相应的回收和防治措施，井区开发产生的落地油对环境影响小。</w:t>
      </w:r>
    </w:p>
    <w:p w14:paraId="4CC70522">
      <w:pPr>
        <w:pStyle w:val="11"/>
        <w:bidi w:val="0"/>
        <w:rPr>
          <w:rFonts w:ascii="Times New Roman" w:hAnsi="Times New Roman" w:eastAsia="宋体"/>
          <w:color w:val="auto"/>
        </w:rPr>
      </w:pPr>
      <w:r>
        <w:rPr>
          <w:rFonts w:ascii="Times New Roman" w:hAnsi="Times New Roman" w:eastAsia="宋体"/>
          <w:color w:val="auto"/>
        </w:rPr>
        <w:t>（2）含油污泥对环境影响分析</w:t>
      </w:r>
    </w:p>
    <w:p w14:paraId="17516C93">
      <w:pPr>
        <w:pStyle w:val="11"/>
        <w:bidi w:val="0"/>
        <w:rPr>
          <w:rFonts w:ascii="Times New Roman" w:hAnsi="Times New Roman" w:eastAsia="宋体"/>
          <w:color w:val="auto"/>
        </w:rPr>
      </w:pPr>
      <w:r>
        <w:rPr>
          <w:rFonts w:hint="eastAsia" w:ascii="Times New Roman" w:hAnsi="Times New Roman" w:eastAsia="宋体"/>
          <w:color w:val="auto"/>
          <w:lang w:eastAsia="zh-CN"/>
        </w:rPr>
        <w:t>运营</w:t>
      </w:r>
      <w:r>
        <w:rPr>
          <w:rFonts w:ascii="Times New Roman" w:hAnsi="Times New Roman" w:eastAsia="宋体"/>
          <w:color w:val="auto"/>
        </w:rPr>
        <w:t>期含油污泥主要来自原油脱水和采出水的处理过程中，各类处理容器和构筑物均会产生含油污泥。若不处理直接排放，将对周围土壤、水体、空气造成污染。</w:t>
      </w:r>
    </w:p>
    <w:p w14:paraId="7000C8CC">
      <w:pPr>
        <w:pStyle w:val="11"/>
        <w:bidi w:val="0"/>
        <w:rPr>
          <w:rFonts w:ascii="Times New Roman" w:hAnsi="Times New Roman" w:eastAsia="宋体"/>
          <w:color w:val="auto"/>
        </w:rPr>
      </w:pPr>
      <w:r>
        <w:rPr>
          <w:rFonts w:ascii="Times New Roman" w:hAnsi="Times New Roman" w:eastAsia="宋体"/>
          <w:color w:val="auto"/>
        </w:rPr>
        <w:t>站场产生的含油污泥及时清运至含油污泥暂存点进行暂存，定期送有资质单位进行处置，处置率100%，对环境影响较小。</w:t>
      </w:r>
    </w:p>
    <w:p w14:paraId="412C4E68">
      <w:pPr>
        <w:pStyle w:val="11"/>
        <w:bidi w:val="0"/>
        <w:rPr>
          <w:rFonts w:ascii="Times New Roman" w:hAnsi="Times New Roman" w:eastAsia="宋体"/>
          <w:color w:val="auto"/>
        </w:rPr>
      </w:pPr>
      <w:r>
        <w:rPr>
          <w:rFonts w:ascii="Times New Roman" w:hAnsi="Times New Roman" w:eastAsia="宋体"/>
          <w:color w:val="auto"/>
        </w:rPr>
        <w:t>（3）</w:t>
      </w:r>
      <w:r>
        <w:rPr>
          <w:rFonts w:hint="eastAsia" w:ascii="Times New Roman" w:hAnsi="Times New Roman" w:eastAsia="宋体"/>
          <w:color w:val="auto"/>
          <w:lang w:val="en-US" w:eastAsia="zh-CN"/>
        </w:rPr>
        <w:t>沾油废物</w:t>
      </w:r>
      <w:r>
        <w:rPr>
          <w:rFonts w:ascii="Times New Roman" w:hAnsi="Times New Roman" w:eastAsia="宋体"/>
          <w:color w:val="auto"/>
        </w:rPr>
        <w:t>影响分析</w:t>
      </w:r>
    </w:p>
    <w:p w14:paraId="757CF26F">
      <w:pPr>
        <w:pStyle w:val="11"/>
        <w:bidi w:val="0"/>
        <w:rPr>
          <w:rFonts w:ascii="Times New Roman" w:hAnsi="Times New Roman" w:eastAsia="宋体"/>
          <w:color w:val="auto"/>
        </w:rPr>
      </w:pPr>
      <w:r>
        <w:rPr>
          <w:rFonts w:hint="eastAsia" w:ascii="Times New Roman" w:hAnsi="Times New Roman" w:eastAsia="宋体"/>
          <w:color w:val="auto"/>
          <w:lang w:val="en-US" w:eastAsia="zh-CN"/>
        </w:rPr>
        <w:t>运营期</w:t>
      </w:r>
      <w:r>
        <w:rPr>
          <w:rFonts w:ascii="Times New Roman" w:hAnsi="Times New Roman" w:eastAsia="宋体"/>
          <w:color w:val="auto"/>
        </w:rPr>
        <w:t>设备维护及修井作业产生的废防渗布，产生量约1.2t/a，在</w:t>
      </w:r>
      <w:r>
        <w:rPr>
          <w:rFonts w:hint="eastAsia" w:ascii="Times New Roman" w:hAnsi="Times New Roman" w:eastAsia="宋体"/>
          <w:color w:val="auto"/>
          <w:lang w:val="en-US" w:eastAsia="zh-CN"/>
        </w:rPr>
        <w:t>危险废物储</w:t>
      </w:r>
      <w:r>
        <w:rPr>
          <w:rFonts w:ascii="Times New Roman" w:hAnsi="Times New Roman" w:eastAsia="宋体"/>
          <w:color w:val="auto"/>
        </w:rPr>
        <w:t>存点暂存后定期交由有资质单位进行处置。</w:t>
      </w:r>
    </w:p>
    <w:p w14:paraId="4F3C1745">
      <w:pPr>
        <w:pStyle w:val="11"/>
        <w:bidi w:val="0"/>
        <w:rPr>
          <w:rFonts w:ascii="Times New Roman" w:hAnsi="Times New Roman" w:eastAsia="宋体"/>
          <w:color w:val="auto"/>
        </w:rPr>
      </w:pPr>
      <w:r>
        <w:rPr>
          <w:rFonts w:ascii="Times New Roman" w:hAnsi="Times New Roman" w:eastAsia="宋体"/>
          <w:color w:val="auto"/>
        </w:rPr>
        <w:t>综上所述，本项目产生的固体废物均可得到合理处置，处置率可达100%，对环境影响较小。</w:t>
      </w:r>
    </w:p>
    <w:p w14:paraId="0A0C61C5">
      <w:pPr>
        <w:pStyle w:val="5"/>
        <w:bidi w:val="0"/>
        <w:rPr>
          <w:rFonts w:hint="default"/>
          <w:color w:val="auto"/>
          <w:lang w:val="en-US" w:eastAsia="zh-CN"/>
        </w:rPr>
      </w:pPr>
      <w:r>
        <w:rPr>
          <w:rFonts w:hint="eastAsia"/>
          <w:color w:val="auto"/>
          <w:lang w:val="en-US" w:eastAsia="zh-CN"/>
        </w:rPr>
        <w:t>5.2.6运营期土壤环境影响预测与评价</w:t>
      </w:r>
    </w:p>
    <w:p w14:paraId="0C0AA76E">
      <w:pPr>
        <w:pStyle w:val="6"/>
        <w:bidi w:val="0"/>
        <w:rPr>
          <w:rFonts w:hint="default"/>
          <w:color w:val="auto"/>
          <w:lang w:val="en-US" w:eastAsia="zh-CN"/>
        </w:rPr>
      </w:pPr>
      <w:r>
        <w:rPr>
          <w:rFonts w:hint="eastAsia"/>
          <w:color w:val="auto"/>
          <w:lang w:val="en-US" w:eastAsia="zh-CN"/>
        </w:rPr>
        <w:t>5.2.6.1运营期土壤环境影响分析</w:t>
      </w:r>
    </w:p>
    <w:p w14:paraId="33F6F696">
      <w:pPr>
        <w:pStyle w:val="11"/>
        <w:bidi w:val="0"/>
        <w:rPr>
          <w:rFonts w:ascii="Times New Roman" w:hAnsi="Times New Roman" w:eastAsia="宋体"/>
          <w:color w:val="auto"/>
        </w:rPr>
      </w:pPr>
      <w:r>
        <w:rPr>
          <w:rFonts w:ascii="Times New Roman" w:hAnsi="Times New Roman" w:eastAsia="宋体"/>
          <w:color w:val="auto"/>
        </w:rPr>
        <w:t>1、正常状况下</w:t>
      </w:r>
    </w:p>
    <w:p w14:paraId="0BDC49D9">
      <w:pPr>
        <w:pStyle w:val="11"/>
        <w:bidi w:val="0"/>
        <w:rPr>
          <w:rFonts w:ascii="Times New Roman" w:hAnsi="Times New Roman" w:eastAsia="宋体"/>
          <w:color w:val="auto"/>
        </w:rPr>
      </w:pPr>
      <w:r>
        <w:rPr>
          <w:rFonts w:ascii="Times New Roman" w:hAnsi="Times New Roman" w:eastAsia="宋体"/>
          <w:color w:val="auto"/>
        </w:rPr>
        <w:t>项目</w:t>
      </w:r>
      <w:r>
        <w:rPr>
          <w:rFonts w:hint="eastAsia" w:ascii="Times New Roman" w:hAnsi="Times New Roman" w:eastAsia="宋体"/>
          <w:color w:val="auto"/>
          <w:lang w:eastAsia="zh-CN"/>
        </w:rPr>
        <w:t>运营</w:t>
      </w:r>
      <w:r>
        <w:rPr>
          <w:rFonts w:ascii="Times New Roman" w:hAnsi="Times New Roman" w:eastAsia="宋体"/>
          <w:color w:val="auto"/>
        </w:rPr>
        <w:t>期采用封闭系统进行原油集输。开采过程中，井杆带落的少量落地油全部通过井口集油</w:t>
      </w:r>
      <w:r>
        <w:rPr>
          <w:rFonts w:hint="eastAsia" w:ascii="Times New Roman" w:hAnsi="Times New Roman" w:eastAsia="宋体"/>
          <w:color w:val="auto"/>
          <w:lang w:val="en-US" w:eastAsia="zh-CN"/>
        </w:rPr>
        <w:t>盒</w:t>
      </w:r>
      <w:r>
        <w:rPr>
          <w:rFonts w:ascii="Times New Roman" w:hAnsi="Times New Roman" w:eastAsia="宋体"/>
          <w:color w:val="auto"/>
        </w:rPr>
        <w:t>收集，定期回收交有资质单位处置。正常情况下，不会对土壤环境造成污染。</w:t>
      </w:r>
    </w:p>
    <w:p w14:paraId="6D454E0E">
      <w:pPr>
        <w:pStyle w:val="11"/>
        <w:bidi w:val="0"/>
        <w:rPr>
          <w:rFonts w:ascii="Times New Roman" w:hAnsi="Times New Roman" w:eastAsia="宋体"/>
          <w:color w:val="auto"/>
        </w:rPr>
      </w:pPr>
      <w:r>
        <w:rPr>
          <w:rFonts w:ascii="Times New Roman" w:hAnsi="Times New Roman" w:eastAsia="宋体"/>
          <w:color w:val="auto"/>
        </w:rPr>
        <w:t>2、非正常状况下</w:t>
      </w:r>
    </w:p>
    <w:p w14:paraId="4CC2A01B">
      <w:pPr>
        <w:pStyle w:val="11"/>
        <w:bidi w:val="0"/>
        <w:rPr>
          <w:rFonts w:ascii="Times New Roman" w:hAnsi="Times New Roman" w:eastAsia="宋体"/>
          <w:color w:val="auto"/>
        </w:rPr>
      </w:pPr>
      <w:r>
        <w:rPr>
          <w:rFonts w:ascii="Times New Roman" w:hAnsi="Times New Roman" w:eastAsia="宋体"/>
          <w:color w:val="auto"/>
        </w:rPr>
        <w:t>结合项目特点，本节主要分析落地原油对土壤环境的污染影响，以及对土壤理化性质的影响和</w:t>
      </w:r>
      <w:r>
        <w:rPr>
          <w:rFonts w:hint="eastAsia"/>
          <w:color w:val="auto"/>
          <w:lang w:eastAsia="zh-CN"/>
        </w:rPr>
        <w:t>累积</w:t>
      </w:r>
      <w:r>
        <w:rPr>
          <w:rFonts w:ascii="Times New Roman" w:hAnsi="Times New Roman" w:eastAsia="宋体"/>
          <w:color w:val="auto"/>
        </w:rPr>
        <w:t>影响。</w:t>
      </w:r>
    </w:p>
    <w:p w14:paraId="33E43A6D">
      <w:pPr>
        <w:pStyle w:val="11"/>
        <w:bidi w:val="0"/>
        <w:rPr>
          <w:rFonts w:ascii="Times New Roman" w:hAnsi="Times New Roman" w:eastAsia="宋体"/>
          <w:color w:val="auto"/>
        </w:rPr>
      </w:pPr>
      <w:r>
        <w:rPr>
          <w:rFonts w:ascii="Times New Roman" w:hAnsi="Times New Roman" w:eastAsia="宋体"/>
          <w:color w:val="auto"/>
        </w:rPr>
        <w:t>（1）落地油的性质和污染影响</w:t>
      </w:r>
    </w:p>
    <w:p w14:paraId="460B4A9E">
      <w:pPr>
        <w:pStyle w:val="11"/>
        <w:bidi w:val="0"/>
        <w:rPr>
          <w:rFonts w:ascii="Times New Roman" w:hAnsi="Times New Roman" w:eastAsia="宋体"/>
          <w:color w:val="auto"/>
        </w:rPr>
      </w:pPr>
      <w:r>
        <w:rPr>
          <w:rFonts w:ascii="Times New Roman" w:hAnsi="Times New Roman" w:eastAsia="宋体"/>
          <w:color w:val="auto"/>
        </w:rPr>
        <w:t>①落地油的成分和性质</w:t>
      </w:r>
    </w:p>
    <w:p w14:paraId="71677F02">
      <w:pPr>
        <w:pStyle w:val="11"/>
        <w:bidi w:val="0"/>
        <w:rPr>
          <w:rFonts w:ascii="Times New Roman" w:hAnsi="Times New Roman" w:eastAsia="宋体"/>
          <w:color w:val="auto"/>
        </w:rPr>
      </w:pPr>
      <w:r>
        <w:rPr>
          <w:rFonts w:ascii="Times New Roman" w:hAnsi="Times New Roman" w:eastAsia="宋体"/>
          <w:color w:val="auto"/>
        </w:rPr>
        <w:t>落地油的主要成分是原油，含少量泥砂组分。根据《国家危险废物名录</w:t>
      </w:r>
      <w:r>
        <w:rPr>
          <w:rFonts w:hint="eastAsia" w:ascii="Times New Roman" w:hAnsi="Times New Roman" w:eastAsia="宋体"/>
          <w:color w:val="auto"/>
          <w:lang w:val="en-US" w:eastAsia="zh-CN"/>
        </w:rPr>
        <w:t>（2025年版）</w:t>
      </w:r>
      <w:r>
        <w:rPr>
          <w:rFonts w:ascii="Times New Roman" w:hAnsi="Times New Roman" w:eastAsia="宋体"/>
          <w:color w:val="auto"/>
        </w:rPr>
        <w:t>》，落地油属于危险废物，危废类别HW08。落地油产生后如不及时收集清理，经日晒风化，油泥中轻组分通过挥发进一步减少，沥青与胶质组份增多。</w:t>
      </w:r>
    </w:p>
    <w:p w14:paraId="09A6E698">
      <w:pPr>
        <w:pStyle w:val="11"/>
        <w:bidi w:val="0"/>
        <w:rPr>
          <w:rFonts w:ascii="Times New Roman" w:hAnsi="Times New Roman" w:eastAsia="宋体"/>
          <w:color w:val="auto"/>
        </w:rPr>
      </w:pPr>
      <w:r>
        <w:rPr>
          <w:rFonts w:ascii="Times New Roman" w:hAnsi="Times New Roman" w:eastAsia="宋体"/>
          <w:color w:val="auto"/>
        </w:rPr>
        <w:t>②落地油对土壤产生影响的范围和途径</w:t>
      </w:r>
    </w:p>
    <w:p w14:paraId="5A8E1A78">
      <w:pPr>
        <w:pStyle w:val="11"/>
        <w:bidi w:val="0"/>
        <w:rPr>
          <w:rFonts w:ascii="Times New Roman" w:hAnsi="Times New Roman" w:eastAsia="宋体"/>
          <w:color w:val="auto"/>
        </w:rPr>
      </w:pPr>
      <w:r>
        <w:rPr>
          <w:rFonts w:ascii="Times New Roman" w:hAnsi="Times New Roman" w:eastAsia="宋体"/>
          <w:color w:val="auto"/>
        </w:rPr>
        <w:t>石油类是大分子疏水</w:t>
      </w:r>
      <w:r>
        <w:rPr>
          <w:rFonts w:hint="eastAsia"/>
          <w:color w:val="auto"/>
          <w:lang w:eastAsia="zh-CN"/>
        </w:rPr>
        <w:t>黏性物质</w:t>
      </w:r>
      <w:r>
        <w:rPr>
          <w:rFonts w:ascii="Times New Roman" w:hAnsi="Times New Roman" w:eastAsia="宋体"/>
          <w:color w:val="auto"/>
        </w:rPr>
        <w:t>，石油分子极易</w:t>
      </w:r>
      <w:r>
        <w:rPr>
          <w:rFonts w:hint="eastAsia"/>
          <w:color w:val="auto"/>
          <w:lang w:eastAsia="zh-CN"/>
        </w:rPr>
        <w:t>黏附</w:t>
      </w:r>
      <w:r>
        <w:rPr>
          <w:rFonts w:ascii="Times New Roman" w:hAnsi="Times New Roman" w:eastAsia="宋体"/>
          <w:color w:val="auto"/>
        </w:rPr>
        <w:t>于土粒表面，而</w:t>
      </w:r>
      <w:r>
        <w:rPr>
          <w:rFonts w:hint="eastAsia"/>
          <w:color w:val="auto"/>
          <w:lang w:eastAsia="zh-CN"/>
        </w:rPr>
        <w:t>黏附</w:t>
      </w:r>
      <w:r>
        <w:rPr>
          <w:rFonts w:ascii="Times New Roman" w:hAnsi="Times New Roman" w:eastAsia="宋体"/>
          <w:color w:val="auto"/>
        </w:rPr>
        <w:t>于土粒表面的石油类污染物会</w:t>
      </w:r>
      <w:r>
        <w:rPr>
          <w:rFonts w:hint="eastAsia"/>
          <w:color w:val="auto"/>
          <w:lang w:eastAsia="zh-CN"/>
        </w:rPr>
        <w:t>黏附</w:t>
      </w:r>
      <w:r>
        <w:rPr>
          <w:rFonts w:ascii="Times New Roman" w:hAnsi="Times New Roman" w:eastAsia="宋体"/>
          <w:color w:val="auto"/>
        </w:rPr>
        <w:t>更多的石油类污染物，阻塞土壤孔隙。根据张海玲等人的研究结果：原油进入土壤后，固相组分的主要污染范围集中在地表之下0～40cm，并以0～5cm处含量最高。但是，在降雨条件下，落地油中的石油类变为可溶态后可随水进一步向土壤深层迁移扩散。</w:t>
      </w:r>
    </w:p>
    <w:p w14:paraId="115B4B03">
      <w:pPr>
        <w:pStyle w:val="11"/>
        <w:bidi w:val="0"/>
        <w:rPr>
          <w:rFonts w:ascii="Times New Roman" w:hAnsi="Times New Roman" w:eastAsia="宋体"/>
          <w:color w:val="auto"/>
        </w:rPr>
      </w:pPr>
      <w:r>
        <w:rPr>
          <w:rFonts w:ascii="Times New Roman" w:hAnsi="Times New Roman" w:eastAsia="宋体"/>
          <w:color w:val="auto"/>
        </w:rPr>
        <w:t>（2）落地油对土壤理化性质的影响</w:t>
      </w:r>
    </w:p>
    <w:p w14:paraId="6DA1AB20">
      <w:pPr>
        <w:pStyle w:val="5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土壤环境污染现状调查可知，在纵向上石油的渗透力随土质有很大的差别，质地越粗，下渗力越强。落地油一般富集在0cm~20cm的土层中，石油在土表的蒸发量与时间呈负指数相关，开始5h内石油蒸发强烈，24h后石油在土壤表面多呈黏稠状。落地油积存于表层会影响表层土壤通透性，影响土壤养分的释放，降低土壤动物及微生物的活性，使土壤的综合肥力下降，最终影响植物根系的</w:t>
      </w:r>
      <w:r>
        <w:rPr>
          <w:rFonts w:hint="default" w:ascii="Times New Roman" w:hAnsi="Times New Roman" w:cs="Times New Roman"/>
          <w:color w:val="auto"/>
          <w:sz w:val="24"/>
          <w:szCs w:val="24"/>
          <w:lang w:eastAsia="zh-CN"/>
        </w:rPr>
        <w:t>呼吸作用</w:t>
      </w:r>
      <w:r>
        <w:rPr>
          <w:rFonts w:hint="default" w:ascii="Times New Roman" w:hAnsi="Times New Roman" w:cs="Times New Roman"/>
          <w:color w:val="auto"/>
          <w:sz w:val="24"/>
          <w:szCs w:val="24"/>
        </w:rPr>
        <w:t>和吸收作用。</w:t>
      </w:r>
    </w:p>
    <w:p w14:paraId="455DA8DA">
      <w:pPr>
        <w:pStyle w:val="50"/>
        <w:spacing w:line="360" w:lineRule="auto"/>
        <w:ind w:firstLine="482"/>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因此，在项目建设过程中须做好相关防渗措施，以及原油收集、输送和暂存等区域的防腐、防渗措施，运营期须定期检查防渗层及管道的破损或破裂情况，若发现有破损或破裂部位须及时进行修补；故在项目运营期间，需加强管理和监督检查，减少非正常情况的发生，避免污染物进入土壤及地下水含水层中。在工程做好防渗、定期监测、严格执行本次环评提出的污染防治措施的前提下本项目对土壤环境影响可接受</w:t>
      </w:r>
      <w:r>
        <w:rPr>
          <w:rFonts w:hint="eastAsia" w:ascii="Times New Roman" w:hAnsi="Times New Roman" w:cs="Times New Roman"/>
          <w:color w:val="auto"/>
          <w:sz w:val="24"/>
          <w:szCs w:val="24"/>
          <w:lang w:eastAsia="zh-CN"/>
        </w:rPr>
        <w:t>。</w:t>
      </w:r>
    </w:p>
    <w:p w14:paraId="74B7295C">
      <w:pPr>
        <w:pStyle w:val="11"/>
        <w:bidi w:val="0"/>
        <w:rPr>
          <w:rFonts w:ascii="Times New Roman" w:hAnsi="Times New Roman" w:eastAsia="宋体"/>
          <w:color w:val="auto"/>
        </w:rPr>
      </w:pPr>
      <w:r>
        <w:rPr>
          <w:rFonts w:ascii="Times New Roman" w:hAnsi="Times New Roman" w:eastAsia="宋体"/>
          <w:color w:val="auto"/>
        </w:rPr>
        <w:t>（3）土壤累积影响分析</w:t>
      </w:r>
    </w:p>
    <w:p w14:paraId="5D17816B">
      <w:pPr>
        <w:pStyle w:val="11"/>
        <w:bidi w:val="0"/>
        <w:rPr>
          <w:rFonts w:ascii="Times New Roman" w:hAnsi="Times New Roman" w:eastAsia="宋体"/>
          <w:color w:val="auto"/>
        </w:rPr>
      </w:pPr>
      <w:r>
        <w:rPr>
          <w:rFonts w:ascii="Times New Roman" w:hAnsi="Times New Roman" w:eastAsia="宋体"/>
          <w:color w:val="auto"/>
        </w:rPr>
        <w:t>根据张海玲等人对陇东油田井场石油类物质自然迁移规律的研究，井口周围的石油类物质含量与油井开采时间和井场油井数量呈正相关。开采年限越长，土壤中石油类含量越高；油井数越多，污染物含量也越高。</w:t>
      </w:r>
    </w:p>
    <w:p w14:paraId="5F9D026B">
      <w:pPr>
        <w:pStyle w:val="11"/>
        <w:bidi w:val="0"/>
        <w:rPr>
          <w:rFonts w:ascii="Times New Roman" w:hAnsi="Times New Roman" w:eastAsia="宋体"/>
          <w:color w:val="auto"/>
        </w:rPr>
      </w:pPr>
      <w:r>
        <w:rPr>
          <w:rFonts w:ascii="Times New Roman" w:hAnsi="Times New Roman" w:eastAsia="宋体"/>
          <w:color w:val="auto"/>
        </w:rPr>
        <w:t>原油在土壤中横向上分布主要集中在距井口40m范围内，其中距油井0～10m含量最高，随着水平距离的增大而减少；在40m之外降低到300mg/kg之内。</w:t>
      </w:r>
    </w:p>
    <w:p w14:paraId="572F638B">
      <w:pPr>
        <w:pStyle w:val="6"/>
        <w:bidi w:val="0"/>
        <w:rPr>
          <w:rFonts w:hint="default"/>
          <w:color w:val="auto"/>
          <w:lang w:val="en-US" w:eastAsia="zh-CN"/>
        </w:rPr>
      </w:pPr>
      <w:r>
        <w:rPr>
          <w:rFonts w:hint="eastAsia"/>
          <w:color w:val="auto"/>
          <w:lang w:val="en-US" w:eastAsia="zh-CN"/>
        </w:rPr>
        <w:t>5.2.6.2土壤污染型预测与评价</w:t>
      </w:r>
    </w:p>
    <w:p w14:paraId="4BC463D6">
      <w:pPr>
        <w:pStyle w:val="11"/>
        <w:bidi w:val="0"/>
        <w:rPr>
          <w:rFonts w:ascii="Times New Roman" w:hAnsi="Times New Roman" w:eastAsia="宋体"/>
          <w:color w:val="auto"/>
        </w:rPr>
      </w:pPr>
      <w:r>
        <w:rPr>
          <w:rFonts w:hint="eastAsia" w:ascii="宋体" w:hAnsi="宋体" w:eastAsia="宋体" w:cs="宋体"/>
          <w:bCs/>
          <w:color w:val="auto"/>
          <w:sz w:val="24"/>
          <w:szCs w:val="24"/>
        </w:rPr>
        <w:t>本次主要以</w:t>
      </w:r>
      <w:r>
        <w:rPr>
          <w:rFonts w:hint="eastAsia" w:ascii="宋体" w:hAnsi="宋体" w:eastAsia="宋体" w:cs="宋体"/>
          <w:bCs/>
          <w:color w:val="auto"/>
          <w:sz w:val="24"/>
          <w:szCs w:val="24"/>
          <w:lang w:val="en-US" w:eastAsia="zh-CN"/>
        </w:rPr>
        <w:t>井场集油</w:t>
      </w:r>
      <w:r>
        <w:rPr>
          <w:rFonts w:hint="eastAsia" w:ascii="宋体" w:hAnsi="宋体" w:eastAsia="宋体" w:cs="宋体"/>
          <w:bCs/>
          <w:color w:val="auto"/>
          <w:sz w:val="24"/>
          <w:szCs w:val="24"/>
        </w:rPr>
        <w:t>管线泄漏为例，预测污染物泄漏后对土壤环境的影响。</w:t>
      </w:r>
    </w:p>
    <w:p w14:paraId="04852FB2">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1、预测方法</w:t>
      </w:r>
    </w:p>
    <w:p w14:paraId="0F072517">
      <w:pPr>
        <w:pStyle w:val="11"/>
        <w:bidi w:val="0"/>
        <w:rPr>
          <w:rFonts w:hint="eastAsia" w:ascii="Times New Roman" w:hAnsi="Times New Roman" w:eastAsia="宋体"/>
          <w:color w:val="auto"/>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1</w:t>
      </w:r>
      <w:r>
        <w:rPr>
          <w:rFonts w:hint="eastAsia" w:ascii="Times New Roman" w:hAnsi="Times New Roman" w:eastAsia="宋体"/>
          <w:color w:val="auto"/>
          <w:lang w:eastAsia="zh-CN"/>
        </w:rPr>
        <w:t>）</w:t>
      </w:r>
      <w:r>
        <w:rPr>
          <w:rFonts w:hint="eastAsia" w:ascii="Times New Roman" w:hAnsi="Times New Roman" w:eastAsia="宋体"/>
          <w:color w:val="auto"/>
        </w:rPr>
        <w:t>水动力学模型</w:t>
      </w:r>
    </w:p>
    <w:p w14:paraId="78F052D8">
      <w:pPr>
        <w:pStyle w:val="11"/>
        <w:bidi w:val="0"/>
        <w:rPr>
          <w:rFonts w:hint="eastAsia" w:ascii="Times New Roman" w:hAnsi="Times New Roman" w:eastAsia="宋体"/>
          <w:color w:val="auto"/>
        </w:rPr>
      </w:pPr>
      <w:r>
        <w:rPr>
          <w:rFonts w:hint="eastAsia" w:ascii="Times New Roman" w:hAnsi="Times New Roman" w:eastAsia="宋体"/>
          <w:color w:val="auto"/>
        </w:rPr>
        <w:t>一维非饱和水流运移数学模型如下式所示。</w:t>
      </w:r>
    </w:p>
    <w:p w14:paraId="23BD6526">
      <w:pPr>
        <w:topLinePunct/>
        <w:spacing w:line="360" w:lineRule="auto"/>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object>
          <v:shape id="_x0000_i1038" o:spt="75" type="#_x0000_t75" style="height:36pt;width:108pt;" o:ole="t" filled="f" o:preferrelative="t" stroked="f" coordsize="21600,21600">
            <v:path/>
            <v:fill on="f" focussize="0,0"/>
            <v:stroke on="f" joinstyle="miter"/>
            <v:imagedata r:id="rId40" o:title=""/>
            <o:lock v:ext="edit" aspectratio="t"/>
            <w10:wrap type="none"/>
            <w10:anchorlock/>
          </v:shape>
          <o:OLEObject Type="Embed" ProgID="Equation.DSMT4" ShapeID="_x0000_i1038" DrawAspect="Content" ObjectID="_1468075738" r:id="rId39">
            <o:LockedField>false</o:LockedField>
          </o:OLEObject>
        </w:object>
      </w:r>
    </w:p>
    <w:p w14:paraId="5EF8CC40">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式中：</w:t>
      </w:r>
      <w:r>
        <w:rPr>
          <w:rFonts w:hint="default" w:ascii="Times New Roman" w:hAnsi="Times New Roman" w:eastAsia="宋体"/>
          <w:color w:val="auto"/>
          <w:lang w:val="en-US" w:eastAsia="zh-CN"/>
        </w:rPr>
        <w:t>θ</w:t>
      </w:r>
      <w:r>
        <w:rPr>
          <w:rFonts w:hint="eastAsia" w:ascii="Times New Roman" w:hAnsi="Times New Roman" w:eastAsia="宋体"/>
          <w:color w:val="auto"/>
          <w:lang w:val="en-US" w:eastAsia="zh-CN"/>
        </w:rPr>
        <w:t>为土壤体积含水率（cm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/cm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w:t>
      </w:r>
    </w:p>
    <w:p w14:paraId="07C6FCB2">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k为非饱和渗透系数（cm/h）；</w:t>
      </w:r>
    </w:p>
    <w:p w14:paraId="38CD3781">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t为时间变量（1/h）；</w:t>
      </w:r>
    </w:p>
    <w:p w14:paraId="224A50DF">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z为空间变量（cm），地表为原点，向上为正。</w:t>
      </w:r>
    </w:p>
    <w:p w14:paraId="72D98114">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（2）溶质运移模型</w:t>
      </w:r>
    </w:p>
    <w:p w14:paraId="16B1B361">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评价采用《环境影响评价技术导则 土壤环境（试行》（HJ964-2018）附录E推荐的一维非饱和溶质运移模型进行预测，该方法适用于某种污染物以点源形式垂直进入土壤环境的影响预测，重点预测污染物可能影响的深度。一维非饱和溶质垂向运移控制方程如下：</w:t>
      </w:r>
    </w:p>
    <w:p w14:paraId="0EC1F482">
      <w:pPr>
        <w:spacing w:line="360" w:lineRule="auto"/>
        <w:ind w:firstLine="352" w:firstLineChars="147"/>
        <w:jc w:val="center"/>
        <w:rPr>
          <w:rFonts w:hint="eastAsia" w:ascii="宋体" w:hAnsi="宋体" w:eastAsia="宋体" w:cs="宋体"/>
          <w:bCs/>
          <w:color w:val="auto"/>
          <w:kern w:val="0"/>
          <w:sz w:val="24"/>
          <w:szCs w:val="24"/>
          <w:lang w:val="zh-CN"/>
        </w:rPr>
      </w:pPr>
      <w:r>
        <w:rPr>
          <w:rFonts w:hint="default" w:ascii="Times New Roman" w:hAnsi="Times New Roman" w:eastAsia="宋体" w:cs="Times New Roman"/>
          <w:color w:val="auto"/>
          <w:position w:val="-28"/>
          <w:sz w:val="24"/>
          <w:szCs w:val="24"/>
          <w:lang w:val="en-US" w:eastAsia="zh-CN"/>
        </w:rPr>
        <w:object>
          <v:shape id="_x0000_i1039" o:spt="75" type="#_x0000_t75" style="height:34pt;width:139.95pt;" o:ole="t" filled="f" o:preferrelative="t" stroked="f" coordsize="21600,21600">
            <v:path/>
            <v:fill on="f" focussize="0,0"/>
            <v:stroke on="f"/>
            <v:imagedata r:id="rId42" o:title=""/>
            <o:lock v:ext="edit" aspectratio="t"/>
            <w10:wrap type="none"/>
            <w10:anchorlock/>
          </v:shape>
          <o:OLEObject Type="Embed" ProgID="Equation.KSEE3" ShapeID="_x0000_i1039" DrawAspect="Content" ObjectID="_1468075739" r:id="rId41">
            <o:LockedField>false</o:LockedField>
          </o:OLEObject>
        </w:object>
      </w:r>
    </w:p>
    <w:p w14:paraId="4A220A18">
      <w:pPr>
        <w:pStyle w:val="37"/>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式中：c——污染物介质中的浓度，mg/L；</w:t>
      </w:r>
    </w:p>
    <w:p w14:paraId="5AD78958">
      <w:pPr>
        <w:pStyle w:val="37"/>
        <w:bidi w:val="0"/>
        <w:spacing w:line="360" w:lineRule="auto"/>
        <w:ind w:firstLine="1200" w:firstLineChars="5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D——弥散系数，m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/d；</w:t>
      </w:r>
    </w:p>
    <w:p w14:paraId="083F11B1">
      <w:pPr>
        <w:pStyle w:val="37"/>
        <w:bidi w:val="0"/>
        <w:spacing w:line="360" w:lineRule="auto"/>
        <w:ind w:firstLine="1200" w:firstLineChars="5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q——渗流速率，m/d；</w:t>
      </w:r>
    </w:p>
    <w:p w14:paraId="487A5F54">
      <w:pPr>
        <w:pStyle w:val="37"/>
        <w:bidi w:val="0"/>
        <w:spacing w:line="360" w:lineRule="auto"/>
        <w:ind w:firstLine="1200" w:firstLineChars="5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z——沿z轴的距离，m；</w:t>
      </w:r>
    </w:p>
    <w:p w14:paraId="71E5F11B">
      <w:pPr>
        <w:pStyle w:val="37"/>
        <w:bidi w:val="0"/>
        <w:spacing w:line="360" w:lineRule="auto"/>
        <w:ind w:firstLine="1200" w:firstLineChars="5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t——时间变量，d；</w:t>
      </w:r>
    </w:p>
    <w:p w14:paraId="5597C596">
      <w:pPr>
        <w:pStyle w:val="37"/>
        <w:bidi w:val="0"/>
        <w:spacing w:line="360" w:lineRule="auto"/>
        <w:ind w:firstLine="1200" w:firstLineChars="5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θ——土壤含水率，%。</w:t>
      </w:r>
    </w:p>
    <w:p w14:paraId="61CE6AA3">
      <w:pPr>
        <w:spacing w:line="360" w:lineRule="auto"/>
        <w:ind w:firstLine="480" w:firstLineChars="200"/>
        <w:rPr>
          <w:rFonts w:hint="eastAsia"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初始条件</w:t>
      </w:r>
    </w:p>
    <w:p w14:paraId="334314E3">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c(z,t)=0     t=0，L</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z&lt;0</w:t>
      </w:r>
    </w:p>
    <w:p w14:paraId="158F7E4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边界条件</w:t>
      </w:r>
    </w:p>
    <w:p w14:paraId="2EEFD9B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第一类Dirichlet边界条件，其中式1适用于连续点源情景，式2适用于非连续点源情景。</w:t>
      </w:r>
    </w:p>
    <w:p w14:paraId="37EB2D82">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c(z,t)=c</w:t>
      </w:r>
      <w:r>
        <w:rPr>
          <w:rFonts w:hint="eastAsia" w:ascii="Times New Roman" w:hAnsi="Times New Roman" w:eastAsia="宋体" w:cs="Times New Roman"/>
          <w:color w:val="auto"/>
          <w:sz w:val="24"/>
          <w:szCs w:val="24"/>
          <w:vertAlign w:val="subscript"/>
          <w:lang w:val="en-US" w:eastAsia="zh-CN"/>
        </w:rPr>
        <w:t>0</w:t>
      </w:r>
      <w:r>
        <w:rPr>
          <w:rFonts w:hint="eastAsia" w:ascii="Times New Roman" w:hAnsi="Times New Roman" w:eastAsia="宋体" w:cs="Times New Roman"/>
          <w:color w:val="auto"/>
          <w:sz w:val="24"/>
          <w:szCs w:val="24"/>
          <w:lang w:val="en-US" w:eastAsia="zh-CN"/>
        </w:rPr>
        <w:t xml:space="preserve">     t&gt;0，z=0</w:t>
      </w:r>
    </w:p>
    <w:p w14:paraId="6AECE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32"/>
          <w:sz w:val="24"/>
          <w:szCs w:val="24"/>
          <w:lang w:val="en-US" w:eastAsia="zh-CN"/>
        </w:rPr>
        <w:object>
          <v:shape id="_x0000_i1040" o:spt="75" type="#_x0000_t75" style="height:38pt;width:117pt;" o:ole="t" filled="f" o:preferrelative="t" stroked="f" coordsize="21600,21600">
            <v:path/>
            <v:fill on="f" focussize="0,0"/>
            <v:stroke on="f"/>
            <v:imagedata r:id="rId44" o:title=""/>
            <o:lock v:ext="edit" aspectratio="t"/>
            <w10:wrap type="none"/>
            <w10:anchorlock/>
          </v:shape>
          <o:OLEObject Type="Embed" ProgID="Equation.KSEE3" ShapeID="_x0000_i1040" DrawAspect="Content" ObjectID="_1468075740" r:id="rId43">
            <o:LockedField>false</o:LockedField>
          </o:OLEObject>
        </w:object>
      </w:r>
    </w:p>
    <w:p w14:paraId="68EF58C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第二类Neumann零梯度边界</w:t>
      </w:r>
      <w:r>
        <w:rPr>
          <w:rFonts w:hint="default" w:ascii="Times New Roman" w:hAnsi="Times New Roman" w:eastAsia="宋体" w:cs="Times New Roman"/>
          <w:color w:val="auto"/>
          <w:sz w:val="24"/>
          <w:szCs w:val="24"/>
          <w:lang w:eastAsia="zh-CN"/>
        </w:rPr>
        <w:t>。</w:t>
      </w:r>
    </w:p>
    <w:p w14:paraId="6F142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24"/>
          <w:sz w:val="24"/>
          <w:szCs w:val="24"/>
          <w:lang w:val="en-US" w:eastAsia="zh-CN"/>
        </w:rPr>
        <w:object>
          <v:shape id="_x0000_i1041" o:spt="75" type="#_x0000_t75" style="height:31pt;width:128pt;" o:ole="t" filled="f" o:preferrelative="t" stroked="f" coordsize="21600,21600">
            <v:path/>
            <v:fill on="f" focussize="0,0"/>
            <v:stroke on="f"/>
            <v:imagedata r:id="rId46" o:title=""/>
            <o:lock v:ext="edit" aspectratio="t"/>
            <w10:wrap type="none"/>
            <w10:anchorlock/>
          </v:shape>
          <o:OLEObject Type="Embed" ProgID="Equation.KSEE3" ShapeID="_x0000_i1041" DrawAspect="Content" ObjectID="_1468075741" r:id="rId45">
            <o:LockedField>false</o:LockedField>
          </o:OLEObject>
        </w:object>
      </w:r>
    </w:p>
    <w:p w14:paraId="44ED440C">
      <w:pPr>
        <w:pStyle w:val="11"/>
        <w:bidi w:val="0"/>
        <w:rPr>
          <w:rFonts w:hint="default" w:ascii="Times New Roman" w:hAnsi="Times New Roman" w:eastAsia="宋体"/>
          <w:color w:val="auto"/>
          <w:lang w:val="en-US" w:eastAsia="zh-CN"/>
        </w:rPr>
      </w:pPr>
      <w:r>
        <w:rPr>
          <w:rFonts w:hint="eastAsia"/>
          <w:color w:val="auto"/>
          <w:lang w:val="en-US" w:eastAsia="zh-CN"/>
        </w:rPr>
        <w:t>2、模型概化</w:t>
      </w:r>
    </w:p>
    <w:p w14:paraId="136CD67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①水力模型参数设置</w:t>
      </w:r>
    </w:p>
    <w:p w14:paraId="45362EA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模型解算采用Hydrus-1D软件，利用软件建立评价区</w:t>
      </w:r>
      <w:r>
        <w:rPr>
          <w:rFonts w:hint="eastAsia" w:ascii="Times New Roman" w:hAnsi="Times New Roman" w:eastAsia="宋体" w:cs="Times New Roman"/>
          <w:color w:val="auto"/>
          <w:sz w:val="24"/>
          <w:szCs w:val="24"/>
          <w:lang w:val="en-US" w:eastAsia="zh-CN"/>
        </w:rPr>
        <w:t>砂土</w:t>
      </w:r>
      <w:r>
        <w:rPr>
          <w:rFonts w:hint="default" w:ascii="Times New Roman" w:hAnsi="Times New Roman" w:eastAsia="宋体" w:cs="Times New Roman"/>
          <w:color w:val="auto"/>
          <w:sz w:val="24"/>
          <w:szCs w:val="24"/>
        </w:rPr>
        <w:t>溶质模型。</w:t>
      </w:r>
    </w:p>
    <w:p w14:paraId="49DEC21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利用Hydrus-1D进行拟合获取土壤水分特征曲线参数（图</w:t>
      </w:r>
      <w:r>
        <w:rPr>
          <w:rFonts w:hint="eastAsia" w:ascii="Times New Roman" w:hAnsi="Times New Roman" w:eastAsia="宋体" w:cs="Times New Roman"/>
          <w:color w:val="auto"/>
          <w:sz w:val="24"/>
          <w:szCs w:val="24"/>
          <w:lang w:val="en-US" w:eastAsia="zh-CN"/>
        </w:rPr>
        <w:t>5.2-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）和土壤垂直入渗系数。将拟合结果作为本次评价参考依据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表5.2-</w:t>
      </w:r>
      <w:r>
        <w:rPr>
          <w:rFonts w:hint="eastAsia" w:cs="Times New Roman"/>
          <w:color w:val="auto"/>
          <w:sz w:val="24"/>
          <w:szCs w:val="24"/>
          <w:lang w:val="en-US" w:eastAsia="zh-CN"/>
        </w:rPr>
        <w:t>15</w:t>
      </w:r>
      <w:r>
        <w:rPr>
          <w:rFonts w:hint="eastAsia" w:ascii="Times New Roman" w:hAnsi="Times New Roman" w:eastAsia="宋体" w:cs="Times New Roman"/>
          <w:color w:val="auto"/>
          <w:sz w:val="24"/>
          <w:szCs w:val="24"/>
          <w:lang w:eastAsia="zh-CN"/>
        </w:rPr>
        <w:t>）。</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160C50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68" w:hRule="exact"/>
        </w:trPr>
        <w:tc>
          <w:tcPr>
            <w:tcW w:w="8522" w:type="dxa"/>
            <w:tcBorders>
              <w:tl2br w:val="nil"/>
              <w:tr2bl w:val="nil"/>
            </w:tcBorders>
            <w:vAlign w:val="center"/>
          </w:tcPr>
          <w:p w14:paraId="7530203B">
            <w:pPr>
              <w:pStyle w:val="34"/>
              <w:keepNext w:val="0"/>
              <w:keepLines w:val="0"/>
              <w:pageBreakBefore w:val="0"/>
              <w:widowControl/>
              <w:kinsoku/>
              <w:wordWrap/>
              <w:overflowPunct/>
              <w:topLinePunct w:val="0"/>
              <w:autoSpaceDE/>
              <w:autoSpaceDN/>
              <w:bidi w:val="0"/>
              <w:adjustRightInd/>
              <w:snapToGrid/>
              <w:jc w:val="center"/>
              <w:textAlignment w:val="auto"/>
              <w:rPr>
                <w:rFonts w:hint="default"/>
                <w:color w:val="auto"/>
                <w:lang w:val="en-US" w:eastAsia="zh-CN"/>
              </w:rPr>
            </w:pPr>
          </w:p>
        </w:tc>
      </w:tr>
      <w:tr w14:paraId="23D81B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tcPr>
          <w:p w14:paraId="067E2DA9">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hint="default"/>
                <w:color w:val="auto"/>
                <w:lang w:val="en-US" w:eastAsia="zh-CN"/>
              </w:rPr>
            </w:pPr>
            <w:r>
              <w:rPr>
                <w:rFonts w:hint="eastAsia" w:cs="Times New Roman"/>
                <w:b/>
                <w:bCs/>
                <w:color w:val="auto"/>
                <w:sz w:val="21"/>
                <w:szCs w:val="21"/>
                <w:lang w:val="en-US" w:eastAsia="zh-CN"/>
              </w:rPr>
              <w:t>图5.2-3  土壤水分特征曲线拟合图</w:t>
            </w:r>
          </w:p>
        </w:tc>
      </w:tr>
    </w:tbl>
    <w:p w14:paraId="2B0B9173">
      <w:pPr>
        <w:pStyle w:val="43"/>
        <w:bidi w:val="0"/>
        <w:rPr>
          <w:rFonts w:hint="default"/>
          <w:color w:val="auto"/>
          <w:lang w:val="en-US" w:eastAsia="zh-CN"/>
        </w:rPr>
      </w:pPr>
      <w:r>
        <w:rPr>
          <w:rFonts w:hint="eastAsia"/>
          <w:color w:val="auto"/>
          <w:lang w:val="en-US" w:eastAsia="zh-CN"/>
        </w:rPr>
        <w:t>表5.2-15  砂质黏土水分特征曲线拟合参数</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5812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dxa"/>
            <w:vAlign w:val="center"/>
          </w:tcPr>
          <w:p w14:paraId="00B4A8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θr</w:t>
            </w:r>
          </w:p>
        </w:tc>
        <w:tc>
          <w:tcPr>
            <w:tcW w:w="1420" w:type="dxa"/>
            <w:vAlign w:val="center"/>
          </w:tcPr>
          <w:p w14:paraId="2E42D0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θs</w:t>
            </w:r>
          </w:p>
        </w:tc>
        <w:tc>
          <w:tcPr>
            <w:tcW w:w="1420" w:type="dxa"/>
            <w:vAlign w:val="center"/>
          </w:tcPr>
          <w:p w14:paraId="1963AC0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θα</w:t>
            </w:r>
          </w:p>
        </w:tc>
        <w:tc>
          <w:tcPr>
            <w:tcW w:w="1420" w:type="dxa"/>
            <w:vAlign w:val="center"/>
          </w:tcPr>
          <w:p w14:paraId="4DAA9A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n</w:t>
            </w:r>
          </w:p>
        </w:tc>
        <w:tc>
          <w:tcPr>
            <w:tcW w:w="1421" w:type="dxa"/>
            <w:vAlign w:val="center"/>
          </w:tcPr>
          <w:p w14:paraId="199355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l</w:t>
            </w:r>
          </w:p>
        </w:tc>
        <w:tc>
          <w:tcPr>
            <w:tcW w:w="1421" w:type="dxa"/>
            <w:vAlign w:val="center"/>
          </w:tcPr>
          <w:p w14:paraId="7F87A7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Ks(</w:t>
            </w:r>
            <w:r>
              <w:rPr>
                <w:rFonts w:hint="eastAsia" w:cs="Times New Roman"/>
                <w:b/>
                <w:bCs/>
                <w:color w:val="auto"/>
                <w:sz w:val="21"/>
                <w:szCs w:val="21"/>
                <w:vertAlign w:val="baseline"/>
                <w:lang w:val="en-US" w:eastAsia="zh-CN"/>
              </w:rPr>
              <w:t>c</w:t>
            </w:r>
            <w:r>
              <w:rPr>
                <w:rFonts w:hint="default" w:ascii="Times New Roman" w:hAnsi="Times New Roman" w:eastAsia="宋体" w:cs="Times New Roman"/>
                <w:b/>
                <w:bCs/>
                <w:color w:val="auto"/>
                <w:sz w:val="21"/>
                <w:szCs w:val="21"/>
                <w:vertAlign w:val="baseline"/>
                <w:lang w:val="en-US" w:eastAsia="zh-CN"/>
              </w:rPr>
              <w:t>m/d)</w:t>
            </w:r>
          </w:p>
        </w:tc>
      </w:tr>
      <w:tr w14:paraId="6724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dxa"/>
            <w:vAlign w:val="center"/>
          </w:tcPr>
          <w:p w14:paraId="285BE9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w:t>
            </w:r>
          </w:p>
        </w:tc>
        <w:tc>
          <w:tcPr>
            <w:tcW w:w="1420" w:type="dxa"/>
            <w:vAlign w:val="center"/>
          </w:tcPr>
          <w:p w14:paraId="4897454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0.38</w:t>
            </w:r>
          </w:p>
        </w:tc>
        <w:tc>
          <w:tcPr>
            <w:tcW w:w="1420" w:type="dxa"/>
            <w:vAlign w:val="center"/>
          </w:tcPr>
          <w:p w14:paraId="747A116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0.027</w:t>
            </w:r>
          </w:p>
        </w:tc>
        <w:tc>
          <w:tcPr>
            <w:tcW w:w="1420" w:type="dxa"/>
            <w:vAlign w:val="center"/>
          </w:tcPr>
          <w:p w14:paraId="003FF4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1.23</w:t>
            </w:r>
          </w:p>
        </w:tc>
        <w:tc>
          <w:tcPr>
            <w:tcW w:w="1421" w:type="dxa"/>
            <w:vAlign w:val="center"/>
          </w:tcPr>
          <w:p w14:paraId="15F687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p>
        </w:tc>
        <w:tc>
          <w:tcPr>
            <w:tcW w:w="1421" w:type="dxa"/>
            <w:vAlign w:val="center"/>
          </w:tcPr>
          <w:p w14:paraId="373997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2.88</w:t>
            </w:r>
          </w:p>
        </w:tc>
      </w:tr>
    </w:tbl>
    <w:p w14:paraId="0217A5FC">
      <w:pPr>
        <w:keepNext w:val="0"/>
        <w:keepLines w:val="0"/>
        <w:pageBreakBefore w:val="0"/>
        <w:wordWrap/>
        <w:overflowPunct/>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石油类比水轻，且在水中的溶解度较低，参照TPHCWG（1997）中关于石油类污染物的溶解度等相关文献，石油类可溶态污染物的最高浓度值约为18mg/L。根据张淼等在室内对保守溶质在黄土中的穿透曲线，考虑室内和室外的尺度差异，石油类纵向弥散系数取值为19.5，自由水中扩散系数取值为16.7；根据吸附解吸的实验研究（参见史红星《石油类污染物在黄土高原地区环境中迁移转化规律的研究》），采用Herry吸附模型刻画石油类的吸附动力学过程，饱和吸附量取值为134.07，吸附系数取值为0，经验系数beta取值为1。</w:t>
      </w:r>
    </w:p>
    <w:p w14:paraId="63BFCF0E">
      <w:pPr>
        <w:pStyle w:val="11"/>
        <w:bidi w:val="0"/>
        <w:rPr>
          <w:rFonts w:hint="default" w:ascii="Times New Roman" w:hAnsi="Times New Roman" w:eastAsia="宋体"/>
          <w:color w:val="auto"/>
          <w:lang w:val="en-US" w:eastAsia="zh-CN"/>
        </w:rPr>
      </w:pPr>
      <w:r>
        <w:rPr>
          <w:rFonts w:hint="eastAsia"/>
          <w:color w:val="auto"/>
          <w:lang w:val="en-US" w:eastAsia="zh-CN"/>
        </w:rPr>
        <w:t>②预测情景设置</w:t>
      </w:r>
    </w:p>
    <w:p w14:paraId="0DEDB0D2">
      <w:pPr>
        <w:pStyle w:val="11"/>
        <w:bidi w:val="0"/>
        <w:rPr>
          <w:rFonts w:hint="eastAsia" w:ascii="Times New Roman" w:hAnsi="Times New Roman" w:eastAsia="宋体"/>
          <w:color w:val="auto"/>
        </w:rPr>
      </w:pPr>
      <w:r>
        <w:rPr>
          <w:rFonts w:hint="eastAsia" w:ascii="Times New Roman" w:hAnsi="Times New Roman" w:eastAsia="宋体"/>
          <w:color w:val="auto"/>
        </w:rPr>
        <w:t>根据工程分析，将输送介质石油类作为预测因子。</w:t>
      </w:r>
      <w:r>
        <w:rPr>
          <w:rFonts w:hint="eastAsia" w:ascii="Times New Roman" w:hAnsi="Times New Roman" w:eastAsia="宋体"/>
          <w:color w:val="auto"/>
          <w:lang w:val="en-US" w:eastAsia="zh-CN"/>
        </w:rPr>
        <w:t>集油</w:t>
      </w:r>
      <w:r>
        <w:rPr>
          <w:rFonts w:hint="eastAsia" w:ascii="Times New Roman" w:hAnsi="Times New Roman" w:eastAsia="宋体"/>
          <w:color w:val="auto"/>
        </w:rPr>
        <w:t>管线泄漏后，建设单位发现并在短时间内回收，清理时间按12小时考虑，由于</w:t>
      </w:r>
      <w:r>
        <w:rPr>
          <w:rFonts w:hint="eastAsia" w:ascii="Times New Roman" w:hAnsi="Times New Roman" w:eastAsia="宋体"/>
          <w:color w:val="auto"/>
          <w:lang w:val="en-US" w:eastAsia="zh-CN"/>
        </w:rPr>
        <w:t>集油</w:t>
      </w:r>
      <w:r>
        <w:rPr>
          <w:rFonts w:hint="eastAsia" w:ascii="Times New Roman" w:hAnsi="Times New Roman" w:eastAsia="宋体"/>
          <w:color w:val="auto"/>
        </w:rPr>
        <w:t>管线中原油含量高，残留在包气带中的原油不易清理，之后已经下渗的污染物继续向下运移，同时上部降雨入渗对残留的石油不断溶解后继续向下运移。</w:t>
      </w:r>
    </w:p>
    <w:p w14:paraId="3E681D97">
      <w:pPr>
        <w:pStyle w:val="11"/>
        <w:bidi w:val="0"/>
        <w:rPr>
          <w:rFonts w:hint="eastAsia" w:ascii="Times New Roman" w:hAnsi="Times New Roman" w:eastAsia="宋体"/>
          <w:color w:val="auto"/>
        </w:rPr>
      </w:pPr>
      <w:r>
        <w:rPr>
          <w:rFonts w:hint="eastAsia" w:ascii="Times New Roman" w:hAnsi="Times New Roman" w:eastAsia="宋体"/>
          <w:color w:val="auto"/>
        </w:rPr>
        <w:t>根据地下水预测内容</w:t>
      </w:r>
      <w:r>
        <w:rPr>
          <w:rFonts w:hint="eastAsia" w:ascii="Times New Roman" w:hAnsi="Times New Roman" w:eastAsia="宋体"/>
          <w:color w:val="auto"/>
          <w:lang w:val="en-US" w:eastAsia="zh-CN"/>
        </w:rPr>
        <w:t>中管道</w:t>
      </w:r>
      <w:r>
        <w:rPr>
          <w:rFonts w:hint="eastAsia"/>
          <w:color w:val="auto"/>
          <w:lang w:val="en-US" w:eastAsia="zh-CN"/>
        </w:rPr>
        <w:t>泄漏</w:t>
      </w:r>
      <w:r>
        <w:rPr>
          <w:rFonts w:hint="eastAsia" w:ascii="Times New Roman" w:hAnsi="Times New Roman" w:eastAsia="宋体"/>
          <w:color w:val="auto"/>
          <w:lang w:val="en-US" w:eastAsia="zh-CN"/>
        </w:rPr>
        <w:t>量</w:t>
      </w:r>
      <w:r>
        <w:rPr>
          <w:rFonts w:ascii="Times New Roman" w:hAnsi="Times New Roman" w:eastAsia="宋体"/>
          <w:color w:val="auto"/>
        </w:rPr>
        <w:t>公式估算泄漏流量</w:t>
      </w:r>
      <w:r>
        <w:rPr>
          <w:rFonts w:hint="eastAsia" w:ascii="Times New Roman" w:hAnsi="Times New Roman" w:eastAsia="宋体"/>
          <w:color w:val="auto"/>
        </w:rPr>
        <w:t>，</w:t>
      </w:r>
      <w:r>
        <w:rPr>
          <w:rFonts w:hint="eastAsia" w:ascii="Times New Roman" w:hAnsi="Times New Roman" w:eastAsia="宋体"/>
          <w:color w:val="auto"/>
          <w:lang w:val="en-US" w:eastAsia="zh-CN"/>
        </w:rPr>
        <w:t>集油</w:t>
      </w:r>
      <w:r>
        <w:rPr>
          <w:rFonts w:hint="eastAsia" w:ascii="Times New Roman" w:hAnsi="Times New Roman" w:eastAsia="宋体"/>
          <w:color w:val="auto"/>
        </w:rPr>
        <w:t>管线泄漏时，含水原油泄漏量为</w:t>
      </w:r>
      <w:r>
        <w:rPr>
          <w:rFonts w:hint="eastAsia" w:ascii="Times New Roman" w:hAnsi="Times New Roman" w:eastAsia="宋体"/>
          <w:color w:val="auto"/>
          <w:lang w:val="en-US" w:eastAsia="zh-CN"/>
        </w:rPr>
        <w:t>6.24</w:t>
      </w:r>
      <w:r>
        <w:rPr>
          <w:rFonts w:hint="eastAsia" w:ascii="Times New Roman" w:hAnsi="Times New Roman" w:eastAsia="宋体"/>
          <w:color w:val="auto"/>
        </w:rPr>
        <w:t>m</w:t>
      </w:r>
      <w:r>
        <w:rPr>
          <w:rFonts w:hint="eastAsia" w:ascii="Times New Roman" w:hAnsi="Times New Roman" w:eastAsia="宋体"/>
          <w:color w:val="auto"/>
          <w:vertAlign w:val="superscript"/>
        </w:rPr>
        <w:t>3</w:t>
      </w:r>
      <w:r>
        <w:rPr>
          <w:rFonts w:hint="eastAsia" w:ascii="Times New Roman" w:hAnsi="Times New Roman" w:eastAsia="宋体"/>
          <w:color w:val="auto"/>
        </w:rPr>
        <w:t>，按照原油含水率50%考虑，因此管道破裂后，含水原油中水的泄漏总量为</w:t>
      </w:r>
      <w:r>
        <w:rPr>
          <w:rFonts w:hint="eastAsia" w:ascii="Times New Roman" w:hAnsi="Times New Roman" w:eastAsia="宋体"/>
          <w:color w:val="auto"/>
          <w:lang w:val="en-US" w:eastAsia="zh-CN"/>
        </w:rPr>
        <w:t>3.12</w:t>
      </w:r>
      <w:r>
        <w:rPr>
          <w:rFonts w:hint="eastAsia" w:ascii="Times New Roman" w:hAnsi="Times New Roman" w:eastAsia="宋体"/>
          <w:color w:val="auto"/>
        </w:rPr>
        <w:t>m</w:t>
      </w:r>
      <w:r>
        <w:rPr>
          <w:rFonts w:hint="eastAsia" w:ascii="Times New Roman" w:hAnsi="Times New Roman" w:eastAsia="宋体"/>
          <w:color w:val="auto"/>
          <w:vertAlign w:val="superscript"/>
        </w:rPr>
        <w:t>3</w:t>
      </w:r>
      <w:r>
        <w:rPr>
          <w:rFonts w:hint="eastAsia" w:ascii="Times New Roman" w:hAnsi="Times New Roman" w:eastAsia="宋体"/>
          <w:color w:val="auto"/>
          <w:lang w:eastAsia="zh-CN"/>
        </w:rPr>
        <w:t>。</w:t>
      </w:r>
      <w:r>
        <w:rPr>
          <w:rFonts w:hint="eastAsia" w:ascii="Times New Roman" w:hAnsi="Times New Roman" w:eastAsia="宋体"/>
          <w:color w:val="auto"/>
        </w:rPr>
        <w:t>假设泄漏后</w:t>
      </w:r>
      <w:r>
        <w:rPr>
          <w:rFonts w:hint="eastAsia" w:ascii="Times New Roman" w:hAnsi="Times New Roman" w:eastAsia="宋体"/>
          <w:color w:val="auto"/>
          <w:lang w:val="en-US" w:eastAsia="zh-CN"/>
        </w:rPr>
        <w:t>湿周的</w:t>
      </w:r>
      <w:r>
        <w:rPr>
          <w:rFonts w:hint="eastAsia" w:ascii="Times New Roman" w:hAnsi="Times New Roman" w:eastAsia="宋体"/>
          <w:color w:val="auto"/>
        </w:rPr>
        <w:t>平面面积为</w:t>
      </w:r>
      <w:r>
        <w:rPr>
          <w:rFonts w:hint="eastAsia" w:ascii="Times New Roman" w:hAnsi="Times New Roman" w:eastAsia="宋体"/>
          <w:color w:val="auto"/>
          <w:lang w:val="en-US" w:eastAsia="zh-CN"/>
        </w:rPr>
        <w:t>2</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，则12小时内单位强度为</w:t>
      </w:r>
      <w:r>
        <w:rPr>
          <w:rFonts w:hint="eastAsia" w:ascii="Times New Roman" w:hAnsi="Times New Roman" w:eastAsia="宋体"/>
          <w:color w:val="auto"/>
          <w:lang w:val="en-US" w:eastAsia="zh-CN"/>
        </w:rPr>
        <w:t>156</w:t>
      </w:r>
      <w:r>
        <w:rPr>
          <w:rFonts w:hint="eastAsia" w:ascii="Times New Roman" w:hAnsi="Times New Roman" w:eastAsia="宋体"/>
          <w:color w:val="auto"/>
        </w:rPr>
        <w:t>cm/d，之后受到降雨入渗溶解，大气降雨取当地多年平均降雨入渗强度，根据气象资料，</w:t>
      </w:r>
      <w:r>
        <w:rPr>
          <w:rFonts w:hint="eastAsia"/>
          <w:color w:val="auto"/>
          <w:lang w:val="en-US" w:eastAsia="zh-CN"/>
        </w:rPr>
        <w:t>乌尔禾</w:t>
      </w:r>
      <w:r>
        <w:rPr>
          <w:rFonts w:hint="eastAsia" w:ascii="Times New Roman" w:hAnsi="Times New Roman" w:eastAsia="宋体"/>
          <w:color w:val="auto"/>
        </w:rPr>
        <w:t>多年平均降雨量为</w:t>
      </w:r>
      <w:r>
        <w:rPr>
          <w:rFonts w:hint="eastAsia"/>
          <w:color w:val="auto"/>
          <w:lang w:val="en-US" w:eastAsia="zh-CN"/>
        </w:rPr>
        <w:t>96.4</w:t>
      </w:r>
      <w:r>
        <w:rPr>
          <w:rFonts w:hint="eastAsia" w:ascii="Times New Roman" w:hAnsi="Times New Roman" w:eastAsia="宋体"/>
          <w:color w:val="auto"/>
        </w:rPr>
        <w:t>mm/a，则入渗强度为</w:t>
      </w:r>
      <w:r>
        <w:rPr>
          <w:rFonts w:hint="eastAsia"/>
          <w:color w:val="auto"/>
          <w:lang w:val="en-US" w:eastAsia="zh-CN"/>
        </w:rPr>
        <w:t>96.4</w:t>
      </w:r>
      <w:r>
        <w:rPr>
          <w:rFonts w:hint="eastAsia" w:ascii="Times New Roman" w:hAnsi="Times New Roman" w:eastAsia="宋体"/>
          <w:color w:val="auto"/>
        </w:rPr>
        <w:t>mm/a。</w:t>
      </w:r>
    </w:p>
    <w:p w14:paraId="06C6F374">
      <w:pPr>
        <w:pStyle w:val="11"/>
        <w:bidi w:val="0"/>
        <w:rPr>
          <w:rFonts w:ascii="Times New Roman" w:hAnsi="Times New Roman" w:eastAsia="宋体"/>
          <w:color w:val="auto"/>
        </w:rPr>
      </w:pPr>
      <w:r>
        <w:rPr>
          <w:rFonts w:hint="eastAsia" w:ascii="Times New Roman" w:hAnsi="Times New Roman" w:eastAsia="宋体"/>
          <w:color w:val="auto"/>
          <w:lang w:val="en-US" w:eastAsia="zh-CN"/>
        </w:rPr>
        <w:t>本次预测以石油类物质经水稀释溶解后的浓度作为非饱水带模型的上边界的浓度，初始浓度取石油类在水中的最大溶解度18mg/L。</w:t>
      </w:r>
    </w:p>
    <w:p w14:paraId="1F37B651">
      <w:pPr>
        <w:pStyle w:val="11"/>
        <w:bidi w:val="0"/>
        <w:rPr>
          <w:rFonts w:hint="eastAsia" w:ascii="Times New Roman" w:hAnsi="Times New Roman" w:eastAsia="宋体"/>
          <w:color w:val="auto"/>
        </w:rPr>
      </w:pPr>
      <w:r>
        <w:rPr>
          <w:rFonts w:hint="eastAsia" w:ascii="Times New Roman" w:hAnsi="Times New Roman" w:eastAsia="宋体"/>
          <w:color w:val="auto"/>
        </w:rPr>
        <w:t>预测源强具体见下表。</w:t>
      </w:r>
    </w:p>
    <w:p w14:paraId="24D06985">
      <w:pPr>
        <w:pStyle w:val="43"/>
        <w:bidi w:val="0"/>
        <w:rPr>
          <w:rFonts w:ascii="Times New Roman" w:hAnsi="Times New Roman" w:eastAsia="宋体" w:cs="Times New Roman"/>
          <w:b/>
          <w:color w:val="auto"/>
          <w:szCs w:val="21"/>
          <w:highlight w:val="none"/>
          <w:lang w:val="zh-CN"/>
        </w:rPr>
      </w:pPr>
      <w:r>
        <w:rPr>
          <w:rFonts w:cs="Times New Roman"/>
          <w:color w:val="auto"/>
        </w:rPr>
        <w:t>表</w:t>
      </w:r>
      <w:r>
        <w:rPr>
          <w:rFonts w:hint="eastAsia" w:cs="Times New Roman"/>
          <w:color w:val="auto"/>
          <w:lang w:val="en-US" w:eastAsia="zh-CN"/>
        </w:rPr>
        <w:t>5.2-16</w:t>
      </w:r>
      <w:r>
        <w:rPr>
          <w:rFonts w:ascii="Times New Roman" w:hAnsi="Times New Roman" w:eastAsia="宋体" w:cs="Times New Roman"/>
          <w:b/>
          <w:color w:val="auto"/>
          <w:szCs w:val="21"/>
          <w:highlight w:val="none"/>
          <w:lang w:val="zh-CN"/>
        </w:rPr>
        <w:t xml:space="preserve">  土壤预测源强表</w:t>
      </w:r>
    </w:p>
    <w:tbl>
      <w:tblPr>
        <w:tblStyle w:val="27"/>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698"/>
        <w:gridCol w:w="638"/>
        <w:gridCol w:w="627"/>
        <w:gridCol w:w="1019"/>
        <w:gridCol w:w="792"/>
        <w:gridCol w:w="1118"/>
        <w:gridCol w:w="1059"/>
        <w:gridCol w:w="1838"/>
      </w:tblGrid>
      <w:tr w14:paraId="4A17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9" w:hRule="atLeast"/>
          <w:jc w:val="center"/>
        </w:trPr>
        <w:tc>
          <w:tcPr>
            <w:tcW w:w="966" w:type="pct"/>
            <w:vMerge w:val="restart"/>
            <w:shd w:val="clear" w:color="auto" w:fill="auto"/>
            <w:vAlign w:val="center"/>
          </w:tcPr>
          <w:p w14:paraId="0E3D5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情景设定</w:t>
            </w:r>
          </w:p>
        </w:tc>
        <w:tc>
          <w:tcPr>
            <w:tcW w:w="362" w:type="pct"/>
            <w:vMerge w:val="restart"/>
            <w:shd w:val="clear" w:color="auto" w:fill="auto"/>
            <w:vAlign w:val="center"/>
          </w:tcPr>
          <w:p w14:paraId="0F0628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工程类型</w:t>
            </w:r>
          </w:p>
        </w:tc>
        <w:tc>
          <w:tcPr>
            <w:tcW w:w="356" w:type="pct"/>
            <w:vMerge w:val="restart"/>
            <w:shd w:val="clear" w:color="auto" w:fill="auto"/>
            <w:vAlign w:val="center"/>
          </w:tcPr>
          <w:p w14:paraId="071AEB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土壤类型</w:t>
            </w:r>
          </w:p>
        </w:tc>
        <w:tc>
          <w:tcPr>
            <w:tcW w:w="580" w:type="pct"/>
            <w:vMerge w:val="restart"/>
            <w:shd w:val="clear" w:color="auto" w:fill="auto"/>
            <w:vAlign w:val="center"/>
          </w:tcPr>
          <w:p w14:paraId="4F2ACA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渗漏点</w:t>
            </w:r>
          </w:p>
        </w:tc>
        <w:tc>
          <w:tcPr>
            <w:tcW w:w="451" w:type="pct"/>
            <w:vMerge w:val="restart"/>
            <w:shd w:val="clear" w:color="auto" w:fill="auto"/>
            <w:vAlign w:val="center"/>
          </w:tcPr>
          <w:p w14:paraId="210773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特征污染物</w:t>
            </w:r>
          </w:p>
        </w:tc>
        <w:tc>
          <w:tcPr>
            <w:tcW w:w="1237" w:type="pct"/>
            <w:gridSpan w:val="2"/>
            <w:shd w:val="clear" w:color="auto" w:fill="auto"/>
            <w:vAlign w:val="center"/>
          </w:tcPr>
          <w:p w14:paraId="641A5C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预测源强</w:t>
            </w:r>
          </w:p>
        </w:tc>
        <w:tc>
          <w:tcPr>
            <w:tcW w:w="1045" w:type="pct"/>
            <w:vMerge w:val="restart"/>
            <w:shd w:val="clear" w:color="auto" w:fill="auto"/>
            <w:vAlign w:val="center"/>
          </w:tcPr>
          <w:p w14:paraId="23DD2C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渗漏特征</w:t>
            </w:r>
          </w:p>
        </w:tc>
      </w:tr>
      <w:tr w14:paraId="1D52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966" w:type="pct"/>
            <w:vMerge w:val="continue"/>
            <w:shd w:val="clear" w:color="auto" w:fill="auto"/>
            <w:vAlign w:val="center"/>
          </w:tcPr>
          <w:p w14:paraId="15F384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p>
        </w:tc>
        <w:tc>
          <w:tcPr>
            <w:tcW w:w="362" w:type="pct"/>
            <w:vMerge w:val="continue"/>
            <w:shd w:val="clear" w:color="auto" w:fill="auto"/>
            <w:vAlign w:val="center"/>
          </w:tcPr>
          <w:p w14:paraId="1C40C7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p>
        </w:tc>
        <w:tc>
          <w:tcPr>
            <w:tcW w:w="356" w:type="pct"/>
            <w:vMerge w:val="continue"/>
            <w:shd w:val="clear" w:color="auto" w:fill="auto"/>
            <w:vAlign w:val="center"/>
          </w:tcPr>
          <w:p w14:paraId="7B4F5A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p>
        </w:tc>
        <w:tc>
          <w:tcPr>
            <w:tcW w:w="580" w:type="pct"/>
            <w:vMerge w:val="continue"/>
            <w:shd w:val="clear" w:color="auto" w:fill="auto"/>
            <w:vAlign w:val="center"/>
          </w:tcPr>
          <w:p w14:paraId="58221A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p>
        </w:tc>
        <w:tc>
          <w:tcPr>
            <w:tcW w:w="451" w:type="pct"/>
            <w:vMerge w:val="continue"/>
            <w:shd w:val="clear" w:color="auto" w:fill="auto"/>
            <w:vAlign w:val="center"/>
          </w:tcPr>
          <w:p w14:paraId="6BE7DC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p>
        </w:tc>
        <w:tc>
          <w:tcPr>
            <w:tcW w:w="635" w:type="pct"/>
            <w:shd w:val="clear" w:color="auto" w:fill="auto"/>
            <w:vAlign w:val="center"/>
          </w:tcPr>
          <w:p w14:paraId="5134A0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泄漏量</w:t>
            </w:r>
          </w:p>
        </w:tc>
        <w:tc>
          <w:tcPr>
            <w:tcW w:w="602" w:type="pct"/>
            <w:shd w:val="clear" w:color="auto" w:fill="auto"/>
            <w:vAlign w:val="center"/>
          </w:tcPr>
          <w:p w14:paraId="4C47AB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tc>
        <w:tc>
          <w:tcPr>
            <w:tcW w:w="1045" w:type="pct"/>
            <w:vMerge w:val="continue"/>
            <w:shd w:val="clear" w:color="auto" w:fill="auto"/>
            <w:vAlign w:val="center"/>
          </w:tcPr>
          <w:p w14:paraId="00DBEF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z w:val="21"/>
                <w:szCs w:val="21"/>
                <w:highlight w:val="none"/>
              </w:rPr>
            </w:pPr>
          </w:p>
        </w:tc>
      </w:tr>
      <w:tr w14:paraId="0E33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966" w:type="pct"/>
            <w:vMerge w:val="restart"/>
            <w:shd w:val="clear" w:color="auto" w:fill="auto"/>
            <w:vAlign w:val="center"/>
          </w:tcPr>
          <w:p w14:paraId="18765D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集油</w:t>
            </w:r>
            <w:r>
              <w:rPr>
                <w:rFonts w:hint="default" w:ascii="Times New Roman" w:hAnsi="Times New Roman" w:eastAsia="宋体" w:cs="Times New Roman"/>
                <w:color w:val="auto"/>
                <w:sz w:val="21"/>
                <w:szCs w:val="21"/>
                <w:highlight w:val="none"/>
              </w:rPr>
              <w:t>管线泄漏</w:t>
            </w:r>
          </w:p>
        </w:tc>
        <w:tc>
          <w:tcPr>
            <w:tcW w:w="362" w:type="pct"/>
            <w:vMerge w:val="restart"/>
            <w:shd w:val="clear" w:color="auto" w:fill="auto"/>
            <w:vAlign w:val="center"/>
          </w:tcPr>
          <w:p w14:paraId="00FC68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集油</w:t>
            </w:r>
            <w:r>
              <w:rPr>
                <w:rFonts w:hint="default" w:ascii="Times New Roman" w:hAnsi="Times New Roman" w:eastAsia="宋体" w:cs="Times New Roman"/>
                <w:color w:val="auto"/>
                <w:sz w:val="21"/>
                <w:szCs w:val="21"/>
                <w:highlight w:val="none"/>
              </w:rPr>
              <w:t>管线</w:t>
            </w:r>
          </w:p>
        </w:tc>
        <w:tc>
          <w:tcPr>
            <w:tcW w:w="356" w:type="pct"/>
            <w:vMerge w:val="restart"/>
            <w:shd w:val="clear" w:color="auto" w:fill="auto"/>
            <w:vAlign w:val="center"/>
          </w:tcPr>
          <w:p w14:paraId="3ED142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砂土</w:t>
            </w:r>
          </w:p>
        </w:tc>
        <w:tc>
          <w:tcPr>
            <w:tcW w:w="580" w:type="pct"/>
            <w:vMerge w:val="restart"/>
            <w:shd w:val="clear" w:color="auto" w:fill="auto"/>
            <w:vAlign w:val="center"/>
          </w:tcPr>
          <w:p w14:paraId="48DB90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集油管线</w:t>
            </w:r>
          </w:p>
        </w:tc>
        <w:tc>
          <w:tcPr>
            <w:tcW w:w="451" w:type="pct"/>
            <w:vMerge w:val="restart"/>
            <w:shd w:val="clear" w:color="auto" w:fill="auto"/>
            <w:vAlign w:val="center"/>
          </w:tcPr>
          <w:p w14:paraId="27874B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石油烃</w:t>
            </w:r>
          </w:p>
        </w:tc>
        <w:tc>
          <w:tcPr>
            <w:tcW w:w="635" w:type="pct"/>
            <w:shd w:val="clear" w:color="auto" w:fill="auto"/>
            <w:vAlign w:val="center"/>
          </w:tcPr>
          <w:p w14:paraId="4F731C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156</w:t>
            </w:r>
            <w:r>
              <w:rPr>
                <w:rFonts w:hint="default" w:ascii="Times New Roman" w:hAnsi="Times New Roman" w:eastAsia="宋体" w:cs="Times New Roman"/>
                <w:color w:val="auto"/>
                <w:sz w:val="21"/>
                <w:szCs w:val="21"/>
                <w:highlight w:val="none"/>
              </w:rPr>
              <w:t>cm/d</w:t>
            </w:r>
          </w:p>
        </w:tc>
        <w:tc>
          <w:tcPr>
            <w:tcW w:w="602" w:type="pct"/>
            <w:shd w:val="clear" w:color="auto" w:fill="auto"/>
            <w:vAlign w:val="center"/>
          </w:tcPr>
          <w:p w14:paraId="54E6DB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18mg/L</w:t>
            </w:r>
          </w:p>
        </w:tc>
        <w:tc>
          <w:tcPr>
            <w:tcW w:w="1045" w:type="pct"/>
            <w:shd w:val="clear" w:color="auto" w:fill="auto"/>
            <w:vAlign w:val="center"/>
          </w:tcPr>
          <w:p w14:paraId="7BF66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短时下渗0.5d</w:t>
            </w:r>
          </w:p>
        </w:tc>
      </w:tr>
      <w:tr w14:paraId="3598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966" w:type="pct"/>
            <w:vMerge w:val="continue"/>
            <w:shd w:val="clear" w:color="auto" w:fill="auto"/>
            <w:vAlign w:val="center"/>
          </w:tcPr>
          <w:p w14:paraId="04056B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p>
        </w:tc>
        <w:tc>
          <w:tcPr>
            <w:tcW w:w="362" w:type="pct"/>
            <w:vMerge w:val="continue"/>
            <w:shd w:val="clear" w:color="auto" w:fill="auto"/>
            <w:vAlign w:val="center"/>
          </w:tcPr>
          <w:p w14:paraId="6BDD89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p>
        </w:tc>
        <w:tc>
          <w:tcPr>
            <w:tcW w:w="356" w:type="pct"/>
            <w:vMerge w:val="continue"/>
            <w:shd w:val="clear" w:color="auto" w:fill="auto"/>
            <w:vAlign w:val="center"/>
          </w:tcPr>
          <w:p w14:paraId="3BF7E1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p>
        </w:tc>
        <w:tc>
          <w:tcPr>
            <w:tcW w:w="580" w:type="pct"/>
            <w:vMerge w:val="continue"/>
            <w:shd w:val="clear" w:color="auto" w:fill="auto"/>
            <w:vAlign w:val="center"/>
          </w:tcPr>
          <w:p w14:paraId="7BF777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p>
        </w:tc>
        <w:tc>
          <w:tcPr>
            <w:tcW w:w="451" w:type="pct"/>
            <w:vMerge w:val="continue"/>
            <w:shd w:val="clear" w:color="auto" w:fill="auto"/>
            <w:vAlign w:val="center"/>
          </w:tcPr>
          <w:p w14:paraId="360AE3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p>
        </w:tc>
        <w:tc>
          <w:tcPr>
            <w:tcW w:w="635" w:type="pct"/>
            <w:shd w:val="clear" w:color="auto" w:fill="auto"/>
            <w:vAlign w:val="center"/>
          </w:tcPr>
          <w:p w14:paraId="57D7F0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96.4</w:t>
            </w:r>
            <w:r>
              <w:rPr>
                <w:rFonts w:hint="default" w:ascii="Times New Roman" w:hAnsi="Times New Roman" w:eastAsia="宋体" w:cs="Times New Roman"/>
                <w:color w:val="auto"/>
                <w:sz w:val="21"/>
                <w:szCs w:val="21"/>
                <w:highlight w:val="none"/>
              </w:rPr>
              <w:t>mm/a</w:t>
            </w:r>
          </w:p>
        </w:tc>
        <w:tc>
          <w:tcPr>
            <w:tcW w:w="602" w:type="pct"/>
            <w:shd w:val="clear" w:color="auto" w:fill="auto"/>
            <w:vAlign w:val="center"/>
          </w:tcPr>
          <w:p w14:paraId="5B1265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18mg/L</w:t>
            </w:r>
          </w:p>
        </w:tc>
        <w:tc>
          <w:tcPr>
            <w:tcW w:w="1045" w:type="pct"/>
            <w:shd w:val="clear" w:color="auto" w:fill="auto"/>
            <w:vAlign w:val="center"/>
          </w:tcPr>
          <w:p w14:paraId="684D86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持续3</w:t>
            </w:r>
            <w:r>
              <w:rPr>
                <w:rFonts w:hint="eastAsia" w:cs="Times New Roman"/>
                <w:color w:val="auto"/>
                <w:sz w:val="21"/>
                <w:szCs w:val="21"/>
                <w:highlight w:val="none"/>
                <w:lang w:val="en-US" w:eastAsia="zh-CN"/>
              </w:rPr>
              <w:t>65</w:t>
            </w:r>
            <w:r>
              <w:rPr>
                <w:rFonts w:hint="default" w:ascii="Times New Roman" w:hAnsi="Times New Roman" w:eastAsia="宋体" w:cs="Times New Roman"/>
                <w:color w:val="auto"/>
                <w:sz w:val="21"/>
                <w:szCs w:val="21"/>
                <w:highlight w:val="none"/>
              </w:rPr>
              <w:t>0d</w:t>
            </w:r>
          </w:p>
        </w:tc>
      </w:tr>
    </w:tbl>
    <w:p w14:paraId="2040A438">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③模型范围</w:t>
      </w:r>
    </w:p>
    <w:p w14:paraId="59301841">
      <w:pPr>
        <w:pStyle w:val="11"/>
        <w:bidi w:val="0"/>
        <w:rPr>
          <w:rFonts w:hint="eastAsia" w:ascii="Times New Roman" w:hAnsi="Times New Roman" w:eastAsia="宋体"/>
          <w:color w:val="auto"/>
        </w:rPr>
      </w:pPr>
      <w:r>
        <w:rPr>
          <w:rFonts w:hint="eastAsia" w:ascii="Times New Roman" w:hAnsi="Times New Roman" w:eastAsia="宋体"/>
          <w:color w:val="auto"/>
          <w:lang w:val="zh-CN"/>
        </w:rPr>
        <w:t>本次模拟预测采用垂向一维模型，</w:t>
      </w:r>
      <w:r>
        <w:rPr>
          <w:rFonts w:ascii="Times New Roman" w:hAnsi="Times New Roman" w:eastAsia="宋体"/>
          <w:color w:val="auto"/>
        </w:rPr>
        <w:t>场地包气带岩性主要为</w:t>
      </w:r>
      <w:r>
        <w:rPr>
          <w:rFonts w:hint="eastAsia" w:ascii="Times New Roman" w:hAnsi="Times New Roman" w:eastAsia="宋体"/>
          <w:color w:val="auto"/>
          <w:lang w:val="en-US" w:eastAsia="zh-CN"/>
        </w:rPr>
        <w:t>砂土</w:t>
      </w:r>
      <w:r>
        <w:rPr>
          <w:rFonts w:hint="eastAsia" w:ascii="Times New Roman" w:hAnsi="Times New Roman" w:eastAsia="宋体"/>
          <w:color w:val="auto"/>
        </w:rPr>
        <w:t>，模型纵向范围采用单位宽度地表至地表下</w:t>
      </w:r>
      <w:r>
        <w:rPr>
          <w:rFonts w:hint="eastAsia" w:ascii="Times New Roman" w:hAnsi="Times New Roman" w:eastAsia="宋体"/>
          <w:color w:val="auto"/>
          <w:lang w:val="en-US" w:eastAsia="zh-CN"/>
        </w:rPr>
        <w:t>1</w:t>
      </w:r>
      <w:r>
        <w:rPr>
          <w:rFonts w:hint="eastAsia" w:ascii="Times New Roman" w:hAnsi="Times New Roman" w:eastAsia="宋体"/>
          <w:color w:val="auto"/>
        </w:rPr>
        <w:t>0m。</w:t>
      </w:r>
    </w:p>
    <w:p w14:paraId="4AAA751E">
      <w:pPr>
        <w:pStyle w:val="11"/>
        <w:bidi w:val="0"/>
        <w:rPr>
          <w:rFonts w:hint="eastAsia" w:ascii="Times New Roman" w:hAnsi="Times New Roman" w:eastAsia="宋体"/>
          <w:color w:val="auto"/>
        </w:rPr>
      </w:pPr>
      <w:r>
        <w:rPr>
          <w:rFonts w:hint="eastAsia" w:ascii="Times New Roman" w:hAnsi="Times New Roman" w:eastAsia="宋体"/>
          <w:color w:val="auto"/>
        </w:rPr>
        <w:fldChar w:fldCharType="begin"/>
      </w:r>
      <w:r>
        <w:rPr>
          <w:rFonts w:hint="eastAsia" w:ascii="Times New Roman" w:hAnsi="Times New Roman" w:eastAsia="宋体"/>
          <w:color w:val="auto"/>
        </w:rPr>
        <w:instrText xml:space="preserve"> = 4 \* GB3 </w:instrText>
      </w:r>
      <w:r>
        <w:rPr>
          <w:rFonts w:hint="eastAsia" w:ascii="Times New Roman" w:hAnsi="Times New Roman" w:eastAsia="宋体"/>
          <w:color w:val="auto"/>
        </w:rPr>
        <w:fldChar w:fldCharType="separate"/>
      </w:r>
      <w:r>
        <w:rPr>
          <w:rFonts w:hint="eastAsia" w:ascii="Times New Roman" w:hAnsi="Times New Roman" w:eastAsia="宋体"/>
          <w:color w:val="auto"/>
        </w:rPr>
        <w:t>④</w:t>
      </w:r>
      <w:r>
        <w:rPr>
          <w:rFonts w:hint="eastAsia" w:ascii="Times New Roman" w:hAnsi="Times New Roman" w:eastAsia="宋体"/>
          <w:color w:val="auto"/>
        </w:rPr>
        <w:fldChar w:fldCharType="end"/>
      </w:r>
      <w:r>
        <w:rPr>
          <w:rFonts w:hint="eastAsia" w:ascii="Times New Roman" w:hAnsi="Times New Roman" w:eastAsia="宋体"/>
          <w:color w:val="auto"/>
        </w:rPr>
        <w:t>水力边界条件</w:t>
      </w:r>
    </w:p>
    <w:p w14:paraId="3506A6F1">
      <w:pPr>
        <w:pStyle w:val="11"/>
        <w:bidi w:val="0"/>
        <w:rPr>
          <w:rFonts w:hint="eastAsia" w:ascii="Times New Roman" w:hAnsi="Times New Roman" w:eastAsia="宋体"/>
          <w:color w:val="auto"/>
        </w:rPr>
      </w:pPr>
      <w:r>
        <w:rPr>
          <w:rFonts w:hint="eastAsia" w:ascii="Times New Roman" w:hAnsi="Times New Roman" w:eastAsia="宋体"/>
          <w:color w:val="auto"/>
        </w:rPr>
        <w:t>上边界条件：大气边界；下边界条件：自由排水边界。</w:t>
      </w:r>
    </w:p>
    <w:p w14:paraId="00FE8A61">
      <w:pPr>
        <w:pStyle w:val="11"/>
        <w:bidi w:val="0"/>
        <w:rPr>
          <w:rFonts w:hint="eastAsia" w:ascii="Times New Roman" w:hAnsi="Times New Roman" w:eastAsia="宋体"/>
          <w:color w:val="auto"/>
        </w:rPr>
      </w:pPr>
      <w:r>
        <w:rPr>
          <w:rFonts w:hint="eastAsia" w:ascii="Times New Roman" w:hAnsi="Times New Roman" w:eastAsia="宋体"/>
          <w:color w:val="auto"/>
        </w:rPr>
        <w:fldChar w:fldCharType="begin"/>
      </w:r>
      <w:r>
        <w:rPr>
          <w:rFonts w:hint="eastAsia" w:ascii="Times New Roman" w:hAnsi="Times New Roman" w:eastAsia="宋体"/>
          <w:color w:val="auto"/>
        </w:rPr>
        <w:instrText xml:space="preserve"> = 5 \* GB3 \* MERGEFORMAT </w:instrText>
      </w:r>
      <w:r>
        <w:rPr>
          <w:rFonts w:hint="eastAsia" w:ascii="Times New Roman" w:hAnsi="Times New Roman" w:eastAsia="宋体"/>
          <w:color w:val="auto"/>
        </w:rPr>
        <w:fldChar w:fldCharType="separate"/>
      </w:r>
      <w:r>
        <w:rPr>
          <w:rFonts w:hint="eastAsia" w:ascii="Times New Roman" w:hAnsi="Times New Roman" w:eastAsia="宋体"/>
          <w:color w:val="auto"/>
        </w:rPr>
        <w:t>⑤</w:t>
      </w:r>
      <w:r>
        <w:rPr>
          <w:rFonts w:hint="eastAsia" w:ascii="Times New Roman" w:hAnsi="Times New Roman" w:eastAsia="宋体"/>
          <w:color w:val="auto"/>
        </w:rPr>
        <w:fldChar w:fldCharType="end"/>
      </w:r>
      <w:r>
        <w:rPr>
          <w:rFonts w:hint="eastAsia" w:ascii="Times New Roman" w:hAnsi="Times New Roman" w:eastAsia="宋体"/>
          <w:color w:val="auto"/>
        </w:rPr>
        <w:t>溶质运移边界条件</w:t>
      </w:r>
    </w:p>
    <w:p w14:paraId="19F4315D">
      <w:pPr>
        <w:pStyle w:val="11"/>
        <w:bidi w:val="0"/>
        <w:rPr>
          <w:rFonts w:ascii="Times New Roman" w:hAnsi="Times New Roman" w:eastAsia="宋体"/>
          <w:color w:val="auto"/>
        </w:rPr>
      </w:pPr>
      <w:r>
        <w:rPr>
          <w:rFonts w:hint="eastAsia" w:ascii="Times New Roman" w:hAnsi="Times New Roman" w:eastAsia="宋体"/>
          <w:color w:val="auto"/>
        </w:rPr>
        <w:t>上边界条件：</w:t>
      </w:r>
      <w:r>
        <w:rPr>
          <w:rFonts w:hint="eastAsia" w:ascii="Times New Roman" w:hAnsi="Times New Roman" w:eastAsia="宋体"/>
          <w:color w:val="auto"/>
          <w:lang w:val="en-US" w:eastAsia="zh-CN"/>
        </w:rPr>
        <w:t>浓度</w:t>
      </w:r>
      <w:r>
        <w:rPr>
          <w:rFonts w:hint="eastAsia" w:ascii="Times New Roman" w:hAnsi="Times New Roman" w:eastAsia="宋体"/>
          <w:color w:val="auto"/>
        </w:rPr>
        <w:t>边界；下边界条件：零浓度梯度边界。</w:t>
      </w:r>
    </w:p>
    <w:p w14:paraId="50F49B15">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3、预测结果及分析</w:t>
      </w:r>
    </w:p>
    <w:p w14:paraId="11E9B7FE">
      <w:pPr>
        <w:pStyle w:val="11"/>
        <w:bidi w:val="0"/>
        <w:rPr>
          <w:rFonts w:hint="eastAsia" w:ascii="Times New Roman" w:hAnsi="Times New Roman" w:eastAsia="宋体"/>
          <w:color w:val="auto"/>
        </w:rPr>
      </w:pPr>
      <w:r>
        <w:rPr>
          <w:rFonts w:hint="eastAsia" w:ascii="Times New Roman" w:hAnsi="Times New Roman" w:eastAsia="宋体"/>
          <w:color w:val="auto"/>
        </w:rPr>
        <w:t>土壤环境质量标准单位为mg/kg，预测结果为非饱和带土壤水中浓度（单位为mg/cm</w:t>
      </w:r>
      <w:r>
        <w:rPr>
          <w:rFonts w:hint="eastAsia" w:ascii="Times New Roman" w:hAnsi="Times New Roman" w:eastAsia="宋体"/>
          <w:color w:val="auto"/>
          <w:vertAlign w:val="superscript"/>
        </w:rPr>
        <w:t>3</w:t>
      </w:r>
      <w:r>
        <w:rPr>
          <w:rFonts w:hint="eastAsia" w:ascii="Times New Roman" w:hAnsi="Times New Roman" w:eastAsia="宋体"/>
          <w:color w:val="auto"/>
        </w:rPr>
        <w:t>），因此需要对计算结果进行转换，转换公式为：</w:t>
      </w:r>
    </w:p>
    <w:p w14:paraId="018282E6">
      <w:pPr>
        <w:pStyle w:val="11"/>
        <w:bidi w:val="0"/>
        <w:jc w:val="center"/>
        <w:rPr>
          <w:rFonts w:hint="eastAsia" w:ascii="Times New Roman" w:hAnsi="Times New Roman" w:eastAsia="宋体"/>
          <w:color w:val="auto"/>
          <w:lang w:eastAsia="zh-CN"/>
        </w:rPr>
      </w:pPr>
      <w:r>
        <w:rPr>
          <w:rFonts w:hint="eastAsia" w:ascii="Times New Roman" w:hAnsi="Times New Roman" w:eastAsia="宋体"/>
          <w:color w:val="auto"/>
          <w:position w:val="-34"/>
        </w:rPr>
        <w:object>
          <v:shape id="_x0000_i1042" o:spt="75" type="#_x0000_t75" style="height:36pt;width:103.95pt;" o:ole="t" filled="f" o:preferrelative="t" stroked="f" coordsize="21600,21600">
            <v:path/>
            <v:fill on="f" focussize="0,0"/>
            <v:stroke on="f"/>
            <v:imagedata r:id="rId48" o:title=""/>
            <o:lock v:ext="edit" aspectratio="t"/>
            <w10:wrap type="none"/>
            <w10:anchorlock/>
          </v:shape>
          <o:OLEObject Type="Embed" ProgID="Equation.KSEE3" ShapeID="_x0000_i1042" DrawAspect="Content" ObjectID="_1468075742" r:id="rId47">
            <o:LockedField>false</o:LockedField>
          </o:OLEObject>
        </w:object>
      </w:r>
    </w:p>
    <w:p w14:paraId="187ED7B8">
      <w:pPr>
        <w:pStyle w:val="11"/>
        <w:bidi w:val="0"/>
        <w:rPr>
          <w:rFonts w:hint="eastAsia" w:ascii="Times New Roman" w:hAnsi="Times New Roman" w:eastAsia="宋体"/>
          <w:color w:val="auto"/>
        </w:rPr>
      </w:pPr>
      <w:r>
        <w:rPr>
          <w:rFonts w:hint="eastAsia" w:ascii="Times New Roman" w:hAnsi="Times New Roman" w:eastAsia="宋体"/>
          <w:color w:val="auto"/>
        </w:rPr>
        <w:t>式中：X-土壤中污染物浓度，mg/kg；</w:t>
      </w:r>
    </w:p>
    <w:p w14:paraId="2B393350">
      <w:pPr>
        <w:pStyle w:val="11"/>
        <w:bidi w:val="0"/>
        <w:rPr>
          <w:rFonts w:hint="eastAsia" w:ascii="Times New Roman" w:hAnsi="Times New Roman" w:eastAsia="宋体"/>
          <w:color w:val="auto"/>
        </w:rPr>
      </w:pPr>
      <w:r>
        <w:rPr>
          <w:rFonts w:hint="eastAsia" w:ascii="Times New Roman" w:hAnsi="Times New Roman" w:eastAsia="宋体"/>
          <w:color w:val="auto"/>
        </w:rPr>
        <w:t>X</w:t>
      </w:r>
      <w:r>
        <w:rPr>
          <w:rFonts w:hint="eastAsia" w:ascii="Times New Roman" w:hAnsi="Times New Roman" w:eastAsia="宋体"/>
          <w:color w:val="auto"/>
          <w:vertAlign w:val="subscript"/>
        </w:rPr>
        <w:t>0</w:t>
      </w:r>
      <w:r>
        <w:rPr>
          <w:rFonts w:hint="eastAsia" w:ascii="Times New Roman" w:hAnsi="Times New Roman" w:eastAsia="宋体"/>
          <w:color w:val="auto"/>
        </w:rPr>
        <w:t>-土壤水中污染物浓度，mg/cm</w:t>
      </w:r>
      <w:r>
        <w:rPr>
          <w:rFonts w:hint="eastAsia" w:ascii="Times New Roman" w:hAnsi="Times New Roman" w:eastAsia="宋体"/>
          <w:color w:val="auto"/>
          <w:vertAlign w:val="superscript"/>
        </w:rPr>
        <w:t>3</w:t>
      </w:r>
      <w:r>
        <w:rPr>
          <w:rFonts w:hint="eastAsia" w:ascii="Times New Roman" w:hAnsi="Times New Roman" w:eastAsia="宋体"/>
          <w:color w:val="auto"/>
        </w:rPr>
        <w:t>；</w:t>
      </w:r>
    </w:p>
    <w:p w14:paraId="1AF56E05">
      <w:pPr>
        <w:pStyle w:val="11"/>
        <w:bidi w:val="0"/>
        <w:rPr>
          <w:rFonts w:hint="eastAsia" w:ascii="Times New Roman" w:hAnsi="Times New Roman" w:eastAsia="宋体"/>
          <w:color w:val="auto"/>
        </w:rPr>
      </w:pPr>
      <w:r>
        <w:rPr>
          <w:rFonts w:hint="eastAsia" w:ascii="Times New Roman" w:hAnsi="Times New Roman" w:eastAsia="宋体"/>
          <w:color w:val="auto"/>
        </w:rPr>
        <w:t>Gs-土</w:t>
      </w:r>
      <w:r>
        <w:rPr>
          <w:rFonts w:hint="eastAsia"/>
          <w:color w:val="auto"/>
          <w:lang w:val="en-US" w:eastAsia="zh-CN"/>
        </w:rPr>
        <w:t>壤</w:t>
      </w:r>
      <w:r>
        <w:rPr>
          <w:rFonts w:hint="eastAsia" w:ascii="Times New Roman" w:hAnsi="Times New Roman" w:eastAsia="宋体"/>
          <w:color w:val="auto"/>
        </w:rPr>
        <w:t>容重g/cm</w:t>
      </w:r>
      <w:r>
        <w:rPr>
          <w:rFonts w:hint="eastAsia" w:ascii="Times New Roman" w:hAnsi="Times New Roman" w:eastAsia="宋体"/>
          <w:color w:val="auto"/>
          <w:vertAlign w:val="superscript"/>
        </w:rPr>
        <w:t>3</w:t>
      </w:r>
      <w:r>
        <w:rPr>
          <w:rFonts w:hint="eastAsia" w:ascii="Times New Roman" w:hAnsi="Times New Roman" w:eastAsia="宋体"/>
          <w:color w:val="auto"/>
        </w:rPr>
        <w:t>；</w:t>
      </w:r>
    </w:p>
    <w:p w14:paraId="37FFF121">
      <w:pPr>
        <w:pStyle w:val="11"/>
        <w:bidi w:val="0"/>
        <w:rPr>
          <w:rFonts w:hint="eastAsia" w:ascii="Times New Roman" w:hAnsi="Times New Roman" w:eastAsia="宋体"/>
          <w:color w:val="auto"/>
        </w:rPr>
      </w:pPr>
      <w:r>
        <w:rPr>
          <w:rFonts w:hint="default" w:ascii="Times New Roman" w:hAnsi="Times New Roman" w:eastAsia="宋体"/>
          <w:color w:val="auto"/>
        </w:rPr>
        <w:t>θ</w:t>
      </w:r>
      <w:r>
        <w:rPr>
          <w:rFonts w:hint="eastAsia" w:ascii="Times New Roman" w:hAnsi="Times New Roman" w:eastAsia="宋体"/>
          <w:color w:val="auto"/>
        </w:rPr>
        <w:t>-土壤含水率。</w:t>
      </w:r>
    </w:p>
    <w:p w14:paraId="1D78CA13">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（1）表层土壤</w:t>
      </w:r>
    </w:p>
    <w:p w14:paraId="6BB40F2F">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集油管线泄漏后，</w:t>
      </w:r>
      <w:r>
        <w:rPr>
          <w:rFonts w:hint="eastAsia" w:ascii="Times New Roman" w:hAnsi="Times New Roman" w:eastAsia="宋体"/>
          <w:color w:val="auto"/>
        </w:rPr>
        <w:t>残留在包气带中的原油不易清理，</w:t>
      </w:r>
      <w:r>
        <w:rPr>
          <w:rFonts w:hint="eastAsia" w:ascii="Times New Roman" w:hAnsi="Times New Roman" w:eastAsia="宋体"/>
          <w:color w:val="auto"/>
          <w:lang w:val="en-US" w:eastAsia="zh-CN"/>
        </w:rPr>
        <w:t>假设95%的含水原油被清理，则仍有5%的含水原油残留在土壤中。湿周的</w:t>
      </w:r>
      <w:r>
        <w:rPr>
          <w:rFonts w:hint="eastAsia" w:ascii="Times New Roman" w:hAnsi="Times New Roman" w:eastAsia="宋体"/>
          <w:color w:val="auto"/>
        </w:rPr>
        <w:t>平面面积为</w:t>
      </w:r>
      <w:r>
        <w:rPr>
          <w:rFonts w:hint="eastAsia" w:ascii="Times New Roman" w:hAnsi="Times New Roman" w:eastAsia="宋体"/>
          <w:color w:val="auto"/>
          <w:lang w:val="en-US" w:eastAsia="zh-CN"/>
        </w:rPr>
        <w:t>2</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lang w:val="en-US" w:eastAsia="zh-CN"/>
        </w:rPr>
        <w:t>，表层土壤的污染深度取20cm，经计算得，残留在表层土壤中的石油类浓度为2184g/kg。</w:t>
      </w:r>
      <w:r>
        <w:rPr>
          <w:rFonts w:hint="eastAsia" w:ascii="Times New Roman" w:hAnsi="Times New Roman" w:eastAsia="宋体"/>
          <w:color w:val="auto"/>
        </w:rPr>
        <w:t>之后已经下渗的污染物继续向下运移，同时上部降雨入渗对残留的石油不断溶解后继续向下运移。</w:t>
      </w:r>
    </w:p>
    <w:p w14:paraId="7580267C">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2</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非饱水带土壤浓度预测</w:t>
      </w:r>
    </w:p>
    <w:p w14:paraId="52446940">
      <w:pPr>
        <w:pStyle w:val="11"/>
        <w:bidi w:val="0"/>
        <w:rPr>
          <w:rFonts w:hint="eastAsia" w:ascii="Times New Roman" w:hAnsi="Times New Roman" w:eastAsia="宋体"/>
          <w:color w:val="auto"/>
        </w:rPr>
      </w:pPr>
      <w:r>
        <w:rPr>
          <w:rFonts w:hint="eastAsia" w:ascii="Times New Roman" w:hAnsi="Times New Roman" w:eastAsia="宋体"/>
          <w:color w:val="auto"/>
        </w:rPr>
        <w:t>基于以上评价因子的源强及模型参数，输油管线</w:t>
      </w:r>
      <w:r>
        <w:rPr>
          <w:rFonts w:hint="eastAsia"/>
          <w:color w:val="auto"/>
          <w:lang w:eastAsia="zh-CN"/>
        </w:rPr>
        <w:t>泄漏</w:t>
      </w:r>
      <w:r>
        <w:rPr>
          <w:rFonts w:hint="eastAsia" w:ascii="Times New Roman" w:hAnsi="Times New Roman" w:eastAsia="宋体"/>
          <w:color w:val="auto"/>
        </w:rPr>
        <w:t>对</w:t>
      </w:r>
      <w:r>
        <w:rPr>
          <w:rFonts w:hint="eastAsia" w:ascii="Times New Roman" w:hAnsi="Times New Roman" w:eastAsia="宋体"/>
          <w:color w:val="auto"/>
          <w:lang w:val="en-US" w:eastAsia="zh-CN"/>
        </w:rPr>
        <w:t>非饱水带内</w:t>
      </w:r>
      <w:r>
        <w:rPr>
          <w:rFonts w:hint="eastAsia" w:ascii="Times New Roman" w:hAnsi="Times New Roman" w:eastAsia="宋体"/>
          <w:color w:val="auto"/>
        </w:rPr>
        <w:t>土壤影响预测结果见</w:t>
      </w:r>
      <w:r>
        <w:rPr>
          <w:rFonts w:hint="eastAsia" w:ascii="Times New Roman" w:hAnsi="Times New Roman" w:eastAsia="宋体"/>
          <w:color w:val="auto"/>
          <w:lang w:eastAsia="zh-CN"/>
        </w:rPr>
        <w:fldChar w:fldCharType="begin"/>
      </w:r>
      <w:r>
        <w:rPr>
          <w:rFonts w:hint="eastAsia" w:ascii="Times New Roman" w:hAnsi="Times New Roman" w:eastAsia="宋体"/>
          <w:color w:val="auto"/>
          <w:lang w:eastAsia="zh-CN"/>
        </w:rPr>
        <w:instrText xml:space="preserve"> REF _Ref12769 \h </w:instrText>
      </w:r>
      <w:r>
        <w:rPr>
          <w:rFonts w:hint="eastAsia" w:ascii="Times New Roman" w:hAnsi="Times New Roman" w:eastAsia="宋体"/>
          <w:color w:val="auto"/>
          <w:lang w:eastAsia="zh-CN"/>
        </w:rPr>
        <w:fldChar w:fldCharType="separate"/>
      </w:r>
      <w:r>
        <w:rPr>
          <w:rFonts w:ascii="Times New Roman" w:hAnsi="Times New Roman" w:eastAsia="宋体"/>
          <w:color w:val="auto"/>
        </w:rPr>
        <w:t>图</w:t>
      </w:r>
      <w:r>
        <w:rPr>
          <w:rFonts w:ascii="Times New Roman" w:hAnsi="Times New Roman" w:eastAsia="宋体"/>
          <w:color w:val="auto"/>
        </w:rPr>
        <w:fldChar w:fldCharType="begin"/>
      </w:r>
      <w:r>
        <w:rPr>
          <w:rFonts w:ascii="Times New Roman" w:hAnsi="Times New Roman" w:eastAsia="宋体"/>
          <w:color w:val="auto"/>
        </w:rPr>
        <w:instrText xml:space="preserve"> STYLEREF 2 \s </w:instrText>
      </w:r>
      <w:r>
        <w:rPr>
          <w:rFonts w:ascii="Times New Roman" w:hAnsi="Times New Roman" w:eastAsia="宋体"/>
          <w:color w:val="auto"/>
        </w:rPr>
        <w:fldChar w:fldCharType="separate"/>
      </w:r>
      <w:r>
        <w:rPr>
          <w:rFonts w:hint="eastAsia" w:ascii="Times New Roman" w:hAnsi="Times New Roman" w:eastAsia="宋体"/>
          <w:color w:val="auto"/>
          <w:lang w:val="en-US" w:eastAsia="zh-CN"/>
        </w:rPr>
        <w:t>5</w:t>
      </w:r>
      <w:r>
        <w:rPr>
          <w:rFonts w:ascii="Times New Roman" w:hAnsi="Times New Roman" w:eastAsia="宋体"/>
          <w:color w:val="auto"/>
        </w:rPr>
        <w:t>.2</w:t>
      </w:r>
      <w:r>
        <w:rPr>
          <w:rFonts w:ascii="Times New Roman" w:hAnsi="Times New Roman" w:eastAsia="宋体"/>
          <w:color w:val="auto"/>
        </w:rPr>
        <w:fldChar w:fldCharType="end"/>
      </w:r>
      <w:r>
        <w:rPr>
          <w:rFonts w:ascii="Times New Roman" w:hAnsi="Times New Roman" w:eastAsia="宋体"/>
          <w:color w:val="auto"/>
        </w:rPr>
        <w:noBreakHyphen/>
      </w:r>
      <w:r>
        <w:rPr>
          <w:rFonts w:hint="eastAsia" w:ascii="Times New Roman" w:hAnsi="Times New Roman" w:eastAsia="宋体"/>
          <w:color w:val="auto"/>
          <w:lang w:val="en-US" w:eastAsia="zh-CN"/>
        </w:rPr>
        <w:t>4</w:t>
      </w:r>
      <w:r>
        <w:rPr>
          <w:rFonts w:hint="eastAsia" w:ascii="Times New Roman" w:hAnsi="Times New Roman" w:eastAsia="宋体"/>
          <w:color w:val="auto"/>
          <w:lang w:eastAsia="zh-CN"/>
        </w:rPr>
        <w:fldChar w:fldCharType="end"/>
      </w:r>
      <w:r>
        <w:rPr>
          <w:rFonts w:hint="eastAsia" w:ascii="Times New Roman" w:hAnsi="Times New Roman" w:eastAsia="宋体"/>
          <w:color w:val="auto"/>
        </w:rPr>
        <w:t>所示，输出节点分别为T</w:t>
      </w:r>
      <w:r>
        <w:rPr>
          <w:rFonts w:hint="eastAsia" w:ascii="Times New Roman" w:hAnsi="Times New Roman" w:eastAsia="宋体"/>
          <w:color w:val="auto"/>
          <w:vertAlign w:val="subscript"/>
        </w:rPr>
        <w:t>1</w:t>
      </w:r>
      <w:r>
        <w:rPr>
          <w:rFonts w:hint="eastAsia" w:ascii="Times New Roman" w:hAnsi="Times New Roman" w:eastAsia="宋体"/>
          <w:color w:val="auto"/>
        </w:rPr>
        <w:t>（100d）、T</w:t>
      </w:r>
      <w:r>
        <w:rPr>
          <w:rFonts w:hint="eastAsia" w:ascii="Times New Roman" w:hAnsi="Times New Roman" w:eastAsia="宋体"/>
          <w:color w:val="auto"/>
          <w:vertAlign w:val="subscript"/>
        </w:rPr>
        <w:t>2</w:t>
      </w:r>
      <w:r>
        <w:rPr>
          <w:rFonts w:hint="eastAsia" w:ascii="Times New Roman" w:hAnsi="Times New Roman" w:eastAsia="宋体"/>
          <w:color w:val="auto"/>
        </w:rPr>
        <w:t>（</w:t>
      </w:r>
      <w:r>
        <w:rPr>
          <w:rFonts w:hint="eastAsia" w:ascii="Times New Roman" w:hAnsi="Times New Roman" w:eastAsia="宋体"/>
          <w:color w:val="auto"/>
          <w:lang w:val="en-US" w:eastAsia="zh-CN"/>
        </w:rPr>
        <w:t>10</w:t>
      </w:r>
      <w:r>
        <w:rPr>
          <w:rFonts w:hint="eastAsia" w:ascii="Times New Roman" w:hAnsi="Times New Roman" w:eastAsia="宋体"/>
          <w:color w:val="auto"/>
        </w:rPr>
        <w:t>00d）、T</w:t>
      </w:r>
      <w:r>
        <w:rPr>
          <w:rFonts w:hint="eastAsia" w:ascii="Times New Roman" w:hAnsi="Times New Roman" w:eastAsia="宋体"/>
          <w:color w:val="auto"/>
          <w:vertAlign w:val="subscript"/>
        </w:rPr>
        <w:t>3</w:t>
      </w:r>
      <w:r>
        <w:rPr>
          <w:rFonts w:hint="eastAsia" w:ascii="Times New Roman" w:hAnsi="Times New Roman" w:eastAsia="宋体"/>
          <w:color w:val="auto"/>
        </w:rPr>
        <w:t>（</w:t>
      </w:r>
      <w:r>
        <w:rPr>
          <w:rFonts w:hint="eastAsia" w:ascii="Times New Roman" w:hAnsi="Times New Roman" w:eastAsia="宋体"/>
          <w:color w:val="auto"/>
          <w:lang w:val="en-US" w:eastAsia="zh-CN"/>
        </w:rPr>
        <w:t>3650</w:t>
      </w:r>
      <w:r>
        <w:rPr>
          <w:rFonts w:hint="eastAsia" w:ascii="Times New Roman" w:hAnsi="Times New Roman" w:eastAsia="宋体"/>
          <w:color w:val="auto"/>
        </w:rPr>
        <w:t>d）</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观测点N</w:t>
      </w:r>
      <w:r>
        <w:rPr>
          <w:rFonts w:hint="eastAsia" w:ascii="Times New Roman" w:hAnsi="Times New Roman" w:eastAsia="宋体"/>
          <w:color w:val="auto"/>
          <w:vertAlign w:val="subscript"/>
          <w:lang w:val="en-US" w:eastAsia="zh-CN"/>
        </w:rPr>
        <w:t>1</w:t>
      </w:r>
      <w:r>
        <w:rPr>
          <w:rFonts w:hint="eastAsia" w:ascii="Times New Roman" w:hAnsi="Times New Roman" w:eastAsia="宋体"/>
          <w:color w:val="auto"/>
          <w:lang w:val="en-US" w:eastAsia="zh-CN"/>
        </w:rPr>
        <w:t>（1m）、N</w:t>
      </w:r>
      <w:r>
        <w:rPr>
          <w:rFonts w:hint="eastAsia" w:ascii="Times New Roman" w:hAnsi="Times New Roman" w:eastAsia="宋体"/>
          <w:color w:val="auto"/>
          <w:vertAlign w:val="subscript"/>
          <w:lang w:val="en-US" w:eastAsia="zh-CN"/>
        </w:rPr>
        <w:t>2</w:t>
      </w:r>
      <w:r>
        <w:rPr>
          <w:rFonts w:hint="eastAsia" w:ascii="Times New Roman" w:hAnsi="Times New Roman" w:eastAsia="宋体"/>
          <w:color w:val="auto"/>
          <w:lang w:val="en-US" w:eastAsia="zh-CN"/>
        </w:rPr>
        <w:t>（3m）、N</w:t>
      </w:r>
      <w:r>
        <w:rPr>
          <w:rFonts w:hint="eastAsia" w:ascii="Times New Roman" w:hAnsi="Times New Roman" w:eastAsia="宋体"/>
          <w:color w:val="auto"/>
          <w:vertAlign w:val="subscript"/>
          <w:lang w:val="en-US" w:eastAsia="zh-CN"/>
        </w:rPr>
        <w:t>3</w:t>
      </w:r>
      <w:r>
        <w:rPr>
          <w:rFonts w:hint="eastAsia" w:ascii="Times New Roman" w:hAnsi="Times New Roman" w:eastAsia="宋体"/>
          <w:color w:val="auto"/>
          <w:lang w:val="en-US" w:eastAsia="zh-CN"/>
        </w:rPr>
        <w:t>（9m）</w:t>
      </w:r>
      <w:r>
        <w:rPr>
          <w:rFonts w:hint="eastAsia" w:ascii="Times New Roman" w:hAnsi="Times New Roman" w:eastAsia="宋体"/>
          <w:color w:val="auto"/>
        </w:rPr>
        <w:t>。</w:t>
      </w:r>
    </w:p>
    <w:tbl>
      <w:tblPr>
        <w:tblStyle w:val="28"/>
        <w:tblW w:w="5000" w:type="pct"/>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51" w:type="dxa"/>
          <w:bottom w:w="0" w:type="dxa"/>
          <w:right w:w="51" w:type="dxa"/>
        </w:tblCellMar>
      </w:tblPr>
      <w:tblGrid>
        <w:gridCol w:w="4417"/>
        <w:gridCol w:w="4417"/>
      </w:tblGrid>
      <w:tr w14:paraId="2ADA6C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51" w:type="dxa"/>
            <w:bottom w:w="0" w:type="dxa"/>
            <w:right w:w="51" w:type="dxa"/>
          </w:tblCellMar>
        </w:tblPrEx>
        <w:trPr>
          <w:trHeight w:val="3175" w:hRule="exact"/>
          <w:jc w:val="center"/>
        </w:trPr>
        <w:tc>
          <w:tcPr>
            <w:tcW w:w="2500" w:type="pct"/>
            <w:tcBorders>
              <w:tl2br w:val="nil"/>
              <w:tr2bl w:val="nil"/>
            </w:tcBorders>
            <w:vAlign w:val="center"/>
          </w:tcPr>
          <w:p w14:paraId="108DA1A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color w:val="auto"/>
                <w:sz w:val="24"/>
                <w:szCs w:val="24"/>
                <w:vertAlign w:val="baseline"/>
                <w:lang w:val="en-US" w:eastAsia="zh-CN"/>
              </w:rPr>
            </w:pPr>
          </w:p>
        </w:tc>
        <w:tc>
          <w:tcPr>
            <w:tcW w:w="2500" w:type="pct"/>
            <w:tcBorders>
              <w:tl2br w:val="nil"/>
              <w:tr2bl w:val="nil"/>
            </w:tcBorders>
            <w:vAlign w:val="center"/>
          </w:tcPr>
          <w:p w14:paraId="78FA4DF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color w:val="auto"/>
                <w:sz w:val="24"/>
                <w:szCs w:val="24"/>
                <w:vertAlign w:val="baseline"/>
                <w:lang w:val="en-US" w:eastAsia="zh-CN"/>
              </w:rPr>
            </w:pPr>
          </w:p>
        </w:tc>
      </w:tr>
      <w:tr w14:paraId="3DB009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51" w:type="dxa"/>
            <w:bottom w:w="0" w:type="dxa"/>
            <w:right w:w="51" w:type="dxa"/>
          </w:tblCellMar>
        </w:tblPrEx>
        <w:trPr>
          <w:trHeight w:val="283" w:hRule="exact"/>
          <w:jc w:val="center"/>
        </w:trPr>
        <w:tc>
          <w:tcPr>
            <w:tcW w:w="2500" w:type="pct"/>
            <w:tcBorders>
              <w:tl2br w:val="nil"/>
              <w:tr2bl w:val="nil"/>
            </w:tcBorders>
            <w:vAlign w:val="center"/>
          </w:tcPr>
          <w:p w14:paraId="7A47BEA7">
            <w:pPr>
              <w:pStyle w:val="44"/>
              <w:bidi w:val="0"/>
              <w:rPr>
                <w:rFonts w:hint="default"/>
                <w:color w:val="auto"/>
                <w:lang w:val="en-US"/>
              </w:rPr>
            </w:pPr>
            <w:r>
              <w:rPr>
                <w:rFonts w:hint="eastAsia"/>
                <w:color w:val="auto"/>
                <w:lang w:val="en-US" w:eastAsia="zh-CN"/>
              </w:rPr>
              <w:t>A.含水率变化曲线</w:t>
            </w:r>
          </w:p>
          <w:p w14:paraId="49A2562E">
            <w:pPr>
              <w:pStyle w:val="44"/>
              <w:bidi w:val="0"/>
              <w:rPr>
                <w:rFonts w:hint="eastAsia"/>
                <w:color w:val="auto"/>
              </w:rPr>
            </w:pPr>
          </w:p>
        </w:tc>
        <w:tc>
          <w:tcPr>
            <w:tcW w:w="2500" w:type="pct"/>
            <w:tcBorders>
              <w:tl2br w:val="nil"/>
              <w:tr2bl w:val="nil"/>
            </w:tcBorders>
            <w:vAlign w:val="center"/>
          </w:tcPr>
          <w:p w14:paraId="361210CC">
            <w:pPr>
              <w:pStyle w:val="44"/>
              <w:bidi w:val="0"/>
              <w:rPr>
                <w:rFonts w:hint="eastAsia"/>
                <w:color w:val="auto"/>
              </w:rPr>
            </w:pPr>
            <w:r>
              <w:rPr>
                <w:rFonts w:hint="eastAsia"/>
                <w:color w:val="auto"/>
                <w:lang w:val="en-US" w:eastAsia="zh-CN"/>
              </w:rPr>
              <w:t>B.剖面</w:t>
            </w:r>
            <w:r>
              <w:rPr>
                <w:rFonts w:hint="eastAsia"/>
                <w:color w:val="auto"/>
              </w:rPr>
              <w:t>石油类浓度变化曲线</w:t>
            </w:r>
          </w:p>
        </w:tc>
      </w:tr>
      <w:tr w14:paraId="772795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51" w:type="dxa"/>
            <w:bottom w:w="0" w:type="dxa"/>
            <w:right w:w="51" w:type="dxa"/>
          </w:tblCellMar>
        </w:tblPrEx>
        <w:trPr>
          <w:trHeight w:val="3175" w:hRule="exact"/>
          <w:jc w:val="center"/>
        </w:trPr>
        <w:tc>
          <w:tcPr>
            <w:tcW w:w="5000" w:type="pct"/>
            <w:gridSpan w:val="2"/>
            <w:tcBorders>
              <w:tl2br w:val="nil"/>
              <w:tr2bl w:val="nil"/>
            </w:tcBorders>
            <w:vAlign w:val="center"/>
          </w:tcPr>
          <w:p w14:paraId="4C7629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cs="宋体"/>
                <w:color w:val="auto"/>
                <w:sz w:val="21"/>
                <w:szCs w:val="21"/>
                <w:lang w:val="en-US" w:eastAsia="zh-CN"/>
              </w:rPr>
            </w:pPr>
          </w:p>
        </w:tc>
      </w:tr>
      <w:tr w14:paraId="4EF1C5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51" w:type="dxa"/>
            <w:bottom w:w="0" w:type="dxa"/>
            <w:right w:w="51" w:type="dxa"/>
          </w:tblCellMar>
        </w:tblPrEx>
        <w:trPr>
          <w:trHeight w:val="283" w:hRule="exact"/>
          <w:jc w:val="center"/>
        </w:trPr>
        <w:tc>
          <w:tcPr>
            <w:tcW w:w="5000" w:type="pct"/>
            <w:gridSpan w:val="2"/>
            <w:tcBorders>
              <w:tl2br w:val="nil"/>
              <w:tr2bl w:val="nil"/>
            </w:tcBorders>
            <w:vAlign w:val="center"/>
          </w:tcPr>
          <w:p w14:paraId="289258E5">
            <w:pPr>
              <w:pStyle w:val="44"/>
              <w:bidi w:val="0"/>
              <w:rPr>
                <w:rFonts w:hint="eastAsia" w:ascii="宋体" w:hAnsi="宋体" w:eastAsia="宋体" w:cs="宋体"/>
                <w:color w:val="auto"/>
                <w:szCs w:val="21"/>
                <w:lang w:val="en-US" w:eastAsia="zh-CN"/>
              </w:rPr>
            </w:pPr>
            <w:r>
              <w:rPr>
                <w:rFonts w:hint="eastAsia"/>
                <w:color w:val="auto"/>
                <w:lang w:val="en-US" w:eastAsia="zh-CN"/>
              </w:rPr>
              <w:t>C.观测点</w:t>
            </w:r>
            <w:r>
              <w:rPr>
                <w:rFonts w:hint="eastAsia"/>
                <w:color w:val="auto"/>
              </w:rPr>
              <w:t>石油类浓度变化曲线</w:t>
            </w:r>
          </w:p>
        </w:tc>
      </w:tr>
      <w:tr w14:paraId="355CC3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51" w:type="dxa"/>
            <w:bottom w:w="0" w:type="dxa"/>
            <w:right w:w="51" w:type="dxa"/>
          </w:tblCellMar>
        </w:tblPrEx>
        <w:trPr>
          <w:trHeight w:val="283" w:hRule="exact"/>
          <w:jc w:val="center"/>
        </w:trPr>
        <w:tc>
          <w:tcPr>
            <w:tcW w:w="5000" w:type="pct"/>
            <w:gridSpan w:val="2"/>
            <w:tcBorders>
              <w:tl2br w:val="nil"/>
              <w:tr2bl w:val="nil"/>
            </w:tcBorders>
            <w:vAlign w:val="center"/>
          </w:tcPr>
          <w:p w14:paraId="6C87F546">
            <w:pPr>
              <w:pStyle w:val="44"/>
              <w:bidi w:val="0"/>
              <w:rPr>
                <w:rFonts w:hint="default"/>
                <w:color w:val="auto"/>
                <w:lang w:val="en-US" w:eastAsia="zh-CN"/>
              </w:rPr>
            </w:pPr>
            <w:r>
              <w:rPr>
                <w:rFonts w:hint="eastAsia"/>
                <w:b/>
                <w:bCs/>
                <w:color w:val="auto"/>
                <w:lang w:val="en-US" w:eastAsia="zh-CN"/>
              </w:rPr>
              <w:t xml:space="preserve">图5.2-4  </w:t>
            </w:r>
            <w:r>
              <w:rPr>
                <w:rFonts w:hint="eastAsia" w:ascii="宋体" w:hAnsi="宋体" w:eastAsia="宋体" w:cs="宋体"/>
                <w:b/>
                <w:bCs/>
                <w:color w:val="auto"/>
                <w:szCs w:val="21"/>
              </w:rPr>
              <w:t>石油类在土壤运移剖面特征图</w:t>
            </w:r>
          </w:p>
        </w:tc>
      </w:tr>
    </w:tbl>
    <w:p w14:paraId="72FE4D4D">
      <w:pPr>
        <w:pStyle w:val="33"/>
        <w:bidi w:val="0"/>
        <w:rPr>
          <w:rFonts w:hint="eastAsia"/>
          <w:color w:val="auto"/>
          <w:lang w:val="en-US" w:eastAsia="zh-CN"/>
        </w:rPr>
      </w:pPr>
      <w:r>
        <w:rPr>
          <w:rFonts w:hint="eastAsia"/>
          <w:color w:val="auto"/>
          <w:lang w:val="en-US" w:eastAsia="zh-CN"/>
        </w:rPr>
        <w:t>根据土壤容重进行换算后，土壤中石油类质量浓度变化情况如下：</w:t>
      </w:r>
    </w:p>
    <w:p w14:paraId="0B9826FE">
      <w:pPr>
        <w:pStyle w:val="43"/>
        <w:bidi w:val="0"/>
        <w:rPr>
          <w:rFonts w:hint="eastAsia"/>
          <w:color w:val="auto"/>
          <w:lang w:eastAsia="zh-CN"/>
        </w:rPr>
      </w:pPr>
      <w:r>
        <w:rPr>
          <w:color w:val="auto"/>
        </w:rPr>
        <w:t>表</w:t>
      </w:r>
      <w:r>
        <w:rPr>
          <w:rFonts w:hint="eastAsia"/>
          <w:color w:val="auto"/>
          <w:lang w:val="en-US" w:eastAsia="zh-CN"/>
        </w:rPr>
        <w:t>5.2-17</w:t>
      </w:r>
      <w:r>
        <w:rPr>
          <w:rFonts w:hint="eastAsia"/>
          <w:color w:val="auto"/>
          <w:lang w:val="zh-CN" w:eastAsia="zh-CN"/>
        </w:rPr>
        <w:t xml:space="preserve">  </w:t>
      </w:r>
      <w:r>
        <w:rPr>
          <w:rFonts w:hint="eastAsia"/>
          <w:color w:val="auto"/>
        </w:rPr>
        <w:t>石油类一维非饱和溶质运移估算结果</w:t>
      </w:r>
      <w:r>
        <w:rPr>
          <w:rFonts w:hint="eastAsia"/>
          <w:color w:val="auto"/>
          <w:lang w:eastAsia="zh-CN"/>
        </w:rPr>
        <w:t>（</w:t>
      </w:r>
      <w:r>
        <w:rPr>
          <w:rFonts w:hint="eastAsia"/>
          <w:color w:val="auto"/>
          <w:lang w:val="en-US" w:eastAsia="zh-CN"/>
        </w:rPr>
        <w:t>集油管线泄漏</w:t>
      </w:r>
      <w:r>
        <w:rPr>
          <w:rFonts w:hint="eastAsia"/>
          <w:color w:val="auto"/>
          <w:lang w:eastAsia="zh-CN"/>
        </w:rPr>
        <w:t>）</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861"/>
        <w:gridCol w:w="1606"/>
        <w:gridCol w:w="2065"/>
        <w:gridCol w:w="2258"/>
        <w:gridCol w:w="2039"/>
      </w:tblGrid>
      <w:tr w14:paraId="533E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jc w:val="center"/>
        </w:trPr>
        <w:tc>
          <w:tcPr>
            <w:tcW w:w="488" w:type="pct"/>
            <w:shd w:val="clear" w:color="auto" w:fill="auto"/>
            <w:vAlign w:val="center"/>
          </w:tcPr>
          <w:p w14:paraId="3DA5855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909" w:type="pct"/>
            <w:shd w:val="clear" w:color="auto" w:fill="auto"/>
            <w:vAlign w:val="center"/>
          </w:tcPr>
          <w:p w14:paraId="5D23265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运移天数（d）</w:t>
            </w:r>
          </w:p>
        </w:tc>
        <w:tc>
          <w:tcPr>
            <w:tcW w:w="1169" w:type="pct"/>
            <w:shd w:val="clear" w:color="auto" w:fill="auto"/>
            <w:vAlign w:val="center"/>
          </w:tcPr>
          <w:p w14:paraId="2616877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最大浓度（mg/kg）</w:t>
            </w:r>
          </w:p>
        </w:tc>
        <w:tc>
          <w:tcPr>
            <w:tcW w:w="1278" w:type="pct"/>
            <w:shd w:val="clear" w:color="auto" w:fill="auto"/>
            <w:vAlign w:val="center"/>
          </w:tcPr>
          <w:p w14:paraId="3B8583D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最大浓度对应深度（m）</w:t>
            </w:r>
          </w:p>
        </w:tc>
        <w:tc>
          <w:tcPr>
            <w:tcW w:w="1154" w:type="pct"/>
            <w:shd w:val="clear" w:color="auto" w:fill="auto"/>
            <w:vAlign w:val="center"/>
          </w:tcPr>
          <w:p w14:paraId="4F9183F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最大运移距离（m）</w:t>
            </w:r>
          </w:p>
        </w:tc>
      </w:tr>
      <w:tr w14:paraId="07FD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88" w:type="pct"/>
            <w:shd w:val="clear" w:color="auto" w:fill="auto"/>
            <w:vAlign w:val="center"/>
          </w:tcPr>
          <w:p w14:paraId="5F29A59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909" w:type="pct"/>
            <w:shd w:val="clear" w:color="auto" w:fill="auto"/>
            <w:vAlign w:val="center"/>
          </w:tcPr>
          <w:p w14:paraId="2EFA7E9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w:t>
            </w:r>
          </w:p>
        </w:tc>
        <w:tc>
          <w:tcPr>
            <w:tcW w:w="1169" w:type="pct"/>
            <w:shd w:val="clear" w:color="auto" w:fill="auto"/>
            <w:vAlign w:val="center"/>
          </w:tcPr>
          <w:p w14:paraId="42731E6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21.4</w:t>
            </w:r>
          </w:p>
        </w:tc>
        <w:tc>
          <w:tcPr>
            <w:tcW w:w="1278" w:type="pct"/>
            <w:shd w:val="clear" w:color="auto" w:fill="auto"/>
            <w:vAlign w:val="center"/>
          </w:tcPr>
          <w:p w14:paraId="61CE7C7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0~0.02</w:t>
            </w:r>
          </w:p>
        </w:tc>
        <w:tc>
          <w:tcPr>
            <w:tcW w:w="1154" w:type="pct"/>
            <w:shd w:val="clear" w:color="auto" w:fill="auto"/>
            <w:vAlign w:val="center"/>
          </w:tcPr>
          <w:p w14:paraId="32D844F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3.64</w:t>
            </w:r>
          </w:p>
        </w:tc>
      </w:tr>
      <w:tr w14:paraId="6ED5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88" w:type="pct"/>
            <w:shd w:val="clear" w:color="auto" w:fill="auto"/>
            <w:vAlign w:val="center"/>
          </w:tcPr>
          <w:p w14:paraId="4C4BA26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2</w:t>
            </w:r>
          </w:p>
        </w:tc>
        <w:tc>
          <w:tcPr>
            <w:tcW w:w="909" w:type="pct"/>
            <w:shd w:val="clear" w:color="auto" w:fill="auto"/>
            <w:vAlign w:val="center"/>
          </w:tcPr>
          <w:p w14:paraId="29FD150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1000</w:t>
            </w:r>
          </w:p>
        </w:tc>
        <w:tc>
          <w:tcPr>
            <w:tcW w:w="1169" w:type="pct"/>
            <w:shd w:val="clear" w:color="auto" w:fill="auto"/>
            <w:vAlign w:val="center"/>
          </w:tcPr>
          <w:p w14:paraId="0337204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lang w:val="en-US"/>
              </w:rPr>
            </w:pPr>
            <w:r>
              <w:rPr>
                <w:rFonts w:hint="eastAsia" w:cs="Times New Roman"/>
                <w:color w:val="auto"/>
                <w:kern w:val="0"/>
                <w:sz w:val="21"/>
                <w:szCs w:val="21"/>
                <w:lang w:val="en-US" w:eastAsia="zh-CN"/>
              </w:rPr>
              <w:t>12.2</w:t>
            </w:r>
          </w:p>
        </w:tc>
        <w:tc>
          <w:tcPr>
            <w:tcW w:w="1278" w:type="pct"/>
            <w:shd w:val="clear" w:color="auto" w:fill="auto"/>
            <w:vAlign w:val="center"/>
          </w:tcPr>
          <w:p w14:paraId="1232D4D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0~0.06</w:t>
            </w:r>
          </w:p>
        </w:tc>
        <w:tc>
          <w:tcPr>
            <w:tcW w:w="1154" w:type="pct"/>
            <w:shd w:val="clear" w:color="auto" w:fill="auto"/>
            <w:vAlign w:val="center"/>
          </w:tcPr>
          <w:p w14:paraId="649EA88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8.94</w:t>
            </w:r>
          </w:p>
        </w:tc>
      </w:tr>
      <w:tr w14:paraId="4122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88" w:type="pct"/>
            <w:shd w:val="clear" w:color="auto" w:fill="auto"/>
            <w:vAlign w:val="center"/>
          </w:tcPr>
          <w:p w14:paraId="0D0A3D6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3</w:t>
            </w:r>
          </w:p>
        </w:tc>
        <w:tc>
          <w:tcPr>
            <w:tcW w:w="909" w:type="pct"/>
            <w:shd w:val="clear" w:color="auto" w:fill="auto"/>
            <w:vAlign w:val="center"/>
          </w:tcPr>
          <w:p w14:paraId="4D7BA2F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r>
              <w:rPr>
                <w:rFonts w:hint="eastAsia" w:cs="Times New Roman"/>
                <w:color w:val="auto"/>
                <w:kern w:val="0"/>
                <w:sz w:val="21"/>
                <w:szCs w:val="21"/>
                <w:lang w:val="en-US" w:eastAsia="zh-CN"/>
              </w:rPr>
              <w:t>65</w:t>
            </w:r>
            <w:r>
              <w:rPr>
                <w:rFonts w:hint="default" w:ascii="Times New Roman" w:hAnsi="Times New Roman" w:eastAsia="宋体" w:cs="Times New Roman"/>
                <w:color w:val="auto"/>
                <w:kern w:val="0"/>
                <w:sz w:val="21"/>
                <w:szCs w:val="21"/>
              </w:rPr>
              <w:t>0</w:t>
            </w:r>
          </w:p>
        </w:tc>
        <w:tc>
          <w:tcPr>
            <w:tcW w:w="1169" w:type="pct"/>
            <w:shd w:val="clear" w:color="auto" w:fill="auto"/>
            <w:vAlign w:val="center"/>
          </w:tcPr>
          <w:p w14:paraId="4E35003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lang w:val="en-US"/>
              </w:rPr>
            </w:pPr>
            <w:r>
              <w:rPr>
                <w:rFonts w:hint="eastAsia" w:cs="Times New Roman"/>
                <w:color w:val="auto"/>
                <w:kern w:val="0"/>
                <w:sz w:val="21"/>
                <w:szCs w:val="21"/>
                <w:lang w:val="en-US" w:eastAsia="zh-CN"/>
              </w:rPr>
              <w:t>8.47</w:t>
            </w:r>
          </w:p>
        </w:tc>
        <w:tc>
          <w:tcPr>
            <w:tcW w:w="1278" w:type="pct"/>
            <w:shd w:val="clear" w:color="auto" w:fill="auto"/>
            <w:vAlign w:val="center"/>
          </w:tcPr>
          <w:p w14:paraId="73719F3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0~0.09</w:t>
            </w:r>
          </w:p>
        </w:tc>
        <w:tc>
          <w:tcPr>
            <w:tcW w:w="1154" w:type="pct"/>
            <w:shd w:val="clear" w:color="auto" w:fill="auto"/>
            <w:vAlign w:val="center"/>
          </w:tcPr>
          <w:p w14:paraId="75DA59E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&gt;10</w:t>
            </w:r>
          </w:p>
        </w:tc>
      </w:tr>
    </w:tbl>
    <w:p w14:paraId="43BB6826">
      <w:pPr>
        <w:pStyle w:val="11"/>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集油</w:t>
      </w:r>
      <w:r>
        <w:rPr>
          <w:rFonts w:hint="eastAsia" w:ascii="Times New Roman" w:hAnsi="Times New Roman" w:eastAsia="宋体"/>
          <w:color w:val="auto"/>
        </w:rPr>
        <w:t>管线泄漏后，一般在土壤中的迁移距离较小。经预测分析，在降雨条件下，管线泄漏后石油类变为可溶态后可随水进一步向土壤深层迁移扩散，但是由于本</w:t>
      </w:r>
      <w:r>
        <w:rPr>
          <w:rFonts w:hint="eastAsia" w:ascii="Times New Roman" w:hAnsi="Times New Roman"/>
          <w:color w:val="auto"/>
          <w:lang w:val="en-US" w:eastAsia="zh-CN"/>
        </w:rPr>
        <w:t>工程</w:t>
      </w:r>
      <w:r>
        <w:rPr>
          <w:rFonts w:hint="eastAsia" w:ascii="Times New Roman" w:hAnsi="Times New Roman" w:eastAsia="宋体"/>
          <w:color w:val="auto"/>
        </w:rPr>
        <w:t>所处</w:t>
      </w:r>
      <w:r>
        <w:rPr>
          <w:rFonts w:hint="eastAsia" w:ascii="Times New Roman" w:hAnsi="Times New Roman"/>
          <w:color w:val="auto"/>
          <w:lang w:val="en-US" w:eastAsia="zh-CN"/>
        </w:rPr>
        <w:t>乌尔禾区</w:t>
      </w:r>
      <w:r>
        <w:rPr>
          <w:rFonts w:hint="eastAsia" w:ascii="Times New Roman" w:hAnsi="Times New Roman" w:eastAsia="宋体"/>
          <w:color w:val="auto"/>
        </w:rPr>
        <w:t>，降雨入渗强度较小，故迁移距离相对较小。</w:t>
      </w:r>
      <w:r>
        <w:rPr>
          <w:rFonts w:hint="eastAsia" w:ascii="Times New Roman" w:hAnsi="Times New Roman" w:eastAsia="宋体"/>
          <w:color w:val="auto"/>
          <w:lang w:val="en-US" w:eastAsia="zh-CN"/>
        </w:rPr>
        <w:t>各预测时间的石油类最大浓度均为泄漏地表处，这是由于预测情景设定为残留在土壤中石油类在降雨的持续溶解情形下，向下迁移。</w:t>
      </w:r>
    </w:p>
    <w:p w14:paraId="151F27FD">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①</w:t>
      </w:r>
      <w:r>
        <w:rPr>
          <w:rFonts w:hint="eastAsia" w:ascii="Times New Roman" w:hAnsi="Times New Roman" w:eastAsia="宋体"/>
          <w:color w:val="auto"/>
        </w:rPr>
        <w:t>运移至第100天时，石油类最大浓度为</w:t>
      </w:r>
      <w:r>
        <w:rPr>
          <w:rFonts w:hint="eastAsia"/>
          <w:color w:val="auto"/>
          <w:lang w:val="en-US" w:eastAsia="zh-CN"/>
        </w:rPr>
        <w:t>21.4</w:t>
      </w:r>
      <w:r>
        <w:rPr>
          <w:rFonts w:hint="eastAsia" w:ascii="Times New Roman" w:hAnsi="Times New Roman" w:eastAsia="宋体"/>
          <w:color w:val="auto"/>
        </w:rPr>
        <w:t>mg/kg，最大运移深度为</w:t>
      </w:r>
      <w:r>
        <w:rPr>
          <w:rFonts w:hint="eastAsia"/>
          <w:color w:val="auto"/>
          <w:lang w:val="en-US" w:eastAsia="zh-CN"/>
        </w:rPr>
        <w:t>3.64</w:t>
      </w:r>
      <w:r>
        <w:rPr>
          <w:rFonts w:hint="eastAsia" w:ascii="Times New Roman" w:hAnsi="Times New Roman" w:eastAsia="宋体"/>
          <w:color w:val="auto"/>
        </w:rPr>
        <w:t>m</w:t>
      </w:r>
      <w:r>
        <w:rPr>
          <w:rFonts w:hint="eastAsia" w:ascii="Times New Roman" w:hAnsi="Times New Roman" w:eastAsia="宋体"/>
          <w:color w:val="auto"/>
          <w:lang w:val="en-US" w:eastAsia="zh-CN"/>
        </w:rPr>
        <w:t>；</w:t>
      </w:r>
    </w:p>
    <w:p w14:paraId="280E10F8">
      <w:pPr>
        <w:pStyle w:val="11"/>
        <w:bidi w:val="0"/>
        <w:rPr>
          <w:rFonts w:hint="eastAsia" w:ascii="Times New Roman" w:hAnsi="Times New Roman" w:eastAsia="宋体"/>
          <w:color w:val="auto"/>
        </w:rPr>
      </w:pPr>
      <w:r>
        <w:rPr>
          <w:rFonts w:hint="eastAsia" w:ascii="Times New Roman" w:hAnsi="Times New Roman" w:eastAsia="宋体"/>
          <w:color w:val="auto"/>
          <w:lang w:val="en-US" w:eastAsia="zh-CN"/>
        </w:rPr>
        <w:t>②</w:t>
      </w:r>
      <w:r>
        <w:rPr>
          <w:rFonts w:hint="eastAsia" w:ascii="Times New Roman" w:hAnsi="Times New Roman" w:eastAsia="宋体"/>
          <w:color w:val="auto"/>
        </w:rPr>
        <w:t>运移至第</w:t>
      </w:r>
      <w:r>
        <w:rPr>
          <w:rFonts w:hint="eastAsia" w:ascii="Times New Roman" w:hAnsi="Times New Roman" w:eastAsia="宋体"/>
          <w:color w:val="auto"/>
          <w:lang w:val="en-US" w:eastAsia="zh-CN"/>
        </w:rPr>
        <w:t>10</w:t>
      </w:r>
      <w:r>
        <w:rPr>
          <w:rFonts w:hint="eastAsia" w:ascii="Times New Roman" w:hAnsi="Times New Roman" w:eastAsia="宋体"/>
          <w:color w:val="auto"/>
        </w:rPr>
        <w:t>00天时，石油类最大浓度为</w:t>
      </w:r>
      <w:r>
        <w:rPr>
          <w:rFonts w:hint="eastAsia"/>
          <w:color w:val="auto"/>
          <w:lang w:val="en-US" w:eastAsia="zh-CN"/>
        </w:rPr>
        <w:t>12.2</w:t>
      </w:r>
      <w:r>
        <w:rPr>
          <w:rFonts w:hint="eastAsia" w:ascii="Times New Roman" w:hAnsi="Times New Roman" w:eastAsia="宋体"/>
          <w:color w:val="auto"/>
        </w:rPr>
        <w:t>mg/kg，最大运移深度为</w:t>
      </w:r>
      <w:r>
        <w:rPr>
          <w:rFonts w:hint="eastAsia"/>
          <w:color w:val="auto"/>
          <w:lang w:val="en-US" w:eastAsia="zh-CN"/>
        </w:rPr>
        <w:t>8.94</w:t>
      </w:r>
      <w:r>
        <w:rPr>
          <w:rFonts w:hint="eastAsia" w:ascii="Times New Roman" w:hAnsi="Times New Roman" w:eastAsia="宋体"/>
          <w:color w:val="auto"/>
        </w:rPr>
        <w:t>m；</w:t>
      </w:r>
    </w:p>
    <w:p w14:paraId="12BCD6C8">
      <w:pPr>
        <w:pStyle w:val="11"/>
        <w:bidi w:val="0"/>
        <w:rPr>
          <w:rFonts w:hint="eastAsia" w:ascii="Times New Roman" w:hAnsi="Times New Roman" w:eastAsia="宋体"/>
          <w:color w:val="auto"/>
        </w:rPr>
      </w:pPr>
      <w:r>
        <w:rPr>
          <w:rFonts w:hint="eastAsia" w:ascii="Times New Roman" w:hAnsi="Times New Roman" w:eastAsia="宋体"/>
          <w:color w:val="auto"/>
          <w:lang w:val="en-US" w:eastAsia="zh-CN"/>
        </w:rPr>
        <w:t>③</w:t>
      </w:r>
      <w:r>
        <w:rPr>
          <w:rFonts w:hint="eastAsia" w:ascii="Times New Roman" w:hAnsi="Times New Roman" w:eastAsia="宋体"/>
          <w:color w:val="auto"/>
        </w:rPr>
        <w:t>运移至第3</w:t>
      </w:r>
      <w:r>
        <w:rPr>
          <w:rFonts w:hint="eastAsia" w:ascii="Times New Roman" w:hAnsi="Times New Roman" w:eastAsia="宋体"/>
          <w:color w:val="auto"/>
          <w:lang w:val="en-US" w:eastAsia="zh-CN"/>
        </w:rPr>
        <w:t>65</w:t>
      </w:r>
      <w:r>
        <w:rPr>
          <w:rFonts w:hint="eastAsia" w:ascii="Times New Roman" w:hAnsi="Times New Roman" w:eastAsia="宋体"/>
          <w:color w:val="auto"/>
        </w:rPr>
        <w:t>0天时，石油类最大浓度为</w:t>
      </w:r>
      <w:r>
        <w:rPr>
          <w:rFonts w:hint="eastAsia"/>
          <w:color w:val="auto"/>
          <w:lang w:val="en-US" w:eastAsia="zh-CN"/>
        </w:rPr>
        <w:t>8.47</w:t>
      </w:r>
      <w:r>
        <w:rPr>
          <w:rFonts w:hint="eastAsia" w:ascii="Times New Roman" w:hAnsi="Times New Roman" w:eastAsia="宋体"/>
          <w:color w:val="auto"/>
        </w:rPr>
        <w:t>mg/kg，最大运移深度</w:t>
      </w:r>
      <w:r>
        <w:rPr>
          <w:rFonts w:hint="eastAsia"/>
          <w:color w:val="auto"/>
          <w:lang w:val="en-US" w:eastAsia="zh-CN"/>
        </w:rPr>
        <w:t>已超过模拟深度10</w:t>
      </w:r>
      <w:r>
        <w:rPr>
          <w:rFonts w:hint="eastAsia" w:ascii="Times New Roman" w:hAnsi="Times New Roman" w:eastAsia="宋体"/>
          <w:color w:val="auto"/>
        </w:rPr>
        <w:t>m。</w:t>
      </w:r>
    </w:p>
    <w:p w14:paraId="3782A1D9">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3</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小结</w:t>
      </w:r>
    </w:p>
    <w:p w14:paraId="7720544A">
      <w:pPr>
        <w:pStyle w:val="11"/>
        <w:bidi w:val="0"/>
        <w:rPr>
          <w:rFonts w:hint="eastAsia" w:ascii="Times New Roman" w:hAnsi="Times New Roman" w:eastAsia="宋体"/>
          <w:color w:val="auto"/>
        </w:rPr>
      </w:pPr>
      <w:r>
        <w:rPr>
          <w:rFonts w:hint="eastAsia" w:ascii="Times New Roman" w:hAnsi="Times New Roman" w:eastAsia="宋体"/>
          <w:color w:val="auto"/>
          <w:lang w:val="en-US" w:eastAsia="zh-CN"/>
        </w:rPr>
        <w:t>由此可见，</w:t>
      </w:r>
      <w:r>
        <w:rPr>
          <w:rFonts w:hint="eastAsia" w:ascii="Times New Roman" w:hAnsi="Times New Roman" w:eastAsia="宋体"/>
          <w:color w:val="auto"/>
        </w:rPr>
        <w:t>当</w:t>
      </w:r>
      <w:r>
        <w:rPr>
          <w:rFonts w:hint="eastAsia" w:ascii="Times New Roman" w:hAnsi="Times New Roman"/>
          <w:color w:val="auto"/>
          <w:lang w:val="en-US" w:eastAsia="zh-CN"/>
        </w:rPr>
        <w:t>集油</w:t>
      </w:r>
      <w:r>
        <w:rPr>
          <w:rFonts w:hint="eastAsia" w:ascii="Times New Roman" w:hAnsi="Times New Roman" w:eastAsia="宋体"/>
          <w:color w:val="auto"/>
        </w:rPr>
        <w:t>管线泄漏时会导致周边的浅层土壤环境在一段时间内受到石油类的污染。</w:t>
      </w:r>
      <w:r>
        <w:rPr>
          <w:rFonts w:hint="eastAsia" w:ascii="Times New Roman" w:hAnsi="Times New Roman" w:eastAsia="宋体"/>
          <w:color w:val="auto"/>
          <w:lang w:val="en-US" w:eastAsia="zh-CN"/>
        </w:rPr>
        <w:t>在非饱水带，</w:t>
      </w:r>
      <w:r>
        <w:rPr>
          <w:rFonts w:hint="eastAsia" w:ascii="Times New Roman" w:hAnsi="Times New Roman" w:eastAsia="宋体"/>
          <w:color w:val="auto"/>
        </w:rPr>
        <w:t>随着时间的推移</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溶解态石油类随水分在土壤</w:t>
      </w:r>
      <w:r>
        <w:rPr>
          <w:rFonts w:hint="eastAsia" w:ascii="Times New Roman" w:hAnsi="Times New Roman" w:eastAsia="宋体"/>
          <w:color w:val="auto"/>
        </w:rPr>
        <w:t>垂向深度</w:t>
      </w:r>
      <w:r>
        <w:rPr>
          <w:rFonts w:hint="eastAsia" w:ascii="Times New Roman" w:hAnsi="Times New Roman" w:eastAsia="宋体"/>
          <w:color w:val="auto"/>
          <w:lang w:val="en-US" w:eastAsia="zh-CN"/>
        </w:rPr>
        <w:t>迁移</w:t>
      </w:r>
      <w:r>
        <w:rPr>
          <w:rFonts w:hint="eastAsia" w:ascii="Times New Roman" w:hAnsi="Times New Roman" w:eastAsia="宋体"/>
          <w:color w:val="auto"/>
        </w:rPr>
        <w:t>，但浓度逐渐降低，在土壤自身的净化作用以及迁移条件下，土壤中的石油类对产生的影响会逐渐消失。</w:t>
      </w:r>
    </w:p>
    <w:p w14:paraId="51674B67">
      <w:pPr>
        <w:pStyle w:val="6"/>
        <w:bidi w:val="0"/>
        <w:rPr>
          <w:rFonts w:hint="default"/>
          <w:color w:val="auto"/>
          <w:lang w:val="en-US" w:eastAsia="zh-CN"/>
        </w:rPr>
      </w:pPr>
      <w:r>
        <w:rPr>
          <w:rFonts w:hint="eastAsia"/>
          <w:color w:val="auto"/>
          <w:lang w:val="en-US" w:eastAsia="zh-CN"/>
        </w:rPr>
        <w:t>5.2.6.3土壤生态型影响分析</w:t>
      </w:r>
    </w:p>
    <w:p w14:paraId="2C8659B8">
      <w:pPr>
        <w:pStyle w:val="33"/>
        <w:bidi w:val="0"/>
        <w:rPr>
          <w:color w:val="auto"/>
        </w:rPr>
      </w:pPr>
      <w:r>
        <w:rPr>
          <w:color w:val="auto"/>
        </w:rPr>
        <w:t>本项目</w:t>
      </w:r>
      <w:r>
        <w:rPr>
          <w:rFonts w:hint="eastAsia"/>
          <w:color w:val="auto"/>
          <w:lang w:eastAsia="zh-CN"/>
        </w:rPr>
        <w:t>运营</w:t>
      </w:r>
      <w:r>
        <w:rPr>
          <w:color w:val="auto"/>
        </w:rPr>
        <w:t>期生态影响型土壤环境影响主要</w:t>
      </w:r>
      <w:r>
        <w:rPr>
          <w:rFonts w:hint="eastAsia"/>
          <w:color w:val="auto"/>
          <w:lang w:eastAsia="zh-CN"/>
        </w:rPr>
        <w:t>涉及</w:t>
      </w:r>
      <w:r>
        <w:rPr>
          <w:color w:val="auto"/>
        </w:rPr>
        <w:t>的是非正常情况下</w:t>
      </w:r>
      <w:r>
        <w:rPr>
          <w:rFonts w:hint="eastAsia"/>
          <w:color w:val="auto"/>
          <w:lang w:val="en-US" w:eastAsia="zh-CN"/>
        </w:rPr>
        <w:t>集油管线中</w:t>
      </w:r>
      <w:r>
        <w:rPr>
          <w:color w:val="auto"/>
        </w:rPr>
        <w:t>的采出水</w:t>
      </w:r>
      <w:r>
        <w:rPr>
          <w:rFonts w:hint="eastAsia"/>
          <w:color w:val="auto"/>
          <w:lang w:val="en-US" w:eastAsia="zh-CN"/>
        </w:rPr>
        <w:t>泄漏</w:t>
      </w:r>
      <w:r>
        <w:rPr>
          <w:color w:val="auto"/>
        </w:rPr>
        <w:t>造成浅层地下水水位埋深变动引起的土壤盐化。</w:t>
      </w:r>
    </w:p>
    <w:p w14:paraId="33D0643A">
      <w:pPr>
        <w:pStyle w:val="33"/>
        <w:bidi w:val="0"/>
        <w:rPr>
          <w:color w:val="auto"/>
        </w:rPr>
      </w:pPr>
      <w:r>
        <w:rPr>
          <w:color w:val="auto"/>
        </w:rPr>
        <w:t>（1）预测方法</w:t>
      </w:r>
    </w:p>
    <w:p w14:paraId="4025FA48">
      <w:pPr>
        <w:pStyle w:val="33"/>
        <w:bidi w:val="0"/>
        <w:rPr>
          <w:color w:val="auto"/>
        </w:rPr>
      </w:pPr>
      <w:r>
        <w:rPr>
          <w:color w:val="auto"/>
        </w:rPr>
        <w:t>本项目生态影响型土壤环境影响预测方法选择导则中推荐的土壤盐化综合</w:t>
      </w:r>
      <w:r>
        <w:rPr>
          <w:rFonts w:hint="eastAsia"/>
          <w:color w:val="auto"/>
          <w:lang w:val="en-US" w:eastAsia="zh-CN"/>
        </w:rPr>
        <w:t>评分</w:t>
      </w:r>
      <w:r>
        <w:rPr>
          <w:color w:val="auto"/>
        </w:rPr>
        <w:t>预测方法，预测模式如下：</w:t>
      </w:r>
    </w:p>
    <w:p w14:paraId="2F81CBDC">
      <w:pPr>
        <w:widowControl w:val="0"/>
        <w:autoSpaceDE w:val="0"/>
        <w:autoSpaceDN w:val="0"/>
        <w:adjustRightInd w:val="0"/>
        <w:spacing w:line="360" w:lineRule="auto"/>
        <w:ind w:firstLine="420" w:firstLineChars="200"/>
        <w:jc w:val="center"/>
        <w:rPr>
          <w:rFonts w:hint="eastAsia" w:ascii="宋体" w:hAnsi="宋体" w:eastAsia="宋体" w:cs="宋体"/>
          <w:bCs/>
          <w:color w:val="auto"/>
          <w:kern w:val="0"/>
          <w:sz w:val="24"/>
          <w:szCs w:val="24"/>
        </w:rPr>
      </w:pPr>
      <m:oMathPara>
        <m:oMath>
          <m:sSub>
            <m:sSubPr>
              <m:ctrlPr>
                <w:rPr>
                  <w:rFonts w:hint="eastAsia" w:ascii="Cambria Math" w:hAnsi="Cambria Math" w:eastAsia="宋体" w:cs="宋体"/>
                  <w:bCs/>
                  <w:color w:val="auto"/>
                  <w:kern w:val="2"/>
                </w:rPr>
              </m:ctrlPr>
            </m:sSubPr>
            <m:e>
              <m:r>
                <m:rPr/>
                <w:rPr>
                  <w:rFonts w:hint="eastAsia" w:ascii="Cambria Math" w:hAnsi="Cambria Math" w:eastAsia="宋体" w:cs="宋体"/>
                  <w:color w:val="auto"/>
                </w:rPr>
                <m:t>S</m:t>
              </m:r>
              <m:ctrlPr>
                <w:rPr>
                  <w:rFonts w:hint="eastAsia" w:ascii="Cambria Math" w:hAnsi="Cambria Math" w:eastAsia="宋体" w:cs="宋体"/>
                  <w:bCs/>
                  <w:color w:val="auto"/>
                  <w:kern w:val="2"/>
                </w:rPr>
              </m:ctrlPr>
            </m:e>
            <m:sub>
              <m:r>
                <m:rPr/>
                <w:rPr>
                  <w:rFonts w:hint="eastAsia" w:ascii="Cambria Math" w:hAnsi="Cambria Math" w:eastAsia="宋体" w:cs="宋体"/>
                  <w:color w:val="auto"/>
                </w:rPr>
                <m:t>a</m:t>
              </m:r>
              <m:ctrlPr>
                <w:rPr>
                  <w:rFonts w:hint="eastAsia" w:ascii="Cambria Math" w:hAnsi="Cambria Math" w:eastAsia="宋体" w:cs="宋体"/>
                  <w:bCs/>
                  <w:color w:val="auto"/>
                  <w:kern w:val="2"/>
                </w:rPr>
              </m:ctrlPr>
            </m:sub>
          </m:sSub>
          <m:r>
            <m:rPr>
              <m:sty m:val="p"/>
            </m:rPr>
            <w:rPr>
              <w:rFonts w:hint="eastAsia" w:ascii="Cambria Math" w:hAnsi="Cambria Math" w:eastAsia="宋体" w:cs="宋体"/>
              <w:color w:val="auto"/>
            </w:rPr>
            <m:t>=</m:t>
          </m:r>
          <m:nary>
            <m:naryPr>
              <m:chr m:val="∑"/>
              <m:limLoc m:val="subSup"/>
              <m:ctrlPr>
                <w:rPr>
                  <w:rFonts w:hint="eastAsia" w:ascii="Cambria Math" w:hAnsi="Cambria Math" w:eastAsia="宋体" w:cs="宋体"/>
                  <w:bCs/>
                  <w:color w:val="auto"/>
                  <w:kern w:val="2"/>
                </w:rPr>
              </m:ctrlPr>
            </m:naryPr>
            <m:sub>
              <m:r>
                <m:rPr/>
                <w:rPr>
                  <w:rFonts w:hint="eastAsia" w:ascii="Cambria Math" w:hAnsi="Cambria Math" w:eastAsia="宋体" w:cs="宋体"/>
                  <w:color w:val="auto"/>
                </w:rPr>
                <m:t>i=1</m:t>
              </m:r>
              <m:ctrlPr>
                <w:rPr>
                  <w:rFonts w:hint="eastAsia" w:ascii="Cambria Math" w:hAnsi="Cambria Math" w:eastAsia="宋体" w:cs="宋体"/>
                  <w:bCs/>
                  <w:color w:val="auto"/>
                  <w:kern w:val="2"/>
                </w:rPr>
              </m:ctrlPr>
            </m:sub>
            <m:sup>
              <m:r>
                <m:rPr/>
                <w:rPr>
                  <w:rFonts w:hint="eastAsia" w:ascii="Cambria Math" w:hAnsi="Cambria Math" w:eastAsia="宋体" w:cs="宋体"/>
                  <w:color w:val="auto"/>
                </w:rPr>
                <m:t>n</m:t>
              </m:r>
              <m:ctrlPr>
                <w:rPr>
                  <w:rFonts w:hint="eastAsia" w:ascii="Cambria Math" w:hAnsi="Cambria Math" w:eastAsia="宋体" w:cs="宋体"/>
                  <w:bCs/>
                  <w:color w:val="auto"/>
                  <w:kern w:val="2"/>
                </w:rPr>
              </m:ctrlPr>
            </m:sup>
            <m:e>
              <m:sSub>
                <m:sSubPr>
                  <m:ctrlPr>
                    <w:rPr>
                      <w:rFonts w:hint="eastAsia" w:ascii="Cambria Math" w:hAnsi="Cambria Math" w:eastAsia="宋体" w:cs="宋体"/>
                      <w:bCs/>
                      <w:i/>
                      <w:color w:val="auto"/>
                      <w:kern w:val="2"/>
                    </w:rPr>
                  </m:ctrlPr>
                </m:sSubPr>
                <m:e>
                  <m:r>
                    <m:rPr/>
                    <w:rPr>
                      <w:rFonts w:hint="eastAsia" w:ascii="Cambria Math" w:hAnsi="Cambria Math" w:eastAsia="宋体" w:cs="宋体"/>
                      <w:color w:val="auto"/>
                    </w:rPr>
                    <m:t>W</m:t>
                  </m:r>
                  <m:ctrlPr>
                    <w:rPr>
                      <w:rFonts w:hint="eastAsia" w:ascii="Cambria Math" w:hAnsi="Cambria Math" w:eastAsia="宋体" w:cs="宋体"/>
                      <w:bCs/>
                      <w:i/>
                      <w:color w:val="auto"/>
                      <w:kern w:val="2"/>
                    </w:rPr>
                  </m:ctrlPr>
                </m:e>
                <m:sub>
                  <m:r>
                    <m:rPr/>
                    <w:rPr>
                      <w:rFonts w:hint="eastAsia" w:ascii="Cambria Math" w:hAnsi="Cambria Math" w:eastAsia="宋体" w:cs="宋体"/>
                      <w:color w:val="auto"/>
                    </w:rPr>
                    <m:t>xi</m:t>
                  </m:r>
                  <m:ctrlPr>
                    <w:rPr>
                      <w:rFonts w:hint="eastAsia" w:ascii="Cambria Math" w:hAnsi="Cambria Math" w:eastAsia="宋体" w:cs="宋体"/>
                      <w:bCs/>
                      <w:i/>
                      <w:color w:val="auto"/>
                      <w:kern w:val="2"/>
                    </w:rPr>
                  </m:ctrlPr>
                </m:sub>
              </m:sSub>
              <m:r>
                <m:rPr/>
                <w:rPr>
                  <w:rFonts w:hint="eastAsia" w:ascii="Cambria Math" w:hAnsi="Cambria Math" w:eastAsia="宋体" w:cs="宋体"/>
                  <w:color w:val="auto"/>
                </w:rPr>
                <m:t>×</m:t>
              </m:r>
              <m:sSub>
                <m:sSubPr>
                  <m:ctrlPr>
                    <w:rPr>
                      <w:rFonts w:hint="eastAsia" w:ascii="Cambria Math" w:hAnsi="Cambria Math" w:eastAsia="宋体" w:cs="宋体"/>
                      <w:bCs/>
                      <w:i/>
                      <w:color w:val="auto"/>
                      <w:kern w:val="2"/>
                    </w:rPr>
                  </m:ctrlPr>
                </m:sSubPr>
                <m:e>
                  <m:r>
                    <m:rPr/>
                    <w:rPr>
                      <w:rFonts w:hint="eastAsia" w:ascii="Cambria Math" w:hAnsi="Cambria Math" w:eastAsia="宋体" w:cs="宋体"/>
                      <w:color w:val="auto"/>
                    </w:rPr>
                    <m:t>I</m:t>
                  </m:r>
                  <m:ctrlPr>
                    <w:rPr>
                      <w:rFonts w:hint="eastAsia" w:ascii="Cambria Math" w:hAnsi="Cambria Math" w:eastAsia="宋体" w:cs="宋体"/>
                      <w:bCs/>
                      <w:i/>
                      <w:color w:val="auto"/>
                      <w:kern w:val="2"/>
                    </w:rPr>
                  </m:ctrlPr>
                </m:e>
                <m:sub>
                  <m:r>
                    <m:rPr>
                      <m:sty m:val="p"/>
                    </m:rPr>
                    <w:rPr>
                      <w:rFonts w:hint="eastAsia" w:ascii="Cambria Math" w:hAnsi="Cambria Math" w:eastAsia="宋体" w:cs="宋体"/>
                      <w:color w:val="auto"/>
                    </w:rPr>
                    <m:t>xi</m:t>
                  </m:r>
                  <m:ctrlPr>
                    <w:rPr>
                      <w:rFonts w:hint="eastAsia" w:ascii="Cambria Math" w:hAnsi="Cambria Math" w:eastAsia="宋体" w:cs="宋体"/>
                      <w:bCs/>
                      <w:i/>
                      <w:color w:val="auto"/>
                      <w:kern w:val="2"/>
                    </w:rPr>
                  </m:ctrlPr>
                </m:sub>
              </m:sSub>
              <m:ctrlPr>
                <w:rPr>
                  <w:rFonts w:hint="eastAsia" w:ascii="Cambria Math" w:hAnsi="Cambria Math" w:eastAsia="宋体" w:cs="宋体"/>
                  <w:bCs/>
                  <w:color w:val="auto"/>
                  <w:kern w:val="2"/>
                </w:rPr>
              </m:ctrlPr>
            </m:e>
          </m:nary>
        </m:oMath>
      </m:oMathPara>
    </w:p>
    <w:p w14:paraId="17691617">
      <w:pPr>
        <w:pStyle w:val="33"/>
        <w:bidi w:val="0"/>
        <w:rPr>
          <w:color w:val="auto"/>
        </w:rPr>
      </w:pPr>
      <w:r>
        <w:rPr>
          <w:color w:val="auto"/>
        </w:rPr>
        <w:t>式中：S</w:t>
      </w:r>
      <w:r>
        <w:rPr>
          <w:color w:val="auto"/>
          <w:vertAlign w:val="subscript"/>
        </w:rPr>
        <w:t>a</w:t>
      </w:r>
      <w:r>
        <w:rPr>
          <w:color w:val="auto"/>
        </w:rPr>
        <w:t>—土壤盐化综合评分值；</w:t>
      </w:r>
    </w:p>
    <w:p w14:paraId="618F6EC3">
      <w:pPr>
        <w:pStyle w:val="33"/>
        <w:bidi w:val="0"/>
        <w:rPr>
          <w:color w:val="auto"/>
        </w:rPr>
      </w:pPr>
      <w:r>
        <w:rPr>
          <w:color w:val="auto"/>
        </w:rPr>
        <w:t xml:space="preserve">      n—影响因素指标数目；</w:t>
      </w:r>
    </w:p>
    <w:p w14:paraId="7F8FDCA0">
      <w:pPr>
        <w:pStyle w:val="33"/>
        <w:bidi w:val="0"/>
        <w:rPr>
          <w:color w:val="auto"/>
        </w:rPr>
      </w:pPr>
      <w:r>
        <w:rPr>
          <w:color w:val="auto"/>
        </w:rPr>
        <w:t xml:space="preserve">      I</w:t>
      </w:r>
      <w:r>
        <w:rPr>
          <w:color w:val="auto"/>
          <w:vertAlign w:val="subscript"/>
        </w:rPr>
        <w:t>xi</w:t>
      </w:r>
      <w:r>
        <w:rPr>
          <w:color w:val="auto"/>
        </w:rPr>
        <w:t>—影响因素i指标评分；</w:t>
      </w:r>
    </w:p>
    <w:p w14:paraId="5AB9870D">
      <w:pPr>
        <w:pStyle w:val="33"/>
        <w:bidi w:val="0"/>
        <w:rPr>
          <w:color w:val="auto"/>
        </w:rPr>
      </w:pPr>
      <w:r>
        <w:rPr>
          <w:color w:val="auto"/>
        </w:rPr>
        <w:t xml:space="preserve">      W</w:t>
      </w:r>
      <w:r>
        <w:rPr>
          <w:color w:val="auto"/>
          <w:vertAlign w:val="subscript"/>
        </w:rPr>
        <w:t>xi</w:t>
      </w:r>
      <w:r>
        <w:rPr>
          <w:color w:val="auto"/>
        </w:rPr>
        <w:t>—影响因素i指标权重。</w:t>
      </w:r>
    </w:p>
    <w:p w14:paraId="4AFC06E9">
      <w:pPr>
        <w:pStyle w:val="33"/>
        <w:bidi w:val="0"/>
        <w:rPr>
          <w:color w:val="auto"/>
        </w:rPr>
      </w:pPr>
      <w:r>
        <w:rPr>
          <w:color w:val="auto"/>
        </w:rPr>
        <w:t>土壤盐化影响因素赋值表见</w:t>
      </w:r>
      <w:r>
        <w:rPr>
          <w:color w:val="auto"/>
        </w:rPr>
        <w:fldChar w:fldCharType="begin"/>
      </w:r>
      <w:r>
        <w:rPr>
          <w:color w:val="auto"/>
        </w:rPr>
        <w:instrText xml:space="preserve"> REF _Ref15066 \h </w:instrText>
      </w:r>
      <w:r>
        <w:rPr>
          <w:color w:val="auto"/>
        </w:rPr>
        <w:fldChar w:fldCharType="separate"/>
      </w:r>
      <w:r>
        <w:rPr>
          <w:color w:val="auto"/>
        </w:rPr>
        <w:t>表</w:t>
      </w:r>
      <w:r>
        <w:rPr>
          <w:rFonts w:hint="eastAsia"/>
          <w:color w:val="auto"/>
          <w:lang w:val="en-US" w:eastAsia="zh-CN"/>
        </w:rPr>
        <w:t>5</w:t>
      </w:r>
      <w:r>
        <w:rPr>
          <w:color w:val="auto"/>
        </w:rPr>
        <w:fldChar w:fldCharType="end"/>
      </w:r>
      <w:r>
        <w:rPr>
          <w:rFonts w:hint="eastAsia"/>
          <w:color w:val="auto"/>
          <w:lang w:val="en-US" w:eastAsia="zh-CN"/>
        </w:rPr>
        <w:t>.2-18</w:t>
      </w:r>
      <w:r>
        <w:rPr>
          <w:color w:val="auto"/>
        </w:rPr>
        <w:t>。</w:t>
      </w:r>
    </w:p>
    <w:p w14:paraId="566599F5">
      <w:pPr>
        <w:pStyle w:val="43"/>
        <w:bidi w:val="0"/>
        <w:rPr>
          <w:rFonts w:cs="Times New Roman"/>
          <w:color w:val="auto"/>
        </w:rPr>
      </w:pPr>
      <w:bookmarkStart w:id="262" w:name="_Ref15066"/>
      <w:r>
        <w:rPr>
          <w:rFonts w:cs="Times New Roman"/>
          <w:color w:val="auto"/>
        </w:rPr>
        <w:t>表</w:t>
      </w:r>
      <w:bookmarkEnd w:id="262"/>
      <w:r>
        <w:rPr>
          <w:rFonts w:hint="eastAsia" w:cs="Times New Roman"/>
          <w:color w:val="auto"/>
          <w:lang w:val="en-US" w:eastAsia="zh-CN"/>
        </w:rPr>
        <w:t>5.2-18</w:t>
      </w:r>
      <w:r>
        <w:rPr>
          <w:rFonts w:cs="Times New Roman"/>
          <w:color w:val="auto"/>
        </w:rPr>
        <w:t xml:space="preserve">  土壤盐化影响因素赋值表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26"/>
        <w:gridCol w:w="1417"/>
        <w:gridCol w:w="1560"/>
        <w:gridCol w:w="1701"/>
        <w:gridCol w:w="1701"/>
        <w:gridCol w:w="623"/>
      </w:tblGrid>
      <w:tr w14:paraId="1B2B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blHeader/>
          <w:jc w:val="center"/>
        </w:trPr>
        <w:tc>
          <w:tcPr>
            <w:tcW w:w="1526" w:type="dxa"/>
            <w:vMerge w:val="restart"/>
            <w:shd w:val="clear" w:color="auto" w:fill="auto"/>
            <w:vAlign w:val="center"/>
          </w:tcPr>
          <w:p w14:paraId="12ABB3CF">
            <w:pPr>
              <w:pStyle w:val="44"/>
              <w:bidi w:val="0"/>
              <w:rPr>
                <w:b/>
                <w:bCs/>
                <w:color w:val="auto"/>
              </w:rPr>
            </w:pPr>
            <w:r>
              <w:rPr>
                <w:b/>
                <w:bCs/>
                <w:color w:val="auto"/>
              </w:rPr>
              <w:t>影响因素</w:t>
            </w:r>
          </w:p>
        </w:tc>
        <w:tc>
          <w:tcPr>
            <w:tcW w:w="6379" w:type="dxa"/>
            <w:gridSpan w:val="4"/>
            <w:shd w:val="clear" w:color="auto" w:fill="auto"/>
            <w:vAlign w:val="center"/>
          </w:tcPr>
          <w:p w14:paraId="31B48C4A">
            <w:pPr>
              <w:pStyle w:val="44"/>
              <w:bidi w:val="0"/>
              <w:rPr>
                <w:b/>
                <w:bCs/>
                <w:color w:val="auto"/>
              </w:rPr>
            </w:pPr>
            <w:r>
              <w:rPr>
                <w:b/>
                <w:bCs/>
                <w:color w:val="auto"/>
              </w:rPr>
              <w:t>分值</w:t>
            </w:r>
          </w:p>
        </w:tc>
        <w:tc>
          <w:tcPr>
            <w:tcW w:w="623" w:type="dxa"/>
            <w:vMerge w:val="restart"/>
            <w:shd w:val="clear" w:color="auto" w:fill="auto"/>
            <w:vAlign w:val="center"/>
          </w:tcPr>
          <w:p w14:paraId="4AB74913">
            <w:pPr>
              <w:pStyle w:val="44"/>
              <w:bidi w:val="0"/>
              <w:rPr>
                <w:b/>
                <w:bCs/>
                <w:color w:val="auto"/>
              </w:rPr>
            </w:pPr>
            <w:r>
              <w:rPr>
                <w:b/>
                <w:bCs/>
                <w:color w:val="auto"/>
              </w:rPr>
              <w:t>权重</w:t>
            </w:r>
          </w:p>
        </w:tc>
      </w:tr>
      <w:tr w14:paraId="40CC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526" w:type="dxa"/>
            <w:vMerge w:val="continue"/>
            <w:shd w:val="clear" w:color="auto" w:fill="auto"/>
            <w:vAlign w:val="center"/>
          </w:tcPr>
          <w:p w14:paraId="05C9F941">
            <w:pPr>
              <w:pStyle w:val="44"/>
              <w:bidi w:val="0"/>
              <w:rPr>
                <w:b/>
                <w:bCs/>
                <w:color w:val="auto"/>
              </w:rPr>
            </w:pPr>
          </w:p>
        </w:tc>
        <w:tc>
          <w:tcPr>
            <w:tcW w:w="1417" w:type="dxa"/>
            <w:shd w:val="clear" w:color="auto" w:fill="auto"/>
            <w:vAlign w:val="center"/>
          </w:tcPr>
          <w:p w14:paraId="04717DC4">
            <w:pPr>
              <w:pStyle w:val="44"/>
              <w:bidi w:val="0"/>
              <w:rPr>
                <w:b/>
                <w:bCs/>
                <w:color w:val="auto"/>
              </w:rPr>
            </w:pPr>
            <w:r>
              <w:rPr>
                <w:b/>
                <w:bCs/>
                <w:color w:val="auto"/>
              </w:rPr>
              <w:t>0分</w:t>
            </w:r>
          </w:p>
        </w:tc>
        <w:tc>
          <w:tcPr>
            <w:tcW w:w="1560" w:type="dxa"/>
            <w:shd w:val="clear" w:color="auto" w:fill="auto"/>
            <w:vAlign w:val="center"/>
          </w:tcPr>
          <w:p w14:paraId="726EDEE7">
            <w:pPr>
              <w:pStyle w:val="44"/>
              <w:bidi w:val="0"/>
              <w:rPr>
                <w:b/>
                <w:bCs/>
                <w:color w:val="auto"/>
              </w:rPr>
            </w:pPr>
            <w:r>
              <w:rPr>
                <w:b/>
                <w:bCs/>
                <w:color w:val="auto"/>
              </w:rPr>
              <w:t>2分</w:t>
            </w:r>
          </w:p>
        </w:tc>
        <w:tc>
          <w:tcPr>
            <w:tcW w:w="1701" w:type="dxa"/>
            <w:shd w:val="clear" w:color="auto" w:fill="auto"/>
            <w:vAlign w:val="center"/>
          </w:tcPr>
          <w:p w14:paraId="502086F0">
            <w:pPr>
              <w:pStyle w:val="44"/>
              <w:bidi w:val="0"/>
              <w:rPr>
                <w:b/>
                <w:bCs/>
                <w:color w:val="auto"/>
              </w:rPr>
            </w:pPr>
            <w:r>
              <w:rPr>
                <w:b/>
                <w:bCs/>
                <w:color w:val="auto"/>
              </w:rPr>
              <w:t>4分</w:t>
            </w:r>
          </w:p>
        </w:tc>
        <w:tc>
          <w:tcPr>
            <w:tcW w:w="1701" w:type="dxa"/>
            <w:shd w:val="clear" w:color="auto" w:fill="auto"/>
            <w:vAlign w:val="center"/>
          </w:tcPr>
          <w:p w14:paraId="5546CA59">
            <w:pPr>
              <w:pStyle w:val="44"/>
              <w:bidi w:val="0"/>
              <w:rPr>
                <w:b/>
                <w:bCs/>
                <w:color w:val="auto"/>
              </w:rPr>
            </w:pPr>
            <w:r>
              <w:rPr>
                <w:b/>
                <w:bCs/>
                <w:color w:val="auto"/>
              </w:rPr>
              <w:t>6分</w:t>
            </w:r>
          </w:p>
        </w:tc>
        <w:tc>
          <w:tcPr>
            <w:tcW w:w="623" w:type="dxa"/>
            <w:vMerge w:val="continue"/>
            <w:shd w:val="clear" w:color="auto" w:fill="auto"/>
            <w:vAlign w:val="center"/>
          </w:tcPr>
          <w:p w14:paraId="0862332C">
            <w:pPr>
              <w:pStyle w:val="44"/>
              <w:bidi w:val="0"/>
              <w:rPr>
                <w:b/>
                <w:bCs/>
                <w:color w:val="auto"/>
              </w:rPr>
            </w:pPr>
          </w:p>
        </w:tc>
      </w:tr>
      <w:tr w14:paraId="1007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shd w:val="clear" w:color="auto" w:fill="auto"/>
            <w:vAlign w:val="center"/>
          </w:tcPr>
          <w:p w14:paraId="7917C335">
            <w:pPr>
              <w:pStyle w:val="44"/>
              <w:bidi w:val="0"/>
              <w:rPr>
                <w:color w:val="auto"/>
              </w:rPr>
            </w:pPr>
            <w:r>
              <w:rPr>
                <w:color w:val="auto"/>
              </w:rPr>
              <w:t>地下水埋深（GWD）/(m)</w:t>
            </w:r>
          </w:p>
        </w:tc>
        <w:tc>
          <w:tcPr>
            <w:tcW w:w="1417" w:type="dxa"/>
            <w:shd w:val="clear" w:color="auto" w:fill="auto"/>
            <w:vAlign w:val="center"/>
          </w:tcPr>
          <w:p w14:paraId="62F0CF47">
            <w:pPr>
              <w:pStyle w:val="44"/>
              <w:bidi w:val="0"/>
              <w:rPr>
                <w:color w:val="auto"/>
              </w:rPr>
            </w:pPr>
            <w:r>
              <w:rPr>
                <w:color w:val="auto"/>
              </w:rPr>
              <w:t>GWD≥2.5</w:t>
            </w:r>
          </w:p>
        </w:tc>
        <w:tc>
          <w:tcPr>
            <w:tcW w:w="1560" w:type="dxa"/>
            <w:shd w:val="clear" w:color="auto" w:fill="auto"/>
            <w:vAlign w:val="center"/>
          </w:tcPr>
          <w:p w14:paraId="2B5E497B">
            <w:pPr>
              <w:pStyle w:val="44"/>
              <w:bidi w:val="0"/>
              <w:rPr>
                <w:color w:val="auto"/>
              </w:rPr>
            </w:pPr>
            <w:r>
              <w:rPr>
                <w:color w:val="auto"/>
              </w:rPr>
              <w:t>1.5≤GWD＜2.5</w:t>
            </w:r>
          </w:p>
        </w:tc>
        <w:tc>
          <w:tcPr>
            <w:tcW w:w="1701" w:type="dxa"/>
            <w:shd w:val="clear" w:color="auto" w:fill="auto"/>
            <w:vAlign w:val="center"/>
          </w:tcPr>
          <w:p w14:paraId="09C6B913">
            <w:pPr>
              <w:pStyle w:val="44"/>
              <w:bidi w:val="0"/>
              <w:rPr>
                <w:color w:val="auto"/>
              </w:rPr>
            </w:pPr>
            <w:r>
              <w:rPr>
                <w:color w:val="auto"/>
              </w:rPr>
              <w:t>1.0≤GWD＜1.5</w:t>
            </w:r>
          </w:p>
        </w:tc>
        <w:tc>
          <w:tcPr>
            <w:tcW w:w="1701" w:type="dxa"/>
            <w:shd w:val="clear" w:color="auto" w:fill="auto"/>
            <w:vAlign w:val="center"/>
          </w:tcPr>
          <w:p w14:paraId="39267CB4">
            <w:pPr>
              <w:pStyle w:val="44"/>
              <w:bidi w:val="0"/>
              <w:rPr>
                <w:color w:val="auto"/>
              </w:rPr>
            </w:pPr>
            <w:r>
              <w:rPr>
                <w:color w:val="auto"/>
              </w:rPr>
              <w:t>GWD＜1.0</w:t>
            </w:r>
          </w:p>
        </w:tc>
        <w:tc>
          <w:tcPr>
            <w:tcW w:w="623" w:type="dxa"/>
            <w:shd w:val="clear" w:color="auto" w:fill="auto"/>
            <w:vAlign w:val="center"/>
          </w:tcPr>
          <w:p w14:paraId="7CC24070">
            <w:pPr>
              <w:pStyle w:val="44"/>
              <w:bidi w:val="0"/>
              <w:rPr>
                <w:color w:val="auto"/>
              </w:rPr>
            </w:pPr>
            <w:r>
              <w:rPr>
                <w:color w:val="auto"/>
              </w:rPr>
              <w:t>0.35</w:t>
            </w:r>
          </w:p>
        </w:tc>
      </w:tr>
      <w:tr w14:paraId="6B40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shd w:val="clear" w:color="auto" w:fill="auto"/>
            <w:vAlign w:val="center"/>
          </w:tcPr>
          <w:p w14:paraId="55AE85D9">
            <w:pPr>
              <w:pStyle w:val="44"/>
              <w:bidi w:val="0"/>
              <w:rPr>
                <w:color w:val="auto"/>
              </w:rPr>
            </w:pPr>
            <w:r>
              <w:rPr>
                <w:color w:val="auto"/>
              </w:rPr>
              <w:t>干燥度（蒸降比值）（EPR）</w:t>
            </w:r>
          </w:p>
        </w:tc>
        <w:tc>
          <w:tcPr>
            <w:tcW w:w="1417" w:type="dxa"/>
            <w:shd w:val="clear" w:color="auto" w:fill="auto"/>
            <w:vAlign w:val="center"/>
          </w:tcPr>
          <w:p w14:paraId="03D69EA0">
            <w:pPr>
              <w:pStyle w:val="44"/>
              <w:bidi w:val="0"/>
              <w:rPr>
                <w:color w:val="auto"/>
              </w:rPr>
            </w:pPr>
            <w:r>
              <w:rPr>
                <w:color w:val="auto"/>
              </w:rPr>
              <w:t>EPR＜1.2</w:t>
            </w:r>
          </w:p>
        </w:tc>
        <w:tc>
          <w:tcPr>
            <w:tcW w:w="1560" w:type="dxa"/>
            <w:shd w:val="clear" w:color="auto" w:fill="auto"/>
            <w:vAlign w:val="center"/>
          </w:tcPr>
          <w:p w14:paraId="69A8111F">
            <w:pPr>
              <w:pStyle w:val="44"/>
              <w:bidi w:val="0"/>
              <w:rPr>
                <w:color w:val="auto"/>
              </w:rPr>
            </w:pPr>
            <w:r>
              <w:rPr>
                <w:color w:val="auto"/>
              </w:rPr>
              <w:t>1.2≤EPR＜2.5</w:t>
            </w:r>
          </w:p>
        </w:tc>
        <w:tc>
          <w:tcPr>
            <w:tcW w:w="1701" w:type="dxa"/>
            <w:shd w:val="clear" w:color="auto" w:fill="auto"/>
            <w:vAlign w:val="center"/>
          </w:tcPr>
          <w:p w14:paraId="637CF311">
            <w:pPr>
              <w:pStyle w:val="44"/>
              <w:bidi w:val="0"/>
              <w:rPr>
                <w:color w:val="auto"/>
              </w:rPr>
            </w:pPr>
            <w:r>
              <w:rPr>
                <w:color w:val="auto"/>
              </w:rPr>
              <w:t>2.5≤EPR＜6</w:t>
            </w:r>
          </w:p>
        </w:tc>
        <w:tc>
          <w:tcPr>
            <w:tcW w:w="1701" w:type="dxa"/>
            <w:shd w:val="clear" w:color="auto" w:fill="auto"/>
            <w:vAlign w:val="center"/>
          </w:tcPr>
          <w:p w14:paraId="15C75EC2">
            <w:pPr>
              <w:pStyle w:val="44"/>
              <w:bidi w:val="0"/>
              <w:rPr>
                <w:color w:val="auto"/>
              </w:rPr>
            </w:pPr>
            <w:r>
              <w:rPr>
                <w:color w:val="auto"/>
              </w:rPr>
              <w:t>EPR≥6</w:t>
            </w:r>
          </w:p>
        </w:tc>
        <w:tc>
          <w:tcPr>
            <w:tcW w:w="623" w:type="dxa"/>
            <w:shd w:val="clear" w:color="auto" w:fill="auto"/>
            <w:vAlign w:val="center"/>
          </w:tcPr>
          <w:p w14:paraId="14DF6556">
            <w:pPr>
              <w:pStyle w:val="44"/>
              <w:bidi w:val="0"/>
              <w:rPr>
                <w:color w:val="auto"/>
              </w:rPr>
            </w:pPr>
            <w:r>
              <w:rPr>
                <w:color w:val="auto"/>
              </w:rPr>
              <w:t>0.25</w:t>
            </w:r>
          </w:p>
        </w:tc>
      </w:tr>
      <w:tr w14:paraId="2799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shd w:val="clear" w:color="auto" w:fill="auto"/>
            <w:vAlign w:val="center"/>
          </w:tcPr>
          <w:p w14:paraId="7830E03D">
            <w:pPr>
              <w:pStyle w:val="44"/>
              <w:bidi w:val="0"/>
              <w:rPr>
                <w:color w:val="auto"/>
              </w:rPr>
            </w:pPr>
            <w:r>
              <w:rPr>
                <w:color w:val="auto"/>
              </w:rPr>
              <w:t>土壤本底含盐量SSC/（g/kg）</w:t>
            </w:r>
          </w:p>
        </w:tc>
        <w:tc>
          <w:tcPr>
            <w:tcW w:w="1417" w:type="dxa"/>
            <w:shd w:val="clear" w:color="auto" w:fill="auto"/>
            <w:vAlign w:val="center"/>
          </w:tcPr>
          <w:p w14:paraId="63D48D30">
            <w:pPr>
              <w:pStyle w:val="44"/>
              <w:bidi w:val="0"/>
              <w:rPr>
                <w:color w:val="auto"/>
              </w:rPr>
            </w:pPr>
            <w:r>
              <w:rPr>
                <w:color w:val="auto"/>
              </w:rPr>
              <w:t>SSC＜1</w:t>
            </w:r>
          </w:p>
        </w:tc>
        <w:tc>
          <w:tcPr>
            <w:tcW w:w="1560" w:type="dxa"/>
            <w:shd w:val="clear" w:color="auto" w:fill="auto"/>
            <w:vAlign w:val="center"/>
          </w:tcPr>
          <w:p w14:paraId="4FBFA803">
            <w:pPr>
              <w:pStyle w:val="44"/>
              <w:bidi w:val="0"/>
              <w:rPr>
                <w:color w:val="auto"/>
              </w:rPr>
            </w:pPr>
            <w:r>
              <w:rPr>
                <w:color w:val="auto"/>
              </w:rPr>
              <w:t>1≤SSC＜2</w:t>
            </w:r>
          </w:p>
        </w:tc>
        <w:tc>
          <w:tcPr>
            <w:tcW w:w="1701" w:type="dxa"/>
            <w:shd w:val="clear" w:color="auto" w:fill="auto"/>
            <w:vAlign w:val="center"/>
          </w:tcPr>
          <w:p w14:paraId="2DB0C32D">
            <w:pPr>
              <w:pStyle w:val="44"/>
              <w:bidi w:val="0"/>
              <w:rPr>
                <w:color w:val="auto"/>
              </w:rPr>
            </w:pPr>
            <w:r>
              <w:rPr>
                <w:color w:val="auto"/>
              </w:rPr>
              <w:t>2≤SSC＜4</w:t>
            </w:r>
          </w:p>
        </w:tc>
        <w:tc>
          <w:tcPr>
            <w:tcW w:w="1701" w:type="dxa"/>
            <w:shd w:val="clear" w:color="auto" w:fill="auto"/>
            <w:vAlign w:val="center"/>
          </w:tcPr>
          <w:p w14:paraId="59DDBB15">
            <w:pPr>
              <w:pStyle w:val="44"/>
              <w:bidi w:val="0"/>
              <w:rPr>
                <w:color w:val="auto"/>
              </w:rPr>
            </w:pPr>
            <w:r>
              <w:rPr>
                <w:color w:val="auto"/>
              </w:rPr>
              <w:t>SSC≥4</w:t>
            </w:r>
          </w:p>
        </w:tc>
        <w:tc>
          <w:tcPr>
            <w:tcW w:w="623" w:type="dxa"/>
            <w:shd w:val="clear" w:color="auto" w:fill="auto"/>
            <w:vAlign w:val="center"/>
          </w:tcPr>
          <w:p w14:paraId="4F348510">
            <w:pPr>
              <w:pStyle w:val="44"/>
              <w:bidi w:val="0"/>
              <w:rPr>
                <w:color w:val="auto"/>
              </w:rPr>
            </w:pPr>
            <w:r>
              <w:rPr>
                <w:color w:val="auto"/>
              </w:rPr>
              <w:t>0.15</w:t>
            </w:r>
          </w:p>
        </w:tc>
      </w:tr>
      <w:tr w14:paraId="3236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shd w:val="clear" w:color="auto" w:fill="auto"/>
            <w:vAlign w:val="center"/>
          </w:tcPr>
          <w:p w14:paraId="59787C49">
            <w:pPr>
              <w:pStyle w:val="44"/>
              <w:bidi w:val="0"/>
              <w:rPr>
                <w:rFonts w:hint="eastAsia" w:eastAsia="宋体"/>
                <w:color w:val="auto"/>
                <w:lang w:eastAsia="zh-CN"/>
              </w:rPr>
            </w:pPr>
            <w:r>
              <w:rPr>
                <w:color w:val="auto"/>
              </w:rPr>
              <w:t>地下水溶解性总固体（TDS）</w:t>
            </w:r>
          </w:p>
          <w:p w14:paraId="70FD85AD">
            <w:pPr>
              <w:pStyle w:val="44"/>
              <w:bidi w:val="0"/>
              <w:rPr>
                <w:color w:val="auto"/>
              </w:rPr>
            </w:pPr>
            <w:r>
              <w:rPr>
                <w:color w:val="auto"/>
              </w:rPr>
              <w:t>/(g/L)</w:t>
            </w:r>
          </w:p>
        </w:tc>
        <w:tc>
          <w:tcPr>
            <w:tcW w:w="1417" w:type="dxa"/>
            <w:shd w:val="clear" w:color="auto" w:fill="auto"/>
            <w:vAlign w:val="center"/>
          </w:tcPr>
          <w:p w14:paraId="1E711A39">
            <w:pPr>
              <w:pStyle w:val="44"/>
              <w:bidi w:val="0"/>
              <w:rPr>
                <w:color w:val="auto"/>
              </w:rPr>
            </w:pPr>
            <w:r>
              <w:rPr>
                <w:color w:val="auto"/>
              </w:rPr>
              <w:t>TDS＜1</w:t>
            </w:r>
          </w:p>
        </w:tc>
        <w:tc>
          <w:tcPr>
            <w:tcW w:w="1560" w:type="dxa"/>
            <w:shd w:val="clear" w:color="auto" w:fill="auto"/>
            <w:vAlign w:val="center"/>
          </w:tcPr>
          <w:p w14:paraId="736F4F77">
            <w:pPr>
              <w:pStyle w:val="44"/>
              <w:bidi w:val="0"/>
              <w:rPr>
                <w:color w:val="auto"/>
              </w:rPr>
            </w:pPr>
            <w:r>
              <w:rPr>
                <w:color w:val="auto"/>
              </w:rPr>
              <w:t>1≤TDS＜2</w:t>
            </w:r>
          </w:p>
        </w:tc>
        <w:tc>
          <w:tcPr>
            <w:tcW w:w="1701" w:type="dxa"/>
            <w:shd w:val="clear" w:color="auto" w:fill="auto"/>
            <w:vAlign w:val="center"/>
          </w:tcPr>
          <w:p w14:paraId="1A37735D">
            <w:pPr>
              <w:pStyle w:val="44"/>
              <w:bidi w:val="0"/>
              <w:rPr>
                <w:color w:val="auto"/>
              </w:rPr>
            </w:pPr>
            <w:r>
              <w:rPr>
                <w:color w:val="auto"/>
              </w:rPr>
              <w:t>2≤TDS＜5</w:t>
            </w:r>
          </w:p>
        </w:tc>
        <w:tc>
          <w:tcPr>
            <w:tcW w:w="1701" w:type="dxa"/>
            <w:shd w:val="clear" w:color="auto" w:fill="auto"/>
            <w:vAlign w:val="center"/>
          </w:tcPr>
          <w:p w14:paraId="10AA2A39">
            <w:pPr>
              <w:pStyle w:val="44"/>
              <w:bidi w:val="0"/>
              <w:rPr>
                <w:color w:val="auto"/>
              </w:rPr>
            </w:pPr>
            <w:r>
              <w:rPr>
                <w:color w:val="auto"/>
              </w:rPr>
              <w:t>TDS≥5</w:t>
            </w:r>
          </w:p>
        </w:tc>
        <w:tc>
          <w:tcPr>
            <w:tcW w:w="623" w:type="dxa"/>
            <w:shd w:val="clear" w:color="auto" w:fill="auto"/>
            <w:vAlign w:val="center"/>
          </w:tcPr>
          <w:p w14:paraId="44928288">
            <w:pPr>
              <w:pStyle w:val="44"/>
              <w:bidi w:val="0"/>
              <w:rPr>
                <w:color w:val="auto"/>
              </w:rPr>
            </w:pPr>
            <w:r>
              <w:rPr>
                <w:color w:val="auto"/>
              </w:rPr>
              <w:t>0.15</w:t>
            </w:r>
          </w:p>
        </w:tc>
      </w:tr>
      <w:tr w14:paraId="4047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shd w:val="clear" w:color="auto" w:fill="auto"/>
            <w:vAlign w:val="center"/>
          </w:tcPr>
          <w:p w14:paraId="4B5684AF">
            <w:pPr>
              <w:pStyle w:val="44"/>
              <w:bidi w:val="0"/>
              <w:rPr>
                <w:color w:val="auto"/>
              </w:rPr>
            </w:pPr>
            <w:r>
              <w:rPr>
                <w:color w:val="auto"/>
              </w:rPr>
              <w:t>土壤质地</w:t>
            </w:r>
          </w:p>
        </w:tc>
        <w:tc>
          <w:tcPr>
            <w:tcW w:w="1417" w:type="dxa"/>
            <w:shd w:val="clear" w:color="auto" w:fill="auto"/>
            <w:vAlign w:val="center"/>
          </w:tcPr>
          <w:p w14:paraId="5CCAEC34">
            <w:pPr>
              <w:pStyle w:val="44"/>
              <w:bidi w:val="0"/>
              <w:rPr>
                <w:color w:val="auto"/>
              </w:rPr>
            </w:pPr>
            <w:r>
              <w:rPr>
                <w:color w:val="auto"/>
              </w:rPr>
              <w:t>黏土</w:t>
            </w:r>
          </w:p>
        </w:tc>
        <w:tc>
          <w:tcPr>
            <w:tcW w:w="1560" w:type="dxa"/>
            <w:shd w:val="clear" w:color="auto" w:fill="auto"/>
            <w:vAlign w:val="center"/>
          </w:tcPr>
          <w:p w14:paraId="7B6BEE43">
            <w:pPr>
              <w:pStyle w:val="44"/>
              <w:bidi w:val="0"/>
              <w:rPr>
                <w:color w:val="auto"/>
              </w:rPr>
            </w:pPr>
            <w:r>
              <w:rPr>
                <w:color w:val="auto"/>
              </w:rPr>
              <w:t>砂土</w:t>
            </w:r>
          </w:p>
        </w:tc>
        <w:tc>
          <w:tcPr>
            <w:tcW w:w="1701" w:type="dxa"/>
            <w:shd w:val="clear" w:color="auto" w:fill="auto"/>
            <w:vAlign w:val="center"/>
          </w:tcPr>
          <w:p w14:paraId="231AD7FF">
            <w:pPr>
              <w:pStyle w:val="44"/>
              <w:bidi w:val="0"/>
              <w:rPr>
                <w:color w:val="auto"/>
              </w:rPr>
            </w:pPr>
            <w:r>
              <w:rPr>
                <w:color w:val="auto"/>
              </w:rPr>
              <w:t>壤土</w:t>
            </w:r>
          </w:p>
        </w:tc>
        <w:tc>
          <w:tcPr>
            <w:tcW w:w="1701" w:type="dxa"/>
            <w:shd w:val="clear" w:color="auto" w:fill="auto"/>
            <w:vAlign w:val="center"/>
          </w:tcPr>
          <w:p w14:paraId="0AAF920B">
            <w:pPr>
              <w:pStyle w:val="44"/>
              <w:bidi w:val="0"/>
              <w:rPr>
                <w:color w:val="auto"/>
              </w:rPr>
            </w:pPr>
            <w:r>
              <w:rPr>
                <w:color w:val="auto"/>
              </w:rPr>
              <w:t>砂壤、粉土、砂粉土</w:t>
            </w:r>
          </w:p>
        </w:tc>
        <w:tc>
          <w:tcPr>
            <w:tcW w:w="623" w:type="dxa"/>
            <w:shd w:val="clear" w:color="auto" w:fill="auto"/>
            <w:vAlign w:val="center"/>
          </w:tcPr>
          <w:p w14:paraId="3F608065">
            <w:pPr>
              <w:pStyle w:val="44"/>
              <w:bidi w:val="0"/>
              <w:rPr>
                <w:color w:val="auto"/>
              </w:rPr>
            </w:pPr>
            <w:r>
              <w:rPr>
                <w:color w:val="auto"/>
              </w:rPr>
              <w:t>0.1</w:t>
            </w:r>
          </w:p>
        </w:tc>
      </w:tr>
    </w:tbl>
    <w:p w14:paraId="77ED6AB9">
      <w:pPr>
        <w:pStyle w:val="33"/>
        <w:bidi w:val="0"/>
        <w:rPr>
          <w:color w:val="auto"/>
        </w:rPr>
      </w:pPr>
      <w:r>
        <w:rPr>
          <w:color w:val="auto"/>
        </w:rPr>
        <w:t>（2）预测结果</w:t>
      </w:r>
    </w:p>
    <w:p w14:paraId="1ED5EE62">
      <w:pPr>
        <w:pStyle w:val="33"/>
        <w:bidi w:val="0"/>
        <w:rPr>
          <w:color w:val="auto"/>
        </w:rPr>
      </w:pPr>
      <w:r>
        <w:rPr>
          <w:color w:val="auto"/>
        </w:rPr>
        <w:t>本项目土壤盐化影响因素各影响因素取值见</w:t>
      </w:r>
      <w:r>
        <w:rPr>
          <w:color w:val="auto"/>
        </w:rPr>
        <w:fldChar w:fldCharType="begin"/>
      </w:r>
      <w:r>
        <w:rPr>
          <w:color w:val="auto"/>
        </w:rPr>
        <w:instrText xml:space="preserve"> REF _Ref15161 \h </w:instrText>
      </w:r>
      <w:r>
        <w:rPr>
          <w:color w:val="auto"/>
        </w:rPr>
        <w:fldChar w:fldCharType="separate"/>
      </w:r>
      <w:r>
        <w:rPr>
          <w:color w:val="auto"/>
        </w:rPr>
        <w:t>表</w:t>
      </w:r>
      <w:r>
        <w:rPr>
          <w:rFonts w:hint="eastAsia"/>
          <w:color w:val="auto"/>
          <w:lang w:val="en-US" w:eastAsia="zh-CN"/>
        </w:rPr>
        <w:t>5</w:t>
      </w:r>
      <w:r>
        <w:rPr>
          <w:color w:val="auto"/>
        </w:rPr>
        <w:fldChar w:fldCharType="end"/>
      </w:r>
      <w:r>
        <w:rPr>
          <w:rFonts w:hint="eastAsia"/>
          <w:color w:val="auto"/>
          <w:lang w:val="en-US" w:eastAsia="zh-CN"/>
        </w:rPr>
        <w:t>.2-19</w:t>
      </w:r>
      <w:r>
        <w:rPr>
          <w:color w:val="auto"/>
        </w:rPr>
        <w:t>。</w:t>
      </w:r>
    </w:p>
    <w:p w14:paraId="5AA4C19F">
      <w:pPr>
        <w:pStyle w:val="43"/>
        <w:bidi w:val="0"/>
        <w:rPr>
          <w:rFonts w:cs="Times New Roman"/>
          <w:color w:val="auto"/>
        </w:rPr>
      </w:pPr>
      <w:bookmarkStart w:id="263" w:name="_Ref15161"/>
      <w:r>
        <w:rPr>
          <w:rFonts w:cs="Times New Roman"/>
          <w:color w:val="auto"/>
        </w:rPr>
        <w:t>表</w:t>
      </w:r>
      <w:bookmarkEnd w:id="263"/>
      <w:r>
        <w:rPr>
          <w:rFonts w:hint="eastAsia" w:cs="Times New Roman"/>
          <w:color w:val="auto"/>
          <w:lang w:val="en-US" w:eastAsia="zh-CN"/>
        </w:rPr>
        <w:t>5.2-19</w:t>
      </w:r>
      <w:r>
        <w:rPr>
          <w:rFonts w:cs="Times New Roman"/>
          <w:color w:val="auto"/>
        </w:rPr>
        <w:t xml:space="preserve">  土壤盐化影响因素赋值表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51"/>
        <w:gridCol w:w="709"/>
        <w:gridCol w:w="709"/>
        <w:gridCol w:w="850"/>
        <w:gridCol w:w="4309"/>
      </w:tblGrid>
      <w:tr w14:paraId="057B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51" w:type="dxa"/>
            <w:shd w:val="clear" w:color="auto" w:fill="auto"/>
            <w:vAlign w:val="center"/>
          </w:tcPr>
          <w:p w14:paraId="58161826">
            <w:pPr>
              <w:pStyle w:val="44"/>
              <w:bidi w:val="0"/>
              <w:rPr>
                <w:b/>
                <w:bCs/>
                <w:color w:val="auto"/>
              </w:rPr>
            </w:pPr>
            <w:r>
              <w:rPr>
                <w:b/>
                <w:bCs/>
                <w:color w:val="auto"/>
              </w:rPr>
              <w:t>影响因素</w:t>
            </w:r>
          </w:p>
        </w:tc>
        <w:tc>
          <w:tcPr>
            <w:tcW w:w="709" w:type="dxa"/>
            <w:shd w:val="clear" w:color="auto" w:fill="auto"/>
            <w:vAlign w:val="center"/>
          </w:tcPr>
          <w:p w14:paraId="620DD730">
            <w:pPr>
              <w:pStyle w:val="44"/>
              <w:bidi w:val="0"/>
              <w:rPr>
                <w:b/>
                <w:bCs/>
                <w:color w:val="auto"/>
              </w:rPr>
            </w:pPr>
            <w:r>
              <w:rPr>
                <w:b/>
                <w:bCs/>
                <w:color w:val="auto"/>
              </w:rPr>
              <w:t>数值</w:t>
            </w:r>
          </w:p>
        </w:tc>
        <w:tc>
          <w:tcPr>
            <w:tcW w:w="709" w:type="dxa"/>
            <w:shd w:val="clear" w:color="auto" w:fill="auto"/>
            <w:vAlign w:val="center"/>
          </w:tcPr>
          <w:p w14:paraId="739D89D6">
            <w:pPr>
              <w:pStyle w:val="44"/>
              <w:bidi w:val="0"/>
              <w:rPr>
                <w:b/>
                <w:bCs/>
                <w:color w:val="auto"/>
              </w:rPr>
            </w:pPr>
            <w:r>
              <w:rPr>
                <w:b/>
                <w:bCs/>
                <w:color w:val="auto"/>
              </w:rPr>
              <w:t>分值</w:t>
            </w:r>
          </w:p>
        </w:tc>
        <w:tc>
          <w:tcPr>
            <w:tcW w:w="850" w:type="dxa"/>
            <w:shd w:val="clear" w:color="auto" w:fill="auto"/>
            <w:vAlign w:val="center"/>
          </w:tcPr>
          <w:p w14:paraId="09543834">
            <w:pPr>
              <w:pStyle w:val="44"/>
              <w:bidi w:val="0"/>
              <w:rPr>
                <w:b/>
                <w:bCs/>
                <w:color w:val="auto"/>
              </w:rPr>
            </w:pPr>
            <w:r>
              <w:rPr>
                <w:b/>
                <w:bCs/>
                <w:color w:val="auto"/>
              </w:rPr>
              <w:t>权重</w:t>
            </w:r>
          </w:p>
        </w:tc>
        <w:tc>
          <w:tcPr>
            <w:tcW w:w="4309" w:type="dxa"/>
            <w:shd w:val="clear" w:color="auto" w:fill="auto"/>
            <w:vAlign w:val="center"/>
          </w:tcPr>
          <w:p w14:paraId="24CC274D">
            <w:pPr>
              <w:pStyle w:val="44"/>
              <w:bidi w:val="0"/>
              <w:rPr>
                <w:b/>
                <w:bCs/>
                <w:color w:val="auto"/>
              </w:rPr>
            </w:pPr>
            <w:r>
              <w:rPr>
                <w:b/>
                <w:bCs/>
                <w:color w:val="auto"/>
              </w:rPr>
              <w:t>备注</w:t>
            </w:r>
          </w:p>
        </w:tc>
      </w:tr>
      <w:tr w14:paraId="0696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418FBD27">
            <w:pPr>
              <w:pStyle w:val="44"/>
              <w:bidi w:val="0"/>
              <w:rPr>
                <w:color w:val="auto"/>
              </w:rPr>
            </w:pPr>
            <w:r>
              <w:rPr>
                <w:color w:val="auto"/>
              </w:rPr>
              <w:t>地下水埋深（GWD）/(m)</w:t>
            </w:r>
          </w:p>
        </w:tc>
        <w:tc>
          <w:tcPr>
            <w:tcW w:w="709" w:type="dxa"/>
            <w:shd w:val="clear" w:color="auto" w:fill="auto"/>
            <w:vAlign w:val="center"/>
          </w:tcPr>
          <w:p w14:paraId="7B5D0A70">
            <w:pPr>
              <w:pStyle w:val="44"/>
              <w:bidi w:val="0"/>
              <w:rPr>
                <w:color w:val="auto"/>
              </w:rPr>
            </w:pPr>
            <w:r>
              <w:rPr>
                <w:color w:val="auto"/>
              </w:rPr>
              <w:t>≥2.5</w:t>
            </w:r>
          </w:p>
        </w:tc>
        <w:tc>
          <w:tcPr>
            <w:tcW w:w="709" w:type="dxa"/>
            <w:shd w:val="clear" w:color="auto" w:fill="auto"/>
            <w:vAlign w:val="center"/>
          </w:tcPr>
          <w:p w14:paraId="28322DAA">
            <w:pPr>
              <w:pStyle w:val="44"/>
              <w:bidi w:val="0"/>
              <w:rPr>
                <w:color w:val="auto"/>
              </w:rPr>
            </w:pPr>
            <w:r>
              <w:rPr>
                <w:color w:val="auto"/>
              </w:rPr>
              <w:t>0</w:t>
            </w:r>
          </w:p>
        </w:tc>
        <w:tc>
          <w:tcPr>
            <w:tcW w:w="850" w:type="dxa"/>
            <w:shd w:val="clear" w:color="auto" w:fill="auto"/>
            <w:vAlign w:val="center"/>
          </w:tcPr>
          <w:p w14:paraId="5258E38C">
            <w:pPr>
              <w:pStyle w:val="44"/>
              <w:bidi w:val="0"/>
              <w:rPr>
                <w:color w:val="auto"/>
              </w:rPr>
            </w:pPr>
            <w:r>
              <w:rPr>
                <w:color w:val="auto"/>
              </w:rPr>
              <w:t>0.35</w:t>
            </w:r>
          </w:p>
        </w:tc>
        <w:tc>
          <w:tcPr>
            <w:tcW w:w="4309" w:type="dxa"/>
            <w:shd w:val="clear" w:color="auto" w:fill="auto"/>
            <w:vAlign w:val="center"/>
          </w:tcPr>
          <w:p w14:paraId="74F3C5BD">
            <w:pPr>
              <w:pStyle w:val="44"/>
              <w:bidi w:val="0"/>
              <w:rPr>
                <w:color w:val="auto"/>
              </w:rPr>
            </w:pPr>
            <w:r>
              <w:rPr>
                <w:color w:val="auto"/>
              </w:rPr>
              <w:t>根据区域水文地质资料，地下水埋深均≥5m</w:t>
            </w:r>
          </w:p>
        </w:tc>
      </w:tr>
      <w:tr w14:paraId="0954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58738C6E">
            <w:pPr>
              <w:pStyle w:val="44"/>
              <w:bidi w:val="0"/>
              <w:rPr>
                <w:color w:val="auto"/>
              </w:rPr>
            </w:pPr>
            <w:r>
              <w:rPr>
                <w:color w:val="auto"/>
              </w:rPr>
              <w:t>干燥度（蒸降比值）（EPR）</w:t>
            </w:r>
          </w:p>
        </w:tc>
        <w:tc>
          <w:tcPr>
            <w:tcW w:w="709" w:type="dxa"/>
            <w:shd w:val="clear" w:color="auto" w:fill="auto"/>
            <w:vAlign w:val="center"/>
          </w:tcPr>
          <w:p w14:paraId="2D4723BF">
            <w:pPr>
              <w:pStyle w:val="44"/>
              <w:bidi w:val="0"/>
              <w:rPr>
                <w:rFonts w:hint="default" w:eastAsia="宋体"/>
                <w:color w:val="auto"/>
                <w:lang w:val="en-US" w:eastAsia="zh-CN"/>
              </w:rPr>
            </w:pPr>
            <w:r>
              <w:rPr>
                <w:rFonts w:hint="eastAsia"/>
                <w:color w:val="auto"/>
                <w:lang w:val="en-US" w:eastAsia="zh-CN"/>
              </w:rPr>
              <w:t>18.88</w:t>
            </w:r>
          </w:p>
        </w:tc>
        <w:tc>
          <w:tcPr>
            <w:tcW w:w="709" w:type="dxa"/>
            <w:shd w:val="clear" w:color="auto" w:fill="auto"/>
            <w:vAlign w:val="center"/>
          </w:tcPr>
          <w:p w14:paraId="0477833A">
            <w:pPr>
              <w:pStyle w:val="44"/>
              <w:bidi w:val="0"/>
              <w:rPr>
                <w:rFonts w:hint="eastAsia" w:eastAsia="宋体"/>
                <w:color w:val="auto"/>
                <w:lang w:eastAsia="zh-CN"/>
              </w:rPr>
            </w:pPr>
            <w:r>
              <w:rPr>
                <w:rFonts w:hint="eastAsia"/>
                <w:color w:val="auto"/>
                <w:lang w:val="en-US" w:eastAsia="zh-CN"/>
              </w:rPr>
              <w:t>3</w:t>
            </w:r>
          </w:p>
        </w:tc>
        <w:tc>
          <w:tcPr>
            <w:tcW w:w="850" w:type="dxa"/>
            <w:shd w:val="clear" w:color="auto" w:fill="auto"/>
            <w:vAlign w:val="center"/>
          </w:tcPr>
          <w:p w14:paraId="4C349491">
            <w:pPr>
              <w:pStyle w:val="44"/>
              <w:bidi w:val="0"/>
              <w:rPr>
                <w:color w:val="auto"/>
              </w:rPr>
            </w:pPr>
            <w:r>
              <w:rPr>
                <w:color w:val="auto"/>
              </w:rPr>
              <w:t>0.25</w:t>
            </w:r>
          </w:p>
        </w:tc>
        <w:tc>
          <w:tcPr>
            <w:tcW w:w="4309" w:type="dxa"/>
            <w:shd w:val="clear" w:color="auto" w:fill="auto"/>
            <w:vAlign w:val="center"/>
          </w:tcPr>
          <w:p w14:paraId="7CEC325C">
            <w:pPr>
              <w:pStyle w:val="44"/>
              <w:bidi w:val="0"/>
              <w:rPr>
                <w:rFonts w:hint="default" w:eastAsia="宋体"/>
                <w:color w:val="auto"/>
                <w:lang w:val="en-US" w:eastAsia="zh-CN"/>
              </w:rPr>
            </w:pPr>
            <w:r>
              <w:rPr>
                <w:color w:val="auto"/>
              </w:rPr>
              <w:t>干燥度计算值为</w:t>
            </w:r>
            <w:r>
              <w:rPr>
                <w:rFonts w:hint="eastAsia"/>
                <w:color w:val="auto"/>
                <w:lang w:val="en-US" w:eastAsia="zh-CN"/>
              </w:rPr>
              <w:t>18.88</w:t>
            </w:r>
          </w:p>
        </w:tc>
      </w:tr>
      <w:tr w14:paraId="06D8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367A7D7D">
            <w:pPr>
              <w:pStyle w:val="44"/>
              <w:bidi w:val="0"/>
              <w:rPr>
                <w:color w:val="auto"/>
              </w:rPr>
            </w:pPr>
            <w:r>
              <w:rPr>
                <w:color w:val="auto"/>
              </w:rPr>
              <w:t>土壤本底含盐量SSC/（g/kg）</w:t>
            </w:r>
          </w:p>
        </w:tc>
        <w:tc>
          <w:tcPr>
            <w:tcW w:w="709" w:type="dxa"/>
            <w:shd w:val="clear" w:color="auto" w:fill="auto"/>
            <w:vAlign w:val="center"/>
          </w:tcPr>
          <w:p w14:paraId="53B6620B">
            <w:pPr>
              <w:pStyle w:val="44"/>
              <w:bidi w:val="0"/>
              <w:rPr>
                <w:rFonts w:hint="default" w:eastAsia="宋体"/>
                <w:color w:val="auto"/>
                <w:lang w:val="en-US" w:eastAsia="zh-CN"/>
              </w:rPr>
            </w:pPr>
            <w:r>
              <w:rPr>
                <w:rFonts w:hint="eastAsia"/>
                <w:color w:val="auto"/>
                <w:lang w:val="en-US" w:eastAsia="zh-CN"/>
              </w:rPr>
              <w:t>5.2</w:t>
            </w:r>
          </w:p>
        </w:tc>
        <w:tc>
          <w:tcPr>
            <w:tcW w:w="709" w:type="dxa"/>
            <w:shd w:val="clear" w:color="auto" w:fill="auto"/>
            <w:vAlign w:val="center"/>
          </w:tcPr>
          <w:p w14:paraId="4868D366">
            <w:pPr>
              <w:pStyle w:val="44"/>
              <w:bidi w:val="0"/>
              <w:rPr>
                <w:rFonts w:hint="eastAsia" w:eastAsia="宋体"/>
                <w:color w:val="auto"/>
                <w:lang w:eastAsia="zh-CN"/>
              </w:rPr>
            </w:pPr>
            <w:r>
              <w:rPr>
                <w:rFonts w:hint="eastAsia"/>
                <w:color w:val="auto"/>
                <w:lang w:val="en-US" w:eastAsia="zh-CN"/>
              </w:rPr>
              <w:t>6</w:t>
            </w:r>
          </w:p>
        </w:tc>
        <w:tc>
          <w:tcPr>
            <w:tcW w:w="850" w:type="dxa"/>
            <w:shd w:val="clear" w:color="auto" w:fill="auto"/>
            <w:vAlign w:val="center"/>
          </w:tcPr>
          <w:p w14:paraId="3431A927">
            <w:pPr>
              <w:pStyle w:val="44"/>
              <w:bidi w:val="0"/>
              <w:rPr>
                <w:color w:val="auto"/>
              </w:rPr>
            </w:pPr>
            <w:r>
              <w:rPr>
                <w:color w:val="auto"/>
              </w:rPr>
              <w:t>0.15</w:t>
            </w:r>
          </w:p>
        </w:tc>
        <w:tc>
          <w:tcPr>
            <w:tcW w:w="4309" w:type="dxa"/>
            <w:shd w:val="clear" w:color="auto" w:fill="auto"/>
            <w:vAlign w:val="center"/>
          </w:tcPr>
          <w:p w14:paraId="56C05837">
            <w:pPr>
              <w:pStyle w:val="44"/>
              <w:bidi w:val="0"/>
              <w:rPr>
                <w:rFonts w:hint="default" w:eastAsia="宋体"/>
                <w:color w:val="auto"/>
                <w:lang w:val="en-US" w:eastAsia="zh-CN"/>
              </w:rPr>
            </w:pPr>
            <w:r>
              <w:rPr>
                <w:color w:val="auto"/>
              </w:rPr>
              <w:t>土壤本底含盐量最大值为</w:t>
            </w:r>
            <w:r>
              <w:rPr>
                <w:rFonts w:hint="eastAsia"/>
                <w:color w:val="auto"/>
                <w:lang w:val="en-US" w:eastAsia="zh-CN"/>
              </w:rPr>
              <w:t>5.2</w:t>
            </w:r>
          </w:p>
        </w:tc>
      </w:tr>
      <w:tr w14:paraId="7626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2DE23140">
            <w:pPr>
              <w:pStyle w:val="44"/>
              <w:bidi w:val="0"/>
              <w:rPr>
                <w:color w:val="auto"/>
              </w:rPr>
            </w:pPr>
            <w:r>
              <w:rPr>
                <w:color w:val="auto"/>
              </w:rPr>
              <w:t>地下水溶解性总固体（TDS）/(g/L)</w:t>
            </w:r>
          </w:p>
        </w:tc>
        <w:tc>
          <w:tcPr>
            <w:tcW w:w="709" w:type="dxa"/>
            <w:shd w:val="clear" w:color="auto" w:fill="auto"/>
            <w:vAlign w:val="center"/>
          </w:tcPr>
          <w:p w14:paraId="53785F77">
            <w:pPr>
              <w:pStyle w:val="44"/>
              <w:bidi w:val="0"/>
              <w:rPr>
                <w:rFonts w:hint="default" w:eastAsia="宋体"/>
                <w:color w:val="auto"/>
                <w:lang w:val="en-US" w:eastAsia="zh-CN"/>
              </w:rPr>
            </w:pPr>
            <w:r>
              <w:rPr>
                <w:rFonts w:hint="eastAsia"/>
                <w:color w:val="auto"/>
                <w:lang w:val="en-US" w:eastAsia="zh-CN"/>
              </w:rPr>
              <w:t>12.69</w:t>
            </w:r>
          </w:p>
        </w:tc>
        <w:tc>
          <w:tcPr>
            <w:tcW w:w="709" w:type="dxa"/>
            <w:shd w:val="clear" w:color="auto" w:fill="auto"/>
            <w:vAlign w:val="center"/>
          </w:tcPr>
          <w:p w14:paraId="5618CDFC">
            <w:pPr>
              <w:pStyle w:val="44"/>
              <w:bidi w:val="0"/>
              <w:rPr>
                <w:rFonts w:hint="eastAsia" w:eastAsia="宋体"/>
                <w:color w:val="auto"/>
                <w:lang w:eastAsia="zh-CN"/>
              </w:rPr>
            </w:pPr>
            <w:r>
              <w:rPr>
                <w:rFonts w:hint="eastAsia"/>
                <w:color w:val="auto"/>
                <w:lang w:val="en-US" w:eastAsia="zh-CN"/>
              </w:rPr>
              <w:t>4</w:t>
            </w:r>
          </w:p>
        </w:tc>
        <w:tc>
          <w:tcPr>
            <w:tcW w:w="850" w:type="dxa"/>
            <w:shd w:val="clear" w:color="auto" w:fill="auto"/>
            <w:vAlign w:val="center"/>
          </w:tcPr>
          <w:p w14:paraId="1AC35144">
            <w:pPr>
              <w:pStyle w:val="44"/>
              <w:bidi w:val="0"/>
              <w:rPr>
                <w:color w:val="auto"/>
              </w:rPr>
            </w:pPr>
            <w:r>
              <w:rPr>
                <w:color w:val="auto"/>
              </w:rPr>
              <w:t>0.15</w:t>
            </w:r>
          </w:p>
        </w:tc>
        <w:tc>
          <w:tcPr>
            <w:tcW w:w="4309" w:type="dxa"/>
            <w:shd w:val="clear" w:color="auto" w:fill="auto"/>
            <w:vAlign w:val="center"/>
          </w:tcPr>
          <w:p w14:paraId="2212CE94">
            <w:pPr>
              <w:pStyle w:val="44"/>
              <w:bidi w:val="0"/>
              <w:rPr>
                <w:rFonts w:hint="default" w:eastAsia="宋体"/>
                <w:color w:val="auto"/>
                <w:lang w:val="en-US" w:eastAsia="zh-CN"/>
              </w:rPr>
            </w:pPr>
            <w:r>
              <w:rPr>
                <w:color w:val="auto"/>
              </w:rPr>
              <w:t>地下水溶解性总固体最大值为</w:t>
            </w:r>
            <w:r>
              <w:rPr>
                <w:rFonts w:hint="eastAsia"/>
                <w:color w:val="auto"/>
                <w:lang w:val="en-US" w:eastAsia="zh-CN"/>
              </w:rPr>
              <w:t>12.68</w:t>
            </w:r>
          </w:p>
        </w:tc>
      </w:tr>
      <w:tr w14:paraId="40FD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7AE201DD">
            <w:pPr>
              <w:pStyle w:val="44"/>
              <w:bidi w:val="0"/>
              <w:rPr>
                <w:color w:val="auto"/>
              </w:rPr>
            </w:pPr>
            <w:r>
              <w:rPr>
                <w:color w:val="auto"/>
              </w:rPr>
              <w:t>土壤质地</w:t>
            </w:r>
          </w:p>
        </w:tc>
        <w:tc>
          <w:tcPr>
            <w:tcW w:w="709" w:type="dxa"/>
            <w:shd w:val="clear" w:color="auto" w:fill="auto"/>
            <w:vAlign w:val="center"/>
          </w:tcPr>
          <w:p w14:paraId="1F7C7FA3">
            <w:pPr>
              <w:pStyle w:val="44"/>
              <w:bidi w:val="0"/>
              <w:rPr>
                <w:rFonts w:hint="eastAsia" w:eastAsia="宋体"/>
                <w:color w:val="auto"/>
                <w:lang w:eastAsia="zh-CN"/>
              </w:rPr>
            </w:pPr>
            <w:r>
              <w:rPr>
                <w:rFonts w:hint="eastAsia"/>
                <w:color w:val="auto"/>
                <w:lang w:val="en-US" w:eastAsia="zh-CN"/>
              </w:rPr>
              <w:t>砂土</w:t>
            </w:r>
          </w:p>
        </w:tc>
        <w:tc>
          <w:tcPr>
            <w:tcW w:w="709" w:type="dxa"/>
            <w:shd w:val="clear" w:color="auto" w:fill="auto"/>
            <w:vAlign w:val="center"/>
          </w:tcPr>
          <w:p w14:paraId="74EC550E">
            <w:pPr>
              <w:pStyle w:val="44"/>
              <w:bidi w:val="0"/>
              <w:rPr>
                <w:rFonts w:hint="eastAsia" w:eastAsia="宋体"/>
                <w:color w:val="auto"/>
                <w:lang w:eastAsia="zh-CN"/>
              </w:rPr>
            </w:pPr>
            <w:r>
              <w:rPr>
                <w:rFonts w:hint="eastAsia"/>
                <w:color w:val="auto"/>
                <w:lang w:val="en-US" w:eastAsia="zh-CN"/>
              </w:rPr>
              <w:t>2</w:t>
            </w:r>
          </w:p>
        </w:tc>
        <w:tc>
          <w:tcPr>
            <w:tcW w:w="850" w:type="dxa"/>
            <w:shd w:val="clear" w:color="auto" w:fill="auto"/>
            <w:vAlign w:val="center"/>
          </w:tcPr>
          <w:p w14:paraId="6B3ECE5E">
            <w:pPr>
              <w:pStyle w:val="44"/>
              <w:bidi w:val="0"/>
              <w:rPr>
                <w:color w:val="auto"/>
              </w:rPr>
            </w:pPr>
            <w:r>
              <w:rPr>
                <w:color w:val="auto"/>
              </w:rPr>
              <w:t>0.1</w:t>
            </w:r>
          </w:p>
        </w:tc>
        <w:tc>
          <w:tcPr>
            <w:tcW w:w="4309" w:type="dxa"/>
            <w:shd w:val="clear" w:color="auto" w:fill="auto"/>
            <w:vAlign w:val="center"/>
          </w:tcPr>
          <w:p w14:paraId="74880E23">
            <w:pPr>
              <w:pStyle w:val="44"/>
              <w:bidi w:val="0"/>
              <w:rPr>
                <w:color w:val="auto"/>
              </w:rPr>
            </w:pPr>
            <w:r>
              <w:rPr>
                <w:color w:val="auto"/>
              </w:rPr>
              <w:t>本次理化性质调查</w:t>
            </w:r>
          </w:p>
        </w:tc>
      </w:tr>
    </w:tbl>
    <w:p w14:paraId="7DAD29AD">
      <w:pPr>
        <w:pStyle w:val="33"/>
        <w:bidi w:val="0"/>
        <w:rPr>
          <w:color w:val="auto"/>
        </w:rPr>
      </w:pPr>
      <w:r>
        <w:rPr>
          <w:color w:val="auto"/>
        </w:rPr>
        <w:t>经计算，本项目土壤盐化综合评分分值为</w:t>
      </w:r>
      <w:r>
        <w:rPr>
          <w:rFonts w:hint="eastAsia"/>
          <w:color w:val="auto"/>
          <w:lang w:val="en-US" w:eastAsia="zh-CN"/>
        </w:rPr>
        <w:t>2.45</w:t>
      </w:r>
      <w:r>
        <w:rPr>
          <w:color w:val="auto"/>
        </w:rPr>
        <w:t>分。</w:t>
      </w:r>
    </w:p>
    <w:p w14:paraId="3DF841EE">
      <w:pPr>
        <w:pStyle w:val="33"/>
        <w:bidi w:val="0"/>
        <w:rPr>
          <w:color w:val="auto"/>
        </w:rPr>
      </w:pPr>
      <w:r>
        <w:rPr>
          <w:color w:val="auto"/>
        </w:rPr>
        <w:t>土壤盐化预测结果见</w:t>
      </w:r>
      <w:r>
        <w:rPr>
          <w:color w:val="auto"/>
        </w:rPr>
        <w:fldChar w:fldCharType="begin"/>
      </w:r>
      <w:r>
        <w:rPr>
          <w:color w:val="auto"/>
        </w:rPr>
        <w:instrText xml:space="preserve"> REF _Ref15282 \h </w:instrText>
      </w:r>
      <w:r>
        <w:rPr>
          <w:color w:val="auto"/>
        </w:rPr>
        <w:fldChar w:fldCharType="separate"/>
      </w:r>
      <w:r>
        <w:rPr>
          <w:color w:val="auto"/>
        </w:rPr>
        <w:t>表</w:t>
      </w:r>
      <w:r>
        <w:rPr>
          <w:rFonts w:hint="eastAsia"/>
          <w:color w:val="auto"/>
          <w:lang w:val="en-US" w:eastAsia="zh-CN"/>
        </w:rPr>
        <w:t>5</w:t>
      </w:r>
      <w:r>
        <w:rPr>
          <w:color w:val="auto"/>
        </w:rPr>
        <w:fldChar w:fldCharType="end"/>
      </w:r>
      <w:r>
        <w:rPr>
          <w:rFonts w:hint="eastAsia"/>
          <w:color w:val="auto"/>
          <w:lang w:val="en-US" w:eastAsia="zh-CN"/>
        </w:rPr>
        <w:t>.2-20</w:t>
      </w:r>
      <w:r>
        <w:rPr>
          <w:color w:val="auto"/>
        </w:rPr>
        <w:t>。</w:t>
      </w:r>
    </w:p>
    <w:p w14:paraId="7C9B2F19">
      <w:pPr>
        <w:pStyle w:val="43"/>
        <w:bidi w:val="0"/>
        <w:rPr>
          <w:rFonts w:cs="Times New Roman"/>
          <w:color w:val="auto"/>
        </w:rPr>
      </w:pPr>
      <w:bookmarkStart w:id="264" w:name="_Ref15282"/>
      <w:r>
        <w:rPr>
          <w:rFonts w:cs="Times New Roman"/>
          <w:color w:val="auto"/>
        </w:rPr>
        <w:t>表</w:t>
      </w:r>
      <w:bookmarkEnd w:id="264"/>
      <w:r>
        <w:rPr>
          <w:rFonts w:hint="eastAsia" w:cs="Times New Roman"/>
          <w:color w:val="auto"/>
          <w:lang w:val="en-US" w:eastAsia="zh-CN"/>
        </w:rPr>
        <w:t>5.2-20</w:t>
      </w:r>
      <w:r>
        <w:rPr>
          <w:rFonts w:cs="Times New Roman"/>
          <w:color w:val="auto"/>
        </w:rPr>
        <w:t xml:space="preserve">  土壤盐化预测结果表</w:t>
      </w:r>
    </w:p>
    <w:tbl>
      <w:tblPr>
        <w:tblStyle w:val="28"/>
        <w:tblW w:w="4839" w:type="pct"/>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2645"/>
        <w:gridCol w:w="1264"/>
        <w:gridCol w:w="1124"/>
        <w:gridCol w:w="1124"/>
        <w:gridCol w:w="1266"/>
        <w:gridCol w:w="1127"/>
      </w:tblGrid>
      <w:tr w14:paraId="38F9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rPr>
        <w:tc>
          <w:tcPr>
            <w:tcW w:w="1546" w:type="pct"/>
            <w:shd w:val="clear" w:color="auto" w:fill="auto"/>
            <w:vAlign w:val="center"/>
          </w:tcPr>
          <w:p w14:paraId="6FBF72E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土壤盐化综合评分值（Sa）</w:t>
            </w:r>
          </w:p>
        </w:tc>
        <w:tc>
          <w:tcPr>
            <w:tcW w:w="739" w:type="pct"/>
            <w:shd w:val="clear" w:color="auto" w:fill="auto"/>
            <w:vAlign w:val="center"/>
          </w:tcPr>
          <w:p w14:paraId="0A955C5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Sa＜1</w:t>
            </w:r>
          </w:p>
        </w:tc>
        <w:tc>
          <w:tcPr>
            <w:tcW w:w="657" w:type="pct"/>
            <w:shd w:val="clear" w:color="auto" w:fill="auto"/>
            <w:vAlign w:val="center"/>
          </w:tcPr>
          <w:p w14:paraId="449F9D2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1≤Sa＜2</w:t>
            </w:r>
          </w:p>
        </w:tc>
        <w:tc>
          <w:tcPr>
            <w:tcW w:w="657" w:type="pct"/>
            <w:shd w:val="clear" w:color="auto" w:fill="auto"/>
            <w:vAlign w:val="center"/>
          </w:tcPr>
          <w:p w14:paraId="418C0C4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2≤Sa＜3</w:t>
            </w:r>
          </w:p>
        </w:tc>
        <w:tc>
          <w:tcPr>
            <w:tcW w:w="740" w:type="pct"/>
            <w:shd w:val="clear" w:color="auto" w:fill="auto"/>
            <w:vAlign w:val="center"/>
          </w:tcPr>
          <w:p w14:paraId="05599CF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3≤Sa＜4.5</w:t>
            </w:r>
          </w:p>
        </w:tc>
        <w:tc>
          <w:tcPr>
            <w:tcW w:w="659" w:type="pct"/>
            <w:shd w:val="clear" w:color="auto" w:fill="auto"/>
            <w:vAlign w:val="center"/>
          </w:tcPr>
          <w:p w14:paraId="4C6DCF6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Sa≥4.5</w:t>
            </w:r>
          </w:p>
        </w:tc>
      </w:tr>
      <w:tr w14:paraId="2E27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1546" w:type="pct"/>
            <w:shd w:val="clear" w:color="auto" w:fill="auto"/>
            <w:vAlign w:val="center"/>
          </w:tcPr>
          <w:p w14:paraId="1A664C2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土壤盐化综合评分预测结果</w:t>
            </w:r>
          </w:p>
        </w:tc>
        <w:tc>
          <w:tcPr>
            <w:tcW w:w="739" w:type="pct"/>
            <w:shd w:val="clear" w:color="auto" w:fill="auto"/>
            <w:vAlign w:val="center"/>
          </w:tcPr>
          <w:p w14:paraId="463A65A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未盐化</w:t>
            </w:r>
          </w:p>
        </w:tc>
        <w:tc>
          <w:tcPr>
            <w:tcW w:w="657" w:type="pct"/>
            <w:shd w:val="clear" w:color="auto" w:fill="auto"/>
            <w:vAlign w:val="center"/>
          </w:tcPr>
          <w:p w14:paraId="56EC506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轻度盐化</w:t>
            </w:r>
          </w:p>
        </w:tc>
        <w:tc>
          <w:tcPr>
            <w:tcW w:w="657" w:type="pct"/>
            <w:shd w:val="clear" w:color="auto" w:fill="auto"/>
            <w:vAlign w:val="center"/>
          </w:tcPr>
          <w:p w14:paraId="36F1F32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中度盐化</w:t>
            </w:r>
          </w:p>
        </w:tc>
        <w:tc>
          <w:tcPr>
            <w:tcW w:w="740" w:type="pct"/>
            <w:shd w:val="clear" w:color="auto" w:fill="auto"/>
            <w:vAlign w:val="center"/>
          </w:tcPr>
          <w:p w14:paraId="09A7764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重度盐化</w:t>
            </w:r>
          </w:p>
        </w:tc>
        <w:tc>
          <w:tcPr>
            <w:tcW w:w="659" w:type="pct"/>
            <w:shd w:val="clear" w:color="auto" w:fill="auto"/>
            <w:vAlign w:val="center"/>
          </w:tcPr>
          <w:p w14:paraId="160FA69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极重度盐化</w:t>
            </w:r>
          </w:p>
        </w:tc>
      </w:tr>
    </w:tbl>
    <w:p w14:paraId="7D0D1EDC">
      <w:pPr>
        <w:pStyle w:val="37"/>
        <w:keepNext w:val="0"/>
        <w:keepLines w:val="0"/>
        <w:pageBreakBefore w:val="0"/>
        <w:widowControl/>
        <w:kinsoku/>
        <w:wordWrap/>
        <w:overflowPunct/>
        <w:topLinePunct w:val="0"/>
        <w:autoSpaceDE/>
        <w:autoSpaceDN/>
        <w:bidi w:val="0"/>
        <w:adjustRightInd/>
        <w:snapToGrid/>
        <w:spacing w:line="360" w:lineRule="auto"/>
        <w:textAlignment w:val="auto"/>
        <w:rPr>
          <w:color w:val="auto"/>
          <w:sz w:val="24"/>
          <w:szCs w:val="28"/>
        </w:rPr>
      </w:pPr>
      <w:r>
        <w:rPr>
          <w:color w:val="auto"/>
          <w:sz w:val="24"/>
          <w:szCs w:val="28"/>
        </w:rPr>
        <w:t>根据上表，通过计算本项目的土壤盐化综合评分值（Sa）值为</w:t>
      </w:r>
      <w:r>
        <w:rPr>
          <w:rFonts w:hint="eastAsia"/>
          <w:color w:val="auto"/>
          <w:sz w:val="24"/>
          <w:szCs w:val="28"/>
          <w:lang w:val="en-US" w:eastAsia="zh-CN"/>
        </w:rPr>
        <w:t>4.45</w:t>
      </w:r>
      <w:r>
        <w:rPr>
          <w:color w:val="auto"/>
          <w:sz w:val="24"/>
          <w:szCs w:val="28"/>
        </w:rPr>
        <w:t>分，因此，本项目所在区域土壤盐化综合评分预测结果为中度盐化。</w:t>
      </w:r>
    </w:p>
    <w:p w14:paraId="1DBCCBBD">
      <w:pPr>
        <w:pStyle w:val="33"/>
        <w:bidi w:val="0"/>
        <w:rPr>
          <w:rFonts w:hint="default"/>
          <w:color w:val="auto"/>
        </w:rPr>
      </w:pPr>
      <w:r>
        <w:rPr>
          <w:rFonts w:hint="default"/>
          <w:color w:val="auto"/>
        </w:rPr>
        <w:t>从预测结果可知，发生泄漏后，导致泄漏点周边区域土壤中盐分含量有所升高，但在发生泄漏后，油田公司会按照要求将泄漏点周围区域土壤进行清理，且随着雨水淋溶，区域土壤中增加的盐分含量将逐渐降低直至恢复至平均水平。</w:t>
      </w:r>
    </w:p>
    <w:p w14:paraId="0958A4B3">
      <w:pPr>
        <w:pStyle w:val="6"/>
        <w:bidi w:val="0"/>
        <w:rPr>
          <w:rFonts w:hint="default"/>
          <w:color w:val="auto"/>
          <w:lang w:val="en-US" w:eastAsia="zh-CN"/>
        </w:rPr>
      </w:pPr>
      <w:r>
        <w:rPr>
          <w:rFonts w:hint="eastAsia"/>
          <w:color w:val="auto"/>
          <w:lang w:val="en-US" w:eastAsia="zh-CN"/>
        </w:rPr>
        <w:t>5.2.6.4土壤环境影响评价自查表</w:t>
      </w:r>
    </w:p>
    <w:p w14:paraId="0E45749A">
      <w:pPr>
        <w:pStyle w:val="33"/>
        <w:bidi w:val="0"/>
        <w:rPr>
          <w:rFonts w:hint="default" w:eastAsia="宋体"/>
          <w:color w:val="auto"/>
          <w:lang w:val="en-US" w:eastAsia="zh-CN"/>
        </w:rPr>
      </w:pPr>
      <w:r>
        <w:rPr>
          <w:rFonts w:hint="eastAsia"/>
          <w:color w:val="auto"/>
          <w:lang w:val="en-US" w:eastAsia="zh-CN"/>
        </w:rPr>
        <w:t>土壤环境影响评价自查表见表5.2-21。</w:t>
      </w:r>
    </w:p>
    <w:p w14:paraId="67594FC1">
      <w:pPr>
        <w:pStyle w:val="43"/>
        <w:bidi w:val="0"/>
        <w:rPr>
          <w:rFonts w:cs="Times New Roman"/>
          <w:color w:val="auto"/>
        </w:rPr>
      </w:pPr>
      <w:r>
        <w:rPr>
          <w:rFonts w:cs="Times New Roman"/>
          <w:color w:val="auto"/>
        </w:rPr>
        <w:t>表</w:t>
      </w:r>
      <w:r>
        <w:rPr>
          <w:rFonts w:hint="eastAsia" w:cs="Times New Roman"/>
          <w:color w:val="auto"/>
          <w:lang w:val="en-US" w:eastAsia="zh-CN"/>
        </w:rPr>
        <w:t>5.2-21</w:t>
      </w:r>
      <w:r>
        <w:rPr>
          <w:rFonts w:cs="Times New Roman"/>
          <w:color w:val="auto"/>
        </w:rPr>
        <w:t xml:space="preserve">  土壤环境影响评价自查表</w:t>
      </w:r>
    </w:p>
    <w:tbl>
      <w:tblPr>
        <w:tblStyle w:val="27"/>
        <w:tblW w:w="50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2"/>
        <w:gridCol w:w="1560"/>
        <w:gridCol w:w="1311"/>
        <w:gridCol w:w="202"/>
        <w:gridCol w:w="1218"/>
        <w:gridCol w:w="1513"/>
        <w:gridCol w:w="147"/>
        <w:gridCol w:w="268"/>
        <w:gridCol w:w="524"/>
        <w:gridCol w:w="564"/>
        <w:gridCol w:w="1077"/>
      </w:tblGrid>
      <w:tr w14:paraId="689B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1108" w:type="pct"/>
            <w:gridSpan w:val="2"/>
            <w:vAlign w:val="center"/>
          </w:tcPr>
          <w:p w14:paraId="060D7CA7">
            <w:pPr>
              <w:pStyle w:val="44"/>
              <w:bidi w:val="0"/>
              <w:rPr>
                <w:b/>
                <w:bCs/>
                <w:color w:val="auto"/>
              </w:rPr>
            </w:pPr>
            <w:r>
              <w:rPr>
                <w:b/>
                <w:bCs/>
                <w:color w:val="auto"/>
              </w:rPr>
              <w:t>工作内容</w:t>
            </w:r>
          </w:p>
        </w:tc>
        <w:tc>
          <w:tcPr>
            <w:tcW w:w="3278" w:type="pct"/>
            <w:gridSpan w:val="8"/>
            <w:vAlign w:val="center"/>
          </w:tcPr>
          <w:p w14:paraId="463AAB29">
            <w:pPr>
              <w:pStyle w:val="44"/>
              <w:bidi w:val="0"/>
              <w:rPr>
                <w:b/>
                <w:bCs/>
                <w:color w:val="auto"/>
              </w:rPr>
            </w:pPr>
            <w:r>
              <w:rPr>
                <w:b/>
                <w:bCs/>
                <w:color w:val="auto"/>
              </w:rPr>
              <w:t>完成情况</w:t>
            </w:r>
          </w:p>
        </w:tc>
        <w:tc>
          <w:tcPr>
            <w:tcW w:w="612" w:type="pct"/>
            <w:vAlign w:val="center"/>
          </w:tcPr>
          <w:p w14:paraId="7106C7C5">
            <w:pPr>
              <w:pStyle w:val="44"/>
              <w:bidi w:val="0"/>
              <w:rPr>
                <w:b/>
                <w:bCs/>
                <w:color w:val="auto"/>
              </w:rPr>
            </w:pPr>
            <w:r>
              <w:rPr>
                <w:b/>
                <w:bCs/>
                <w:color w:val="auto"/>
              </w:rPr>
              <w:t>备注</w:t>
            </w:r>
          </w:p>
        </w:tc>
      </w:tr>
      <w:tr w14:paraId="2063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restart"/>
            <w:vAlign w:val="center"/>
          </w:tcPr>
          <w:p w14:paraId="3316B79F">
            <w:pPr>
              <w:pStyle w:val="44"/>
              <w:bidi w:val="0"/>
              <w:rPr>
                <w:color w:val="auto"/>
              </w:rPr>
            </w:pPr>
            <w:r>
              <w:rPr>
                <w:color w:val="auto"/>
              </w:rPr>
              <w:t>影响识别</w:t>
            </w:r>
          </w:p>
        </w:tc>
        <w:tc>
          <w:tcPr>
            <w:tcW w:w="890" w:type="pct"/>
            <w:vAlign w:val="center"/>
          </w:tcPr>
          <w:p w14:paraId="119E1961">
            <w:pPr>
              <w:pStyle w:val="44"/>
              <w:bidi w:val="0"/>
              <w:rPr>
                <w:color w:val="auto"/>
              </w:rPr>
            </w:pPr>
            <w:r>
              <w:rPr>
                <w:color w:val="auto"/>
              </w:rPr>
              <w:t>影响类型</w:t>
            </w:r>
          </w:p>
        </w:tc>
        <w:tc>
          <w:tcPr>
            <w:tcW w:w="3278" w:type="pct"/>
            <w:gridSpan w:val="8"/>
            <w:vAlign w:val="center"/>
          </w:tcPr>
          <w:p w14:paraId="7515D164">
            <w:pPr>
              <w:pStyle w:val="44"/>
              <w:bidi w:val="0"/>
              <w:rPr>
                <w:rFonts w:hint="eastAsia" w:eastAsia="宋体"/>
                <w:color w:val="auto"/>
                <w:lang w:eastAsia="zh-CN"/>
              </w:rPr>
            </w:pPr>
            <w:r>
              <w:rPr>
                <w:color w:val="auto"/>
              </w:rPr>
              <w:t>污染影响型□；生态影响型□；两种兼有</w:t>
            </w:r>
            <w:r>
              <w:rPr>
                <w:rFonts w:hint="eastAsia"/>
                <w:color w:val="auto"/>
                <w:lang w:eastAsia="zh-CN"/>
              </w:rPr>
              <w:t>☑</w:t>
            </w:r>
          </w:p>
        </w:tc>
        <w:tc>
          <w:tcPr>
            <w:tcW w:w="612" w:type="pct"/>
            <w:vAlign w:val="center"/>
          </w:tcPr>
          <w:p w14:paraId="195E1D00">
            <w:pPr>
              <w:pStyle w:val="44"/>
              <w:bidi w:val="0"/>
              <w:rPr>
                <w:color w:val="auto"/>
              </w:rPr>
            </w:pPr>
          </w:p>
        </w:tc>
      </w:tr>
      <w:tr w14:paraId="2B60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2D3DCBA2">
            <w:pPr>
              <w:pStyle w:val="44"/>
              <w:bidi w:val="0"/>
              <w:rPr>
                <w:color w:val="auto"/>
              </w:rPr>
            </w:pPr>
          </w:p>
        </w:tc>
        <w:tc>
          <w:tcPr>
            <w:tcW w:w="890" w:type="pct"/>
            <w:vAlign w:val="center"/>
          </w:tcPr>
          <w:p w14:paraId="5E264DBC">
            <w:pPr>
              <w:pStyle w:val="44"/>
              <w:bidi w:val="0"/>
              <w:rPr>
                <w:color w:val="auto"/>
              </w:rPr>
            </w:pPr>
            <w:r>
              <w:rPr>
                <w:color w:val="auto"/>
              </w:rPr>
              <w:t>土地利用类型</w:t>
            </w:r>
          </w:p>
        </w:tc>
        <w:tc>
          <w:tcPr>
            <w:tcW w:w="3278" w:type="pct"/>
            <w:gridSpan w:val="8"/>
            <w:vAlign w:val="center"/>
          </w:tcPr>
          <w:p w14:paraId="233B491B">
            <w:pPr>
              <w:pStyle w:val="44"/>
              <w:bidi w:val="0"/>
              <w:rPr>
                <w:color w:val="auto"/>
              </w:rPr>
            </w:pPr>
            <w:r>
              <w:rPr>
                <w:color w:val="auto"/>
              </w:rPr>
              <w:t>建设用地□；农用地√；未利用地√</w:t>
            </w:r>
          </w:p>
        </w:tc>
        <w:tc>
          <w:tcPr>
            <w:tcW w:w="612" w:type="pct"/>
            <w:vAlign w:val="center"/>
          </w:tcPr>
          <w:p w14:paraId="19E33F42">
            <w:pPr>
              <w:pStyle w:val="44"/>
              <w:bidi w:val="0"/>
              <w:rPr>
                <w:color w:val="auto"/>
              </w:rPr>
            </w:pPr>
          </w:p>
        </w:tc>
      </w:tr>
      <w:tr w14:paraId="5132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69074055">
            <w:pPr>
              <w:pStyle w:val="44"/>
              <w:bidi w:val="0"/>
              <w:rPr>
                <w:color w:val="auto"/>
              </w:rPr>
            </w:pPr>
          </w:p>
        </w:tc>
        <w:tc>
          <w:tcPr>
            <w:tcW w:w="890" w:type="pct"/>
            <w:vAlign w:val="center"/>
          </w:tcPr>
          <w:p w14:paraId="37DC088B">
            <w:pPr>
              <w:pStyle w:val="44"/>
              <w:bidi w:val="0"/>
              <w:rPr>
                <w:color w:val="auto"/>
              </w:rPr>
            </w:pPr>
            <w:r>
              <w:rPr>
                <w:color w:val="auto"/>
              </w:rPr>
              <w:t>占地规模</w:t>
            </w:r>
          </w:p>
        </w:tc>
        <w:tc>
          <w:tcPr>
            <w:tcW w:w="3278" w:type="pct"/>
            <w:gridSpan w:val="8"/>
            <w:vAlign w:val="center"/>
          </w:tcPr>
          <w:p w14:paraId="3443361B">
            <w:pPr>
              <w:pStyle w:val="44"/>
              <w:bidi w:val="0"/>
              <w:rPr>
                <w:color w:val="auto"/>
              </w:rPr>
            </w:pPr>
            <w:r>
              <w:rPr>
                <w:color w:val="auto"/>
              </w:rPr>
              <w:t>（</w:t>
            </w:r>
            <w:r>
              <w:rPr>
                <w:rFonts w:hint="eastAsia"/>
                <w:color w:val="auto"/>
                <w:lang w:val="en-US" w:eastAsia="zh-CN"/>
              </w:rPr>
              <w:t>13.7972</w:t>
            </w:r>
            <w:r>
              <w:rPr>
                <w:color w:val="auto"/>
              </w:rPr>
              <w:t>）hm</w:t>
            </w:r>
            <w:r>
              <w:rPr>
                <w:color w:val="auto"/>
                <w:vertAlign w:val="superscript"/>
              </w:rPr>
              <w:t>2</w:t>
            </w:r>
          </w:p>
        </w:tc>
        <w:tc>
          <w:tcPr>
            <w:tcW w:w="612" w:type="pct"/>
            <w:vAlign w:val="center"/>
          </w:tcPr>
          <w:p w14:paraId="125521FB">
            <w:pPr>
              <w:pStyle w:val="44"/>
              <w:bidi w:val="0"/>
              <w:rPr>
                <w:color w:val="auto"/>
              </w:rPr>
            </w:pPr>
          </w:p>
        </w:tc>
      </w:tr>
      <w:tr w14:paraId="2D77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2DF9F2E3">
            <w:pPr>
              <w:pStyle w:val="44"/>
              <w:bidi w:val="0"/>
              <w:rPr>
                <w:color w:val="auto"/>
              </w:rPr>
            </w:pPr>
          </w:p>
        </w:tc>
        <w:tc>
          <w:tcPr>
            <w:tcW w:w="890" w:type="pct"/>
            <w:vAlign w:val="center"/>
          </w:tcPr>
          <w:p w14:paraId="2CA7DA62">
            <w:pPr>
              <w:pStyle w:val="44"/>
              <w:bidi w:val="0"/>
              <w:rPr>
                <w:color w:val="auto"/>
              </w:rPr>
            </w:pPr>
            <w:r>
              <w:rPr>
                <w:color w:val="auto"/>
              </w:rPr>
              <w:t>敏感目标信息</w:t>
            </w:r>
          </w:p>
        </w:tc>
        <w:tc>
          <w:tcPr>
            <w:tcW w:w="2658" w:type="pct"/>
            <w:gridSpan w:val="6"/>
            <w:vAlign w:val="center"/>
          </w:tcPr>
          <w:p w14:paraId="421F68BE">
            <w:pPr>
              <w:pStyle w:val="44"/>
              <w:bidi w:val="0"/>
              <w:rPr>
                <w:color w:val="auto"/>
              </w:rPr>
            </w:pPr>
            <w:r>
              <w:rPr>
                <w:color w:val="auto"/>
              </w:rPr>
              <w:t>敏感目标（/ ）、方位（/ ）、距离（/ ）</w:t>
            </w:r>
          </w:p>
        </w:tc>
        <w:tc>
          <w:tcPr>
            <w:tcW w:w="299" w:type="pct"/>
            <w:vAlign w:val="center"/>
          </w:tcPr>
          <w:p w14:paraId="6E912137">
            <w:pPr>
              <w:pStyle w:val="44"/>
              <w:bidi w:val="0"/>
              <w:rPr>
                <w:color w:val="auto"/>
              </w:rPr>
            </w:pPr>
          </w:p>
        </w:tc>
        <w:tc>
          <w:tcPr>
            <w:tcW w:w="320" w:type="pct"/>
            <w:vAlign w:val="center"/>
          </w:tcPr>
          <w:p w14:paraId="61F5E171">
            <w:pPr>
              <w:pStyle w:val="44"/>
              <w:bidi w:val="0"/>
              <w:rPr>
                <w:color w:val="auto"/>
              </w:rPr>
            </w:pPr>
          </w:p>
        </w:tc>
        <w:tc>
          <w:tcPr>
            <w:tcW w:w="612" w:type="pct"/>
            <w:vAlign w:val="center"/>
          </w:tcPr>
          <w:p w14:paraId="10146637">
            <w:pPr>
              <w:pStyle w:val="44"/>
              <w:bidi w:val="0"/>
              <w:rPr>
                <w:color w:val="auto"/>
              </w:rPr>
            </w:pPr>
          </w:p>
        </w:tc>
      </w:tr>
      <w:tr w14:paraId="3827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5187A09B">
            <w:pPr>
              <w:pStyle w:val="44"/>
              <w:bidi w:val="0"/>
              <w:rPr>
                <w:color w:val="auto"/>
              </w:rPr>
            </w:pPr>
          </w:p>
        </w:tc>
        <w:tc>
          <w:tcPr>
            <w:tcW w:w="890" w:type="pct"/>
            <w:vAlign w:val="center"/>
          </w:tcPr>
          <w:p w14:paraId="7D9D42E7">
            <w:pPr>
              <w:pStyle w:val="44"/>
              <w:bidi w:val="0"/>
              <w:rPr>
                <w:color w:val="auto"/>
              </w:rPr>
            </w:pPr>
            <w:r>
              <w:rPr>
                <w:color w:val="auto"/>
              </w:rPr>
              <w:t>影响途径</w:t>
            </w:r>
          </w:p>
        </w:tc>
        <w:tc>
          <w:tcPr>
            <w:tcW w:w="2658" w:type="pct"/>
            <w:gridSpan w:val="6"/>
            <w:vAlign w:val="center"/>
          </w:tcPr>
          <w:p w14:paraId="70DBDB33">
            <w:pPr>
              <w:pStyle w:val="44"/>
              <w:bidi w:val="0"/>
              <w:rPr>
                <w:color w:val="auto"/>
              </w:rPr>
            </w:pPr>
            <w:r>
              <w:rPr>
                <w:color w:val="auto"/>
              </w:rPr>
              <w:t>大气沉降□；地面漫流□；垂直入渗√；地下水位□；其他</w:t>
            </w:r>
          </w:p>
        </w:tc>
        <w:tc>
          <w:tcPr>
            <w:tcW w:w="299" w:type="pct"/>
            <w:vAlign w:val="center"/>
          </w:tcPr>
          <w:p w14:paraId="42690ECC">
            <w:pPr>
              <w:pStyle w:val="44"/>
              <w:bidi w:val="0"/>
              <w:rPr>
                <w:color w:val="auto"/>
              </w:rPr>
            </w:pPr>
            <w:r>
              <w:rPr>
                <w:color w:val="auto"/>
              </w:rPr>
              <w:t>（/）</w:t>
            </w:r>
          </w:p>
        </w:tc>
        <w:tc>
          <w:tcPr>
            <w:tcW w:w="320" w:type="pct"/>
            <w:vAlign w:val="center"/>
          </w:tcPr>
          <w:p w14:paraId="35542D4C">
            <w:pPr>
              <w:pStyle w:val="44"/>
              <w:bidi w:val="0"/>
              <w:rPr>
                <w:color w:val="auto"/>
              </w:rPr>
            </w:pPr>
          </w:p>
        </w:tc>
        <w:tc>
          <w:tcPr>
            <w:tcW w:w="612" w:type="pct"/>
            <w:vAlign w:val="center"/>
          </w:tcPr>
          <w:p w14:paraId="40D4FF72">
            <w:pPr>
              <w:pStyle w:val="44"/>
              <w:bidi w:val="0"/>
              <w:rPr>
                <w:color w:val="auto"/>
              </w:rPr>
            </w:pPr>
          </w:p>
        </w:tc>
      </w:tr>
      <w:tr w14:paraId="0966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52E81607">
            <w:pPr>
              <w:pStyle w:val="44"/>
              <w:bidi w:val="0"/>
              <w:rPr>
                <w:color w:val="auto"/>
              </w:rPr>
            </w:pPr>
          </w:p>
        </w:tc>
        <w:tc>
          <w:tcPr>
            <w:tcW w:w="890" w:type="pct"/>
            <w:vAlign w:val="center"/>
          </w:tcPr>
          <w:p w14:paraId="79D22667">
            <w:pPr>
              <w:pStyle w:val="44"/>
              <w:bidi w:val="0"/>
              <w:rPr>
                <w:color w:val="auto"/>
              </w:rPr>
            </w:pPr>
            <w:r>
              <w:rPr>
                <w:color w:val="auto"/>
              </w:rPr>
              <w:t>全部污染物</w:t>
            </w:r>
          </w:p>
        </w:tc>
        <w:tc>
          <w:tcPr>
            <w:tcW w:w="3278" w:type="pct"/>
            <w:gridSpan w:val="8"/>
            <w:vAlign w:val="center"/>
          </w:tcPr>
          <w:p w14:paraId="3037B819">
            <w:pPr>
              <w:pStyle w:val="44"/>
              <w:bidi w:val="0"/>
              <w:rPr>
                <w:color w:val="auto"/>
              </w:rPr>
            </w:pPr>
          </w:p>
        </w:tc>
        <w:tc>
          <w:tcPr>
            <w:tcW w:w="612" w:type="pct"/>
            <w:vAlign w:val="center"/>
          </w:tcPr>
          <w:p w14:paraId="51BE67B5">
            <w:pPr>
              <w:pStyle w:val="44"/>
              <w:bidi w:val="0"/>
              <w:rPr>
                <w:color w:val="auto"/>
              </w:rPr>
            </w:pPr>
          </w:p>
        </w:tc>
      </w:tr>
      <w:tr w14:paraId="06DB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6062D416">
            <w:pPr>
              <w:pStyle w:val="44"/>
              <w:bidi w:val="0"/>
              <w:rPr>
                <w:color w:val="auto"/>
              </w:rPr>
            </w:pPr>
          </w:p>
        </w:tc>
        <w:tc>
          <w:tcPr>
            <w:tcW w:w="890" w:type="pct"/>
            <w:vAlign w:val="center"/>
          </w:tcPr>
          <w:p w14:paraId="27A0275E">
            <w:pPr>
              <w:pStyle w:val="44"/>
              <w:bidi w:val="0"/>
              <w:rPr>
                <w:color w:val="auto"/>
              </w:rPr>
            </w:pPr>
            <w:r>
              <w:rPr>
                <w:color w:val="auto"/>
              </w:rPr>
              <w:t>特征因子</w:t>
            </w:r>
          </w:p>
        </w:tc>
        <w:tc>
          <w:tcPr>
            <w:tcW w:w="3278" w:type="pct"/>
            <w:gridSpan w:val="8"/>
            <w:vAlign w:val="center"/>
          </w:tcPr>
          <w:p w14:paraId="73E754A8">
            <w:pPr>
              <w:pStyle w:val="44"/>
              <w:bidi w:val="0"/>
              <w:rPr>
                <w:color w:val="auto"/>
              </w:rPr>
            </w:pPr>
            <w:r>
              <w:rPr>
                <w:color w:val="auto"/>
              </w:rPr>
              <w:t>石油烃</w:t>
            </w:r>
          </w:p>
        </w:tc>
        <w:tc>
          <w:tcPr>
            <w:tcW w:w="612" w:type="pct"/>
            <w:vAlign w:val="center"/>
          </w:tcPr>
          <w:p w14:paraId="5F690560">
            <w:pPr>
              <w:pStyle w:val="44"/>
              <w:bidi w:val="0"/>
              <w:rPr>
                <w:color w:val="auto"/>
              </w:rPr>
            </w:pPr>
          </w:p>
        </w:tc>
      </w:tr>
      <w:tr w14:paraId="0E5F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3E3B0A38">
            <w:pPr>
              <w:pStyle w:val="44"/>
              <w:bidi w:val="0"/>
              <w:rPr>
                <w:color w:val="auto"/>
              </w:rPr>
            </w:pPr>
          </w:p>
        </w:tc>
        <w:tc>
          <w:tcPr>
            <w:tcW w:w="890" w:type="pct"/>
            <w:vAlign w:val="center"/>
          </w:tcPr>
          <w:p w14:paraId="0D6BAF55">
            <w:pPr>
              <w:pStyle w:val="44"/>
              <w:bidi w:val="0"/>
              <w:rPr>
                <w:color w:val="auto"/>
              </w:rPr>
            </w:pPr>
            <w:r>
              <w:rPr>
                <w:color w:val="auto"/>
              </w:rPr>
              <w:t>所属土壤环境影响评价项目类别</w:t>
            </w:r>
          </w:p>
        </w:tc>
        <w:tc>
          <w:tcPr>
            <w:tcW w:w="3278" w:type="pct"/>
            <w:gridSpan w:val="8"/>
            <w:vAlign w:val="center"/>
          </w:tcPr>
          <w:p w14:paraId="2F40FE43">
            <w:pPr>
              <w:pStyle w:val="44"/>
              <w:bidi w:val="0"/>
              <w:rPr>
                <w:color w:val="auto"/>
              </w:rPr>
            </w:pPr>
            <w:r>
              <w:rPr>
                <w:color w:val="auto"/>
              </w:rPr>
              <w:t>Ⅰ类☑；Ⅱ类☑；Ⅲ类□；Ⅳ类□</w:t>
            </w:r>
          </w:p>
        </w:tc>
        <w:tc>
          <w:tcPr>
            <w:tcW w:w="612" w:type="pct"/>
            <w:vAlign w:val="center"/>
          </w:tcPr>
          <w:p w14:paraId="30BDBA99">
            <w:pPr>
              <w:pStyle w:val="44"/>
              <w:bidi w:val="0"/>
              <w:rPr>
                <w:color w:val="auto"/>
              </w:rPr>
            </w:pPr>
          </w:p>
        </w:tc>
      </w:tr>
      <w:tr w14:paraId="0DE0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38E054F4">
            <w:pPr>
              <w:pStyle w:val="44"/>
              <w:bidi w:val="0"/>
              <w:rPr>
                <w:color w:val="auto"/>
              </w:rPr>
            </w:pPr>
          </w:p>
        </w:tc>
        <w:tc>
          <w:tcPr>
            <w:tcW w:w="890" w:type="pct"/>
            <w:vAlign w:val="center"/>
          </w:tcPr>
          <w:p w14:paraId="3909D61E">
            <w:pPr>
              <w:pStyle w:val="44"/>
              <w:bidi w:val="0"/>
              <w:rPr>
                <w:color w:val="auto"/>
              </w:rPr>
            </w:pPr>
            <w:r>
              <w:rPr>
                <w:color w:val="auto"/>
              </w:rPr>
              <w:t>敏感程度</w:t>
            </w:r>
          </w:p>
        </w:tc>
        <w:tc>
          <w:tcPr>
            <w:tcW w:w="3278" w:type="pct"/>
            <w:gridSpan w:val="8"/>
            <w:vAlign w:val="center"/>
          </w:tcPr>
          <w:p w14:paraId="121937B2">
            <w:pPr>
              <w:pStyle w:val="44"/>
              <w:bidi w:val="0"/>
              <w:rPr>
                <w:color w:val="auto"/>
              </w:rPr>
            </w:pPr>
            <w:r>
              <w:rPr>
                <w:color w:val="auto"/>
              </w:rPr>
              <w:t>敏感</w:t>
            </w:r>
            <w:r>
              <w:rPr>
                <w:rFonts w:hint="eastAsia"/>
                <w:color w:val="auto"/>
                <w:lang w:eastAsia="zh-CN"/>
              </w:rPr>
              <w:t>☑</w:t>
            </w:r>
            <w:r>
              <w:rPr>
                <w:color w:val="auto"/>
              </w:rPr>
              <w:t>；较敏感</w:t>
            </w:r>
            <w:r>
              <w:rPr>
                <w:rFonts w:hint="eastAsia"/>
                <w:color w:val="auto"/>
                <w:lang w:eastAsia="zh-CN"/>
              </w:rPr>
              <w:t>☑</w:t>
            </w:r>
            <w:r>
              <w:rPr>
                <w:color w:val="auto"/>
              </w:rPr>
              <w:t>；不敏感□</w:t>
            </w:r>
          </w:p>
        </w:tc>
        <w:tc>
          <w:tcPr>
            <w:tcW w:w="612" w:type="pct"/>
            <w:vAlign w:val="center"/>
          </w:tcPr>
          <w:p w14:paraId="49F4EDF0">
            <w:pPr>
              <w:pStyle w:val="44"/>
              <w:bidi w:val="0"/>
              <w:rPr>
                <w:color w:val="auto"/>
              </w:rPr>
            </w:pPr>
          </w:p>
        </w:tc>
      </w:tr>
      <w:tr w14:paraId="413C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08" w:type="pct"/>
            <w:gridSpan w:val="2"/>
            <w:vAlign w:val="center"/>
          </w:tcPr>
          <w:p w14:paraId="2A79F5CC">
            <w:pPr>
              <w:pStyle w:val="44"/>
              <w:bidi w:val="0"/>
              <w:rPr>
                <w:color w:val="auto"/>
              </w:rPr>
            </w:pPr>
            <w:r>
              <w:rPr>
                <w:color w:val="auto"/>
              </w:rPr>
              <w:t>评价工作等级</w:t>
            </w:r>
          </w:p>
        </w:tc>
        <w:tc>
          <w:tcPr>
            <w:tcW w:w="3278" w:type="pct"/>
            <w:gridSpan w:val="8"/>
            <w:vAlign w:val="center"/>
          </w:tcPr>
          <w:p w14:paraId="549E14B9">
            <w:pPr>
              <w:pStyle w:val="44"/>
              <w:bidi w:val="0"/>
              <w:rPr>
                <w:color w:val="auto"/>
              </w:rPr>
            </w:pPr>
            <w:r>
              <w:rPr>
                <w:color w:val="auto"/>
              </w:rPr>
              <w:t>一级☑；二级☑；三级□</w:t>
            </w:r>
          </w:p>
        </w:tc>
        <w:tc>
          <w:tcPr>
            <w:tcW w:w="612" w:type="pct"/>
            <w:vAlign w:val="center"/>
          </w:tcPr>
          <w:p w14:paraId="1170B40B">
            <w:pPr>
              <w:pStyle w:val="44"/>
              <w:bidi w:val="0"/>
              <w:rPr>
                <w:color w:val="auto"/>
              </w:rPr>
            </w:pPr>
          </w:p>
        </w:tc>
      </w:tr>
      <w:tr w14:paraId="6DA4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restart"/>
            <w:vAlign w:val="center"/>
          </w:tcPr>
          <w:p w14:paraId="7DBD8326">
            <w:pPr>
              <w:pStyle w:val="44"/>
              <w:bidi w:val="0"/>
              <w:rPr>
                <w:color w:val="auto"/>
              </w:rPr>
            </w:pPr>
            <w:r>
              <w:rPr>
                <w:color w:val="auto"/>
              </w:rPr>
              <w:t>现状调查内容</w:t>
            </w:r>
          </w:p>
        </w:tc>
        <w:tc>
          <w:tcPr>
            <w:tcW w:w="890" w:type="pct"/>
            <w:vAlign w:val="center"/>
          </w:tcPr>
          <w:p w14:paraId="05364FEE">
            <w:pPr>
              <w:pStyle w:val="44"/>
              <w:bidi w:val="0"/>
              <w:rPr>
                <w:color w:val="auto"/>
              </w:rPr>
            </w:pPr>
            <w:r>
              <w:rPr>
                <w:color w:val="auto"/>
              </w:rPr>
              <w:t>资料收集</w:t>
            </w:r>
          </w:p>
        </w:tc>
        <w:tc>
          <w:tcPr>
            <w:tcW w:w="3278" w:type="pct"/>
            <w:gridSpan w:val="8"/>
            <w:vAlign w:val="center"/>
          </w:tcPr>
          <w:p w14:paraId="532CB27C">
            <w:pPr>
              <w:pStyle w:val="44"/>
              <w:bidi w:val="0"/>
              <w:rPr>
                <w:color w:val="auto"/>
              </w:rPr>
            </w:pPr>
            <w:r>
              <w:rPr>
                <w:color w:val="auto"/>
              </w:rPr>
              <w:t>a）□；b）□；c）□；d）□</w:t>
            </w:r>
          </w:p>
        </w:tc>
        <w:tc>
          <w:tcPr>
            <w:tcW w:w="612" w:type="pct"/>
            <w:vAlign w:val="center"/>
          </w:tcPr>
          <w:p w14:paraId="254A10A5">
            <w:pPr>
              <w:pStyle w:val="44"/>
              <w:bidi w:val="0"/>
              <w:rPr>
                <w:color w:val="auto"/>
              </w:rPr>
            </w:pPr>
          </w:p>
        </w:tc>
      </w:tr>
      <w:tr w14:paraId="67DF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6F6707E4">
            <w:pPr>
              <w:pStyle w:val="44"/>
              <w:bidi w:val="0"/>
              <w:rPr>
                <w:color w:val="auto"/>
              </w:rPr>
            </w:pPr>
          </w:p>
        </w:tc>
        <w:tc>
          <w:tcPr>
            <w:tcW w:w="890" w:type="pct"/>
            <w:vAlign w:val="center"/>
          </w:tcPr>
          <w:p w14:paraId="4E266680">
            <w:pPr>
              <w:pStyle w:val="44"/>
              <w:bidi w:val="0"/>
              <w:rPr>
                <w:color w:val="auto"/>
              </w:rPr>
            </w:pPr>
            <w:r>
              <w:rPr>
                <w:color w:val="auto"/>
              </w:rPr>
              <w:t>理化特性</w:t>
            </w:r>
          </w:p>
        </w:tc>
        <w:tc>
          <w:tcPr>
            <w:tcW w:w="3278" w:type="pct"/>
            <w:gridSpan w:val="8"/>
            <w:vAlign w:val="center"/>
          </w:tcPr>
          <w:p w14:paraId="58E8E15A">
            <w:pPr>
              <w:pStyle w:val="44"/>
              <w:bidi w:val="0"/>
              <w:rPr>
                <w:color w:val="auto"/>
              </w:rPr>
            </w:pPr>
            <w:r>
              <w:rPr>
                <w:color w:val="auto"/>
              </w:rPr>
              <w:t>见附件</w:t>
            </w:r>
          </w:p>
        </w:tc>
        <w:tc>
          <w:tcPr>
            <w:tcW w:w="612" w:type="pct"/>
            <w:vAlign w:val="center"/>
          </w:tcPr>
          <w:p w14:paraId="7697E797">
            <w:pPr>
              <w:pStyle w:val="44"/>
              <w:bidi w:val="0"/>
              <w:rPr>
                <w:color w:val="auto"/>
              </w:rPr>
            </w:pPr>
            <w:r>
              <w:rPr>
                <w:color w:val="auto"/>
              </w:rPr>
              <w:t>同附录 C</w:t>
            </w:r>
          </w:p>
        </w:tc>
      </w:tr>
      <w:tr w14:paraId="70D1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1F8FE0FD">
            <w:pPr>
              <w:pStyle w:val="44"/>
              <w:bidi w:val="0"/>
              <w:rPr>
                <w:color w:val="auto"/>
              </w:rPr>
            </w:pPr>
          </w:p>
        </w:tc>
        <w:tc>
          <w:tcPr>
            <w:tcW w:w="890" w:type="pct"/>
            <w:vMerge w:val="restart"/>
            <w:vAlign w:val="center"/>
          </w:tcPr>
          <w:p w14:paraId="61547298">
            <w:pPr>
              <w:pStyle w:val="44"/>
              <w:bidi w:val="0"/>
              <w:rPr>
                <w:color w:val="auto"/>
              </w:rPr>
            </w:pPr>
            <w:r>
              <w:rPr>
                <w:color w:val="auto"/>
              </w:rPr>
              <w:t>现状监测点位</w:t>
            </w:r>
          </w:p>
        </w:tc>
        <w:tc>
          <w:tcPr>
            <w:tcW w:w="748" w:type="pct"/>
            <w:vAlign w:val="center"/>
          </w:tcPr>
          <w:p w14:paraId="2D155B1F">
            <w:pPr>
              <w:pStyle w:val="44"/>
              <w:bidi w:val="0"/>
              <w:rPr>
                <w:color w:val="auto"/>
              </w:rPr>
            </w:pPr>
          </w:p>
        </w:tc>
        <w:tc>
          <w:tcPr>
            <w:tcW w:w="810" w:type="pct"/>
            <w:gridSpan w:val="2"/>
            <w:vAlign w:val="center"/>
          </w:tcPr>
          <w:p w14:paraId="38D95CB1">
            <w:pPr>
              <w:pStyle w:val="44"/>
              <w:bidi w:val="0"/>
              <w:rPr>
                <w:color w:val="auto"/>
              </w:rPr>
            </w:pPr>
            <w:r>
              <w:rPr>
                <w:color w:val="auto"/>
              </w:rPr>
              <w:t>占地范围内</w:t>
            </w:r>
          </w:p>
        </w:tc>
        <w:tc>
          <w:tcPr>
            <w:tcW w:w="947" w:type="pct"/>
            <w:gridSpan w:val="2"/>
            <w:vAlign w:val="center"/>
          </w:tcPr>
          <w:p w14:paraId="732D7B98">
            <w:pPr>
              <w:pStyle w:val="44"/>
              <w:bidi w:val="0"/>
              <w:rPr>
                <w:color w:val="auto"/>
              </w:rPr>
            </w:pPr>
            <w:r>
              <w:rPr>
                <w:color w:val="auto"/>
              </w:rPr>
              <w:t>占地范围外</w:t>
            </w:r>
          </w:p>
        </w:tc>
        <w:tc>
          <w:tcPr>
            <w:tcW w:w="773" w:type="pct"/>
            <w:gridSpan w:val="3"/>
            <w:vAlign w:val="center"/>
          </w:tcPr>
          <w:p w14:paraId="0A2848D2">
            <w:pPr>
              <w:pStyle w:val="44"/>
              <w:bidi w:val="0"/>
              <w:rPr>
                <w:color w:val="auto"/>
              </w:rPr>
            </w:pPr>
            <w:r>
              <w:rPr>
                <w:color w:val="auto"/>
              </w:rPr>
              <w:t>深度</w:t>
            </w:r>
          </w:p>
        </w:tc>
        <w:tc>
          <w:tcPr>
            <w:tcW w:w="612" w:type="pct"/>
            <w:vMerge w:val="restart"/>
            <w:vAlign w:val="center"/>
          </w:tcPr>
          <w:p w14:paraId="0B856973">
            <w:pPr>
              <w:pStyle w:val="44"/>
              <w:bidi w:val="0"/>
              <w:rPr>
                <w:color w:val="auto"/>
              </w:rPr>
            </w:pPr>
            <w:r>
              <w:rPr>
                <w:color w:val="auto"/>
              </w:rPr>
              <w:t>点位布置图</w:t>
            </w:r>
          </w:p>
        </w:tc>
      </w:tr>
      <w:tr w14:paraId="42EA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441D86DF">
            <w:pPr>
              <w:pStyle w:val="44"/>
              <w:bidi w:val="0"/>
              <w:rPr>
                <w:color w:val="auto"/>
              </w:rPr>
            </w:pPr>
          </w:p>
        </w:tc>
        <w:tc>
          <w:tcPr>
            <w:tcW w:w="890" w:type="pct"/>
            <w:vMerge w:val="continue"/>
            <w:vAlign w:val="center"/>
          </w:tcPr>
          <w:p w14:paraId="2A4A3D04">
            <w:pPr>
              <w:pStyle w:val="44"/>
              <w:bidi w:val="0"/>
              <w:rPr>
                <w:color w:val="auto"/>
              </w:rPr>
            </w:pPr>
          </w:p>
        </w:tc>
        <w:tc>
          <w:tcPr>
            <w:tcW w:w="748" w:type="pct"/>
            <w:vAlign w:val="center"/>
          </w:tcPr>
          <w:p w14:paraId="71C2DAC7">
            <w:pPr>
              <w:pStyle w:val="44"/>
              <w:bidi w:val="0"/>
              <w:rPr>
                <w:color w:val="auto"/>
              </w:rPr>
            </w:pPr>
            <w:r>
              <w:rPr>
                <w:color w:val="auto"/>
              </w:rPr>
              <w:t>表层样点数</w:t>
            </w:r>
          </w:p>
        </w:tc>
        <w:tc>
          <w:tcPr>
            <w:tcW w:w="810" w:type="pct"/>
            <w:gridSpan w:val="2"/>
            <w:vAlign w:val="center"/>
          </w:tcPr>
          <w:p w14:paraId="1D8E62F5">
            <w:pPr>
              <w:pStyle w:val="44"/>
              <w:bidi w:val="0"/>
              <w:rPr>
                <w:rFonts w:hint="eastAsia" w:eastAsia="宋体"/>
                <w:color w:val="auto"/>
                <w:lang w:eastAsia="zh-CN"/>
              </w:rPr>
            </w:pPr>
            <w:r>
              <w:rPr>
                <w:rFonts w:hint="eastAsia"/>
                <w:color w:val="auto"/>
                <w:lang w:val="en-US" w:eastAsia="zh-CN"/>
              </w:rPr>
              <w:t>5</w:t>
            </w:r>
          </w:p>
        </w:tc>
        <w:tc>
          <w:tcPr>
            <w:tcW w:w="947" w:type="pct"/>
            <w:gridSpan w:val="2"/>
            <w:vAlign w:val="center"/>
          </w:tcPr>
          <w:p w14:paraId="061DD318">
            <w:pPr>
              <w:pStyle w:val="44"/>
              <w:bidi w:val="0"/>
              <w:rPr>
                <w:rFonts w:hint="eastAsia" w:eastAsia="宋体"/>
                <w:color w:val="auto"/>
                <w:lang w:eastAsia="zh-CN"/>
              </w:rPr>
            </w:pPr>
            <w:r>
              <w:rPr>
                <w:rFonts w:hint="eastAsia"/>
                <w:color w:val="auto"/>
                <w:lang w:val="en-US" w:eastAsia="zh-CN"/>
              </w:rPr>
              <w:t>6</w:t>
            </w:r>
          </w:p>
        </w:tc>
        <w:tc>
          <w:tcPr>
            <w:tcW w:w="773" w:type="pct"/>
            <w:gridSpan w:val="3"/>
            <w:vAlign w:val="center"/>
          </w:tcPr>
          <w:p w14:paraId="5F09F9A2">
            <w:pPr>
              <w:pStyle w:val="44"/>
              <w:bidi w:val="0"/>
              <w:rPr>
                <w:rFonts w:hint="default" w:eastAsia="宋体"/>
                <w:color w:val="auto"/>
                <w:lang w:val="en-US" w:eastAsia="zh-CN"/>
              </w:rPr>
            </w:pPr>
            <w:r>
              <w:rPr>
                <w:rFonts w:hint="eastAsia"/>
                <w:color w:val="auto"/>
                <w:lang w:val="en-US" w:eastAsia="zh-CN"/>
              </w:rPr>
              <w:t>0~0.2m</w:t>
            </w:r>
          </w:p>
        </w:tc>
        <w:tc>
          <w:tcPr>
            <w:tcW w:w="612" w:type="pct"/>
            <w:vMerge w:val="continue"/>
            <w:vAlign w:val="center"/>
          </w:tcPr>
          <w:p w14:paraId="242E4B9A">
            <w:pPr>
              <w:pStyle w:val="44"/>
              <w:bidi w:val="0"/>
              <w:rPr>
                <w:color w:val="auto"/>
              </w:rPr>
            </w:pPr>
          </w:p>
        </w:tc>
      </w:tr>
      <w:tr w14:paraId="3D80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441889BE">
            <w:pPr>
              <w:pStyle w:val="44"/>
              <w:bidi w:val="0"/>
              <w:rPr>
                <w:color w:val="auto"/>
              </w:rPr>
            </w:pPr>
          </w:p>
        </w:tc>
        <w:tc>
          <w:tcPr>
            <w:tcW w:w="890" w:type="pct"/>
            <w:vMerge w:val="continue"/>
            <w:vAlign w:val="center"/>
          </w:tcPr>
          <w:p w14:paraId="45B4DF91">
            <w:pPr>
              <w:pStyle w:val="44"/>
              <w:bidi w:val="0"/>
              <w:rPr>
                <w:color w:val="auto"/>
              </w:rPr>
            </w:pPr>
          </w:p>
        </w:tc>
        <w:tc>
          <w:tcPr>
            <w:tcW w:w="748" w:type="pct"/>
            <w:vAlign w:val="center"/>
          </w:tcPr>
          <w:p w14:paraId="7E92FEAF">
            <w:pPr>
              <w:pStyle w:val="44"/>
              <w:bidi w:val="0"/>
              <w:rPr>
                <w:color w:val="auto"/>
              </w:rPr>
            </w:pPr>
            <w:r>
              <w:rPr>
                <w:color w:val="auto"/>
              </w:rPr>
              <w:t>柱状样点数</w:t>
            </w:r>
          </w:p>
        </w:tc>
        <w:tc>
          <w:tcPr>
            <w:tcW w:w="810" w:type="pct"/>
            <w:gridSpan w:val="2"/>
            <w:vAlign w:val="center"/>
          </w:tcPr>
          <w:p w14:paraId="28819EE6">
            <w:pPr>
              <w:pStyle w:val="44"/>
              <w:bidi w:val="0"/>
              <w:rPr>
                <w:color w:val="auto"/>
              </w:rPr>
            </w:pPr>
            <w:r>
              <w:rPr>
                <w:color w:val="auto"/>
              </w:rPr>
              <w:t>5</w:t>
            </w:r>
          </w:p>
        </w:tc>
        <w:tc>
          <w:tcPr>
            <w:tcW w:w="947" w:type="pct"/>
            <w:gridSpan w:val="2"/>
            <w:vAlign w:val="center"/>
          </w:tcPr>
          <w:p w14:paraId="5EB22DDF">
            <w:pPr>
              <w:pStyle w:val="44"/>
              <w:bidi w:val="0"/>
              <w:rPr>
                <w:color w:val="auto"/>
              </w:rPr>
            </w:pPr>
          </w:p>
        </w:tc>
        <w:tc>
          <w:tcPr>
            <w:tcW w:w="773" w:type="pct"/>
            <w:gridSpan w:val="3"/>
            <w:vAlign w:val="center"/>
          </w:tcPr>
          <w:p w14:paraId="466E94F3">
            <w:pPr>
              <w:pStyle w:val="44"/>
              <w:bidi w:val="0"/>
              <w:rPr>
                <w:rFonts w:hint="default" w:eastAsia="宋体"/>
                <w:color w:val="auto"/>
                <w:lang w:val="en-US" w:eastAsia="zh-CN"/>
              </w:rPr>
            </w:pPr>
            <w:r>
              <w:rPr>
                <w:rFonts w:hint="eastAsia"/>
                <w:color w:val="auto"/>
                <w:lang w:val="en-US" w:eastAsia="zh-CN"/>
              </w:rPr>
              <w:t>0~0.5m、0.5~1.5m、1.5~3m</w:t>
            </w:r>
          </w:p>
        </w:tc>
        <w:tc>
          <w:tcPr>
            <w:tcW w:w="612" w:type="pct"/>
            <w:vMerge w:val="continue"/>
            <w:vAlign w:val="center"/>
          </w:tcPr>
          <w:p w14:paraId="3DA3A20B">
            <w:pPr>
              <w:pStyle w:val="44"/>
              <w:bidi w:val="0"/>
              <w:rPr>
                <w:color w:val="auto"/>
              </w:rPr>
            </w:pPr>
          </w:p>
        </w:tc>
      </w:tr>
      <w:tr w14:paraId="284F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60F81C4B">
            <w:pPr>
              <w:pStyle w:val="44"/>
              <w:bidi w:val="0"/>
              <w:rPr>
                <w:color w:val="auto"/>
              </w:rPr>
            </w:pPr>
          </w:p>
        </w:tc>
        <w:tc>
          <w:tcPr>
            <w:tcW w:w="890" w:type="pct"/>
            <w:vAlign w:val="center"/>
          </w:tcPr>
          <w:p w14:paraId="42EE7A25">
            <w:pPr>
              <w:pStyle w:val="44"/>
              <w:bidi w:val="0"/>
              <w:rPr>
                <w:color w:val="auto"/>
              </w:rPr>
            </w:pPr>
            <w:r>
              <w:rPr>
                <w:color w:val="auto"/>
              </w:rPr>
              <w:t>现状监测因子</w:t>
            </w:r>
          </w:p>
        </w:tc>
        <w:tc>
          <w:tcPr>
            <w:tcW w:w="3278" w:type="pct"/>
            <w:gridSpan w:val="8"/>
            <w:vAlign w:val="center"/>
          </w:tcPr>
          <w:p w14:paraId="05A9082C">
            <w:pPr>
              <w:pStyle w:val="44"/>
              <w:bidi w:val="0"/>
              <w:rPr>
                <w:rFonts w:hint="default" w:eastAsia="宋体"/>
                <w:color w:val="auto"/>
                <w:lang w:val="en-US" w:eastAsia="zh-CN"/>
              </w:rPr>
            </w:pPr>
            <w:r>
              <w:rPr>
                <w:color w:val="auto"/>
              </w:rPr>
              <w:t>GB36600-2018基本因子45项、GB15618-2018基本因子8项、pH、石油烃</w:t>
            </w:r>
            <w:r>
              <w:rPr>
                <w:rFonts w:hint="eastAsia"/>
                <w:color w:val="auto"/>
                <w:lang w:eastAsia="zh-CN"/>
              </w:rPr>
              <w:t>、</w:t>
            </w:r>
            <w:r>
              <w:rPr>
                <w:rFonts w:hint="eastAsia"/>
                <w:color w:val="auto"/>
                <w:lang w:val="en-US" w:eastAsia="zh-CN"/>
              </w:rPr>
              <w:t>含盐量</w:t>
            </w:r>
          </w:p>
        </w:tc>
        <w:tc>
          <w:tcPr>
            <w:tcW w:w="612" w:type="pct"/>
            <w:vAlign w:val="center"/>
          </w:tcPr>
          <w:p w14:paraId="4827E106">
            <w:pPr>
              <w:pStyle w:val="44"/>
              <w:bidi w:val="0"/>
              <w:rPr>
                <w:color w:val="auto"/>
              </w:rPr>
            </w:pPr>
          </w:p>
        </w:tc>
      </w:tr>
      <w:tr w14:paraId="665A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restart"/>
            <w:vAlign w:val="center"/>
          </w:tcPr>
          <w:p w14:paraId="17A188D7">
            <w:pPr>
              <w:pStyle w:val="44"/>
              <w:bidi w:val="0"/>
              <w:rPr>
                <w:color w:val="auto"/>
              </w:rPr>
            </w:pPr>
            <w:r>
              <w:rPr>
                <w:color w:val="auto"/>
              </w:rPr>
              <w:t>现状评</w:t>
            </w:r>
          </w:p>
          <w:p w14:paraId="4B14942D">
            <w:pPr>
              <w:pStyle w:val="44"/>
              <w:bidi w:val="0"/>
              <w:rPr>
                <w:color w:val="auto"/>
              </w:rPr>
            </w:pPr>
            <w:r>
              <w:rPr>
                <w:color w:val="auto"/>
              </w:rPr>
              <w:t>价</w:t>
            </w:r>
          </w:p>
        </w:tc>
        <w:tc>
          <w:tcPr>
            <w:tcW w:w="890" w:type="pct"/>
            <w:vAlign w:val="center"/>
          </w:tcPr>
          <w:p w14:paraId="57179EEB">
            <w:pPr>
              <w:pStyle w:val="44"/>
              <w:bidi w:val="0"/>
              <w:rPr>
                <w:color w:val="auto"/>
              </w:rPr>
            </w:pPr>
            <w:r>
              <w:rPr>
                <w:color w:val="auto"/>
              </w:rPr>
              <w:t>评价因子</w:t>
            </w:r>
          </w:p>
        </w:tc>
        <w:tc>
          <w:tcPr>
            <w:tcW w:w="3278" w:type="pct"/>
            <w:gridSpan w:val="8"/>
            <w:vAlign w:val="center"/>
          </w:tcPr>
          <w:p w14:paraId="3AD04FD7">
            <w:pPr>
              <w:pStyle w:val="44"/>
              <w:bidi w:val="0"/>
              <w:rPr>
                <w:rFonts w:hint="default" w:eastAsia="宋体"/>
                <w:color w:val="auto"/>
                <w:lang w:val="en-US" w:eastAsia="zh-CN"/>
              </w:rPr>
            </w:pPr>
            <w:r>
              <w:rPr>
                <w:color w:val="auto"/>
              </w:rPr>
              <w:t>GB36600-2018基本因子45项、GB15618-2018基本因子8项、pH、石油烃</w:t>
            </w:r>
            <w:r>
              <w:rPr>
                <w:rFonts w:hint="eastAsia"/>
                <w:color w:val="auto"/>
                <w:lang w:eastAsia="zh-CN"/>
              </w:rPr>
              <w:t>、</w:t>
            </w:r>
            <w:r>
              <w:rPr>
                <w:rFonts w:hint="eastAsia"/>
                <w:color w:val="auto"/>
                <w:lang w:val="en-US" w:eastAsia="zh-CN"/>
              </w:rPr>
              <w:t>含盐量</w:t>
            </w:r>
          </w:p>
        </w:tc>
        <w:tc>
          <w:tcPr>
            <w:tcW w:w="612" w:type="pct"/>
            <w:vAlign w:val="center"/>
          </w:tcPr>
          <w:p w14:paraId="60CE503F">
            <w:pPr>
              <w:pStyle w:val="44"/>
              <w:bidi w:val="0"/>
              <w:rPr>
                <w:color w:val="auto"/>
              </w:rPr>
            </w:pPr>
          </w:p>
        </w:tc>
      </w:tr>
      <w:tr w14:paraId="7AC8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44399A2F">
            <w:pPr>
              <w:pStyle w:val="44"/>
              <w:bidi w:val="0"/>
              <w:rPr>
                <w:color w:val="auto"/>
              </w:rPr>
            </w:pPr>
          </w:p>
        </w:tc>
        <w:tc>
          <w:tcPr>
            <w:tcW w:w="890" w:type="pct"/>
            <w:vAlign w:val="center"/>
          </w:tcPr>
          <w:p w14:paraId="6CF3AEAA">
            <w:pPr>
              <w:pStyle w:val="44"/>
              <w:bidi w:val="0"/>
              <w:rPr>
                <w:color w:val="auto"/>
              </w:rPr>
            </w:pPr>
            <w:r>
              <w:rPr>
                <w:color w:val="auto"/>
              </w:rPr>
              <w:t>评价标准</w:t>
            </w:r>
          </w:p>
        </w:tc>
        <w:tc>
          <w:tcPr>
            <w:tcW w:w="3278" w:type="pct"/>
            <w:gridSpan w:val="8"/>
            <w:vAlign w:val="center"/>
          </w:tcPr>
          <w:p w14:paraId="6A4EA387">
            <w:pPr>
              <w:pStyle w:val="44"/>
              <w:bidi w:val="0"/>
              <w:rPr>
                <w:color w:val="auto"/>
              </w:rPr>
            </w:pPr>
            <w:r>
              <w:rPr>
                <w:color w:val="auto"/>
              </w:rPr>
              <w:t>GB 15618</w:t>
            </w:r>
            <w:r>
              <w:rPr>
                <w:rFonts w:hint="eastAsia"/>
                <w:color w:val="auto"/>
                <w:lang w:eastAsia="zh-CN"/>
              </w:rPr>
              <w:t>☑</w:t>
            </w:r>
            <w:r>
              <w:rPr>
                <w:color w:val="auto"/>
              </w:rPr>
              <w:t>；GB 36600</w:t>
            </w:r>
            <w:r>
              <w:rPr>
                <w:rFonts w:hint="eastAsia"/>
                <w:color w:val="auto"/>
                <w:lang w:eastAsia="zh-CN"/>
              </w:rPr>
              <w:t>☑</w:t>
            </w:r>
            <w:r>
              <w:rPr>
                <w:color w:val="auto"/>
              </w:rPr>
              <w:t>；表 D.1□；表 D.2□；其他（）</w:t>
            </w:r>
          </w:p>
        </w:tc>
        <w:tc>
          <w:tcPr>
            <w:tcW w:w="612" w:type="pct"/>
            <w:vAlign w:val="center"/>
          </w:tcPr>
          <w:p w14:paraId="3CDABCF6">
            <w:pPr>
              <w:pStyle w:val="44"/>
              <w:bidi w:val="0"/>
              <w:rPr>
                <w:color w:val="auto"/>
              </w:rPr>
            </w:pPr>
          </w:p>
        </w:tc>
      </w:tr>
      <w:tr w14:paraId="2B9C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4D862CC3">
            <w:pPr>
              <w:pStyle w:val="44"/>
              <w:bidi w:val="0"/>
              <w:rPr>
                <w:color w:val="auto"/>
              </w:rPr>
            </w:pPr>
          </w:p>
        </w:tc>
        <w:tc>
          <w:tcPr>
            <w:tcW w:w="890" w:type="pct"/>
            <w:vAlign w:val="center"/>
          </w:tcPr>
          <w:p w14:paraId="75BCDEE3">
            <w:pPr>
              <w:pStyle w:val="44"/>
              <w:bidi w:val="0"/>
              <w:rPr>
                <w:color w:val="auto"/>
              </w:rPr>
            </w:pPr>
            <w:r>
              <w:rPr>
                <w:color w:val="auto"/>
              </w:rPr>
              <w:t>现状评价结论</w:t>
            </w:r>
          </w:p>
        </w:tc>
        <w:tc>
          <w:tcPr>
            <w:tcW w:w="3278" w:type="pct"/>
            <w:gridSpan w:val="8"/>
            <w:vAlign w:val="center"/>
          </w:tcPr>
          <w:p w14:paraId="2FE81E49">
            <w:pPr>
              <w:pStyle w:val="44"/>
              <w:bidi w:val="0"/>
              <w:rPr>
                <w:color w:val="auto"/>
              </w:rPr>
            </w:pPr>
            <w:r>
              <w:rPr>
                <w:color w:val="auto"/>
              </w:rPr>
              <w:t>达标</w:t>
            </w:r>
          </w:p>
        </w:tc>
        <w:tc>
          <w:tcPr>
            <w:tcW w:w="612" w:type="pct"/>
            <w:vAlign w:val="center"/>
          </w:tcPr>
          <w:p w14:paraId="3192C688">
            <w:pPr>
              <w:pStyle w:val="44"/>
              <w:bidi w:val="0"/>
              <w:rPr>
                <w:color w:val="auto"/>
              </w:rPr>
            </w:pPr>
          </w:p>
        </w:tc>
      </w:tr>
      <w:tr w14:paraId="6E22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restart"/>
            <w:vAlign w:val="center"/>
          </w:tcPr>
          <w:p w14:paraId="7E0BE9AE">
            <w:pPr>
              <w:pStyle w:val="44"/>
              <w:bidi w:val="0"/>
              <w:rPr>
                <w:color w:val="auto"/>
              </w:rPr>
            </w:pPr>
            <w:r>
              <w:rPr>
                <w:color w:val="auto"/>
              </w:rPr>
              <w:t>影响预测</w:t>
            </w:r>
          </w:p>
        </w:tc>
        <w:tc>
          <w:tcPr>
            <w:tcW w:w="890" w:type="pct"/>
            <w:vAlign w:val="center"/>
          </w:tcPr>
          <w:p w14:paraId="5BC55B5C">
            <w:pPr>
              <w:pStyle w:val="44"/>
              <w:bidi w:val="0"/>
              <w:rPr>
                <w:color w:val="auto"/>
              </w:rPr>
            </w:pPr>
            <w:r>
              <w:rPr>
                <w:color w:val="auto"/>
              </w:rPr>
              <w:t>预测因子</w:t>
            </w:r>
          </w:p>
        </w:tc>
        <w:tc>
          <w:tcPr>
            <w:tcW w:w="3278" w:type="pct"/>
            <w:gridSpan w:val="8"/>
            <w:vAlign w:val="center"/>
          </w:tcPr>
          <w:p w14:paraId="71EC9868">
            <w:pPr>
              <w:pStyle w:val="44"/>
              <w:bidi w:val="0"/>
              <w:rPr>
                <w:color w:val="auto"/>
              </w:rPr>
            </w:pPr>
            <w:r>
              <w:rPr>
                <w:color w:val="auto"/>
              </w:rPr>
              <w:t>石油烃</w:t>
            </w:r>
          </w:p>
        </w:tc>
        <w:tc>
          <w:tcPr>
            <w:tcW w:w="612" w:type="pct"/>
            <w:vAlign w:val="center"/>
          </w:tcPr>
          <w:p w14:paraId="74D54DCB">
            <w:pPr>
              <w:pStyle w:val="44"/>
              <w:bidi w:val="0"/>
              <w:rPr>
                <w:color w:val="auto"/>
              </w:rPr>
            </w:pPr>
          </w:p>
        </w:tc>
      </w:tr>
      <w:tr w14:paraId="2A99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4B70A0EE">
            <w:pPr>
              <w:pStyle w:val="44"/>
              <w:bidi w:val="0"/>
              <w:rPr>
                <w:color w:val="auto"/>
              </w:rPr>
            </w:pPr>
          </w:p>
        </w:tc>
        <w:tc>
          <w:tcPr>
            <w:tcW w:w="890" w:type="pct"/>
            <w:vAlign w:val="center"/>
          </w:tcPr>
          <w:p w14:paraId="41000394">
            <w:pPr>
              <w:pStyle w:val="44"/>
              <w:bidi w:val="0"/>
              <w:rPr>
                <w:color w:val="auto"/>
              </w:rPr>
            </w:pPr>
            <w:r>
              <w:rPr>
                <w:color w:val="auto"/>
              </w:rPr>
              <w:t>预测方法</w:t>
            </w:r>
          </w:p>
        </w:tc>
        <w:tc>
          <w:tcPr>
            <w:tcW w:w="3278" w:type="pct"/>
            <w:gridSpan w:val="8"/>
            <w:vAlign w:val="center"/>
          </w:tcPr>
          <w:p w14:paraId="6D668121">
            <w:pPr>
              <w:pStyle w:val="44"/>
              <w:bidi w:val="0"/>
              <w:rPr>
                <w:color w:val="auto"/>
              </w:rPr>
            </w:pPr>
            <w:r>
              <w:rPr>
                <w:color w:val="auto"/>
              </w:rPr>
              <w:t>附录 E</w:t>
            </w:r>
            <w:r>
              <w:rPr>
                <w:rFonts w:hint="eastAsia"/>
                <w:color w:val="auto"/>
                <w:lang w:eastAsia="zh-CN"/>
              </w:rPr>
              <w:t>☑</w:t>
            </w:r>
            <w:r>
              <w:rPr>
                <w:color w:val="auto"/>
              </w:rPr>
              <w:t>；附录 F</w:t>
            </w:r>
            <w:r>
              <w:rPr>
                <w:rFonts w:hint="eastAsia"/>
                <w:color w:val="auto"/>
                <w:lang w:eastAsia="zh-CN"/>
              </w:rPr>
              <w:t>☑</w:t>
            </w:r>
            <w:r>
              <w:rPr>
                <w:color w:val="auto"/>
              </w:rPr>
              <w:t>；其他（</w:t>
            </w:r>
            <w:r>
              <w:rPr>
                <w:color w:val="auto"/>
              </w:rPr>
              <w:tab/>
            </w:r>
            <w:r>
              <w:rPr>
                <w:color w:val="auto"/>
              </w:rPr>
              <w:t>）</w:t>
            </w:r>
          </w:p>
        </w:tc>
        <w:tc>
          <w:tcPr>
            <w:tcW w:w="612" w:type="pct"/>
            <w:vAlign w:val="center"/>
          </w:tcPr>
          <w:p w14:paraId="6662EE28">
            <w:pPr>
              <w:pStyle w:val="44"/>
              <w:bidi w:val="0"/>
              <w:rPr>
                <w:color w:val="auto"/>
              </w:rPr>
            </w:pPr>
          </w:p>
        </w:tc>
      </w:tr>
      <w:tr w14:paraId="6F07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36CBA709">
            <w:pPr>
              <w:pStyle w:val="44"/>
              <w:bidi w:val="0"/>
              <w:rPr>
                <w:color w:val="auto"/>
              </w:rPr>
            </w:pPr>
          </w:p>
        </w:tc>
        <w:tc>
          <w:tcPr>
            <w:tcW w:w="890" w:type="pct"/>
            <w:vAlign w:val="center"/>
          </w:tcPr>
          <w:p w14:paraId="10725371">
            <w:pPr>
              <w:pStyle w:val="44"/>
              <w:bidi w:val="0"/>
              <w:rPr>
                <w:color w:val="auto"/>
              </w:rPr>
            </w:pPr>
            <w:r>
              <w:rPr>
                <w:color w:val="auto"/>
              </w:rPr>
              <w:t>预测分析内容</w:t>
            </w:r>
          </w:p>
        </w:tc>
        <w:tc>
          <w:tcPr>
            <w:tcW w:w="3278" w:type="pct"/>
            <w:gridSpan w:val="8"/>
            <w:vAlign w:val="center"/>
          </w:tcPr>
          <w:p w14:paraId="3B766E16">
            <w:pPr>
              <w:pStyle w:val="44"/>
              <w:bidi w:val="0"/>
              <w:rPr>
                <w:color w:val="auto"/>
              </w:rPr>
            </w:pPr>
            <w:r>
              <w:rPr>
                <w:color w:val="auto"/>
              </w:rPr>
              <w:t>影响范围（最大运移地下</w:t>
            </w:r>
            <w:r>
              <w:rPr>
                <w:rFonts w:hint="eastAsia"/>
                <w:color w:val="auto"/>
                <w:lang w:val="en-US" w:eastAsia="zh-CN"/>
              </w:rPr>
              <w:t>0.09</w:t>
            </w:r>
            <w:r>
              <w:rPr>
                <w:color w:val="auto"/>
              </w:rPr>
              <w:t>m）</w:t>
            </w:r>
          </w:p>
          <w:p w14:paraId="481A3134">
            <w:pPr>
              <w:pStyle w:val="44"/>
              <w:bidi w:val="0"/>
              <w:rPr>
                <w:color w:val="auto"/>
              </w:rPr>
            </w:pPr>
            <w:r>
              <w:rPr>
                <w:color w:val="auto"/>
              </w:rPr>
              <w:t>影响程度（较轻）</w:t>
            </w:r>
          </w:p>
        </w:tc>
        <w:tc>
          <w:tcPr>
            <w:tcW w:w="612" w:type="pct"/>
            <w:vAlign w:val="center"/>
          </w:tcPr>
          <w:p w14:paraId="6977767B">
            <w:pPr>
              <w:pStyle w:val="44"/>
              <w:bidi w:val="0"/>
              <w:rPr>
                <w:color w:val="auto"/>
              </w:rPr>
            </w:pPr>
          </w:p>
        </w:tc>
      </w:tr>
      <w:tr w14:paraId="0A27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5599D18E">
            <w:pPr>
              <w:pStyle w:val="44"/>
              <w:bidi w:val="0"/>
              <w:rPr>
                <w:color w:val="auto"/>
              </w:rPr>
            </w:pPr>
          </w:p>
        </w:tc>
        <w:tc>
          <w:tcPr>
            <w:tcW w:w="890" w:type="pct"/>
            <w:vAlign w:val="center"/>
          </w:tcPr>
          <w:p w14:paraId="6380B621">
            <w:pPr>
              <w:pStyle w:val="44"/>
              <w:bidi w:val="0"/>
              <w:rPr>
                <w:color w:val="auto"/>
              </w:rPr>
            </w:pPr>
            <w:r>
              <w:rPr>
                <w:color w:val="auto"/>
              </w:rPr>
              <w:t>预测结论</w:t>
            </w:r>
          </w:p>
        </w:tc>
        <w:tc>
          <w:tcPr>
            <w:tcW w:w="3278" w:type="pct"/>
            <w:gridSpan w:val="8"/>
            <w:vAlign w:val="center"/>
          </w:tcPr>
          <w:p w14:paraId="4997EC76">
            <w:pPr>
              <w:pStyle w:val="44"/>
              <w:bidi w:val="0"/>
              <w:rPr>
                <w:rFonts w:hint="eastAsia" w:eastAsia="宋体"/>
                <w:color w:val="auto"/>
                <w:lang w:eastAsia="zh-CN"/>
              </w:rPr>
            </w:pPr>
            <w:r>
              <w:rPr>
                <w:color w:val="auto"/>
              </w:rPr>
              <w:t>达标结论：a）□；b）□；c）</w:t>
            </w:r>
            <w:r>
              <w:rPr>
                <w:rFonts w:hint="eastAsia"/>
                <w:color w:val="auto"/>
                <w:lang w:eastAsia="zh-CN"/>
              </w:rPr>
              <w:t>☑</w:t>
            </w:r>
          </w:p>
          <w:p w14:paraId="1B6DE2E6">
            <w:pPr>
              <w:pStyle w:val="44"/>
              <w:bidi w:val="0"/>
              <w:rPr>
                <w:color w:val="auto"/>
              </w:rPr>
            </w:pPr>
            <w:r>
              <w:rPr>
                <w:color w:val="auto"/>
              </w:rPr>
              <w:t>不达标结论：a）□；b）□</w:t>
            </w:r>
          </w:p>
        </w:tc>
        <w:tc>
          <w:tcPr>
            <w:tcW w:w="612" w:type="pct"/>
            <w:vAlign w:val="center"/>
          </w:tcPr>
          <w:p w14:paraId="5F5C46FF">
            <w:pPr>
              <w:pStyle w:val="44"/>
              <w:bidi w:val="0"/>
              <w:rPr>
                <w:color w:val="auto"/>
              </w:rPr>
            </w:pPr>
          </w:p>
        </w:tc>
      </w:tr>
      <w:tr w14:paraId="3BBE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restart"/>
            <w:vAlign w:val="center"/>
          </w:tcPr>
          <w:p w14:paraId="2CB56891">
            <w:pPr>
              <w:pStyle w:val="44"/>
              <w:bidi w:val="0"/>
              <w:rPr>
                <w:color w:val="auto"/>
              </w:rPr>
            </w:pPr>
            <w:r>
              <w:rPr>
                <w:color w:val="auto"/>
              </w:rPr>
              <w:t>防治措</w:t>
            </w:r>
          </w:p>
          <w:p w14:paraId="46A6CABF">
            <w:pPr>
              <w:pStyle w:val="44"/>
              <w:bidi w:val="0"/>
              <w:rPr>
                <w:color w:val="auto"/>
              </w:rPr>
            </w:pPr>
            <w:r>
              <w:rPr>
                <w:color w:val="auto"/>
              </w:rPr>
              <w:t>施</w:t>
            </w:r>
          </w:p>
        </w:tc>
        <w:tc>
          <w:tcPr>
            <w:tcW w:w="890" w:type="pct"/>
            <w:vAlign w:val="center"/>
          </w:tcPr>
          <w:p w14:paraId="3D6BA64E">
            <w:pPr>
              <w:pStyle w:val="44"/>
              <w:bidi w:val="0"/>
              <w:rPr>
                <w:color w:val="auto"/>
              </w:rPr>
            </w:pPr>
            <w:r>
              <w:rPr>
                <w:color w:val="auto"/>
              </w:rPr>
              <w:t>防控措施</w:t>
            </w:r>
          </w:p>
        </w:tc>
        <w:tc>
          <w:tcPr>
            <w:tcW w:w="3278" w:type="pct"/>
            <w:gridSpan w:val="8"/>
            <w:vAlign w:val="center"/>
          </w:tcPr>
          <w:p w14:paraId="56D19756">
            <w:pPr>
              <w:pStyle w:val="44"/>
              <w:bidi w:val="0"/>
              <w:rPr>
                <w:color w:val="auto"/>
              </w:rPr>
            </w:pPr>
            <w:r>
              <w:rPr>
                <w:color w:val="auto"/>
              </w:rPr>
              <w:t>土壤环境质量现状保障☑；源头控制☑；过程防控☑；其他（）</w:t>
            </w:r>
          </w:p>
        </w:tc>
        <w:tc>
          <w:tcPr>
            <w:tcW w:w="612" w:type="pct"/>
            <w:vAlign w:val="center"/>
          </w:tcPr>
          <w:p w14:paraId="06D74D23">
            <w:pPr>
              <w:pStyle w:val="44"/>
              <w:bidi w:val="0"/>
              <w:rPr>
                <w:color w:val="auto"/>
              </w:rPr>
            </w:pPr>
          </w:p>
        </w:tc>
      </w:tr>
      <w:tr w14:paraId="0EF7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0F5B2917">
            <w:pPr>
              <w:pStyle w:val="44"/>
              <w:bidi w:val="0"/>
              <w:rPr>
                <w:color w:val="auto"/>
              </w:rPr>
            </w:pPr>
          </w:p>
        </w:tc>
        <w:tc>
          <w:tcPr>
            <w:tcW w:w="890" w:type="pct"/>
            <w:vMerge w:val="restart"/>
            <w:vAlign w:val="center"/>
          </w:tcPr>
          <w:p w14:paraId="62102718">
            <w:pPr>
              <w:pStyle w:val="44"/>
              <w:bidi w:val="0"/>
              <w:rPr>
                <w:color w:val="auto"/>
              </w:rPr>
            </w:pPr>
            <w:r>
              <w:rPr>
                <w:color w:val="auto"/>
              </w:rPr>
              <w:t>跟踪监测</w:t>
            </w:r>
          </w:p>
        </w:tc>
        <w:tc>
          <w:tcPr>
            <w:tcW w:w="863" w:type="pct"/>
            <w:gridSpan w:val="2"/>
            <w:vAlign w:val="center"/>
          </w:tcPr>
          <w:p w14:paraId="688EDFB1">
            <w:pPr>
              <w:pStyle w:val="44"/>
              <w:bidi w:val="0"/>
              <w:rPr>
                <w:color w:val="auto"/>
              </w:rPr>
            </w:pPr>
            <w:r>
              <w:rPr>
                <w:color w:val="auto"/>
              </w:rPr>
              <w:t>监测点数</w:t>
            </w:r>
          </w:p>
        </w:tc>
        <w:tc>
          <w:tcPr>
            <w:tcW w:w="1558" w:type="pct"/>
            <w:gridSpan w:val="2"/>
            <w:vAlign w:val="center"/>
          </w:tcPr>
          <w:p w14:paraId="66559BC6">
            <w:pPr>
              <w:pStyle w:val="44"/>
              <w:bidi w:val="0"/>
              <w:rPr>
                <w:color w:val="auto"/>
              </w:rPr>
            </w:pPr>
            <w:r>
              <w:rPr>
                <w:color w:val="auto"/>
              </w:rPr>
              <w:t>监测指标</w:t>
            </w:r>
          </w:p>
        </w:tc>
        <w:tc>
          <w:tcPr>
            <w:tcW w:w="856" w:type="pct"/>
            <w:gridSpan w:val="4"/>
            <w:vAlign w:val="center"/>
          </w:tcPr>
          <w:p w14:paraId="24B898CD">
            <w:pPr>
              <w:pStyle w:val="44"/>
              <w:bidi w:val="0"/>
              <w:rPr>
                <w:color w:val="auto"/>
              </w:rPr>
            </w:pPr>
            <w:r>
              <w:rPr>
                <w:color w:val="auto"/>
              </w:rPr>
              <w:t>监测频次</w:t>
            </w:r>
          </w:p>
        </w:tc>
        <w:tc>
          <w:tcPr>
            <w:tcW w:w="612" w:type="pct"/>
            <w:vMerge w:val="restart"/>
            <w:vAlign w:val="center"/>
          </w:tcPr>
          <w:p w14:paraId="48B85F60">
            <w:pPr>
              <w:pStyle w:val="44"/>
              <w:bidi w:val="0"/>
              <w:rPr>
                <w:color w:val="auto"/>
              </w:rPr>
            </w:pPr>
          </w:p>
        </w:tc>
      </w:tr>
      <w:tr w14:paraId="3EA9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7CE4EFB9">
            <w:pPr>
              <w:pStyle w:val="44"/>
              <w:bidi w:val="0"/>
              <w:rPr>
                <w:color w:val="auto"/>
              </w:rPr>
            </w:pPr>
          </w:p>
        </w:tc>
        <w:tc>
          <w:tcPr>
            <w:tcW w:w="890" w:type="pct"/>
            <w:vMerge w:val="continue"/>
            <w:vAlign w:val="center"/>
          </w:tcPr>
          <w:p w14:paraId="6A2F4B88">
            <w:pPr>
              <w:pStyle w:val="44"/>
              <w:bidi w:val="0"/>
              <w:rPr>
                <w:color w:val="auto"/>
              </w:rPr>
            </w:pPr>
          </w:p>
        </w:tc>
        <w:tc>
          <w:tcPr>
            <w:tcW w:w="863" w:type="pct"/>
            <w:gridSpan w:val="2"/>
            <w:shd w:val="clear" w:color="auto" w:fill="auto"/>
            <w:vAlign w:val="center"/>
          </w:tcPr>
          <w:p w14:paraId="27215FA4">
            <w:pPr>
              <w:pStyle w:val="44"/>
              <w:bidi w:val="0"/>
              <w:rPr>
                <w:rFonts w:hint="default" w:eastAsia="宋体"/>
                <w:color w:val="auto"/>
                <w:highlight w:val="none"/>
                <w:lang w:val="en-US" w:eastAsia="zh-CN"/>
              </w:rPr>
            </w:pPr>
            <w:r>
              <w:rPr>
                <w:rFonts w:hint="eastAsia"/>
                <w:color w:val="auto"/>
                <w:highlight w:val="none"/>
                <w:lang w:val="en-US" w:eastAsia="zh-CN"/>
              </w:rPr>
              <w:t>3个</w:t>
            </w:r>
          </w:p>
        </w:tc>
        <w:tc>
          <w:tcPr>
            <w:tcW w:w="1558" w:type="pct"/>
            <w:gridSpan w:val="2"/>
            <w:shd w:val="clear" w:color="auto" w:fill="auto"/>
            <w:vAlign w:val="center"/>
          </w:tcPr>
          <w:p w14:paraId="053AFFB1">
            <w:pPr>
              <w:pStyle w:val="44"/>
              <w:bidi w:val="0"/>
              <w:rPr>
                <w:color w:val="auto"/>
                <w:highlight w:val="none"/>
              </w:rPr>
            </w:pPr>
            <w:r>
              <w:rPr>
                <w:rFonts w:hint="eastAsia"/>
                <w:color w:val="auto"/>
                <w:highlight w:val="none"/>
              </w:rPr>
              <w:t>石油类、石油烃（C</w:t>
            </w:r>
            <w:r>
              <w:rPr>
                <w:rFonts w:hint="eastAsia"/>
                <w:color w:val="auto"/>
                <w:highlight w:val="none"/>
                <w:vertAlign w:val="subscript"/>
              </w:rPr>
              <w:t>6</w:t>
            </w:r>
            <w:r>
              <w:rPr>
                <w:rFonts w:hint="eastAsia"/>
                <w:color w:val="auto"/>
                <w:highlight w:val="none"/>
              </w:rPr>
              <w:t>~C</w:t>
            </w:r>
            <w:r>
              <w:rPr>
                <w:rFonts w:hint="eastAsia"/>
                <w:color w:val="auto"/>
                <w:highlight w:val="none"/>
                <w:vertAlign w:val="subscript"/>
              </w:rPr>
              <w:t>9</w:t>
            </w:r>
            <w:r>
              <w:rPr>
                <w:rFonts w:hint="eastAsia"/>
                <w:color w:val="auto"/>
                <w:highlight w:val="none"/>
              </w:rPr>
              <w:t>）、石油烃C</w:t>
            </w:r>
            <w:r>
              <w:rPr>
                <w:rFonts w:hint="eastAsia"/>
                <w:color w:val="auto"/>
                <w:highlight w:val="none"/>
                <w:vertAlign w:val="subscript"/>
              </w:rPr>
              <w:t>10</w:t>
            </w:r>
            <w:r>
              <w:rPr>
                <w:rFonts w:hint="eastAsia"/>
                <w:color w:val="auto"/>
                <w:highlight w:val="none"/>
              </w:rPr>
              <w:t>~C</w:t>
            </w:r>
            <w:r>
              <w:rPr>
                <w:rFonts w:hint="eastAsia"/>
                <w:color w:val="auto"/>
                <w:highlight w:val="none"/>
                <w:vertAlign w:val="subscript"/>
              </w:rPr>
              <w:t>40</w:t>
            </w:r>
            <w:r>
              <w:rPr>
                <w:rFonts w:hint="eastAsia"/>
                <w:color w:val="auto"/>
                <w:highlight w:val="none"/>
              </w:rPr>
              <w:t>）、砷、六价铬</w:t>
            </w:r>
          </w:p>
        </w:tc>
        <w:tc>
          <w:tcPr>
            <w:tcW w:w="856" w:type="pct"/>
            <w:gridSpan w:val="4"/>
            <w:shd w:val="clear" w:color="auto" w:fill="auto"/>
            <w:vAlign w:val="center"/>
          </w:tcPr>
          <w:p w14:paraId="1CA2A39F">
            <w:pPr>
              <w:pStyle w:val="44"/>
              <w:bidi w:val="0"/>
              <w:rPr>
                <w:color w:val="auto"/>
                <w:highlight w:val="none"/>
              </w:rPr>
            </w:pPr>
            <w:r>
              <w:rPr>
                <w:rFonts w:hint="eastAsia"/>
                <w:color w:val="auto"/>
                <w:highlight w:val="none"/>
              </w:rPr>
              <w:t>表层土每年一次，深层土3年一次</w:t>
            </w:r>
          </w:p>
        </w:tc>
        <w:tc>
          <w:tcPr>
            <w:tcW w:w="612" w:type="pct"/>
            <w:vMerge w:val="continue"/>
            <w:vAlign w:val="center"/>
          </w:tcPr>
          <w:p w14:paraId="5E6E6DC7">
            <w:pPr>
              <w:pStyle w:val="44"/>
              <w:bidi w:val="0"/>
              <w:rPr>
                <w:color w:val="auto"/>
              </w:rPr>
            </w:pPr>
          </w:p>
        </w:tc>
      </w:tr>
      <w:tr w14:paraId="6FEB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8" w:type="pct"/>
            <w:vMerge w:val="continue"/>
            <w:vAlign w:val="center"/>
          </w:tcPr>
          <w:p w14:paraId="324A239E">
            <w:pPr>
              <w:pStyle w:val="44"/>
              <w:bidi w:val="0"/>
              <w:rPr>
                <w:color w:val="auto"/>
              </w:rPr>
            </w:pPr>
          </w:p>
        </w:tc>
        <w:tc>
          <w:tcPr>
            <w:tcW w:w="890" w:type="pct"/>
            <w:vAlign w:val="center"/>
          </w:tcPr>
          <w:p w14:paraId="4DEECAEE">
            <w:pPr>
              <w:pStyle w:val="44"/>
              <w:bidi w:val="0"/>
              <w:rPr>
                <w:color w:val="auto"/>
              </w:rPr>
            </w:pPr>
            <w:r>
              <w:rPr>
                <w:color w:val="auto"/>
              </w:rPr>
              <w:t>信息公开指标</w:t>
            </w:r>
          </w:p>
        </w:tc>
        <w:tc>
          <w:tcPr>
            <w:tcW w:w="3278" w:type="pct"/>
            <w:gridSpan w:val="8"/>
            <w:vAlign w:val="center"/>
          </w:tcPr>
          <w:p w14:paraId="54B534F9">
            <w:pPr>
              <w:pStyle w:val="44"/>
              <w:bidi w:val="0"/>
              <w:rPr>
                <w:color w:val="auto"/>
              </w:rPr>
            </w:pPr>
            <w:r>
              <w:rPr>
                <w:color w:val="auto"/>
              </w:rPr>
              <w:t>土壤环境影响可接受</w:t>
            </w:r>
          </w:p>
        </w:tc>
        <w:tc>
          <w:tcPr>
            <w:tcW w:w="612" w:type="pct"/>
            <w:vMerge w:val="continue"/>
            <w:vAlign w:val="center"/>
          </w:tcPr>
          <w:p w14:paraId="23B06BC8">
            <w:pPr>
              <w:pStyle w:val="44"/>
              <w:bidi w:val="0"/>
              <w:rPr>
                <w:color w:val="auto"/>
              </w:rPr>
            </w:pPr>
          </w:p>
        </w:tc>
      </w:tr>
      <w:tr w14:paraId="2918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08" w:type="pct"/>
            <w:gridSpan w:val="2"/>
            <w:vAlign w:val="center"/>
          </w:tcPr>
          <w:p w14:paraId="151B9D4B">
            <w:pPr>
              <w:pStyle w:val="44"/>
              <w:bidi w:val="0"/>
              <w:rPr>
                <w:color w:val="auto"/>
              </w:rPr>
            </w:pPr>
            <w:r>
              <w:rPr>
                <w:color w:val="auto"/>
              </w:rPr>
              <w:t>评价结论</w:t>
            </w:r>
          </w:p>
        </w:tc>
        <w:tc>
          <w:tcPr>
            <w:tcW w:w="3278" w:type="pct"/>
            <w:gridSpan w:val="8"/>
            <w:vAlign w:val="center"/>
          </w:tcPr>
          <w:p w14:paraId="781EBDCA">
            <w:pPr>
              <w:pStyle w:val="44"/>
              <w:bidi w:val="0"/>
              <w:rPr>
                <w:color w:val="auto"/>
              </w:rPr>
            </w:pPr>
            <w:r>
              <w:rPr>
                <w:color w:val="auto"/>
              </w:rPr>
              <w:t>项目所在区域土壤环境质量达标</w:t>
            </w:r>
          </w:p>
        </w:tc>
        <w:tc>
          <w:tcPr>
            <w:tcW w:w="612" w:type="pct"/>
            <w:vAlign w:val="center"/>
          </w:tcPr>
          <w:p w14:paraId="637FD2F5">
            <w:pPr>
              <w:pStyle w:val="44"/>
              <w:bidi w:val="0"/>
              <w:rPr>
                <w:color w:val="auto"/>
              </w:rPr>
            </w:pPr>
          </w:p>
        </w:tc>
      </w:tr>
      <w:tr w14:paraId="714F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000" w:type="pct"/>
            <w:gridSpan w:val="11"/>
            <w:vAlign w:val="center"/>
          </w:tcPr>
          <w:p w14:paraId="038F9C0B">
            <w:pPr>
              <w:pStyle w:val="44"/>
              <w:bidi w:val="0"/>
              <w:rPr>
                <w:color w:val="auto"/>
              </w:rPr>
            </w:pPr>
            <w:r>
              <w:rPr>
                <w:color w:val="auto"/>
              </w:rPr>
              <w:t>注 1：“□”为勾选项，可√；“（ ）”为内容填写项；“备注”为其他补充内容。</w:t>
            </w:r>
          </w:p>
          <w:p w14:paraId="0859C27B">
            <w:pPr>
              <w:pStyle w:val="44"/>
              <w:bidi w:val="0"/>
              <w:rPr>
                <w:color w:val="auto"/>
              </w:rPr>
            </w:pPr>
            <w:r>
              <w:rPr>
                <w:color w:val="auto"/>
              </w:rPr>
              <w:t>注 2：需要分别开展土壤环境影响评级工作的，分别填写自查表。</w:t>
            </w:r>
          </w:p>
        </w:tc>
      </w:tr>
    </w:tbl>
    <w:p w14:paraId="12484868">
      <w:pPr>
        <w:pStyle w:val="5"/>
        <w:bidi w:val="0"/>
        <w:rPr>
          <w:rFonts w:hint="default"/>
          <w:color w:val="auto"/>
          <w:lang w:val="en-US" w:eastAsia="zh-CN"/>
        </w:rPr>
      </w:pPr>
      <w:r>
        <w:rPr>
          <w:rFonts w:hint="eastAsia"/>
          <w:color w:val="auto"/>
          <w:lang w:val="en-US" w:eastAsia="zh-CN"/>
        </w:rPr>
        <w:t>5.2.7运营期生态环境影响分析</w:t>
      </w:r>
    </w:p>
    <w:p w14:paraId="5A655F14">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根据前述分析，项目</w:t>
      </w:r>
      <w:r>
        <w:rPr>
          <w:rFonts w:hint="eastAsia" w:ascii="Times New Roman" w:hAnsi="Times New Roman" w:eastAsia="宋体" w:cs="Times New Roman"/>
          <w:color w:val="auto"/>
          <w:lang w:val="en-US" w:eastAsia="zh-CN"/>
        </w:rPr>
        <w:t>运营</w:t>
      </w:r>
      <w:r>
        <w:rPr>
          <w:rFonts w:hint="default" w:ascii="Times New Roman" w:hAnsi="Times New Roman" w:eastAsia="宋体" w:cs="Times New Roman"/>
          <w:color w:val="auto"/>
        </w:rPr>
        <w:t>过程中的废气、废水和固体废物均得到有效处置，排放量少，对生态环境造成影响很轻微。临时占地在项目</w:t>
      </w:r>
      <w:r>
        <w:rPr>
          <w:rFonts w:hint="eastAsia" w:ascii="Times New Roman" w:hAnsi="Times New Roman" w:eastAsia="宋体" w:cs="Times New Roman"/>
          <w:color w:val="auto"/>
          <w:lang w:eastAsia="zh-CN"/>
        </w:rPr>
        <w:t>运营</w:t>
      </w:r>
      <w:r>
        <w:rPr>
          <w:rFonts w:hint="default" w:ascii="Times New Roman" w:hAnsi="Times New Roman" w:eastAsia="宋体" w:cs="Times New Roman"/>
          <w:color w:val="auto"/>
        </w:rPr>
        <w:t>过程中将得到进一步恢复，因此对生态环境的影响主要体现在</w:t>
      </w:r>
      <w:r>
        <w:rPr>
          <w:rFonts w:hint="eastAsia" w:ascii="Times New Roman" w:hAnsi="Times New Roman" w:eastAsia="宋体" w:cs="Times New Roman"/>
          <w:color w:val="auto"/>
          <w:lang w:val="en-US" w:eastAsia="zh-CN"/>
        </w:rPr>
        <w:t>井场</w:t>
      </w:r>
      <w:r>
        <w:rPr>
          <w:rFonts w:hint="default" w:ascii="Times New Roman" w:hAnsi="Times New Roman" w:eastAsia="宋体" w:cs="Times New Roman"/>
          <w:color w:val="auto"/>
        </w:rPr>
        <w:t>对动植物及景观生态的影响。</w:t>
      </w:r>
    </w:p>
    <w:p w14:paraId="2A9C0C0C">
      <w:pPr>
        <w:pStyle w:val="6"/>
        <w:bidi w:val="0"/>
        <w:rPr>
          <w:rFonts w:hint="default"/>
          <w:color w:val="auto"/>
          <w:lang w:val="en-US" w:eastAsia="zh-CN"/>
        </w:rPr>
      </w:pPr>
      <w:r>
        <w:rPr>
          <w:rFonts w:hint="eastAsia"/>
          <w:color w:val="auto"/>
          <w:lang w:val="en-US" w:eastAsia="zh-CN"/>
        </w:rPr>
        <w:t>5.2.7.1土壤的影响分析</w:t>
      </w:r>
    </w:p>
    <w:p w14:paraId="4AEB385C">
      <w:pPr>
        <w:pStyle w:val="33"/>
        <w:bidi w:val="0"/>
        <w:rPr>
          <w:rFonts w:hint="default"/>
          <w:color w:val="auto"/>
        </w:rPr>
      </w:pPr>
      <w:r>
        <w:rPr>
          <w:rFonts w:hint="eastAsia"/>
          <w:color w:val="auto"/>
          <w:lang w:val="en-US" w:eastAsia="zh-CN"/>
        </w:rPr>
        <w:t>运营</w:t>
      </w:r>
      <w:r>
        <w:rPr>
          <w:color w:val="auto"/>
        </w:rPr>
        <w:t>期对土地的占用为永久性占用，改变了原有土壤理化性质和结构，并且难以恢复，但这一时期永久性占地面积相对较小，对土壤环境的影响较轻。</w:t>
      </w:r>
    </w:p>
    <w:p w14:paraId="173C4A18">
      <w:pPr>
        <w:pStyle w:val="6"/>
        <w:bidi w:val="0"/>
        <w:rPr>
          <w:rFonts w:hint="default"/>
          <w:color w:val="auto"/>
          <w:lang w:val="en-US" w:eastAsia="zh-CN"/>
        </w:rPr>
      </w:pPr>
      <w:r>
        <w:rPr>
          <w:rFonts w:hint="eastAsia"/>
          <w:color w:val="auto"/>
          <w:lang w:val="en-US" w:eastAsia="zh-CN"/>
        </w:rPr>
        <w:t>5.2.7.2动植物的影响分析</w:t>
      </w:r>
    </w:p>
    <w:p w14:paraId="5AC2D725">
      <w:pPr>
        <w:pStyle w:val="33"/>
        <w:bidi w:val="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运营期</w:t>
      </w:r>
      <w:r>
        <w:rPr>
          <w:rFonts w:hint="default" w:ascii="Times New Roman" w:hAnsi="Times New Roman" w:eastAsia="宋体" w:cs="Times New Roman"/>
          <w:color w:val="auto"/>
        </w:rPr>
        <w:t>，井场仅有巡护人员，人类活动对于野生动物的活动影响小，但仍需加强对人员活动的控制，禁止对野生动物的捕杀、猎食，减少对野生动物的干扰，夜间尽量减少活动，另外评价区域内随着油田的生产建设，交通量也会有所增大，交通噪声将对道路两侧动物形成惊扰作用，但对于已经适应环境的野生动物，如鸟类，基本不存在影响。</w:t>
      </w:r>
    </w:p>
    <w:p w14:paraId="4109E936">
      <w:pPr>
        <w:pStyle w:val="6"/>
        <w:bidi w:val="0"/>
        <w:rPr>
          <w:rFonts w:hint="default"/>
          <w:color w:val="auto"/>
          <w:lang w:val="en-US" w:eastAsia="zh-CN"/>
        </w:rPr>
      </w:pPr>
      <w:r>
        <w:rPr>
          <w:rFonts w:hint="eastAsia"/>
          <w:color w:val="auto"/>
          <w:lang w:val="en-US" w:eastAsia="zh-CN"/>
        </w:rPr>
        <w:t>5.2.7.3景观生态影响分析</w:t>
      </w:r>
    </w:p>
    <w:p w14:paraId="2AAAF8F9">
      <w:pPr>
        <w:pStyle w:val="33"/>
        <w:bidi w:val="0"/>
        <w:rPr>
          <w:rFonts w:hint="eastAsia"/>
          <w:color w:val="auto"/>
          <w:lang w:val="en-US" w:eastAsia="zh-CN"/>
        </w:rPr>
      </w:pPr>
      <w:r>
        <w:rPr>
          <w:rFonts w:hint="eastAsia"/>
          <w:color w:val="auto"/>
          <w:lang w:val="en-US" w:eastAsia="zh-CN"/>
        </w:rPr>
        <w:t>在项目建成后，评价区内的组成景观结构的基质不会发生变化，斑块类型和数量有一定的增加，主要表现在油田的井场人工干扰斑块的类型和数量增加。本工程生产区属点状开发，对整体景观生态格局影响较小。从景观美学角度来看，对原始的自然景观产生了一定的破坏，但大大提升了景观的社会服务功能和经济服务功能。</w:t>
      </w:r>
    </w:p>
    <w:p w14:paraId="1127B2A4">
      <w:pPr>
        <w:pStyle w:val="6"/>
        <w:bidi w:val="0"/>
        <w:rPr>
          <w:rFonts w:hint="default"/>
          <w:color w:val="auto"/>
          <w:lang w:val="en-US" w:eastAsia="zh-CN"/>
        </w:rPr>
      </w:pPr>
      <w:r>
        <w:rPr>
          <w:rFonts w:hint="eastAsia"/>
          <w:color w:val="auto"/>
          <w:lang w:val="en-US" w:eastAsia="zh-CN"/>
        </w:rPr>
        <w:t>5.2.7.4生态影响评价自查表</w:t>
      </w:r>
    </w:p>
    <w:p w14:paraId="761C88B9">
      <w:pPr>
        <w:pStyle w:val="33"/>
        <w:bidi w:val="0"/>
        <w:rPr>
          <w:rFonts w:hint="default"/>
          <w:color w:val="auto"/>
          <w:lang w:val="en-US" w:eastAsia="zh-CN"/>
        </w:rPr>
      </w:pPr>
      <w:r>
        <w:rPr>
          <w:rFonts w:hint="eastAsia"/>
          <w:color w:val="auto"/>
          <w:lang w:val="en-US" w:eastAsia="zh-CN"/>
        </w:rPr>
        <w:t>生态影响评价自查表见表5.2-22。</w:t>
      </w:r>
    </w:p>
    <w:p w14:paraId="1E41B550">
      <w:pPr>
        <w:pStyle w:val="43"/>
        <w:bidi w:val="0"/>
        <w:rPr>
          <w:color w:val="auto"/>
        </w:rPr>
      </w:pPr>
      <w:r>
        <w:rPr>
          <w:color w:val="auto"/>
        </w:rPr>
        <w:t>表</w:t>
      </w:r>
      <w:r>
        <w:rPr>
          <w:rFonts w:hint="eastAsia"/>
          <w:color w:val="auto"/>
          <w:lang w:val="en-US" w:eastAsia="zh-CN"/>
        </w:rPr>
        <w:t>5.2-22</w:t>
      </w:r>
      <w:r>
        <w:rPr>
          <w:color w:val="auto"/>
        </w:rPr>
        <w:t xml:space="preserve">  生态影响评价自查表</w:t>
      </w:r>
    </w:p>
    <w:tbl>
      <w:tblPr>
        <w:tblStyle w:val="7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042"/>
        <w:gridCol w:w="1664"/>
        <w:gridCol w:w="6126"/>
      </w:tblGrid>
      <w:tr w14:paraId="2205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53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09E477">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b/>
                <w:bCs/>
                <w:color w:val="auto"/>
                <w:kern w:val="2"/>
                <w:sz w:val="21"/>
                <w:szCs w:val="21"/>
                <w:lang w:val="en-US" w:eastAsia="zh-CN" w:bidi="ar-SA"/>
              </w:rPr>
            </w:pPr>
            <w:r>
              <w:rPr>
                <w:rFonts w:ascii="Times New Roman" w:hAnsi="Times New Roman" w:eastAsia="Times New Roman" w:cs="宋体"/>
                <w:b/>
                <w:bCs/>
                <w:color w:val="auto"/>
                <w:kern w:val="2"/>
                <w:sz w:val="21"/>
                <w:szCs w:val="21"/>
                <w:lang w:val="en-US" w:eastAsia="zh-CN" w:bidi="ar-SA"/>
              </w:rPr>
              <w:t>工作内容</w:t>
            </w:r>
          </w:p>
        </w:tc>
        <w:tc>
          <w:tcPr>
            <w:tcW w:w="3467" w:type="pct"/>
            <w:tcBorders>
              <w:top w:val="single" w:color="auto" w:sz="4" w:space="0"/>
              <w:left w:val="single" w:color="auto" w:sz="4" w:space="0"/>
              <w:bottom w:val="single" w:color="auto" w:sz="4" w:space="0"/>
              <w:right w:val="single" w:color="auto" w:sz="4" w:space="0"/>
            </w:tcBorders>
            <w:shd w:val="clear" w:color="auto" w:fill="auto"/>
            <w:vAlign w:val="center"/>
          </w:tcPr>
          <w:p w14:paraId="13705FD5">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b/>
                <w:bCs/>
                <w:color w:val="auto"/>
                <w:kern w:val="2"/>
                <w:sz w:val="21"/>
                <w:szCs w:val="21"/>
                <w:lang w:val="en-US" w:eastAsia="zh-CN" w:bidi="ar-SA"/>
              </w:rPr>
            </w:pPr>
            <w:r>
              <w:rPr>
                <w:rFonts w:ascii="Times New Roman" w:hAnsi="Times New Roman" w:eastAsia="Times New Roman" w:cs="宋体"/>
                <w:b/>
                <w:bCs/>
                <w:color w:val="auto"/>
                <w:kern w:val="2"/>
                <w:sz w:val="21"/>
                <w:szCs w:val="21"/>
                <w:lang w:val="en-US" w:eastAsia="zh-CN" w:bidi="ar-SA"/>
              </w:rPr>
              <w:t>自查项目</w:t>
            </w:r>
          </w:p>
        </w:tc>
      </w:tr>
      <w:tr w14:paraId="722B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restart"/>
            <w:tcBorders>
              <w:top w:val="nil"/>
              <w:left w:val="single" w:color="auto" w:sz="4" w:space="0"/>
              <w:bottom w:val="single" w:color="auto" w:sz="4" w:space="0"/>
              <w:right w:val="single" w:color="auto" w:sz="4" w:space="0"/>
            </w:tcBorders>
            <w:vAlign w:val="center"/>
          </w:tcPr>
          <w:p w14:paraId="2ECC88A0">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生态影响识别</w:t>
            </w:r>
          </w:p>
        </w:tc>
        <w:tc>
          <w:tcPr>
            <w:tcW w:w="942" w:type="pct"/>
            <w:tcBorders>
              <w:top w:val="single" w:color="auto" w:sz="4" w:space="0"/>
              <w:left w:val="single" w:color="auto" w:sz="4" w:space="0"/>
              <w:bottom w:val="single" w:color="auto" w:sz="4" w:space="0"/>
              <w:right w:val="single" w:color="auto" w:sz="4" w:space="0"/>
            </w:tcBorders>
            <w:vAlign w:val="center"/>
          </w:tcPr>
          <w:p w14:paraId="4637E390">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生态保护目标</w:t>
            </w:r>
          </w:p>
        </w:tc>
        <w:tc>
          <w:tcPr>
            <w:tcW w:w="3467" w:type="pct"/>
            <w:tcBorders>
              <w:top w:val="single" w:color="auto" w:sz="4" w:space="0"/>
              <w:left w:val="single" w:color="auto" w:sz="4" w:space="0"/>
              <w:bottom w:val="single" w:color="auto" w:sz="4" w:space="0"/>
              <w:right w:val="single" w:color="auto" w:sz="4" w:space="0"/>
            </w:tcBorders>
            <w:vAlign w:val="center"/>
          </w:tcPr>
          <w:p w14:paraId="4897B0C8">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hint="eastAsia" w:ascii="Times New Roman" w:hAnsi="Times New Roman" w:eastAsia="宋体"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重要物种</w:t>
            </w:r>
            <w:sdt>
              <w:sdtPr>
                <w:rPr>
                  <w:rFonts w:ascii="Times New Roman" w:hAnsi="Times New Roman" w:eastAsia="Times New Roman" w:cs="宋体"/>
                  <w:color w:val="auto"/>
                  <w:kern w:val="2"/>
                  <w:sz w:val="18"/>
                  <w:szCs w:val="18"/>
                  <w:lang w:val="en-US" w:eastAsia="zh-CN" w:bidi="ar-SA"/>
                </w:rPr>
                <w:id w:val="37344426"/>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；国家公园</w:t>
            </w:r>
            <w:sdt>
              <w:sdtPr>
                <w:rPr>
                  <w:rFonts w:ascii="Times New Roman" w:hAnsi="Times New Roman" w:eastAsia="Times New Roman" w:cs="宋体"/>
                  <w:color w:val="auto"/>
                  <w:kern w:val="2"/>
                  <w:sz w:val="18"/>
                  <w:szCs w:val="18"/>
                  <w:lang w:val="en-US" w:eastAsia="zh-CN" w:bidi="ar-SA"/>
                </w:rPr>
                <w:id w:val="806825532"/>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；自然保护区</w:t>
            </w:r>
            <w:sdt>
              <w:sdtPr>
                <w:rPr>
                  <w:rFonts w:ascii="Times New Roman" w:hAnsi="Times New Roman" w:eastAsia="Times New Roman" w:cs="宋体"/>
                  <w:color w:val="auto"/>
                  <w:kern w:val="2"/>
                  <w:sz w:val="18"/>
                  <w:szCs w:val="18"/>
                  <w:lang w:val="en-US" w:eastAsia="zh-CN" w:bidi="ar-SA"/>
                </w:rPr>
                <w:id w:val="897735393"/>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；自然公园</w:t>
            </w:r>
            <w:sdt>
              <w:sdtPr>
                <w:rPr>
                  <w:rFonts w:ascii="Times New Roman" w:hAnsi="Times New Roman" w:eastAsia="Times New Roman" w:cs="宋体"/>
                  <w:color w:val="auto"/>
                  <w:kern w:val="2"/>
                  <w:sz w:val="18"/>
                  <w:szCs w:val="18"/>
                  <w:lang w:val="en-US" w:eastAsia="zh-CN" w:bidi="ar-SA"/>
                </w:rPr>
                <w:id w:val="370498001"/>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；世界自然遗产</w:t>
            </w:r>
            <w:sdt>
              <w:sdtPr>
                <w:rPr>
                  <w:rFonts w:ascii="Times New Roman" w:hAnsi="Times New Roman" w:eastAsia="Times New Roman" w:cs="宋体"/>
                  <w:color w:val="auto"/>
                  <w:kern w:val="2"/>
                  <w:sz w:val="18"/>
                  <w:szCs w:val="18"/>
                  <w:lang w:val="en-US" w:eastAsia="zh-CN" w:bidi="ar-SA"/>
                </w:rPr>
                <w:id w:val="827024974"/>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；生态保护红线</w:t>
            </w:r>
            <w:sdt>
              <w:sdtPr>
                <w:rPr>
                  <w:rFonts w:ascii="Times New Roman" w:hAnsi="Times New Roman" w:eastAsia="Times New Roman" w:cs="宋体"/>
                  <w:color w:val="auto"/>
                  <w:kern w:val="2"/>
                  <w:sz w:val="18"/>
                  <w:szCs w:val="18"/>
                  <w:lang w:val="en-US" w:eastAsia="zh-CN" w:bidi="ar-SA"/>
                </w:rPr>
                <w:id w:val="1998303222"/>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；重要生境</w:t>
            </w:r>
            <w:sdt>
              <w:sdtPr>
                <w:rPr>
                  <w:rFonts w:ascii="Times New Roman" w:hAnsi="Times New Roman" w:eastAsia="Times New Roman" w:cs="宋体"/>
                  <w:color w:val="auto"/>
                  <w:kern w:val="2"/>
                  <w:sz w:val="18"/>
                  <w:szCs w:val="18"/>
                  <w:lang w:val="en-US" w:eastAsia="zh-CN" w:bidi="ar-SA"/>
                </w:rPr>
                <w:id w:val="294044225"/>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；其他具有重要生态功能、对保护生物多样性具有重要意义的区域</w:t>
            </w:r>
            <w:sdt>
              <w:sdtPr>
                <w:rPr>
                  <w:rFonts w:ascii="Times New Roman" w:hAnsi="Times New Roman" w:eastAsia="Times New Roman" w:cs="宋体"/>
                  <w:color w:val="auto"/>
                  <w:kern w:val="2"/>
                  <w:sz w:val="18"/>
                  <w:szCs w:val="18"/>
                  <w:lang w:val="en-US" w:eastAsia="zh-CN" w:bidi="ar-SA"/>
                </w:rPr>
                <w:id w:val="969400726"/>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；其他</w:t>
            </w:r>
            <w:r>
              <w:rPr>
                <w:rFonts w:hint="eastAsia"/>
                <w:color w:val="auto"/>
                <w:kern w:val="2"/>
                <w:lang w:eastAsia="zh-CN"/>
              </w:rPr>
              <w:t>☑</w:t>
            </w:r>
          </w:p>
        </w:tc>
      </w:tr>
      <w:tr w14:paraId="2249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12C5C8AB">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p>
        </w:tc>
        <w:tc>
          <w:tcPr>
            <w:tcW w:w="942" w:type="pct"/>
            <w:tcBorders>
              <w:top w:val="single" w:color="auto" w:sz="4" w:space="0"/>
              <w:left w:val="single" w:color="auto" w:sz="4" w:space="0"/>
              <w:bottom w:val="single" w:color="auto" w:sz="4" w:space="0"/>
              <w:right w:val="single" w:color="auto" w:sz="4" w:space="0"/>
            </w:tcBorders>
            <w:vAlign w:val="center"/>
          </w:tcPr>
          <w:p w14:paraId="06D4613A">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影响方式</w:t>
            </w:r>
          </w:p>
        </w:tc>
        <w:tc>
          <w:tcPr>
            <w:tcW w:w="3467" w:type="pct"/>
            <w:tcBorders>
              <w:top w:val="single" w:color="auto" w:sz="4" w:space="0"/>
              <w:left w:val="single" w:color="auto" w:sz="4" w:space="0"/>
              <w:bottom w:val="single" w:color="auto" w:sz="4" w:space="0"/>
              <w:right w:val="single" w:color="auto" w:sz="4" w:space="0"/>
            </w:tcBorders>
            <w:vAlign w:val="center"/>
          </w:tcPr>
          <w:p w14:paraId="665C1B7E">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工程占地</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；施工活动干扰</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；改变环境条件</w:t>
            </w:r>
            <w:r>
              <w:rPr>
                <w:color w:val="auto"/>
                <w:kern w:val="2"/>
              </w:rPr>
              <w:t>□</w:t>
            </w:r>
            <w:r>
              <w:rPr>
                <w:rFonts w:ascii="Times New Roman" w:hAnsi="Times New Roman" w:eastAsia="Times New Roman" w:cs="宋体"/>
                <w:color w:val="auto"/>
                <w:kern w:val="2"/>
                <w:sz w:val="21"/>
                <w:szCs w:val="21"/>
                <w:lang w:val="en-US" w:eastAsia="zh-CN" w:bidi="ar-SA"/>
              </w:rPr>
              <w:t>；其他</w:t>
            </w:r>
            <w:r>
              <w:rPr>
                <w:color w:val="auto"/>
                <w:kern w:val="2"/>
              </w:rPr>
              <w:t>□</w:t>
            </w:r>
          </w:p>
        </w:tc>
      </w:tr>
      <w:tr w14:paraId="4F62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2B35FC82">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p>
        </w:tc>
        <w:tc>
          <w:tcPr>
            <w:tcW w:w="942" w:type="pct"/>
            <w:tcBorders>
              <w:top w:val="single" w:color="auto" w:sz="4" w:space="0"/>
              <w:left w:val="single" w:color="auto" w:sz="4" w:space="0"/>
              <w:bottom w:val="single" w:color="auto" w:sz="4" w:space="0"/>
              <w:right w:val="single" w:color="auto" w:sz="4" w:space="0"/>
            </w:tcBorders>
            <w:vAlign w:val="center"/>
          </w:tcPr>
          <w:p w14:paraId="231F3348">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评价因子</w:t>
            </w:r>
          </w:p>
        </w:tc>
        <w:tc>
          <w:tcPr>
            <w:tcW w:w="3467" w:type="pct"/>
            <w:tcBorders>
              <w:top w:val="single" w:color="auto" w:sz="4" w:space="0"/>
              <w:left w:val="single" w:color="auto" w:sz="4" w:space="0"/>
              <w:bottom w:val="single" w:color="auto" w:sz="4" w:space="0"/>
              <w:right w:val="single" w:color="auto" w:sz="4" w:space="0"/>
            </w:tcBorders>
            <w:vAlign w:val="center"/>
          </w:tcPr>
          <w:p w14:paraId="1DC679FD">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物种</w:t>
            </w:r>
            <w:sdt>
              <w:sdtPr>
                <w:rPr>
                  <w:rFonts w:ascii="Times New Roman" w:hAnsi="Times New Roman" w:eastAsia="Times New Roman" w:cs="宋体"/>
                  <w:color w:val="auto"/>
                  <w:kern w:val="2"/>
                  <w:sz w:val="18"/>
                  <w:szCs w:val="18"/>
                  <w:lang w:val="en-US" w:eastAsia="zh-CN" w:bidi="ar-SA"/>
                </w:rPr>
                <w:id w:val="1558520281"/>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w:t>
            </w:r>
          </w:p>
          <w:p w14:paraId="50EBE2D2">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生境</w:t>
            </w:r>
            <w:sdt>
              <w:sdtPr>
                <w:rPr>
                  <w:rFonts w:ascii="Times New Roman" w:hAnsi="Times New Roman" w:eastAsia="Times New Roman" w:cs="宋体"/>
                  <w:color w:val="auto"/>
                  <w:kern w:val="2"/>
                  <w:sz w:val="18"/>
                  <w:szCs w:val="18"/>
                  <w:lang w:val="en-US" w:eastAsia="zh-CN" w:bidi="ar-SA"/>
                </w:rPr>
                <w:id w:val="917501955"/>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w:t>
            </w:r>
          </w:p>
          <w:p w14:paraId="5914DB83">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生物群落</w:t>
            </w:r>
            <w:sdt>
              <w:sdtPr>
                <w:rPr>
                  <w:rFonts w:ascii="Times New Roman" w:hAnsi="Times New Roman" w:eastAsia="Times New Roman" w:cs="宋体"/>
                  <w:color w:val="auto"/>
                  <w:kern w:val="2"/>
                  <w:sz w:val="18"/>
                  <w:szCs w:val="18"/>
                  <w:lang w:val="en-US" w:eastAsia="zh-CN" w:bidi="ar-SA"/>
                </w:rPr>
                <w:id w:val="1469159752"/>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w:t>
            </w:r>
            <w:r>
              <w:rPr>
                <w:rFonts w:hint="eastAsia" w:ascii="Times New Roman" w:hAnsi="Times New Roman" w:eastAsia="Times New Roman" w:cs="宋体"/>
                <w:color w:val="auto"/>
                <w:kern w:val="2"/>
                <w:sz w:val="21"/>
                <w:szCs w:val="21"/>
                <w:lang w:val="en-US" w:eastAsia="zh-CN" w:bidi="ar-SA"/>
              </w:rPr>
              <w:t>梭梭</w:t>
            </w:r>
            <w:r>
              <w:rPr>
                <w:rFonts w:ascii="Times New Roman" w:hAnsi="Times New Roman" w:eastAsia="Times New Roman" w:cs="宋体"/>
                <w:color w:val="auto"/>
                <w:kern w:val="2"/>
                <w:sz w:val="21"/>
                <w:szCs w:val="21"/>
                <w:lang w:val="en-US" w:eastAsia="zh-CN" w:bidi="ar-SA"/>
              </w:rPr>
              <w:t>群落）</w:t>
            </w:r>
          </w:p>
          <w:p w14:paraId="0CBF3890">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生态系统</w:t>
            </w:r>
            <w:sdt>
              <w:sdtPr>
                <w:rPr>
                  <w:rFonts w:ascii="Times New Roman" w:hAnsi="Times New Roman" w:eastAsia="Times New Roman" w:cs="宋体"/>
                  <w:color w:val="auto"/>
                  <w:kern w:val="2"/>
                  <w:sz w:val="18"/>
                  <w:szCs w:val="18"/>
                  <w:lang w:val="en-US" w:eastAsia="zh-CN" w:bidi="ar-SA"/>
                </w:rPr>
                <w:id w:val="788902504"/>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（草地生态系统、林地生态系统、荒漠生态系统、其他生态系统（工矿企业））</w:t>
            </w:r>
          </w:p>
          <w:p w14:paraId="58106DDE">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生物多样性</w:t>
            </w:r>
            <w:sdt>
              <w:sdtPr>
                <w:rPr>
                  <w:rFonts w:ascii="Times New Roman" w:hAnsi="Times New Roman" w:eastAsia="Times New Roman" w:cs="宋体"/>
                  <w:color w:val="auto"/>
                  <w:kern w:val="2"/>
                  <w:sz w:val="18"/>
                  <w:szCs w:val="18"/>
                  <w:lang w:val="en-US" w:eastAsia="zh-CN" w:bidi="ar-SA"/>
                </w:rPr>
                <w:id w:val="1034160293"/>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w:t>
            </w:r>
          </w:p>
          <w:p w14:paraId="18483938">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生态敏感区</w:t>
            </w:r>
            <w:sdt>
              <w:sdtPr>
                <w:rPr>
                  <w:rFonts w:ascii="Times New Roman" w:hAnsi="Times New Roman" w:eastAsia="Times New Roman" w:cs="宋体"/>
                  <w:color w:val="auto"/>
                  <w:kern w:val="2"/>
                  <w:sz w:val="18"/>
                  <w:szCs w:val="18"/>
                  <w:lang w:val="en-US" w:eastAsia="zh-CN" w:bidi="ar-SA"/>
                </w:rPr>
                <w:id w:val="998108714"/>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w:t>
            </w:r>
            <w:r>
              <w:rPr>
                <w:rFonts w:hint="eastAsia" w:ascii="Times New Roman" w:hAnsi="Times New Roman" w:eastAsia="Times New Roman" w:cs="宋体"/>
                <w:color w:val="auto"/>
                <w:kern w:val="2"/>
                <w:sz w:val="21"/>
                <w:szCs w:val="21"/>
                <w:lang w:val="en-US" w:eastAsia="zh-CN" w:bidi="ar-SA"/>
              </w:rPr>
              <w:t>/</w:t>
            </w:r>
            <w:r>
              <w:rPr>
                <w:rFonts w:ascii="Times New Roman" w:hAnsi="Times New Roman" w:eastAsia="Times New Roman" w:cs="宋体"/>
                <w:color w:val="auto"/>
                <w:kern w:val="2"/>
                <w:sz w:val="21"/>
                <w:szCs w:val="21"/>
                <w:lang w:val="en-US" w:eastAsia="zh-CN" w:bidi="ar-SA"/>
              </w:rPr>
              <w:t>）</w:t>
            </w:r>
          </w:p>
          <w:p w14:paraId="69E9B577">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自然景观</w:t>
            </w:r>
            <w:sdt>
              <w:sdtPr>
                <w:rPr>
                  <w:rFonts w:ascii="Times New Roman" w:hAnsi="Times New Roman" w:eastAsia="Times New Roman" w:cs="宋体"/>
                  <w:color w:val="auto"/>
                  <w:kern w:val="2"/>
                  <w:sz w:val="18"/>
                  <w:szCs w:val="18"/>
                  <w:lang w:val="en-US" w:eastAsia="zh-CN" w:bidi="ar-SA"/>
                </w:rPr>
                <w:id w:val="2043782401"/>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w:t>
            </w:r>
          </w:p>
          <w:p w14:paraId="05D3FF0A">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自然遗迹</w:t>
            </w:r>
            <w:sdt>
              <w:sdtPr>
                <w:rPr>
                  <w:rFonts w:ascii="Times New Roman" w:hAnsi="Times New Roman" w:eastAsia="Times New Roman" w:cs="宋体"/>
                  <w:color w:val="auto"/>
                  <w:kern w:val="2"/>
                  <w:sz w:val="18"/>
                  <w:szCs w:val="18"/>
                  <w:lang w:val="en-US" w:eastAsia="zh-CN" w:bidi="ar-SA"/>
                </w:rPr>
                <w:id w:val="510342197"/>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r>
              <w:rPr>
                <w:rFonts w:ascii="Times New Roman" w:hAnsi="Times New Roman" w:eastAsia="Times New Roman" w:cs="宋体"/>
                <w:color w:val="auto"/>
                <w:kern w:val="2"/>
                <w:sz w:val="21"/>
                <w:szCs w:val="21"/>
                <w:lang w:val="en-US" w:eastAsia="zh-CN" w:bidi="ar-SA"/>
              </w:rPr>
              <w:t>（/）</w:t>
            </w:r>
          </w:p>
          <w:p w14:paraId="7CC8FB50">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其他</w:t>
            </w:r>
            <w:r>
              <w:rPr>
                <w:color w:val="auto"/>
                <w:kern w:val="2"/>
              </w:rPr>
              <w:t>□</w:t>
            </w:r>
            <w:r>
              <w:rPr>
                <w:rFonts w:ascii="Times New Roman" w:hAnsi="Times New Roman" w:eastAsia="Times New Roman" w:cs="宋体"/>
                <w:color w:val="auto"/>
                <w:kern w:val="2"/>
                <w:sz w:val="21"/>
                <w:szCs w:val="21"/>
                <w:lang w:val="en-US" w:eastAsia="zh-CN" w:bidi="ar-SA"/>
              </w:rPr>
              <w:t>（）</w:t>
            </w:r>
          </w:p>
        </w:tc>
      </w:tr>
      <w:tr w14:paraId="351C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532" w:type="pct"/>
            <w:gridSpan w:val="2"/>
            <w:tcBorders>
              <w:top w:val="single" w:color="auto" w:sz="4" w:space="0"/>
              <w:left w:val="single" w:color="auto" w:sz="4" w:space="0"/>
              <w:bottom w:val="single" w:color="auto" w:sz="4" w:space="0"/>
              <w:right w:val="single" w:color="auto" w:sz="4" w:space="0"/>
            </w:tcBorders>
            <w:vAlign w:val="center"/>
          </w:tcPr>
          <w:p w14:paraId="3DA68E36">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评价等级</w:t>
            </w:r>
          </w:p>
        </w:tc>
        <w:tc>
          <w:tcPr>
            <w:tcW w:w="3467" w:type="pct"/>
            <w:tcBorders>
              <w:top w:val="single" w:color="auto" w:sz="4" w:space="0"/>
              <w:left w:val="single" w:color="auto" w:sz="4" w:space="0"/>
              <w:bottom w:val="single" w:color="auto" w:sz="4" w:space="0"/>
              <w:right w:val="single" w:color="auto" w:sz="4" w:space="0"/>
            </w:tcBorders>
            <w:vAlign w:val="center"/>
          </w:tcPr>
          <w:p w14:paraId="0251AF25">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一级</w:t>
            </w:r>
            <w:r>
              <w:rPr>
                <w:color w:val="auto"/>
                <w:kern w:val="2"/>
              </w:rPr>
              <w:t>□</w:t>
            </w:r>
            <w:r>
              <w:rPr>
                <w:rFonts w:ascii="Times New Roman" w:hAnsi="Times New Roman" w:eastAsia="Times New Roman" w:cs="宋体"/>
                <w:color w:val="auto"/>
                <w:kern w:val="2"/>
                <w:sz w:val="18"/>
                <w:szCs w:val="18"/>
                <w:lang w:val="en-US" w:eastAsia="zh-CN" w:bidi="ar-SA"/>
              </w:rPr>
              <w:t xml:space="preserve">   </w:t>
            </w:r>
            <w:r>
              <w:rPr>
                <w:rFonts w:ascii="Times New Roman" w:hAnsi="Times New Roman" w:eastAsia="Times New Roman" w:cs="宋体"/>
                <w:color w:val="auto"/>
                <w:kern w:val="2"/>
                <w:sz w:val="21"/>
                <w:szCs w:val="21"/>
                <w:lang w:val="en-US" w:eastAsia="zh-CN" w:bidi="ar-SA"/>
              </w:rPr>
              <w:t>二级</w:t>
            </w:r>
            <w:r>
              <w:rPr>
                <w:color w:val="auto"/>
                <w:kern w:val="2"/>
              </w:rPr>
              <w:t>□</w:t>
            </w:r>
            <w:r>
              <w:rPr>
                <w:rFonts w:ascii="Times New Roman" w:hAnsi="Times New Roman" w:eastAsia="Times New Roman" w:cs="宋体"/>
                <w:color w:val="auto"/>
                <w:kern w:val="2"/>
                <w:sz w:val="18"/>
                <w:szCs w:val="18"/>
                <w:lang w:val="en-US" w:eastAsia="zh-CN" w:bidi="ar-SA"/>
              </w:rPr>
              <w:t xml:space="preserve">   </w:t>
            </w:r>
            <w:r>
              <w:rPr>
                <w:rFonts w:ascii="Times New Roman" w:hAnsi="Times New Roman" w:eastAsia="Times New Roman" w:cs="宋体"/>
                <w:color w:val="auto"/>
                <w:kern w:val="2"/>
                <w:sz w:val="21"/>
                <w:szCs w:val="21"/>
                <w:lang w:val="en-US" w:eastAsia="zh-CN" w:bidi="ar-SA"/>
              </w:rPr>
              <w:t>三级</w:t>
            </w:r>
            <w:r>
              <w:rPr>
                <w:rFonts w:hint="eastAsia"/>
                <w:color w:val="auto"/>
                <w:kern w:val="2"/>
                <w:lang w:eastAsia="zh-CN"/>
              </w:rPr>
              <w:t>☑</w:t>
            </w:r>
            <w:r>
              <w:rPr>
                <w:rFonts w:ascii="Times New Roman" w:hAnsi="Times New Roman" w:eastAsia="Times New Roman" w:cs="宋体"/>
                <w:color w:val="auto"/>
                <w:kern w:val="2"/>
                <w:sz w:val="18"/>
                <w:szCs w:val="18"/>
                <w:lang w:val="en-US" w:eastAsia="zh-CN" w:bidi="ar-SA"/>
              </w:rPr>
              <w:t xml:space="preserve">   </w:t>
            </w:r>
            <w:r>
              <w:rPr>
                <w:rFonts w:ascii="Times New Roman" w:hAnsi="Times New Roman" w:eastAsia="Times New Roman" w:cs="宋体"/>
                <w:color w:val="auto"/>
                <w:kern w:val="2"/>
                <w:sz w:val="21"/>
                <w:szCs w:val="21"/>
                <w:lang w:val="en-US" w:eastAsia="zh-CN" w:bidi="ar-SA"/>
              </w:rPr>
              <w:t>生态影响简单分析</w:t>
            </w:r>
            <w:sdt>
              <w:sdtPr>
                <w:rPr>
                  <w:rFonts w:ascii="Times New Roman" w:hAnsi="Times New Roman" w:eastAsia="Times New Roman" w:cs="宋体"/>
                  <w:color w:val="auto"/>
                  <w:kern w:val="2"/>
                  <w:sz w:val="18"/>
                  <w:szCs w:val="18"/>
                  <w:lang w:val="en-US" w:eastAsia="zh-CN" w:bidi="ar-SA"/>
                </w:rPr>
                <w:id w:val="634786308"/>
                <w14:checkbox>
                  <w14:checked w14:val="0"/>
                  <w14:checkedState w14:val="0052" w14:font="Bahnschrift SemiBold"/>
                  <w14:uncheckedState w14:val="2610" w14:font="Bahnschrift Light Condensed"/>
                </w14:checkbox>
              </w:sdtPr>
              <w:sdtEndPr>
                <w:rPr>
                  <w:rFonts w:ascii="Times New Roman" w:hAnsi="Times New Roman" w:eastAsia="Times New Roman" w:cs="宋体"/>
                  <w:color w:val="auto"/>
                  <w:kern w:val="2"/>
                  <w:sz w:val="18"/>
                  <w:szCs w:val="18"/>
                  <w:lang w:val="en-US" w:eastAsia="zh-CN" w:bidi="ar-SA"/>
                </w:rPr>
              </w:sdtEndPr>
              <w:sdtContent/>
            </w:sdt>
          </w:p>
        </w:tc>
      </w:tr>
      <w:tr w14:paraId="680C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532" w:type="pct"/>
            <w:gridSpan w:val="2"/>
            <w:tcBorders>
              <w:top w:val="single" w:color="auto" w:sz="4" w:space="0"/>
              <w:left w:val="single" w:color="auto" w:sz="4" w:space="0"/>
              <w:bottom w:val="single" w:color="auto" w:sz="4" w:space="0"/>
              <w:right w:val="single" w:color="auto" w:sz="4" w:space="0"/>
            </w:tcBorders>
            <w:vAlign w:val="center"/>
          </w:tcPr>
          <w:p w14:paraId="76CE728E">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评价范围</w:t>
            </w:r>
          </w:p>
        </w:tc>
        <w:tc>
          <w:tcPr>
            <w:tcW w:w="3467" w:type="pct"/>
            <w:tcBorders>
              <w:top w:val="single" w:color="auto" w:sz="4" w:space="0"/>
              <w:left w:val="single" w:color="auto" w:sz="4" w:space="0"/>
              <w:bottom w:val="single" w:color="auto" w:sz="4" w:space="0"/>
              <w:right w:val="single" w:color="auto" w:sz="4" w:space="0"/>
            </w:tcBorders>
            <w:vAlign w:val="center"/>
          </w:tcPr>
          <w:p w14:paraId="2A1664F7">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vertAlign w:val="superscript"/>
                <w:lang w:val="en-US" w:eastAsia="zh-CN" w:bidi="ar-SA"/>
              </w:rPr>
            </w:pPr>
            <w:r>
              <w:rPr>
                <w:rFonts w:ascii="Times New Roman" w:hAnsi="Times New Roman" w:eastAsia="Times New Roman" w:cs="宋体"/>
                <w:color w:val="auto"/>
                <w:kern w:val="2"/>
                <w:sz w:val="21"/>
                <w:szCs w:val="21"/>
                <w:lang w:val="en-US" w:eastAsia="zh-CN" w:bidi="ar-SA"/>
              </w:rPr>
              <w:t>陆域面积：（</w:t>
            </w:r>
            <w:r>
              <w:rPr>
                <w:rFonts w:hint="eastAsia" w:cs="宋体"/>
                <w:color w:val="auto"/>
                <w:kern w:val="2"/>
                <w:sz w:val="21"/>
                <w:szCs w:val="21"/>
                <w:lang w:val="en-US" w:eastAsia="zh-CN" w:bidi="ar-SA"/>
              </w:rPr>
              <w:t>25.16</w:t>
            </w:r>
            <w:r>
              <w:rPr>
                <w:rFonts w:ascii="Times New Roman" w:hAnsi="Times New Roman" w:eastAsia="Times New Roman" w:cs="宋体"/>
                <w:color w:val="auto"/>
                <w:kern w:val="2"/>
                <w:sz w:val="21"/>
                <w:szCs w:val="21"/>
                <w:lang w:val="en-US" w:eastAsia="zh-CN" w:bidi="ar-SA"/>
              </w:rPr>
              <w:t>）km</w:t>
            </w:r>
            <w:r>
              <w:rPr>
                <w:rFonts w:ascii="Times New Roman" w:hAnsi="Times New Roman" w:eastAsia="Times New Roman" w:cs="宋体"/>
                <w:color w:val="auto"/>
                <w:kern w:val="2"/>
                <w:sz w:val="21"/>
                <w:szCs w:val="21"/>
                <w:vertAlign w:val="superscript"/>
                <w:lang w:val="en-US" w:eastAsia="zh-CN" w:bidi="ar-SA"/>
              </w:rPr>
              <w:t>2</w:t>
            </w:r>
            <w:r>
              <w:rPr>
                <w:rFonts w:ascii="Times New Roman" w:hAnsi="Times New Roman" w:eastAsia="Times New Roman" w:cs="宋体"/>
                <w:color w:val="auto"/>
                <w:kern w:val="2"/>
                <w:sz w:val="21"/>
                <w:szCs w:val="21"/>
                <w:lang w:val="en-US" w:eastAsia="zh-CN" w:bidi="ar-SA"/>
              </w:rPr>
              <w:t>；水域面积：（</w:t>
            </w:r>
            <w:r>
              <w:rPr>
                <w:rFonts w:hint="eastAsia" w:eastAsia="Times New Roman" w:cs="宋体"/>
                <w:color w:val="auto"/>
                <w:kern w:val="2"/>
                <w:sz w:val="21"/>
                <w:szCs w:val="21"/>
                <w:lang w:val="en-US" w:eastAsia="zh-CN" w:bidi="ar-SA"/>
              </w:rPr>
              <w:t>/</w:t>
            </w:r>
            <w:r>
              <w:rPr>
                <w:rFonts w:ascii="Times New Roman" w:hAnsi="Times New Roman" w:eastAsia="Times New Roman" w:cs="宋体"/>
                <w:color w:val="auto"/>
                <w:kern w:val="2"/>
                <w:sz w:val="21"/>
                <w:szCs w:val="21"/>
                <w:lang w:val="en-US" w:eastAsia="zh-CN" w:bidi="ar-SA"/>
              </w:rPr>
              <w:t>）km</w:t>
            </w:r>
            <w:r>
              <w:rPr>
                <w:rFonts w:ascii="Times New Roman" w:hAnsi="Times New Roman" w:eastAsia="Times New Roman" w:cs="宋体"/>
                <w:color w:val="auto"/>
                <w:kern w:val="2"/>
                <w:sz w:val="21"/>
                <w:szCs w:val="21"/>
                <w:vertAlign w:val="superscript"/>
                <w:lang w:val="en-US" w:eastAsia="zh-CN" w:bidi="ar-SA"/>
              </w:rPr>
              <w:t>2</w:t>
            </w:r>
          </w:p>
        </w:tc>
      </w:tr>
      <w:tr w14:paraId="2178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restart"/>
            <w:tcBorders>
              <w:top w:val="nil"/>
              <w:left w:val="single" w:color="auto" w:sz="4" w:space="0"/>
              <w:bottom w:val="single" w:color="auto" w:sz="4" w:space="0"/>
              <w:right w:val="single" w:color="auto" w:sz="4" w:space="0"/>
            </w:tcBorders>
            <w:vAlign w:val="center"/>
          </w:tcPr>
          <w:p w14:paraId="3FBFF556">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生态现状调查与评价</w:t>
            </w:r>
          </w:p>
        </w:tc>
        <w:tc>
          <w:tcPr>
            <w:tcW w:w="942" w:type="pct"/>
            <w:tcBorders>
              <w:top w:val="single" w:color="auto" w:sz="4" w:space="0"/>
              <w:left w:val="single" w:color="auto" w:sz="4" w:space="0"/>
              <w:bottom w:val="single" w:color="auto" w:sz="4" w:space="0"/>
              <w:right w:val="single" w:color="auto" w:sz="4" w:space="0"/>
            </w:tcBorders>
            <w:vAlign w:val="center"/>
          </w:tcPr>
          <w:p w14:paraId="431E4C2F">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调查方法</w:t>
            </w:r>
          </w:p>
        </w:tc>
        <w:tc>
          <w:tcPr>
            <w:tcW w:w="3467" w:type="pct"/>
            <w:tcBorders>
              <w:top w:val="single" w:color="auto" w:sz="4" w:space="0"/>
              <w:left w:val="single" w:color="auto" w:sz="4" w:space="0"/>
              <w:bottom w:val="single" w:color="auto" w:sz="4" w:space="0"/>
              <w:right w:val="single" w:color="auto" w:sz="4" w:space="0"/>
            </w:tcBorders>
            <w:vAlign w:val="center"/>
          </w:tcPr>
          <w:p w14:paraId="35EC8616">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资料收集</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；遥感调查</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；样方调查、样线</w:t>
            </w:r>
            <w:r>
              <w:rPr>
                <w:color w:val="auto"/>
                <w:kern w:val="2"/>
              </w:rPr>
              <w:t>□</w:t>
            </w:r>
            <w:r>
              <w:rPr>
                <w:rFonts w:ascii="Times New Roman" w:hAnsi="Times New Roman" w:eastAsia="Times New Roman" w:cs="宋体"/>
                <w:color w:val="auto"/>
                <w:kern w:val="2"/>
                <w:sz w:val="21"/>
                <w:szCs w:val="21"/>
                <w:lang w:val="en-US" w:eastAsia="zh-CN" w:bidi="ar-SA"/>
              </w:rPr>
              <w:t>；调查点位、断面</w:t>
            </w:r>
            <w:r>
              <w:rPr>
                <w:color w:val="auto"/>
                <w:kern w:val="2"/>
              </w:rPr>
              <w:t>□</w:t>
            </w:r>
            <w:r>
              <w:rPr>
                <w:rFonts w:ascii="Times New Roman" w:hAnsi="Times New Roman" w:eastAsia="Times New Roman" w:cs="宋体"/>
                <w:color w:val="auto"/>
                <w:kern w:val="2"/>
                <w:sz w:val="21"/>
                <w:szCs w:val="21"/>
                <w:lang w:val="en-US" w:eastAsia="zh-CN" w:bidi="ar-SA"/>
              </w:rPr>
              <w:t>；专家和公众咨询法</w:t>
            </w:r>
            <w:r>
              <w:rPr>
                <w:color w:val="auto"/>
                <w:kern w:val="2"/>
              </w:rPr>
              <w:t>□</w:t>
            </w:r>
            <w:r>
              <w:rPr>
                <w:rFonts w:ascii="Times New Roman" w:hAnsi="Times New Roman" w:eastAsia="Times New Roman" w:cs="宋体"/>
                <w:color w:val="auto"/>
                <w:kern w:val="2"/>
                <w:sz w:val="21"/>
                <w:szCs w:val="21"/>
                <w:lang w:val="en-US" w:eastAsia="zh-CN" w:bidi="ar-SA"/>
              </w:rPr>
              <w:t>；其他</w:t>
            </w:r>
            <w:r>
              <w:rPr>
                <w:color w:val="auto"/>
                <w:kern w:val="2"/>
              </w:rPr>
              <w:t>□</w:t>
            </w:r>
          </w:p>
        </w:tc>
      </w:tr>
      <w:tr w14:paraId="2DFD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286B775D">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p>
        </w:tc>
        <w:tc>
          <w:tcPr>
            <w:tcW w:w="942" w:type="pct"/>
            <w:tcBorders>
              <w:top w:val="single" w:color="auto" w:sz="4" w:space="0"/>
              <w:left w:val="single" w:color="auto" w:sz="4" w:space="0"/>
              <w:bottom w:val="single" w:color="auto" w:sz="4" w:space="0"/>
              <w:right w:val="single" w:color="auto" w:sz="4" w:space="0"/>
            </w:tcBorders>
            <w:vAlign w:val="center"/>
          </w:tcPr>
          <w:p w14:paraId="4108A64E">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调查时间</w:t>
            </w:r>
          </w:p>
        </w:tc>
        <w:tc>
          <w:tcPr>
            <w:tcW w:w="3467" w:type="pct"/>
            <w:tcBorders>
              <w:top w:val="single" w:color="auto" w:sz="4" w:space="0"/>
              <w:left w:val="single" w:color="auto" w:sz="4" w:space="0"/>
              <w:bottom w:val="single" w:color="auto" w:sz="4" w:space="0"/>
              <w:right w:val="single" w:color="auto" w:sz="4" w:space="0"/>
            </w:tcBorders>
            <w:vAlign w:val="center"/>
          </w:tcPr>
          <w:p w14:paraId="2C7ADA21">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春季</w:t>
            </w:r>
            <w:r>
              <w:rPr>
                <w:color w:val="auto"/>
                <w:kern w:val="2"/>
              </w:rPr>
              <w:t>□</w:t>
            </w:r>
            <w:r>
              <w:rPr>
                <w:rFonts w:ascii="Times New Roman" w:hAnsi="Times New Roman" w:eastAsia="Times New Roman" w:cs="宋体"/>
                <w:color w:val="auto"/>
                <w:kern w:val="2"/>
                <w:sz w:val="21"/>
                <w:szCs w:val="21"/>
                <w:lang w:val="en-US" w:eastAsia="zh-CN" w:bidi="ar-SA"/>
              </w:rPr>
              <w:t>；夏季</w:t>
            </w:r>
            <w:r>
              <w:rPr>
                <w:color w:val="auto"/>
                <w:kern w:val="2"/>
              </w:rPr>
              <w:t>□</w:t>
            </w:r>
            <w:r>
              <w:rPr>
                <w:rFonts w:ascii="Times New Roman" w:hAnsi="Times New Roman" w:eastAsia="Times New Roman" w:cs="宋体"/>
                <w:color w:val="auto"/>
                <w:kern w:val="2"/>
                <w:sz w:val="21"/>
                <w:szCs w:val="21"/>
                <w:lang w:val="en-US" w:eastAsia="zh-CN" w:bidi="ar-SA"/>
              </w:rPr>
              <w:t>；秋季</w:t>
            </w:r>
            <w:r>
              <w:rPr>
                <w:color w:val="auto"/>
                <w:kern w:val="2"/>
              </w:rPr>
              <w:t>□</w:t>
            </w:r>
            <w:r>
              <w:rPr>
                <w:rFonts w:ascii="Times New Roman" w:hAnsi="Times New Roman" w:eastAsia="Times New Roman" w:cs="宋体"/>
                <w:color w:val="auto"/>
                <w:kern w:val="2"/>
                <w:sz w:val="21"/>
                <w:szCs w:val="21"/>
                <w:lang w:val="en-US" w:eastAsia="zh-CN" w:bidi="ar-SA"/>
              </w:rPr>
              <w:t>；冬季</w:t>
            </w:r>
            <w:r>
              <w:rPr>
                <w:color w:val="auto"/>
                <w:kern w:val="2"/>
              </w:rPr>
              <w:t>□</w:t>
            </w:r>
          </w:p>
          <w:p w14:paraId="488A48F9">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丰水期</w:t>
            </w:r>
            <w:r>
              <w:rPr>
                <w:color w:val="auto"/>
                <w:kern w:val="2"/>
              </w:rPr>
              <w:t>□</w:t>
            </w:r>
            <w:r>
              <w:rPr>
                <w:rFonts w:ascii="Times New Roman" w:hAnsi="Times New Roman" w:eastAsia="Times New Roman" w:cs="宋体"/>
                <w:color w:val="auto"/>
                <w:kern w:val="2"/>
                <w:sz w:val="21"/>
                <w:szCs w:val="21"/>
                <w:lang w:val="en-US" w:eastAsia="zh-CN" w:bidi="ar-SA"/>
              </w:rPr>
              <w:t>；枯水期</w:t>
            </w:r>
            <w:r>
              <w:rPr>
                <w:color w:val="auto"/>
                <w:kern w:val="2"/>
              </w:rPr>
              <w:t>□</w:t>
            </w:r>
            <w:r>
              <w:rPr>
                <w:rFonts w:ascii="Times New Roman" w:hAnsi="Times New Roman" w:eastAsia="Times New Roman" w:cs="宋体"/>
                <w:color w:val="auto"/>
                <w:kern w:val="2"/>
                <w:sz w:val="21"/>
                <w:szCs w:val="21"/>
                <w:lang w:val="en-US" w:eastAsia="zh-CN" w:bidi="ar-SA"/>
              </w:rPr>
              <w:t>；平水期</w:t>
            </w:r>
            <w:r>
              <w:rPr>
                <w:color w:val="auto"/>
                <w:kern w:val="2"/>
              </w:rPr>
              <w:t>□</w:t>
            </w:r>
          </w:p>
        </w:tc>
      </w:tr>
      <w:tr w14:paraId="1EB1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244BBD6C">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p>
        </w:tc>
        <w:tc>
          <w:tcPr>
            <w:tcW w:w="942" w:type="pct"/>
            <w:tcBorders>
              <w:top w:val="single" w:color="auto" w:sz="4" w:space="0"/>
              <w:left w:val="single" w:color="auto" w:sz="4" w:space="0"/>
              <w:bottom w:val="single" w:color="auto" w:sz="4" w:space="0"/>
              <w:right w:val="single" w:color="auto" w:sz="4" w:space="0"/>
            </w:tcBorders>
            <w:vAlign w:val="center"/>
          </w:tcPr>
          <w:p w14:paraId="7FFFDE0F">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所在区域的生态问题</w:t>
            </w:r>
          </w:p>
        </w:tc>
        <w:tc>
          <w:tcPr>
            <w:tcW w:w="3467" w:type="pct"/>
            <w:tcBorders>
              <w:top w:val="single" w:color="auto" w:sz="4" w:space="0"/>
              <w:left w:val="single" w:color="auto" w:sz="4" w:space="0"/>
              <w:bottom w:val="single" w:color="auto" w:sz="4" w:space="0"/>
              <w:right w:val="single" w:color="auto" w:sz="4" w:space="0"/>
            </w:tcBorders>
            <w:vAlign w:val="center"/>
          </w:tcPr>
          <w:p w14:paraId="755C6FBE">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hint="eastAsia" w:eastAsia="Times New Roman" w:cs="宋体"/>
                <w:color w:val="auto"/>
                <w:kern w:val="2"/>
                <w:sz w:val="21"/>
                <w:szCs w:val="21"/>
                <w:lang w:val="en-US" w:eastAsia="zh-CN" w:bidi="ar-SA"/>
              </w:rPr>
              <w:t>水土流失</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；沙漠化</w:t>
            </w:r>
            <w:r>
              <w:rPr>
                <w:color w:val="auto"/>
                <w:kern w:val="2"/>
              </w:rPr>
              <w:t>□</w:t>
            </w:r>
            <w:r>
              <w:rPr>
                <w:rFonts w:ascii="Times New Roman" w:hAnsi="Times New Roman" w:eastAsia="Times New Roman" w:cs="宋体"/>
                <w:color w:val="auto"/>
                <w:kern w:val="2"/>
                <w:sz w:val="21"/>
                <w:szCs w:val="21"/>
                <w:lang w:val="en-US" w:eastAsia="zh-CN" w:bidi="ar-SA"/>
              </w:rPr>
              <w:t>；石漠化</w:t>
            </w:r>
            <w:r>
              <w:rPr>
                <w:color w:val="auto"/>
                <w:kern w:val="2"/>
              </w:rPr>
              <w:t>□</w:t>
            </w:r>
            <w:r>
              <w:rPr>
                <w:rFonts w:ascii="Times New Roman" w:hAnsi="Times New Roman" w:eastAsia="Times New Roman" w:cs="宋体"/>
                <w:color w:val="auto"/>
                <w:kern w:val="2"/>
                <w:sz w:val="21"/>
                <w:szCs w:val="21"/>
                <w:lang w:val="en-US" w:eastAsia="zh-CN" w:bidi="ar-SA"/>
              </w:rPr>
              <w:t>；盐渍化</w:t>
            </w:r>
            <w:r>
              <w:rPr>
                <w:color w:val="auto"/>
                <w:kern w:val="2"/>
              </w:rPr>
              <w:t>□</w:t>
            </w:r>
            <w:r>
              <w:rPr>
                <w:rFonts w:ascii="Times New Roman" w:hAnsi="Times New Roman" w:eastAsia="Times New Roman" w:cs="宋体"/>
                <w:color w:val="auto"/>
                <w:kern w:val="2"/>
                <w:sz w:val="21"/>
                <w:szCs w:val="21"/>
                <w:lang w:val="en-US" w:eastAsia="zh-CN" w:bidi="ar-SA"/>
              </w:rPr>
              <w:t>；生物入侵</w:t>
            </w:r>
            <w:r>
              <w:rPr>
                <w:color w:val="auto"/>
                <w:kern w:val="2"/>
              </w:rPr>
              <w:t>□</w:t>
            </w:r>
            <w:r>
              <w:rPr>
                <w:rFonts w:ascii="Times New Roman" w:hAnsi="Times New Roman" w:eastAsia="Times New Roman" w:cs="宋体"/>
                <w:color w:val="auto"/>
                <w:kern w:val="2"/>
                <w:sz w:val="21"/>
                <w:szCs w:val="21"/>
                <w:lang w:val="en-US" w:eastAsia="zh-CN" w:bidi="ar-SA"/>
              </w:rPr>
              <w:t>；污染危害</w:t>
            </w:r>
            <w:r>
              <w:rPr>
                <w:color w:val="auto"/>
                <w:kern w:val="2"/>
              </w:rPr>
              <w:t>□</w:t>
            </w:r>
            <w:r>
              <w:rPr>
                <w:rFonts w:ascii="Times New Roman" w:hAnsi="Times New Roman" w:eastAsia="Times New Roman" w:cs="宋体"/>
                <w:color w:val="auto"/>
                <w:kern w:val="2"/>
                <w:sz w:val="21"/>
                <w:szCs w:val="21"/>
                <w:lang w:val="en-US" w:eastAsia="zh-CN" w:bidi="ar-SA"/>
              </w:rPr>
              <w:t>；其他</w:t>
            </w:r>
            <w:r>
              <w:rPr>
                <w:color w:val="auto"/>
                <w:kern w:val="2"/>
              </w:rPr>
              <w:t>□</w:t>
            </w:r>
          </w:p>
        </w:tc>
      </w:tr>
      <w:tr w14:paraId="2814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5A9CA642">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p>
        </w:tc>
        <w:tc>
          <w:tcPr>
            <w:tcW w:w="942" w:type="pct"/>
            <w:tcBorders>
              <w:top w:val="single" w:color="auto" w:sz="4" w:space="0"/>
              <w:left w:val="single" w:color="auto" w:sz="4" w:space="0"/>
              <w:bottom w:val="single" w:color="auto" w:sz="4" w:space="0"/>
              <w:right w:val="single" w:color="auto" w:sz="4" w:space="0"/>
            </w:tcBorders>
            <w:vAlign w:val="center"/>
          </w:tcPr>
          <w:p w14:paraId="2E276DC4">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评价内容</w:t>
            </w:r>
          </w:p>
        </w:tc>
        <w:tc>
          <w:tcPr>
            <w:tcW w:w="3467" w:type="pct"/>
            <w:tcBorders>
              <w:top w:val="single" w:color="auto" w:sz="4" w:space="0"/>
              <w:left w:val="single" w:color="auto" w:sz="4" w:space="0"/>
              <w:bottom w:val="single" w:color="auto" w:sz="4" w:space="0"/>
              <w:right w:val="single" w:color="auto" w:sz="4" w:space="0"/>
            </w:tcBorders>
            <w:vAlign w:val="center"/>
          </w:tcPr>
          <w:p w14:paraId="7A821037">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植被/植物群落</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；土地利用</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；生态系统</w:t>
            </w:r>
            <w:r>
              <w:rPr>
                <w:color w:val="auto"/>
                <w:kern w:val="2"/>
              </w:rPr>
              <w:t>□</w:t>
            </w:r>
            <w:r>
              <w:rPr>
                <w:rFonts w:ascii="Times New Roman" w:hAnsi="Times New Roman" w:eastAsia="Times New Roman" w:cs="宋体"/>
                <w:color w:val="auto"/>
                <w:kern w:val="2"/>
                <w:sz w:val="21"/>
                <w:szCs w:val="21"/>
                <w:lang w:val="en-US" w:eastAsia="zh-CN" w:bidi="ar-SA"/>
              </w:rPr>
              <w:t>；生物多样性</w:t>
            </w:r>
            <w:r>
              <w:rPr>
                <w:color w:val="auto"/>
                <w:kern w:val="2"/>
              </w:rPr>
              <w:t>□</w:t>
            </w:r>
            <w:r>
              <w:rPr>
                <w:rFonts w:ascii="Times New Roman" w:hAnsi="Times New Roman" w:eastAsia="Times New Roman" w:cs="宋体"/>
                <w:color w:val="auto"/>
                <w:kern w:val="2"/>
                <w:sz w:val="21"/>
                <w:szCs w:val="21"/>
                <w:lang w:val="en-US" w:eastAsia="zh-CN" w:bidi="ar-SA"/>
              </w:rPr>
              <w:t>；重要物种</w:t>
            </w:r>
            <w:r>
              <w:rPr>
                <w:color w:val="auto"/>
                <w:kern w:val="2"/>
              </w:rPr>
              <w:t>□</w:t>
            </w:r>
            <w:r>
              <w:rPr>
                <w:rFonts w:ascii="Times New Roman" w:hAnsi="Times New Roman" w:eastAsia="Times New Roman" w:cs="宋体"/>
                <w:color w:val="auto"/>
                <w:kern w:val="2"/>
                <w:sz w:val="21"/>
                <w:szCs w:val="21"/>
                <w:lang w:val="en-US" w:eastAsia="zh-CN" w:bidi="ar-SA"/>
              </w:rPr>
              <w:t>；生态敏感区</w:t>
            </w:r>
            <w:r>
              <w:rPr>
                <w:color w:val="auto"/>
                <w:kern w:val="2"/>
              </w:rPr>
              <w:t>□</w:t>
            </w:r>
            <w:r>
              <w:rPr>
                <w:rFonts w:ascii="Times New Roman" w:hAnsi="Times New Roman" w:eastAsia="Times New Roman" w:cs="宋体"/>
                <w:color w:val="auto"/>
                <w:kern w:val="2"/>
                <w:sz w:val="21"/>
                <w:szCs w:val="21"/>
                <w:lang w:val="en-US" w:eastAsia="zh-CN" w:bidi="ar-SA"/>
              </w:rPr>
              <w:t>；其他</w:t>
            </w:r>
            <w:r>
              <w:rPr>
                <w:color w:val="auto"/>
                <w:kern w:val="2"/>
              </w:rPr>
              <w:t>□</w:t>
            </w:r>
          </w:p>
        </w:tc>
      </w:tr>
      <w:tr w14:paraId="1C42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restart"/>
            <w:tcBorders>
              <w:top w:val="nil"/>
              <w:left w:val="single" w:color="auto" w:sz="4" w:space="0"/>
              <w:bottom w:val="single" w:color="auto" w:sz="4" w:space="0"/>
              <w:right w:val="single" w:color="auto" w:sz="4" w:space="0"/>
            </w:tcBorders>
            <w:vAlign w:val="center"/>
          </w:tcPr>
          <w:p w14:paraId="332BAF2A">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生态影响预测与评价</w:t>
            </w:r>
          </w:p>
        </w:tc>
        <w:tc>
          <w:tcPr>
            <w:tcW w:w="942" w:type="pct"/>
            <w:tcBorders>
              <w:top w:val="single" w:color="auto" w:sz="4" w:space="0"/>
              <w:left w:val="single" w:color="auto" w:sz="4" w:space="0"/>
              <w:bottom w:val="single" w:color="auto" w:sz="4" w:space="0"/>
              <w:right w:val="single" w:color="auto" w:sz="4" w:space="0"/>
            </w:tcBorders>
            <w:vAlign w:val="center"/>
          </w:tcPr>
          <w:p w14:paraId="0DEA808A">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评价方法</w:t>
            </w:r>
          </w:p>
        </w:tc>
        <w:tc>
          <w:tcPr>
            <w:tcW w:w="3467" w:type="pct"/>
            <w:tcBorders>
              <w:top w:val="single" w:color="auto" w:sz="4" w:space="0"/>
              <w:left w:val="single" w:color="auto" w:sz="4" w:space="0"/>
              <w:bottom w:val="single" w:color="auto" w:sz="4" w:space="0"/>
              <w:right w:val="single" w:color="auto" w:sz="4" w:space="0"/>
            </w:tcBorders>
            <w:vAlign w:val="center"/>
          </w:tcPr>
          <w:p w14:paraId="15FACF94">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hint="eastAsia" w:ascii="Times New Roman" w:hAnsi="Times New Roman" w:eastAsia="宋体"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定性</w:t>
            </w:r>
            <w:r>
              <w:rPr>
                <w:color w:val="auto"/>
                <w:kern w:val="2"/>
              </w:rPr>
              <w:t>□</w:t>
            </w:r>
            <w:r>
              <w:rPr>
                <w:rFonts w:ascii="Times New Roman" w:hAnsi="Times New Roman" w:eastAsia="Times New Roman" w:cs="宋体"/>
                <w:color w:val="auto"/>
                <w:kern w:val="2"/>
                <w:sz w:val="21"/>
                <w:szCs w:val="21"/>
                <w:lang w:val="en-US" w:eastAsia="zh-CN" w:bidi="ar-SA"/>
              </w:rPr>
              <w:t>；定性和定量</w:t>
            </w:r>
            <w:r>
              <w:rPr>
                <w:rFonts w:hint="eastAsia"/>
                <w:color w:val="auto"/>
                <w:kern w:val="2"/>
                <w:lang w:eastAsia="zh-CN"/>
              </w:rPr>
              <w:t>☑</w:t>
            </w:r>
          </w:p>
        </w:tc>
      </w:tr>
      <w:tr w14:paraId="1055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17827F7E">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p>
        </w:tc>
        <w:tc>
          <w:tcPr>
            <w:tcW w:w="942" w:type="pct"/>
            <w:tcBorders>
              <w:top w:val="single" w:color="auto" w:sz="4" w:space="0"/>
              <w:left w:val="single" w:color="auto" w:sz="4" w:space="0"/>
              <w:bottom w:val="single" w:color="auto" w:sz="4" w:space="0"/>
              <w:right w:val="single" w:color="auto" w:sz="4" w:space="0"/>
            </w:tcBorders>
            <w:vAlign w:val="center"/>
          </w:tcPr>
          <w:p w14:paraId="6EDDDC74">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评价内容</w:t>
            </w:r>
          </w:p>
        </w:tc>
        <w:tc>
          <w:tcPr>
            <w:tcW w:w="3467" w:type="pct"/>
            <w:tcBorders>
              <w:top w:val="single" w:color="auto" w:sz="4" w:space="0"/>
              <w:left w:val="single" w:color="auto" w:sz="4" w:space="0"/>
              <w:bottom w:val="single" w:color="auto" w:sz="4" w:space="0"/>
              <w:right w:val="single" w:color="auto" w:sz="4" w:space="0"/>
            </w:tcBorders>
            <w:vAlign w:val="center"/>
          </w:tcPr>
          <w:p w14:paraId="789876F9">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植被/植物群落</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；土地利用</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；生态系统</w:t>
            </w:r>
            <w:r>
              <w:rPr>
                <w:color w:val="auto"/>
                <w:kern w:val="2"/>
              </w:rPr>
              <w:t>□</w:t>
            </w:r>
            <w:r>
              <w:rPr>
                <w:rFonts w:ascii="Times New Roman" w:hAnsi="Times New Roman" w:eastAsia="Times New Roman" w:cs="宋体"/>
                <w:color w:val="auto"/>
                <w:kern w:val="2"/>
                <w:sz w:val="21"/>
                <w:szCs w:val="21"/>
                <w:lang w:val="en-US" w:eastAsia="zh-CN" w:bidi="ar-SA"/>
              </w:rPr>
              <w:t>；生物多样性</w:t>
            </w:r>
            <w:r>
              <w:rPr>
                <w:color w:val="auto"/>
                <w:kern w:val="2"/>
              </w:rPr>
              <w:t>□</w:t>
            </w:r>
            <w:r>
              <w:rPr>
                <w:rFonts w:ascii="Times New Roman" w:hAnsi="Times New Roman" w:eastAsia="Times New Roman" w:cs="宋体"/>
                <w:color w:val="auto"/>
                <w:kern w:val="2"/>
                <w:sz w:val="21"/>
                <w:szCs w:val="21"/>
                <w:lang w:val="en-US" w:eastAsia="zh-CN" w:bidi="ar-SA"/>
              </w:rPr>
              <w:t>；重要物种</w:t>
            </w:r>
            <w:r>
              <w:rPr>
                <w:color w:val="auto"/>
                <w:kern w:val="2"/>
              </w:rPr>
              <w:t>□</w:t>
            </w:r>
            <w:r>
              <w:rPr>
                <w:rFonts w:ascii="Times New Roman" w:hAnsi="Times New Roman" w:eastAsia="Times New Roman" w:cs="宋体"/>
                <w:color w:val="auto"/>
                <w:kern w:val="2"/>
                <w:sz w:val="21"/>
                <w:szCs w:val="21"/>
                <w:lang w:val="en-US" w:eastAsia="zh-CN" w:bidi="ar-SA"/>
              </w:rPr>
              <w:t>；生态敏感区</w:t>
            </w:r>
            <w:r>
              <w:rPr>
                <w:color w:val="auto"/>
                <w:kern w:val="2"/>
              </w:rPr>
              <w:t>□</w:t>
            </w:r>
            <w:r>
              <w:rPr>
                <w:rFonts w:ascii="Times New Roman" w:hAnsi="Times New Roman" w:eastAsia="Times New Roman" w:cs="宋体"/>
                <w:color w:val="auto"/>
                <w:kern w:val="2"/>
                <w:sz w:val="21"/>
                <w:szCs w:val="21"/>
                <w:lang w:val="en-US" w:eastAsia="zh-CN" w:bidi="ar-SA"/>
              </w:rPr>
              <w:t>；生物入侵风险</w:t>
            </w:r>
            <w:r>
              <w:rPr>
                <w:color w:val="auto"/>
                <w:kern w:val="2"/>
              </w:rPr>
              <w:t>□</w:t>
            </w:r>
            <w:r>
              <w:rPr>
                <w:rFonts w:ascii="Times New Roman" w:hAnsi="Times New Roman" w:eastAsia="Times New Roman" w:cs="宋体"/>
                <w:color w:val="auto"/>
                <w:kern w:val="2"/>
                <w:sz w:val="21"/>
                <w:szCs w:val="21"/>
                <w:lang w:val="en-US" w:eastAsia="zh-CN" w:bidi="ar-SA"/>
              </w:rPr>
              <w:t>；其他</w:t>
            </w:r>
            <w:r>
              <w:rPr>
                <w:color w:val="auto"/>
                <w:kern w:val="2"/>
              </w:rPr>
              <w:t>□</w:t>
            </w:r>
          </w:p>
        </w:tc>
      </w:tr>
      <w:tr w14:paraId="0F92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restart"/>
            <w:tcBorders>
              <w:top w:val="nil"/>
              <w:left w:val="single" w:color="auto" w:sz="4" w:space="0"/>
              <w:bottom w:val="single" w:color="auto" w:sz="4" w:space="0"/>
              <w:right w:val="single" w:color="auto" w:sz="4" w:space="0"/>
            </w:tcBorders>
            <w:vAlign w:val="center"/>
          </w:tcPr>
          <w:p w14:paraId="4414BED1">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生态保护对策措施</w:t>
            </w:r>
          </w:p>
        </w:tc>
        <w:tc>
          <w:tcPr>
            <w:tcW w:w="942" w:type="pct"/>
            <w:tcBorders>
              <w:top w:val="single" w:color="auto" w:sz="4" w:space="0"/>
              <w:left w:val="single" w:color="auto" w:sz="4" w:space="0"/>
              <w:bottom w:val="single" w:color="auto" w:sz="4" w:space="0"/>
              <w:right w:val="single" w:color="auto" w:sz="4" w:space="0"/>
            </w:tcBorders>
            <w:vAlign w:val="center"/>
          </w:tcPr>
          <w:p w14:paraId="54646639">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对策措施</w:t>
            </w:r>
          </w:p>
        </w:tc>
        <w:tc>
          <w:tcPr>
            <w:tcW w:w="3467" w:type="pct"/>
            <w:tcBorders>
              <w:top w:val="single" w:color="auto" w:sz="4" w:space="0"/>
              <w:left w:val="single" w:color="auto" w:sz="4" w:space="0"/>
              <w:bottom w:val="single" w:color="auto" w:sz="4" w:space="0"/>
              <w:right w:val="single" w:color="auto" w:sz="4" w:space="0"/>
            </w:tcBorders>
            <w:vAlign w:val="center"/>
          </w:tcPr>
          <w:p w14:paraId="7078346B">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避让</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；减缓</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；生态修复</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；生态补偿</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；科研</w:t>
            </w:r>
            <w:r>
              <w:rPr>
                <w:color w:val="auto"/>
                <w:kern w:val="2"/>
              </w:rPr>
              <w:t>□</w:t>
            </w:r>
            <w:r>
              <w:rPr>
                <w:rFonts w:ascii="Times New Roman" w:hAnsi="Times New Roman" w:eastAsia="Times New Roman" w:cs="宋体"/>
                <w:color w:val="auto"/>
                <w:kern w:val="2"/>
                <w:sz w:val="21"/>
                <w:szCs w:val="21"/>
                <w:lang w:val="en-US" w:eastAsia="zh-CN" w:bidi="ar-SA"/>
              </w:rPr>
              <w:t>；其他</w:t>
            </w:r>
            <w:r>
              <w:rPr>
                <w:color w:val="auto"/>
                <w:kern w:val="2"/>
              </w:rPr>
              <w:t>□</w:t>
            </w:r>
          </w:p>
        </w:tc>
      </w:tr>
      <w:tr w14:paraId="2E8C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668E6AE9">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p>
        </w:tc>
        <w:tc>
          <w:tcPr>
            <w:tcW w:w="942" w:type="pct"/>
            <w:tcBorders>
              <w:top w:val="single" w:color="auto" w:sz="4" w:space="0"/>
              <w:left w:val="single" w:color="auto" w:sz="4" w:space="0"/>
              <w:bottom w:val="single" w:color="auto" w:sz="4" w:space="0"/>
              <w:right w:val="single" w:color="auto" w:sz="4" w:space="0"/>
            </w:tcBorders>
            <w:vAlign w:val="center"/>
          </w:tcPr>
          <w:p w14:paraId="027D84EB">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生态监测计划</w:t>
            </w:r>
          </w:p>
        </w:tc>
        <w:tc>
          <w:tcPr>
            <w:tcW w:w="3467" w:type="pct"/>
            <w:tcBorders>
              <w:top w:val="single" w:color="auto" w:sz="4" w:space="0"/>
              <w:left w:val="single" w:color="auto" w:sz="4" w:space="0"/>
              <w:bottom w:val="single" w:color="auto" w:sz="4" w:space="0"/>
              <w:right w:val="single" w:color="auto" w:sz="4" w:space="0"/>
            </w:tcBorders>
            <w:vAlign w:val="center"/>
          </w:tcPr>
          <w:p w14:paraId="127842A0">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全生命周期</w:t>
            </w:r>
            <w:r>
              <w:rPr>
                <w:color w:val="auto"/>
                <w:kern w:val="2"/>
              </w:rPr>
              <w:t>□</w:t>
            </w:r>
            <w:r>
              <w:rPr>
                <w:rFonts w:ascii="Times New Roman" w:hAnsi="Times New Roman" w:eastAsia="Times New Roman" w:cs="宋体"/>
                <w:color w:val="auto"/>
                <w:kern w:val="2"/>
                <w:sz w:val="21"/>
                <w:szCs w:val="21"/>
                <w:lang w:val="en-US" w:eastAsia="zh-CN" w:bidi="ar-SA"/>
              </w:rPr>
              <w:t>；长期跟踪</w:t>
            </w:r>
            <w:r>
              <w:rPr>
                <w:color w:val="auto"/>
                <w:kern w:val="2"/>
              </w:rPr>
              <w:t>□</w:t>
            </w:r>
            <w:r>
              <w:rPr>
                <w:rFonts w:ascii="Times New Roman" w:hAnsi="Times New Roman" w:eastAsia="Times New Roman" w:cs="宋体"/>
                <w:color w:val="auto"/>
                <w:kern w:val="2"/>
                <w:sz w:val="21"/>
                <w:szCs w:val="21"/>
                <w:lang w:val="en-US" w:eastAsia="zh-CN" w:bidi="ar-SA"/>
              </w:rPr>
              <w:t>；常规</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；无</w:t>
            </w:r>
            <w:r>
              <w:rPr>
                <w:color w:val="auto"/>
                <w:kern w:val="2"/>
              </w:rPr>
              <w:t>□</w:t>
            </w:r>
          </w:p>
        </w:tc>
      </w:tr>
      <w:tr w14:paraId="0E0B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22256FDC">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p>
        </w:tc>
        <w:tc>
          <w:tcPr>
            <w:tcW w:w="942" w:type="pct"/>
            <w:tcBorders>
              <w:top w:val="single" w:color="auto" w:sz="4" w:space="0"/>
              <w:left w:val="single" w:color="auto" w:sz="4" w:space="0"/>
              <w:bottom w:val="single" w:color="auto" w:sz="4" w:space="0"/>
              <w:right w:val="single" w:color="auto" w:sz="4" w:space="0"/>
            </w:tcBorders>
            <w:vAlign w:val="center"/>
          </w:tcPr>
          <w:p w14:paraId="18A35D70">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环境管理</w:t>
            </w:r>
          </w:p>
        </w:tc>
        <w:tc>
          <w:tcPr>
            <w:tcW w:w="3467" w:type="pct"/>
            <w:tcBorders>
              <w:top w:val="single" w:color="auto" w:sz="4" w:space="0"/>
              <w:left w:val="single" w:color="auto" w:sz="4" w:space="0"/>
              <w:bottom w:val="single" w:color="auto" w:sz="4" w:space="0"/>
              <w:right w:val="single" w:color="auto" w:sz="4" w:space="0"/>
            </w:tcBorders>
            <w:vAlign w:val="center"/>
          </w:tcPr>
          <w:p w14:paraId="3C91024E">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hint="eastAsia" w:ascii="Times New Roman" w:hAnsi="Times New Roman" w:eastAsia="宋体"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环境监理</w:t>
            </w:r>
            <w:r>
              <w:rPr>
                <w:color w:val="auto"/>
                <w:kern w:val="2"/>
              </w:rPr>
              <w:t>□</w:t>
            </w:r>
            <w:r>
              <w:rPr>
                <w:rFonts w:ascii="Times New Roman" w:hAnsi="Times New Roman" w:eastAsia="Times New Roman" w:cs="宋体"/>
                <w:color w:val="auto"/>
                <w:kern w:val="2"/>
                <w:sz w:val="21"/>
                <w:szCs w:val="21"/>
                <w:lang w:val="en-US" w:eastAsia="zh-CN" w:bidi="ar-SA"/>
              </w:rPr>
              <w:t>；环境影响后评价</w:t>
            </w:r>
            <w:r>
              <w:rPr>
                <w:color w:val="auto"/>
                <w:kern w:val="2"/>
              </w:rPr>
              <w:t>□</w:t>
            </w:r>
            <w:r>
              <w:rPr>
                <w:rFonts w:ascii="Times New Roman" w:hAnsi="Times New Roman" w:eastAsia="Times New Roman" w:cs="宋体"/>
                <w:color w:val="auto"/>
                <w:kern w:val="2"/>
                <w:sz w:val="21"/>
                <w:szCs w:val="21"/>
                <w:lang w:val="en-US" w:eastAsia="zh-CN" w:bidi="ar-SA"/>
              </w:rPr>
              <w:t>；其他</w:t>
            </w:r>
            <w:r>
              <w:rPr>
                <w:rFonts w:hint="eastAsia"/>
                <w:color w:val="auto"/>
                <w:kern w:val="2"/>
                <w:lang w:eastAsia="zh-CN"/>
              </w:rPr>
              <w:t>☑</w:t>
            </w:r>
          </w:p>
        </w:tc>
      </w:tr>
      <w:tr w14:paraId="31ED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14:paraId="2C1E960E">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评价</w:t>
            </w:r>
          </w:p>
          <w:p w14:paraId="754A7CCC">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结论</w:t>
            </w:r>
          </w:p>
        </w:tc>
        <w:tc>
          <w:tcPr>
            <w:tcW w:w="942" w:type="pct"/>
            <w:tcBorders>
              <w:top w:val="single" w:color="auto" w:sz="4" w:space="0"/>
              <w:left w:val="single" w:color="auto" w:sz="4" w:space="0"/>
              <w:bottom w:val="single" w:color="auto" w:sz="4" w:space="0"/>
              <w:right w:val="single" w:color="auto" w:sz="4" w:space="0"/>
            </w:tcBorders>
            <w:vAlign w:val="center"/>
          </w:tcPr>
          <w:p w14:paraId="6E166EE0">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生态影响</w:t>
            </w:r>
          </w:p>
        </w:tc>
        <w:tc>
          <w:tcPr>
            <w:tcW w:w="3467" w:type="pct"/>
            <w:tcBorders>
              <w:top w:val="single" w:color="auto" w:sz="4" w:space="0"/>
              <w:left w:val="single" w:color="auto" w:sz="4" w:space="0"/>
              <w:bottom w:val="single" w:color="auto" w:sz="4" w:space="0"/>
              <w:right w:val="single" w:color="auto" w:sz="4" w:space="0"/>
            </w:tcBorders>
            <w:vAlign w:val="center"/>
          </w:tcPr>
          <w:p w14:paraId="48EE094C">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kern w:val="2"/>
                <w:sz w:val="21"/>
                <w:szCs w:val="21"/>
                <w:lang w:val="en-US" w:eastAsia="zh-CN" w:bidi="ar-SA"/>
              </w:rPr>
              <w:t>可行</w:t>
            </w:r>
            <w:r>
              <w:rPr>
                <w:rFonts w:hint="eastAsia"/>
                <w:color w:val="auto"/>
                <w:kern w:val="2"/>
                <w:lang w:eastAsia="zh-CN"/>
              </w:rPr>
              <w:t>☑</w:t>
            </w:r>
            <w:r>
              <w:rPr>
                <w:rFonts w:ascii="Times New Roman" w:hAnsi="Times New Roman" w:eastAsia="Times New Roman" w:cs="宋体"/>
                <w:color w:val="auto"/>
                <w:kern w:val="2"/>
                <w:sz w:val="21"/>
                <w:szCs w:val="21"/>
                <w:lang w:val="en-US" w:eastAsia="zh-CN" w:bidi="ar-SA"/>
              </w:rPr>
              <w:t>；不可行</w:t>
            </w:r>
            <w:r>
              <w:rPr>
                <w:color w:val="auto"/>
                <w:kern w:val="2"/>
              </w:rPr>
              <w:t>□</w:t>
            </w:r>
          </w:p>
        </w:tc>
      </w:tr>
      <w:tr w14:paraId="5550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27E3EF05">
            <w:pPr>
              <w:keepNext w:val="0"/>
              <w:keepLines w:val="0"/>
              <w:pageBreakBefore w:val="0"/>
              <w:widowControl/>
              <w:kinsoku/>
              <w:wordWrap/>
              <w:overflowPunct/>
              <w:topLinePunct w:val="0"/>
              <w:autoSpaceDE w:val="0"/>
              <w:autoSpaceDN w:val="0"/>
              <w:bidi w:val="0"/>
              <w:adjustRightInd w:val="0"/>
              <w:snapToGrid w:val="0"/>
              <w:spacing w:after="0" w:line="300" w:lineRule="exact"/>
              <w:ind w:firstLine="0"/>
              <w:jc w:val="center"/>
              <w:textAlignment w:val="center"/>
              <w:rPr>
                <w:rFonts w:ascii="Times New Roman" w:hAnsi="Times New Roman" w:eastAsia="Times New Roman" w:cs="宋体"/>
                <w:color w:val="auto"/>
                <w:kern w:val="2"/>
                <w:sz w:val="21"/>
                <w:szCs w:val="21"/>
                <w:lang w:val="en-US" w:eastAsia="zh-CN" w:bidi="ar-SA"/>
              </w:rPr>
            </w:pPr>
            <w:r>
              <w:rPr>
                <w:rFonts w:ascii="Times New Roman" w:hAnsi="Times New Roman" w:eastAsia="Times New Roman" w:cs="宋体"/>
                <w:color w:val="auto"/>
                <w:spacing w:val="-6"/>
                <w:kern w:val="2"/>
                <w:sz w:val="18"/>
                <w:szCs w:val="18"/>
                <w:lang w:val="en-US" w:eastAsia="zh-CN" w:bidi="ar-SA"/>
              </w:rPr>
              <w:t>注1：“</w:t>
            </w:r>
            <w:r>
              <w:rPr>
                <w:rFonts w:ascii="Times New Roman" w:hAnsi="Times New Roman" w:eastAsia="Times New Roman" w:cs="宋体"/>
                <w:color w:val="auto"/>
                <w:kern w:val="2"/>
                <w:sz w:val="18"/>
                <w:szCs w:val="18"/>
                <w:lang w:val="en-US" w:eastAsia="zh-CN" w:bidi="ar-SA"/>
              </w:rPr>
              <w:t>□</w:t>
            </w:r>
            <w:r>
              <w:rPr>
                <w:rFonts w:ascii="Times New Roman" w:hAnsi="Times New Roman" w:eastAsia="Times New Roman" w:cs="宋体"/>
                <w:color w:val="auto"/>
                <w:spacing w:val="-6"/>
                <w:kern w:val="2"/>
                <w:sz w:val="18"/>
                <w:szCs w:val="18"/>
                <w:lang w:val="en-US" w:eastAsia="zh-CN" w:bidi="ar-SA"/>
              </w:rPr>
              <w:t>”为勾选项，可√；“（  ）”为内容填写项。</w:t>
            </w:r>
          </w:p>
        </w:tc>
      </w:tr>
    </w:tbl>
    <w:p w14:paraId="0298F778">
      <w:pPr>
        <w:pStyle w:val="2"/>
        <w:bidi w:val="0"/>
        <w:rPr>
          <w:rFonts w:hint="default"/>
          <w:color w:val="auto"/>
          <w:lang w:val="en-US" w:eastAsia="zh-CN"/>
        </w:rPr>
      </w:pPr>
      <w:bookmarkStart w:id="265" w:name="_Toc32090"/>
      <w:r>
        <w:rPr>
          <w:rFonts w:hint="eastAsia"/>
          <w:color w:val="auto"/>
          <w:lang w:val="en-US" w:eastAsia="zh-CN"/>
        </w:rPr>
        <w:t>5.3退役期环境影响分析</w:t>
      </w:r>
      <w:bookmarkEnd w:id="265"/>
    </w:p>
    <w:p w14:paraId="22D64046">
      <w:pPr>
        <w:pStyle w:val="5"/>
        <w:bidi w:val="0"/>
        <w:rPr>
          <w:rFonts w:hint="default"/>
          <w:color w:val="auto"/>
          <w:lang w:val="en-US" w:eastAsia="zh-CN"/>
        </w:rPr>
      </w:pPr>
      <w:r>
        <w:rPr>
          <w:rFonts w:hint="eastAsia"/>
          <w:color w:val="auto"/>
          <w:lang w:val="en-US" w:eastAsia="zh-CN"/>
        </w:rPr>
        <w:t>5.3.1退役期生态环境影响分析</w:t>
      </w:r>
    </w:p>
    <w:p w14:paraId="33C54307">
      <w:pPr>
        <w:pStyle w:val="11"/>
        <w:bidi w:val="0"/>
        <w:rPr>
          <w:rFonts w:ascii="Times New Roman" w:hAnsi="Times New Roman" w:eastAsia="宋体"/>
          <w:color w:val="auto"/>
        </w:rPr>
      </w:pPr>
      <w:r>
        <w:rPr>
          <w:rFonts w:ascii="Times New Roman" w:hAnsi="Times New Roman" w:eastAsia="宋体"/>
          <w:color w:val="auto"/>
        </w:rPr>
        <w:t>油田退役期并非所有油井都同时关闭，而是将产能低或者无开采价值的油井陆续关闭，直到将所有井关闭。退役期，一般地下设施保留不动，地面部分如采油井架、水泥台、电线杆等将拆除。但评价认为退役期，若不采取有效的生态保护措施，管道中残存的少量原油有可能对管道沿线的土壤和地下潜水造成污染，对当地的生态环境产生不利影响。因此评价认为应当妥善处理管道中残存的少量原油，将生态环境影响降低到最低限度。</w:t>
      </w:r>
    </w:p>
    <w:p w14:paraId="54437310">
      <w:pPr>
        <w:pStyle w:val="5"/>
        <w:bidi w:val="0"/>
        <w:rPr>
          <w:rFonts w:hint="default"/>
          <w:color w:val="auto"/>
          <w:lang w:val="en-US" w:eastAsia="zh-CN"/>
        </w:rPr>
      </w:pPr>
      <w:r>
        <w:rPr>
          <w:rFonts w:hint="eastAsia"/>
          <w:color w:val="auto"/>
          <w:lang w:val="en-US" w:eastAsia="zh-CN"/>
        </w:rPr>
        <w:t>5.3.2退役期地下水环境影响分析</w:t>
      </w:r>
    </w:p>
    <w:p w14:paraId="23B5DDE7">
      <w:pPr>
        <w:pStyle w:val="11"/>
        <w:bidi w:val="0"/>
        <w:rPr>
          <w:rFonts w:ascii="Times New Roman" w:hAnsi="Times New Roman" w:eastAsia="宋体"/>
          <w:color w:val="auto"/>
        </w:rPr>
      </w:pPr>
      <w:r>
        <w:rPr>
          <w:rFonts w:ascii="Times New Roman" w:hAnsi="Times New Roman" w:eastAsia="宋体"/>
          <w:color w:val="auto"/>
        </w:rPr>
        <w:t>建设项目退役期之后进行封井处理，采用分段封井工艺。</w:t>
      </w:r>
    </w:p>
    <w:p w14:paraId="7C6428EA">
      <w:pPr>
        <w:pStyle w:val="11"/>
        <w:bidi w:val="0"/>
        <w:rPr>
          <w:rFonts w:ascii="Times New Roman" w:hAnsi="Times New Roman" w:eastAsia="宋体"/>
          <w:color w:val="auto"/>
        </w:rPr>
      </w:pPr>
      <w:r>
        <w:rPr>
          <w:rFonts w:ascii="Times New Roman" w:hAnsi="Times New Roman" w:eastAsia="宋体"/>
          <w:color w:val="auto"/>
        </w:rPr>
        <w:t>（1）分段封井工艺的环境可行性</w:t>
      </w:r>
    </w:p>
    <w:p w14:paraId="59444F24">
      <w:pPr>
        <w:pStyle w:val="11"/>
        <w:bidi w:val="0"/>
        <w:rPr>
          <w:rFonts w:ascii="Times New Roman" w:hAnsi="Times New Roman" w:eastAsia="宋体"/>
          <w:color w:val="auto"/>
        </w:rPr>
      </w:pPr>
      <w:r>
        <w:rPr>
          <w:rFonts w:ascii="Times New Roman" w:hAnsi="Times New Roman" w:eastAsia="宋体"/>
          <w:color w:val="auto"/>
        </w:rPr>
        <w:t>通过采用分段封井工艺在油气层和水层分层打入水泥塞，将油层及含水层限制在各自的层段里，阻止各层段之间的井内窜流，达到保护含水层的目的。同常规全井段打水泥塞封井相比较，分段打水泥塞封井存在以下优点：</w:t>
      </w:r>
    </w:p>
    <w:p w14:paraId="73802DA4">
      <w:pPr>
        <w:pStyle w:val="11"/>
        <w:bidi w:val="0"/>
        <w:rPr>
          <w:rFonts w:ascii="Times New Roman" w:hAnsi="Times New Roman" w:eastAsia="宋体"/>
          <w:color w:val="auto"/>
        </w:rPr>
      </w:pPr>
      <w:r>
        <w:rPr>
          <w:rFonts w:ascii="Times New Roman" w:hAnsi="Times New Roman" w:eastAsia="宋体"/>
          <w:color w:val="auto"/>
        </w:rPr>
        <w:t>①可彻底封堵油水层，由于对油水层段采取挤封，可确保封堵后不会再有地层流体溢出，彻底</w:t>
      </w:r>
      <w:r>
        <w:rPr>
          <w:rFonts w:hint="eastAsia"/>
          <w:color w:val="auto"/>
          <w:lang w:eastAsia="zh-CN"/>
        </w:rPr>
        <w:t>封堵</w:t>
      </w:r>
      <w:r>
        <w:rPr>
          <w:rFonts w:ascii="Times New Roman" w:hAnsi="Times New Roman" w:eastAsia="宋体"/>
          <w:color w:val="auto"/>
        </w:rPr>
        <w:t>油水层；</w:t>
      </w:r>
    </w:p>
    <w:p w14:paraId="26E807A6">
      <w:pPr>
        <w:pStyle w:val="11"/>
        <w:bidi w:val="0"/>
        <w:rPr>
          <w:rFonts w:ascii="Times New Roman" w:hAnsi="Times New Roman" w:eastAsia="宋体"/>
          <w:color w:val="auto"/>
        </w:rPr>
      </w:pPr>
      <w:r>
        <w:rPr>
          <w:rFonts w:ascii="Times New Roman" w:hAnsi="Times New Roman" w:eastAsia="宋体"/>
          <w:color w:val="auto"/>
        </w:rPr>
        <w:t>②分段打水泥塞，可对指定封堵层段进行压差检验。若封堵层段压差检查不合格，可重新打水泥塞对该段进行封堵，而全井段打水泥塞无法进行分段压差检验；</w:t>
      </w:r>
    </w:p>
    <w:p w14:paraId="5CBE3439">
      <w:pPr>
        <w:pStyle w:val="11"/>
        <w:bidi w:val="0"/>
        <w:rPr>
          <w:rFonts w:ascii="Times New Roman" w:hAnsi="Times New Roman" w:eastAsia="宋体"/>
          <w:color w:val="auto"/>
        </w:rPr>
      </w:pPr>
      <w:r>
        <w:rPr>
          <w:rFonts w:ascii="Times New Roman" w:hAnsi="Times New Roman" w:eastAsia="宋体"/>
          <w:color w:val="auto"/>
        </w:rPr>
        <w:t>③用生石灰、石子等进行填充，填充物效果好。随着时间延续，生石灰会胶结成块更加致密，能起到较好的封堵效果。</w:t>
      </w:r>
    </w:p>
    <w:p w14:paraId="66C20259">
      <w:pPr>
        <w:pStyle w:val="11"/>
        <w:bidi w:val="0"/>
        <w:rPr>
          <w:rFonts w:ascii="Times New Roman" w:hAnsi="Times New Roman" w:eastAsia="宋体"/>
          <w:color w:val="auto"/>
        </w:rPr>
      </w:pPr>
      <w:r>
        <w:rPr>
          <w:rFonts w:ascii="Times New Roman" w:hAnsi="Times New Roman" w:eastAsia="宋体"/>
          <w:color w:val="auto"/>
        </w:rPr>
        <w:t>（2）报废油井封井后的环境影响</w:t>
      </w:r>
    </w:p>
    <w:p w14:paraId="4B670072">
      <w:pPr>
        <w:pStyle w:val="11"/>
        <w:bidi w:val="0"/>
        <w:rPr>
          <w:rFonts w:ascii="Times New Roman" w:hAnsi="Times New Roman" w:eastAsia="宋体"/>
          <w:color w:val="auto"/>
        </w:rPr>
      </w:pPr>
      <w:r>
        <w:rPr>
          <w:rFonts w:ascii="Times New Roman" w:hAnsi="Times New Roman" w:eastAsia="宋体"/>
          <w:color w:val="auto"/>
        </w:rPr>
        <w:t>油井退役后全部进行封井，阻止各层段之间的井内窜流，达到保护含水层的目的，可有效阻隔油层中含油地下水与上部其他含水层之间的水力联系，井区内的含水层均不再受石油开采的影响。</w:t>
      </w:r>
    </w:p>
    <w:p w14:paraId="4DD954B0">
      <w:pPr>
        <w:pStyle w:val="5"/>
        <w:bidi w:val="0"/>
        <w:rPr>
          <w:rFonts w:hint="default"/>
          <w:color w:val="auto"/>
          <w:lang w:val="en-US" w:eastAsia="zh-CN"/>
        </w:rPr>
      </w:pPr>
      <w:r>
        <w:rPr>
          <w:rFonts w:hint="eastAsia"/>
          <w:color w:val="auto"/>
          <w:lang w:val="en-US" w:eastAsia="zh-CN"/>
        </w:rPr>
        <w:t>5.3.3退役期其他环境影响分析</w:t>
      </w:r>
    </w:p>
    <w:p w14:paraId="136E6EC6">
      <w:pPr>
        <w:pStyle w:val="11"/>
        <w:bidi w:val="0"/>
        <w:rPr>
          <w:rFonts w:ascii="Times New Roman" w:hAnsi="Times New Roman" w:eastAsia="宋体"/>
          <w:color w:val="auto"/>
        </w:rPr>
      </w:pPr>
      <w:r>
        <w:rPr>
          <w:rFonts w:ascii="Times New Roman" w:hAnsi="Times New Roman" w:eastAsia="宋体"/>
          <w:color w:val="auto"/>
        </w:rPr>
        <w:t>油田开发进入退役期后，各种机械设备将停止使用，油田日常生产过</w:t>
      </w:r>
      <w:r>
        <w:rPr>
          <w:rFonts w:hint="eastAsia"/>
          <w:color w:val="auto"/>
          <w:lang w:eastAsia="zh-CN"/>
        </w:rPr>
        <w:t>程中</w:t>
      </w:r>
      <w:r>
        <w:rPr>
          <w:rFonts w:ascii="Times New Roman" w:hAnsi="Times New Roman" w:eastAsia="宋体"/>
          <w:color w:val="auto"/>
        </w:rPr>
        <w:t>产生的废气污染物、生产废水、噪声及固体废物等将会消失。油井停采后将进行一系列清理工作，包括地面设施拆除、地下截去至少1m的井筒并用水泥灌注封井、井场清理等，将会产生少量扬尘和固体废物。在闭井施工作业中应注意采取降尘措施，文明施工，尽可能降低对周边大气环境的影响，对于地面设施拆除作业过程中产生的固体废物应按要求妥善处置。在采取以上处理措施后，环境影响较小。</w:t>
      </w:r>
    </w:p>
    <w:p w14:paraId="398535A2">
      <w:pPr>
        <w:pStyle w:val="2"/>
        <w:bidi w:val="0"/>
        <w:rPr>
          <w:rFonts w:hint="default"/>
          <w:color w:val="auto"/>
          <w:lang w:val="en-US" w:eastAsia="zh-CN"/>
        </w:rPr>
      </w:pPr>
      <w:bookmarkStart w:id="266" w:name="_Toc25739"/>
      <w:r>
        <w:rPr>
          <w:rFonts w:hint="eastAsia"/>
          <w:color w:val="auto"/>
          <w:lang w:val="en-US" w:eastAsia="zh-CN"/>
        </w:rPr>
        <w:t>5.4环境风险分析</w:t>
      </w:r>
      <w:bookmarkEnd w:id="266"/>
    </w:p>
    <w:p w14:paraId="39F3C73C">
      <w:pPr>
        <w:pStyle w:val="33"/>
        <w:bidi w:val="0"/>
        <w:rPr>
          <w:color w:val="auto"/>
          <w:lang w:val="en-US" w:eastAsia="zh-CN"/>
        </w:rPr>
      </w:pPr>
      <w:r>
        <w:rPr>
          <w:rFonts w:ascii="宋体" w:hAnsi="宋体" w:eastAsia="宋体" w:cs="宋体"/>
          <w:color w:val="auto"/>
          <w:sz w:val="24"/>
          <w:szCs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出科学依据。</w:t>
      </w:r>
    </w:p>
    <w:p w14:paraId="1A925DF3">
      <w:pPr>
        <w:pStyle w:val="5"/>
        <w:bidi w:val="0"/>
        <w:rPr>
          <w:rFonts w:hint="default"/>
          <w:color w:val="auto"/>
          <w:lang w:val="en-US" w:eastAsia="zh-CN"/>
        </w:rPr>
      </w:pPr>
      <w:bookmarkStart w:id="267" w:name="_Toc2668"/>
      <w:r>
        <w:rPr>
          <w:rFonts w:hint="eastAsia"/>
          <w:color w:val="auto"/>
          <w:lang w:val="en-US" w:eastAsia="zh-CN"/>
        </w:rPr>
        <w:t>5.4.1风险调查</w:t>
      </w:r>
    </w:p>
    <w:p w14:paraId="4F86E44B">
      <w:pPr>
        <w:pStyle w:val="6"/>
        <w:bidi w:val="0"/>
        <w:rPr>
          <w:rFonts w:hint="default"/>
          <w:color w:val="auto"/>
          <w:lang w:val="en-US" w:eastAsia="zh-CN"/>
        </w:rPr>
      </w:pPr>
      <w:r>
        <w:rPr>
          <w:rFonts w:hint="eastAsia"/>
          <w:color w:val="auto"/>
          <w:lang w:val="en-US" w:eastAsia="zh-CN"/>
        </w:rPr>
        <w:t>5.4.1.1评价工作程序</w:t>
      </w:r>
      <w:bookmarkEnd w:id="267"/>
    </w:p>
    <w:p w14:paraId="65DBC8D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本项目环境风险评价工作程序见</w:t>
      </w:r>
      <w:r>
        <w:rPr>
          <w:rFonts w:hint="eastAsia"/>
          <w:color w:val="auto"/>
          <w:sz w:val="24"/>
          <w:szCs w:val="28"/>
          <w:lang w:val="en-US" w:eastAsia="zh-CN"/>
        </w:rPr>
        <w:t>图5.4-1</w:t>
      </w:r>
      <w:r>
        <w:rPr>
          <w:color w:val="auto"/>
          <w:sz w:val="24"/>
          <w:szCs w:val="28"/>
        </w:rPr>
        <w:t>。</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948"/>
      </w:tblGrid>
      <w:tr w14:paraId="51F927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948" w:type="dxa"/>
            <w:tcBorders>
              <w:tl2br w:val="nil"/>
              <w:tr2bl w:val="nil"/>
            </w:tcBorders>
          </w:tcPr>
          <w:p w14:paraId="3DD41769">
            <w:pPr>
              <w:pStyle w:val="34"/>
              <w:bidi w:val="0"/>
              <w:rPr>
                <w:color w:val="auto"/>
                <w:lang w:val="en-US" w:eastAsia="zh-CN"/>
              </w:rPr>
            </w:pPr>
            <w:r>
              <w:rPr>
                <w:rFonts w:cs="Times New Roman"/>
                <w:color w:val="auto"/>
              </w:rPr>
              <w:drawing>
                <wp:inline distT="0" distB="0" distL="0" distR="0">
                  <wp:extent cx="4991100" cy="4675505"/>
                  <wp:effectExtent l="0" t="0" r="0" b="10795"/>
                  <wp:docPr id="20" name="图片 20" descr="C:\Users\11514\AppData\Local\Temp\1639652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1514\AppData\Local\Temp\163965226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997120" cy="4681492"/>
                          </a:xfrm>
                          <a:prstGeom prst="rect">
                            <a:avLst/>
                          </a:prstGeom>
                          <a:noFill/>
                          <a:ln>
                            <a:noFill/>
                          </a:ln>
                        </pic:spPr>
                      </pic:pic>
                    </a:graphicData>
                  </a:graphic>
                </wp:inline>
              </w:drawing>
            </w:r>
          </w:p>
        </w:tc>
      </w:tr>
      <w:tr w14:paraId="595B13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948" w:type="dxa"/>
            <w:tcBorders>
              <w:tl2br w:val="nil"/>
              <w:tr2bl w:val="nil"/>
            </w:tcBorders>
          </w:tcPr>
          <w:p w14:paraId="50E80E5B">
            <w:pPr>
              <w:pStyle w:val="34"/>
              <w:bidi w:val="0"/>
              <w:rPr>
                <w:color w:val="auto"/>
                <w:lang w:val="en-US" w:eastAsia="zh-CN"/>
              </w:rPr>
            </w:pPr>
            <w:bookmarkStart w:id="268" w:name="_Ref91855908"/>
            <w:r>
              <w:rPr>
                <w:b/>
                <w:bCs/>
                <w:color w:val="auto"/>
              </w:rPr>
              <w:t>图</w:t>
            </w:r>
            <w:bookmarkEnd w:id="268"/>
            <w:r>
              <w:rPr>
                <w:rFonts w:hint="eastAsia"/>
                <w:b/>
                <w:bCs/>
                <w:color w:val="auto"/>
                <w:lang w:val="en-US" w:eastAsia="zh-CN"/>
              </w:rPr>
              <w:t xml:space="preserve">5.4-1  </w:t>
            </w:r>
            <w:r>
              <w:rPr>
                <w:b/>
                <w:bCs/>
                <w:color w:val="auto"/>
              </w:rPr>
              <w:t>环境风险评价工作程序</w:t>
            </w:r>
          </w:p>
        </w:tc>
      </w:tr>
    </w:tbl>
    <w:p w14:paraId="623F885D">
      <w:pPr>
        <w:pStyle w:val="6"/>
        <w:bidi w:val="0"/>
        <w:rPr>
          <w:rFonts w:hint="default"/>
          <w:color w:val="auto"/>
          <w:lang w:val="en-US" w:eastAsia="zh-CN"/>
        </w:rPr>
      </w:pPr>
      <w:r>
        <w:rPr>
          <w:rFonts w:hint="eastAsia"/>
          <w:color w:val="auto"/>
          <w:lang w:val="en-US" w:eastAsia="zh-CN"/>
        </w:rPr>
        <w:t>5.4.1.2风险源调查</w:t>
      </w:r>
    </w:p>
    <w:p w14:paraId="35820C5E">
      <w:pPr>
        <w:pStyle w:val="33"/>
        <w:bidi w:val="0"/>
        <w:rPr>
          <w:color w:val="auto"/>
          <w:lang w:val="en-US" w:eastAsia="zh-CN"/>
        </w:rPr>
      </w:pPr>
      <w:r>
        <w:rPr>
          <w:rFonts w:hint="eastAsia" w:ascii="Times New Roman" w:hAnsi="Times New Roman" w:eastAsia="宋体" w:cs="Times New Roman"/>
          <w:color w:val="auto"/>
          <w:sz w:val="24"/>
          <w:szCs w:val="24"/>
          <w:lang w:val="en-US" w:eastAsia="zh-CN"/>
        </w:rPr>
        <w:t>根据《建设项目环境风险评价技术导则》（HJ169-2018）附录B，本项目涉及的风险物质为原油、伴生气以及</w:t>
      </w:r>
      <w:r>
        <w:rPr>
          <w:rFonts w:hint="eastAsia" w:cs="Times New Roman"/>
          <w:color w:val="auto"/>
          <w:sz w:val="24"/>
          <w:szCs w:val="24"/>
          <w:lang w:val="en-US" w:eastAsia="zh-CN"/>
        </w:rPr>
        <w:t>泄漏</w:t>
      </w:r>
      <w:r>
        <w:rPr>
          <w:rFonts w:hint="eastAsia" w:ascii="Times New Roman" w:hAnsi="Times New Roman" w:eastAsia="宋体" w:cs="Times New Roman"/>
          <w:color w:val="auto"/>
          <w:sz w:val="24"/>
          <w:szCs w:val="24"/>
          <w:lang w:val="en-US" w:eastAsia="zh-CN"/>
        </w:rPr>
        <w:t>火灾爆炸事故次生的CO等。</w:t>
      </w:r>
    </w:p>
    <w:p w14:paraId="4C0B2EE9">
      <w:pPr>
        <w:pStyle w:val="33"/>
        <w:bidi w:val="0"/>
        <w:rPr>
          <w:color w:val="auto"/>
          <w:lang w:val="en-US" w:eastAsia="zh-CN"/>
        </w:rPr>
      </w:pPr>
      <w:r>
        <w:rPr>
          <w:rFonts w:hint="eastAsia" w:ascii="Times New Roman" w:hAnsi="Times New Roman" w:eastAsia="宋体" w:cs="Times New Roman"/>
          <w:color w:val="auto"/>
          <w:sz w:val="24"/>
          <w:szCs w:val="24"/>
          <w:lang w:val="en-US" w:eastAsia="zh-CN"/>
        </w:rPr>
        <w:t>项目可能存在的风险单元为集油管线。</w:t>
      </w:r>
    </w:p>
    <w:p w14:paraId="630A4F86">
      <w:pPr>
        <w:pStyle w:val="6"/>
        <w:bidi w:val="0"/>
        <w:rPr>
          <w:rFonts w:hint="default"/>
          <w:color w:val="auto"/>
          <w:lang w:val="en-US" w:eastAsia="zh-CN"/>
        </w:rPr>
      </w:pPr>
      <w:r>
        <w:rPr>
          <w:rFonts w:hint="eastAsia"/>
          <w:color w:val="auto"/>
          <w:lang w:val="en-US" w:eastAsia="zh-CN"/>
        </w:rPr>
        <w:t>5.4.1.3环境敏感目标</w:t>
      </w:r>
    </w:p>
    <w:p w14:paraId="02B2E1F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根据现场调查，本项目环境敏感目标见表2.7-1。</w:t>
      </w:r>
    </w:p>
    <w:p w14:paraId="30B6CD39">
      <w:pPr>
        <w:pStyle w:val="5"/>
        <w:bidi w:val="0"/>
        <w:rPr>
          <w:rFonts w:hint="default"/>
          <w:color w:val="auto"/>
          <w:lang w:val="en-US" w:eastAsia="zh-CN"/>
        </w:rPr>
      </w:pPr>
      <w:r>
        <w:rPr>
          <w:rFonts w:hint="eastAsia"/>
          <w:color w:val="auto"/>
          <w:lang w:val="en-US" w:eastAsia="zh-CN"/>
        </w:rPr>
        <w:t>5.4.2评价工作等级</w:t>
      </w:r>
    </w:p>
    <w:p w14:paraId="64A19137">
      <w:pPr>
        <w:pStyle w:val="6"/>
        <w:bidi w:val="0"/>
        <w:rPr>
          <w:rFonts w:hint="default"/>
          <w:color w:val="auto"/>
          <w:lang w:val="en-US" w:eastAsia="zh-CN"/>
        </w:rPr>
      </w:pPr>
      <w:r>
        <w:rPr>
          <w:rFonts w:hint="eastAsia"/>
          <w:color w:val="auto"/>
          <w:lang w:val="en-US" w:eastAsia="zh-CN"/>
        </w:rPr>
        <w:t>5.4.2.1环境风险潜势初判</w:t>
      </w:r>
    </w:p>
    <w:p w14:paraId="2712B16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根据本项目所涉及的每种危险物质在厂界内的最大存在总量及其在《建设项目环境风险评价技术导则》（HJ169-2018）附录B中对应临界量的比值确定Q。</w:t>
      </w:r>
    </w:p>
    <w:p w14:paraId="344FECD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根据表2.5-16可知，</w:t>
      </w:r>
      <w:r>
        <w:rPr>
          <w:rFonts w:hint="eastAsia" w:cs="Times New Roman"/>
          <w:color w:val="auto"/>
          <w:sz w:val="24"/>
          <w:szCs w:val="24"/>
          <w:lang w:val="en-US" w:eastAsia="zh-CN"/>
        </w:rPr>
        <w:t>Q=0.325&lt;1，因此</w:t>
      </w:r>
      <w:r>
        <w:rPr>
          <w:rFonts w:hint="eastAsia" w:ascii="Times New Roman" w:hAnsi="Times New Roman" w:eastAsia="宋体" w:cs="Times New Roman"/>
          <w:color w:val="auto"/>
          <w:sz w:val="24"/>
          <w:szCs w:val="24"/>
          <w:lang w:val="en-US" w:eastAsia="zh-CN"/>
        </w:rPr>
        <w:t>本项目环境风险潜势为I。</w:t>
      </w:r>
    </w:p>
    <w:p w14:paraId="5EE24AE7">
      <w:pPr>
        <w:pStyle w:val="6"/>
        <w:bidi w:val="0"/>
        <w:rPr>
          <w:rFonts w:hint="default"/>
          <w:color w:val="auto"/>
          <w:lang w:val="en-US" w:eastAsia="zh-CN"/>
        </w:rPr>
      </w:pPr>
      <w:r>
        <w:rPr>
          <w:rFonts w:hint="eastAsia"/>
          <w:color w:val="auto"/>
          <w:lang w:val="en-US" w:eastAsia="zh-CN"/>
        </w:rPr>
        <w:t>5.4.2.2风险评价等级及工作内容</w:t>
      </w:r>
    </w:p>
    <w:p w14:paraId="5B96683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ascii="宋体" w:hAnsi="宋体" w:eastAsia="宋体" w:cs="宋体"/>
          <w:color w:val="auto"/>
          <w:sz w:val="24"/>
          <w:szCs w:val="24"/>
        </w:rPr>
        <w:t>根据导则，判定</w:t>
      </w:r>
      <w:r>
        <w:rPr>
          <w:rFonts w:hint="eastAsia" w:ascii="宋体" w:hAnsi="宋体" w:eastAsia="宋体" w:cs="宋体"/>
          <w:color w:val="auto"/>
          <w:sz w:val="24"/>
          <w:szCs w:val="24"/>
          <w:lang w:val="en-US" w:eastAsia="zh-CN"/>
        </w:rPr>
        <w:t>本工程</w:t>
      </w:r>
      <w:r>
        <w:rPr>
          <w:rFonts w:ascii="宋体" w:hAnsi="宋体" w:eastAsia="宋体" w:cs="宋体"/>
          <w:color w:val="auto"/>
          <w:sz w:val="24"/>
          <w:szCs w:val="24"/>
        </w:rPr>
        <w:t>环境风险评价工作等级为简单分析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不设置评价范围</w:t>
      </w:r>
      <w:r>
        <w:rPr>
          <w:rFonts w:hint="eastAsia" w:ascii="宋体" w:hAnsi="宋体" w:eastAsia="宋体" w:cs="宋体"/>
          <w:color w:val="auto"/>
          <w:sz w:val="24"/>
          <w:szCs w:val="24"/>
          <w:lang w:eastAsia="zh-CN"/>
        </w:rPr>
        <w:t>。</w:t>
      </w:r>
    </w:p>
    <w:p w14:paraId="468941B2">
      <w:pPr>
        <w:pStyle w:val="5"/>
        <w:bidi w:val="0"/>
        <w:rPr>
          <w:rFonts w:hint="default"/>
          <w:color w:val="auto"/>
          <w:lang w:val="en-US" w:eastAsia="zh-CN"/>
        </w:rPr>
      </w:pPr>
      <w:r>
        <w:rPr>
          <w:rFonts w:hint="eastAsia"/>
          <w:color w:val="auto"/>
          <w:lang w:val="en-US" w:eastAsia="zh-CN"/>
        </w:rPr>
        <w:t>5.4.3环境风险识别</w:t>
      </w:r>
    </w:p>
    <w:p w14:paraId="75AA65D4">
      <w:pPr>
        <w:pStyle w:val="6"/>
        <w:bidi w:val="0"/>
        <w:rPr>
          <w:rFonts w:hint="default"/>
          <w:color w:val="auto"/>
          <w:lang w:val="en-US" w:eastAsia="zh-CN"/>
        </w:rPr>
      </w:pPr>
      <w:r>
        <w:rPr>
          <w:rFonts w:hint="eastAsia"/>
          <w:color w:val="auto"/>
          <w:lang w:val="en-US" w:eastAsia="zh-CN"/>
        </w:rPr>
        <w:t>5.4.3.1物质危险性识别</w:t>
      </w:r>
    </w:p>
    <w:p w14:paraId="0F946CC8">
      <w:pPr>
        <w:pStyle w:val="33"/>
        <w:bidi w:val="0"/>
        <w:rPr>
          <w:rFonts w:hint="eastAsia"/>
          <w:color w:val="auto"/>
        </w:rPr>
      </w:pPr>
      <w:r>
        <w:rPr>
          <w:rFonts w:hint="eastAsia"/>
          <w:color w:val="auto"/>
        </w:rPr>
        <w:t>本项目生产过程中所涉及的危险物质主要有原油、伴生气，以及火灾爆炸事故次生污染物CO、SO</w:t>
      </w:r>
      <w:r>
        <w:rPr>
          <w:rFonts w:hint="eastAsia"/>
          <w:color w:val="auto"/>
          <w:vertAlign w:val="subscript"/>
        </w:rPr>
        <w:t>2</w:t>
      </w:r>
      <w:r>
        <w:rPr>
          <w:rFonts w:hint="eastAsia"/>
          <w:color w:val="auto"/>
        </w:rPr>
        <w:t>，根据《危险化学品重大危险源辨识》（GB18218-2018），以上危险物质危险特性见</w:t>
      </w:r>
      <w:r>
        <w:rPr>
          <w:rFonts w:hint="eastAsia"/>
          <w:color w:val="auto"/>
          <w:lang w:eastAsia="zh-CN"/>
        </w:rPr>
        <w:fldChar w:fldCharType="begin"/>
      </w:r>
      <w:r>
        <w:rPr>
          <w:rFonts w:hint="eastAsia"/>
          <w:color w:val="auto"/>
          <w:lang w:eastAsia="zh-CN"/>
        </w:rPr>
        <w:instrText xml:space="preserve"> REF _Ref26991 \h </w:instrText>
      </w:r>
      <w:r>
        <w:rPr>
          <w:rFonts w:hint="eastAsia"/>
          <w:color w:val="auto"/>
          <w:lang w:eastAsia="zh-CN"/>
        </w:rPr>
        <w:fldChar w:fldCharType="separate"/>
      </w:r>
      <w:r>
        <w:rPr>
          <w:color w:val="auto"/>
        </w:rPr>
        <w:t>表</w:t>
      </w:r>
      <w:r>
        <w:rPr>
          <w:rFonts w:hint="eastAsia"/>
          <w:color w:val="auto"/>
          <w:lang w:val="en-US" w:eastAsia="zh-CN"/>
        </w:rPr>
        <w:t>5</w:t>
      </w:r>
      <w:r>
        <w:rPr>
          <w:rFonts w:hint="eastAsia"/>
          <w:color w:val="auto"/>
          <w:lang w:eastAsia="zh-CN"/>
        </w:rPr>
        <w:fldChar w:fldCharType="end"/>
      </w:r>
      <w:r>
        <w:rPr>
          <w:rFonts w:hint="eastAsia"/>
          <w:color w:val="auto"/>
          <w:lang w:val="en-US" w:eastAsia="zh-CN"/>
        </w:rPr>
        <w:t>.4-1</w:t>
      </w:r>
      <w:r>
        <w:rPr>
          <w:rFonts w:hint="eastAsia"/>
          <w:color w:val="auto"/>
        </w:rPr>
        <w:t>。</w:t>
      </w:r>
    </w:p>
    <w:p w14:paraId="54C5C872">
      <w:pPr>
        <w:pStyle w:val="43"/>
        <w:bidi w:val="0"/>
        <w:rPr>
          <w:rFonts w:hint="eastAsia"/>
          <w:b w:val="0"/>
          <w:bCs/>
          <w:color w:val="auto"/>
        </w:rPr>
      </w:pPr>
      <w:bookmarkStart w:id="269" w:name="_Ref26991"/>
      <w:r>
        <w:rPr>
          <w:color w:val="auto"/>
        </w:rPr>
        <w:t>表</w:t>
      </w:r>
      <w:r>
        <w:rPr>
          <w:rFonts w:hint="eastAsia"/>
          <w:color w:val="auto"/>
          <w:lang w:val="en-US" w:eastAsia="zh-CN"/>
        </w:rPr>
        <w:t>5.4</w:t>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269"/>
      <w:r>
        <w:rPr>
          <w:rFonts w:hint="eastAsia"/>
          <w:color w:val="auto"/>
        </w:rPr>
        <w:t xml:space="preserve">  危险物质分类表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812"/>
        <w:gridCol w:w="4914"/>
        <w:gridCol w:w="3104"/>
      </w:tblGrid>
      <w:tr w14:paraId="40B3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242" w:type="pct"/>
            <w:gridSpan w:val="2"/>
            <w:vAlign w:val="center"/>
          </w:tcPr>
          <w:p w14:paraId="3BB57B0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val="0"/>
                <w:color w:val="auto"/>
              </w:rPr>
            </w:pPr>
            <w:r>
              <w:rPr>
                <w:rFonts w:hint="eastAsia"/>
                <w:b/>
                <w:bCs w:val="0"/>
                <w:color w:val="auto"/>
              </w:rPr>
              <w:t>危险特性</w:t>
            </w:r>
          </w:p>
        </w:tc>
        <w:tc>
          <w:tcPr>
            <w:tcW w:w="1757" w:type="pct"/>
            <w:vAlign w:val="center"/>
          </w:tcPr>
          <w:p w14:paraId="024895D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val="0"/>
                <w:color w:val="auto"/>
              </w:rPr>
            </w:pPr>
            <w:r>
              <w:rPr>
                <w:rFonts w:hint="eastAsia"/>
                <w:b/>
                <w:bCs w:val="0"/>
                <w:color w:val="auto"/>
              </w:rPr>
              <w:t>危险物质</w:t>
            </w:r>
          </w:p>
        </w:tc>
      </w:tr>
      <w:tr w14:paraId="623F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60" w:type="pct"/>
            <w:vMerge w:val="restart"/>
            <w:vAlign w:val="center"/>
          </w:tcPr>
          <w:p w14:paraId="3FA988D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有毒物质</w:t>
            </w:r>
          </w:p>
        </w:tc>
        <w:tc>
          <w:tcPr>
            <w:tcW w:w="2782" w:type="pct"/>
            <w:vAlign w:val="center"/>
          </w:tcPr>
          <w:p w14:paraId="36B88F5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急性毒性属于1类、2类（剧毒物质）</w:t>
            </w:r>
          </w:p>
        </w:tc>
        <w:tc>
          <w:tcPr>
            <w:tcW w:w="1757" w:type="pct"/>
            <w:vAlign w:val="center"/>
          </w:tcPr>
          <w:p w14:paraId="6514170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CO、SO</w:t>
            </w:r>
            <w:r>
              <w:rPr>
                <w:rFonts w:hint="eastAsia"/>
                <w:color w:val="auto"/>
                <w:vertAlign w:val="subscript"/>
              </w:rPr>
              <w:t>2</w:t>
            </w:r>
          </w:p>
        </w:tc>
      </w:tr>
      <w:tr w14:paraId="57B3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60" w:type="pct"/>
            <w:vMerge w:val="continue"/>
            <w:vAlign w:val="center"/>
          </w:tcPr>
          <w:p w14:paraId="1DE6470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782" w:type="pct"/>
            <w:vAlign w:val="center"/>
          </w:tcPr>
          <w:p w14:paraId="79B19EE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急性毒性属于3类别（一般毒性物质）</w:t>
            </w:r>
          </w:p>
        </w:tc>
        <w:tc>
          <w:tcPr>
            <w:tcW w:w="1757" w:type="pct"/>
            <w:vAlign w:val="center"/>
          </w:tcPr>
          <w:p w14:paraId="6BEDFE8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w:t>
            </w:r>
          </w:p>
        </w:tc>
      </w:tr>
      <w:tr w14:paraId="3BC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60" w:type="pct"/>
            <w:vMerge w:val="restart"/>
            <w:vAlign w:val="center"/>
          </w:tcPr>
          <w:p w14:paraId="5D333CA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易燃</w:t>
            </w:r>
          </w:p>
          <w:p w14:paraId="4815AEA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物质</w:t>
            </w:r>
          </w:p>
        </w:tc>
        <w:tc>
          <w:tcPr>
            <w:tcW w:w="2782" w:type="pct"/>
            <w:vAlign w:val="center"/>
          </w:tcPr>
          <w:p w14:paraId="21EB969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易燃气体</w:t>
            </w:r>
          </w:p>
        </w:tc>
        <w:tc>
          <w:tcPr>
            <w:tcW w:w="1757" w:type="pct"/>
            <w:vAlign w:val="center"/>
          </w:tcPr>
          <w:p w14:paraId="08D4150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伴生气</w:t>
            </w:r>
          </w:p>
        </w:tc>
      </w:tr>
      <w:tr w14:paraId="5345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60" w:type="pct"/>
            <w:vMerge w:val="continue"/>
            <w:vAlign w:val="center"/>
          </w:tcPr>
          <w:p w14:paraId="1208701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782" w:type="pct"/>
            <w:vAlign w:val="center"/>
          </w:tcPr>
          <w:p w14:paraId="3A1F37C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易燃液体</w:t>
            </w:r>
          </w:p>
        </w:tc>
        <w:tc>
          <w:tcPr>
            <w:tcW w:w="1757" w:type="pct"/>
            <w:vAlign w:val="center"/>
          </w:tcPr>
          <w:p w14:paraId="534C93E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原油</w:t>
            </w:r>
          </w:p>
        </w:tc>
      </w:tr>
    </w:tbl>
    <w:p w14:paraId="5C35FF98">
      <w:pPr>
        <w:pStyle w:val="33"/>
        <w:bidi w:val="0"/>
        <w:rPr>
          <w:rFonts w:hint="eastAsia"/>
          <w:color w:val="auto"/>
        </w:rPr>
      </w:pPr>
      <w:r>
        <w:rPr>
          <w:rFonts w:hint="eastAsia"/>
          <w:color w:val="auto"/>
        </w:rPr>
        <w:t>各物料的基本性质如下：</w:t>
      </w:r>
    </w:p>
    <w:p w14:paraId="39957A39">
      <w:pPr>
        <w:pStyle w:val="33"/>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原油</w:t>
      </w:r>
    </w:p>
    <w:p w14:paraId="79671189">
      <w:pPr>
        <w:pStyle w:val="33"/>
        <w:bidi w:val="0"/>
        <w:rPr>
          <w:rFonts w:hint="eastAsia" w:ascii="宋体" w:hAnsi="宋体" w:eastAsia="宋体" w:cs="宋体"/>
          <w:color w:val="auto"/>
        </w:rPr>
      </w:pPr>
      <w:r>
        <w:rPr>
          <w:rFonts w:hint="eastAsia"/>
          <w:color w:val="auto"/>
        </w:rPr>
        <w:t>原油主要理化性质见</w:t>
      </w:r>
      <w:r>
        <w:rPr>
          <w:rFonts w:hint="eastAsia"/>
          <w:color w:val="auto"/>
          <w:lang w:eastAsia="zh-CN"/>
        </w:rPr>
        <w:fldChar w:fldCharType="begin"/>
      </w:r>
      <w:r>
        <w:rPr>
          <w:rFonts w:hint="eastAsia"/>
          <w:color w:val="auto"/>
          <w:lang w:eastAsia="zh-CN"/>
        </w:rPr>
        <w:instrText xml:space="preserve"> REF _Ref27046 \h </w:instrText>
      </w:r>
      <w:r>
        <w:rPr>
          <w:rFonts w:hint="eastAsia"/>
          <w:color w:val="auto"/>
          <w:lang w:eastAsia="zh-CN"/>
        </w:rPr>
        <w:fldChar w:fldCharType="separate"/>
      </w:r>
      <w:r>
        <w:rPr>
          <w:color w:val="auto"/>
        </w:rPr>
        <w:t>表</w:t>
      </w:r>
      <w:r>
        <w:rPr>
          <w:rFonts w:hint="eastAsia"/>
          <w:color w:val="auto"/>
          <w:lang w:val="en-US" w:eastAsia="zh-CN"/>
        </w:rPr>
        <w:t>5.4</w:t>
      </w:r>
      <w:r>
        <w:rPr>
          <w:color w:val="auto"/>
        </w:rPr>
        <w:noBreakHyphen/>
      </w:r>
      <w:r>
        <w:rPr>
          <w:color w:val="auto"/>
        </w:rPr>
        <w:t>2</w:t>
      </w:r>
      <w:r>
        <w:rPr>
          <w:rFonts w:hint="eastAsia"/>
          <w:color w:val="auto"/>
          <w:lang w:eastAsia="zh-CN"/>
        </w:rPr>
        <w:fldChar w:fldCharType="end"/>
      </w:r>
      <w:r>
        <w:rPr>
          <w:rFonts w:hint="eastAsia"/>
          <w:color w:val="auto"/>
        </w:rPr>
        <w:t>。</w:t>
      </w:r>
    </w:p>
    <w:p w14:paraId="213B6DEA">
      <w:pPr>
        <w:pStyle w:val="43"/>
        <w:bidi w:val="0"/>
        <w:rPr>
          <w:rFonts w:hint="eastAsia"/>
          <w:color w:val="auto"/>
        </w:rPr>
      </w:pPr>
      <w:bookmarkStart w:id="270" w:name="_Ref27046"/>
      <w:r>
        <w:rPr>
          <w:color w:val="auto"/>
        </w:rPr>
        <w:t>表</w:t>
      </w:r>
      <w:r>
        <w:rPr>
          <w:rFonts w:hint="eastAsia"/>
          <w:color w:val="auto"/>
          <w:lang w:val="en-US" w:eastAsia="zh-CN"/>
        </w:rPr>
        <w:t>5.4</w:t>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bookmarkEnd w:id="270"/>
      <w:r>
        <w:rPr>
          <w:rFonts w:hint="eastAsia"/>
          <w:color w:val="auto"/>
        </w:rPr>
        <w:t xml:space="preserve">  原油的理化性质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804"/>
        <w:gridCol w:w="4117"/>
        <w:gridCol w:w="3909"/>
      </w:tblGrid>
      <w:tr w14:paraId="6A2A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restart"/>
            <w:vAlign w:val="center"/>
          </w:tcPr>
          <w:p w14:paraId="16AD072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标识</w:t>
            </w:r>
          </w:p>
        </w:tc>
        <w:tc>
          <w:tcPr>
            <w:tcW w:w="2331" w:type="pct"/>
            <w:vAlign w:val="center"/>
          </w:tcPr>
          <w:p w14:paraId="26053B4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中文名：原油</w:t>
            </w:r>
          </w:p>
        </w:tc>
        <w:tc>
          <w:tcPr>
            <w:tcW w:w="2212" w:type="pct"/>
            <w:vAlign w:val="center"/>
          </w:tcPr>
          <w:p w14:paraId="1A58A52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英文名</w:t>
            </w:r>
            <w:r>
              <w:rPr>
                <w:rFonts w:hint="eastAsia"/>
                <w:color w:val="auto"/>
                <w:lang w:val="en-GB"/>
              </w:rPr>
              <w:t>：</w:t>
            </w:r>
            <w:r>
              <w:rPr>
                <w:rFonts w:hint="eastAsia"/>
                <w:color w:val="auto"/>
              </w:rPr>
              <w:t>Petroleum</w:t>
            </w:r>
          </w:p>
        </w:tc>
      </w:tr>
      <w:tr w14:paraId="6011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continue"/>
            <w:vAlign w:val="center"/>
          </w:tcPr>
          <w:p w14:paraId="100365E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331" w:type="pct"/>
            <w:vAlign w:val="center"/>
          </w:tcPr>
          <w:p w14:paraId="6E64B2B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危规号：32003</w:t>
            </w:r>
          </w:p>
        </w:tc>
        <w:tc>
          <w:tcPr>
            <w:tcW w:w="2212" w:type="pct"/>
            <w:vAlign w:val="center"/>
          </w:tcPr>
          <w:p w14:paraId="0B755BD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CAS号：75-01-04</w:t>
            </w:r>
          </w:p>
        </w:tc>
      </w:tr>
      <w:tr w14:paraId="0427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restart"/>
            <w:vAlign w:val="center"/>
          </w:tcPr>
          <w:p w14:paraId="4C8238F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理化</w:t>
            </w:r>
          </w:p>
          <w:p w14:paraId="0520D12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性质</w:t>
            </w:r>
          </w:p>
        </w:tc>
        <w:tc>
          <w:tcPr>
            <w:tcW w:w="2331" w:type="pct"/>
            <w:vAlign w:val="center"/>
          </w:tcPr>
          <w:p w14:paraId="2C5AE8F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外观与形状：红色、红棕色或黑色有绿色荧光的稠厚性油状液体</w:t>
            </w:r>
          </w:p>
        </w:tc>
        <w:tc>
          <w:tcPr>
            <w:tcW w:w="2212" w:type="pct"/>
            <w:vAlign w:val="center"/>
          </w:tcPr>
          <w:p w14:paraId="46E7068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溶解性：不溶于水，溶于多数有机溶剂</w:t>
            </w:r>
          </w:p>
        </w:tc>
      </w:tr>
      <w:tr w14:paraId="5B95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continue"/>
            <w:vAlign w:val="center"/>
          </w:tcPr>
          <w:p w14:paraId="2B4A5BA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331" w:type="pct"/>
            <w:vAlign w:val="center"/>
          </w:tcPr>
          <w:p w14:paraId="06000D8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熔点(℃)：-259.2</w:t>
            </w:r>
          </w:p>
        </w:tc>
        <w:tc>
          <w:tcPr>
            <w:tcW w:w="2212" w:type="pct"/>
            <w:vAlign w:val="center"/>
          </w:tcPr>
          <w:p w14:paraId="7F2FC5C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沸点(℃)：120～200℃</w:t>
            </w:r>
          </w:p>
        </w:tc>
      </w:tr>
      <w:tr w14:paraId="156F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continue"/>
            <w:vAlign w:val="center"/>
          </w:tcPr>
          <w:p w14:paraId="1EA69D1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331" w:type="pct"/>
            <w:vAlign w:val="center"/>
          </w:tcPr>
          <w:p w14:paraId="15E5186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比重：0.84～0.86(水=1)</w:t>
            </w:r>
          </w:p>
        </w:tc>
        <w:tc>
          <w:tcPr>
            <w:tcW w:w="2212" w:type="pct"/>
            <w:vAlign w:val="center"/>
          </w:tcPr>
          <w:p w14:paraId="6141171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稳定性：稳定</w:t>
            </w:r>
          </w:p>
        </w:tc>
      </w:tr>
      <w:tr w14:paraId="440D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restart"/>
            <w:vAlign w:val="center"/>
          </w:tcPr>
          <w:p w14:paraId="4616114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危险</w:t>
            </w:r>
          </w:p>
          <w:p w14:paraId="5C72F2A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特性</w:t>
            </w:r>
          </w:p>
        </w:tc>
        <w:tc>
          <w:tcPr>
            <w:tcW w:w="2331" w:type="pct"/>
            <w:vAlign w:val="center"/>
          </w:tcPr>
          <w:p w14:paraId="1027CED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危险性类别：中闪点易燃液体</w:t>
            </w:r>
          </w:p>
        </w:tc>
        <w:tc>
          <w:tcPr>
            <w:tcW w:w="2212" w:type="pct"/>
            <w:vAlign w:val="center"/>
          </w:tcPr>
          <w:p w14:paraId="1C3950B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燃烧性：易燃</w:t>
            </w:r>
          </w:p>
        </w:tc>
      </w:tr>
      <w:tr w14:paraId="487F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continue"/>
            <w:vAlign w:val="center"/>
          </w:tcPr>
          <w:p w14:paraId="4268663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331" w:type="pct"/>
            <w:vAlign w:val="center"/>
          </w:tcPr>
          <w:p w14:paraId="36687C4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闪点(℃)：＜28℃</w:t>
            </w:r>
          </w:p>
        </w:tc>
        <w:tc>
          <w:tcPr>
            <w:tcW w:w="2212" w:type="pct"/>
            <w:vAlign w:val="center"/>
          </w:tcPr>
          <w:p w14:paraId="49F3E40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爆炸上限(%)：5.4</w:t>
            </w:r>
          </w:p>
        </w:tc>
      </w:tr>
      <w:tr w14:paraId="31A4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continue"/>
            <w:vAlign w:val="center"/>
          </w:tcPr>
          <w:p w14:paraId="74DBC52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331" w:type="pct"/>
            <w:vAlign w:val="center"/>
          </w:tcPr>
          <w:p w14:paraId="1BE0BD4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爆炸下限(%)：2.1</w:t>
            </w:r>
          </w:p>
        </w:tc>
        <w:tc>
          <w:tcPr>
            <w:tcW w:w="2212" w:type="pct"/>
            <w:vAlign w:val="center"/>
          </w:tcPr>
          <w:p w14:paraId="6CA5350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燃烧(分解)产物：一氧化碳、二氧化碳</w:t>
            </w:r>
          </w:p>
        </w:tc>
      </w:tr>
      <w:tr w14:paraId="216C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continue"/>
            <w:vAlign w:val="center"/>
          </w:tcPr>
          <w:p w14:paraId="6530290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544" w:type="pct"/>
            <w:gridSpan w:val="2"/>
            <w:vAlign w:val="center"/>
          </w:tcPr>
          <w:p w14:paraId="6BAB801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其蒸气与空气形成爆炸性混合物，遇明火、高热能引起燃烧爆炸。与氧化剂能发生强烈反应。遇高温，容器内压增大，有开裂和爆炸危险性。</w:t>
            </w:r>
          </w:p>
        </w:tc>
      </w:tr>
      <w:tr w14:paraId="7CD6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continue"/>
            <w:vAlign w:val="center"/>
          </w:tcPr>
          <w:p w14:paraId="1B1876C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544" w:type="pct"/>
            <w:gridSpan w:val="2"/>
            <w:vAlign w:val="center"/>
          </w:tcPr>
          <w:p w14:paraId="712EA2D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灭火方法：泡沫、干粉、二氧化碳、砂土。用水灭火无效。</w:t>
            </w:r>
          </w:p>
        </w:tc>
      </w:tr>
      <w:tr w14:paraId="7C97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continue"/>
            <w:vAlign w:val="center"/>
          </w:tcPr>
          <w:p w14:paraId="2D0072E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544" w:type="pct"/>
            <w:gridSpan w:val="2"/>
            <w:vAlign w:val="center"/>
          </w:tcPr>
          <w:p w14:paraId="57DDAC1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灭火剂：泡沫、干粉、二氧化碳</w:t>
            </w:r>
          </w:p>
        </w:tc>
      </w:tr>
      <w:tr w14:paraId="3DC3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Align w:val="center"/>
          </w:tcPr>
          <w:p w14:paraId="7688D37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毒性</w:t>
            </w:r>
          </w:p>
        </w:tc>
        <w:tc>
          <w:tcPr>
            <w:tcW w:w="4544" w:type="pct"/>
            <w:gridSpan w:val="2"/>
            <w:vAlign w:val="center"/>
          </w:tcPr>
          <w:p w14:paraId="152B6CF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LD50：500～5000mg/kg</w:t>
            </w:r>
          </w:p>
        </w:tc>
      </w:tr>
      <w:tr w14:paraId="3078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restart"/>
            <w:vAlign w:val="center"/>
          </w:tcPr>
          <w:p w14:paraId="5628E13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健康</w:t>
            </w:r>
          </w:p>
          <w:p w14:paraId="49C03FD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危害</w:t>
            </w:r>
          </w:p>
        </w:tc>
        <w:tc>
          <w:tcPr>
            <w:tcW w:w="4544" w:type="pct"/>
            <w:gridSpan w:val="2"/>
            <w:vAlign w:val="center"/>
          </w:tcPr>
          <w:p w14:paraId="20DC29A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侵入途径：吸入、食入</w:t>
            </w:r>
          </w:p>
        </w:tc>
      </w:tr>
      <w:tr w14:paraId="3580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pct"/>
            <w:vMerge w:val="continue"/>
            <w:vAlign w:val="center"/>
          </w:tcPr>
          <w:p w14:paraId="0D47F8B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544" w:type="pct"/>
            <w:gridSpan w:val="2"/>
            <w:vAlign w:val="center"/>
          </w:tcPr>
          <w:p w14:paraId="4DD7602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健康危害：蒸气可引起眼及上呼吸道刺激症状，如浓度过高，几分钟即可引起呼吸困难、</w:t>
            </w:r>
            <w:r>
              <w:rPr>
                <w:rFonts w:hint="eastAsia"/>
                <w:color w:val="auto"/>
                <w:lang w:eastAsia="zh-CN"/>
              </w:rPr>
              <w:t>发绀</w:t>
            </w:r>
            <w:r>
              <w:rPr>
                <w:rFonts w:hint="eastAsia"/>
                <w:color w:val="auto"/>
              </w:rPr>
              <w:t>等缺氧症状。</w:t>
            </w:r>
          </w:p>
        </w:tc>
      </w:tr>
    </w:tbl>
    <w:p w14:paraId="648CFEF2">
      <w:pPr>
        <w:pStyle w:val="33"/>
        <w:bidi w:val="0"/>
        <w:rPr>
          <w:rFonts w:hint="eastAsia"/>
          <w:color w:val="auto"/>
        </w:rPr>
      </w:pPr>
      <w:r>
        <w:rPr>
          <w:rFonts w:hint="eastAsia"/>
          <w:color w:val="auto"/>
        </w:rPr>
        <w:t>由</w:t>
      </w:r>
      <w:r>
        <w:rPr>
          <w:rFonts w:hint="eastAsia"/>
          <w:color w:val="auto"/>
          <w:lang w:val="en-US" w:eastAsia="zh-CN"/>
        </w:rPr>
        <w:t>上表</w:t>
      </w:r>
      <w:r>
        <w:rPr>
          <w:rFonts w:hint="eastAsia"/>
          <w:color w:val="auto"/>
        </w:rPr>
        <w:t>可以看出，原油具有以下特性：</w:t>
      </w:r>
    </w:p>
    <w:p w14:paraId="4573BB7A">
      <w:pPr>
        <w:pStyle w:val="33"/>
        <w:bidi w:val="0"/>
        <w:rPr>
          <w:rFonts w:hint="eastAsia"/>
          <w:color w:val="auto"/>
        </w:rPr>
      </w:pPr>
      <w:r>
        <w:rPr>
          <w:rFonts w:hint="eastAsia"/>
          <w:color w:val="auto"/>
        </w:rPr>
        <w:t>①火灾爆炸危险性：原油属中闪点易燃液体，其火灾危险性为甲类物质；</w:t>
      </w:r>
    </w:p>
    <w:p w14:paraId="06122071">
      <w:pPr>
        <w:pStyle w:val="33"/>
        <w:bidi w:val="0"/>
        <w:rPr>
          <w:rFonts w:hint="eastAsia"/>
          <w:color w:val="auto"/>
        </w:rPr>
      </w:pPr>
      <w:r>
        <w:rPr>
          <w:rFonts w:hint="eastAsia"/>
          <w:color w:val="auto"/>
        </w:rPr>
        <w:t>②易蒸发性：油田作业场所不同程度地存在因蒸发而产生的可燃性油气；</w:t>
      </w:r>
    </w:p>
    <w:p w14:paraId="2686F3F9">
      <w:pPr>
        <w:pStyle w:val="33"/>
        <w:bidi w:val="0"/>
        <w:rPr>
          <w:rFonts w:hint="eastAsia"/>
          <w:color w:val="auto"/>
        </w:rPr>
      </w:pPr>
      <w:r>
        <w:rPr>
          <w:rFonts w:hint="eastAsia"/>
          <w:color w:val="auto"/>
        </w:rPr>
        <w:t>③毒性物质：原油具有一定的毒性；</w:t>
      </w:r>
    </w:p>
    <w:p w14:paraId="076CCC3A">
      <w:pPr>
        <w:pStyle w:val="33"/>
        <w:bidi w:val="0"/>
        <w:rPr>
          <w:rFonts w:hint="eastAsia"/>
          <w:color w:val="auto"/>
        </w:rPr>
      </w:pPr>
      <w:r>
        <w:rPr>
          <w:rFonts w:hint="eastAsia"/>
          <w:color w:val="auto"/>
        </w:rPr>
        <w:t>④易积聚静电荷：静电放电是导致火灾爆炸事故的一个重要原因；</w:t>
      </w:r>
    </w:p>
    <w:p w14:paraId="0EBAE573">
      <w:pPr>
        <w:pStyle w:val="33"/>
        <w:bidi w:val="0"/>
        <w:rPr>
          <w:rFonts w:hint="eastAsia"/>
          <w:color w:val="auto"/>
        </w:rPr>
      </w:pPr>
      <w:r>
        <w:rPr>
          <w:rFonts w:hint="eastAsia"/>
          <w:color w:val="auto"/>
        </w:rPr>
        <w:t>⑤易流淌、扩散性：原油一旦泄漏将覆盖较大面积，扩大危险区域；油品的蒸汽一般比空气重，易沿地表扩散；</w:t>
      </w:r>
    </w:p>
    <w:p w14:paraId="67A158B3">
      <w:pPr>
        <w:pStyle w:val="33"/>
        <w:bidi w:val="0"/>
        <w:rPr>
          <w:rFonts w:hint="eastAsia"/>
          <w:color w:val="auto"/>
        </w:rPr>
      </w:pPr>
      <w:r>
        <w:rPr>
          <w:rFonts w:hint="eastAsia"/>
          <w:color w:val="auto"/>
        </w:rPr>
        <w:t>⑥热膨胀性：原油受热后，温度升高，体积膨胀，若容器罐装过满，超过安全容量，或者管线输油后不及时排空，又无泄压装置，便可导致容器或管件的损坏，引起油品外溢、渗漏，增加火灾爆炸危险性。</w:t>
      </w:r>
    </w:p>
    <w:p w14:paraId="20672E8A">
      <w:pPr>
        <w:pStyle w:val="33"/>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伴生气</w:t>
      </w:r>
    </w:p>
    <w:p w14:paraId="5D5E2AEC">
      <w:pPr>
        <w:pStyle w:val="33"/>
        <w:bidi w:val="0"/>
        <w:rPr>
          <w:rFonts w:hint="eastAsia"/>
          <w:color w:val="auto"/>
        </w:rPr>
      </w:pPr>
      <w:r>
        <w:rPr>
          <w:rFonts w:hint="eastAsia"/>
          <w:color w:val="auto"/>
        </w:rPr>
        <w:t>原油伴生气又称石油气，本项目伴生气中不含硫化氢。伴生气主要理化性质见</w:t>
      </w:r>
      <w:r>
        <w:rPr>
          <w:rFonts w:hint="eastAsia"/>
          <w:color w:val="auto"/>
          <w:lang w:eastAsia="zh-CN"/>
        </w:rPr>
        <w:fldChar w:fldCharType="begin"/>
      </w:r>
      <w:r>
        <w:rPr>
          <w:rFonts w:hint="eastAsia"/>
          <w:color w:val="auto"/>
          <w:lang w:eastAsia="zh-CN"/>
        </w:rPr>
        <w:instrText xml:space="preserve"> REF _Ref27409 \h </w:instrText>
      </w:r>
      <w:r>
        <w:rPr>
          <w:rFonts w:hint="eastAsia"/>
          <w:color w:val="auto"/>
          <w:lang w:eastAsia="zh-CN"/>
        </w:rPr>
        <w:fldChar w:fldCharType="separate"/>
      </w:r>
      <w:r>
        <w:rPr>
          <w:color w:val="auto"/>
        </w:rPr>
        <w:t>表</w:t>
      </w:r>
      <w:r>
        <w:rPr>
          <w:rFonts w:hint="eastAsia"/>
          <w:color w:val="auto"/>
          <w:lang w:val="en-US" w:eastAsia="zh-CN"/>
        </w:rPr>
        <w:t>5.4</w:t>
      </w:r>
      <w:r>
        <w:rPr>
          <w:color w:val="auto"/>
        </w:rPr>
        <w:noBreakHyphen/>
      </w:r>
      <w:r>
        <w:rPr>
          <w:color w:val="auto"/>
        </w:rPr>
        <w:t>3</w:t>
      </w:r>
      <w:r>
        <w:rPr>
          <w:rFonts w:hint="eastAsia"/>
          <w:color w:val="auto"/>
          <w:lang w:eastAsia="zh-CN"/>
        </w:rPr>
        <w:fldChar w:fldCharType="end"/>
      </w:r>
      <w:r>
        <w:rPr>
          <w:rFonts w:hint="eastAsia"/>
          <w:color w:val="auto"/>
        </w:rPr>
        <w:t>。</w:t>
      </w:r>
    </w:p>
    <w:p w14:paraId="0F41E8DD">
      <w:pPr>
        <w:pStyle w:val="43"/>
        <w:bidi w:val="0"/>
        <w:rPr>
          <w:rFonts w:hint="eastAsia" w:ascii="宋体" w:hAnsi="宋体" w:eastAsia="宋体" w:cs="宋体"/>
          <w:b/>
          <w:color w:val="auto"/>
          <w:kern w:val="0"/>
          <w:szCs w:val="21"/>
        </w:rPr>
      </w:pPr>
      <w:bookmarkStart w:id="271" w:name="_Ref27409"/>
      <w:r>
        <w:rPr>
          <w:color w:val="auto"/>
        </w:rPr>
        <w:t>表</w:t>
      </w:r>
      <w:r>
        <w:rPr>
          <w:rFonts w:hint="eastAsia"/>
          <w:color w:val="auto"/>
          <w:lang w:val="en-US" w:eastAsia="zh-CN"/>
        </w:rPr>
        <w:t>5.4</w:t>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bookmarkEnd w:id="271"/>
      <w:r>
        <w:rPr>
          <w:rFonts w:hint="eastAsia"/>
          <w:color w:val="auto"/>
        </w:rPr>
        <w:t xml:space="preserve">  </w:t>
      </w:r>
      <w:r>
        <w:rPr>
          <w:rFonts w:hint="eastAsia" w:ascii="宋体" w:hAnsi="宋体" w:eastAsia="宋体" w:cs="宋体"/>
          <w:b/>
          <w:color w:val="auto"/>
          <w:kern w:val="0"/>
          <w:szCs w:val="21"/>
        </w:rPr>
        <w:t>伴生气（石油气）的理化性质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76"/>
        <w:gridCol w:w="4640"/>
        <w:gridCol w:w="3516"/>
      </w:tblGrid>
      <w:tr w14:paraId="0EC3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restart"/>
            <w:vAlign w:val="center"/>
          </w:tcPr>
          <w:p w14:paraId="33D2C60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标识</w:t>
            </w:r>
          </w:p>
        </w:tc>
        <w:tc>
          <w:tcPr>
            <w:tcW w:w="2626" w:type="pct"/>
            <w:vAlign w:val="center"/>
          </w:tcPr>
          <w:p w14:paraId="1C47BE8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中文名：石油气</w:t>
            </w:r>
          </w:p>
        </w:tc>
        <w:tc>
          <w:tcPr>
            <w:tcW w:w="1989" w:type="pct"/>
            <w:vAlign w:val="center"/>
          </w:tcPr>
          <w:p w14:paraId="1F9BDEA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英文名</w:t>
            </w:r>
            <w:r>
              <w:rPr>
                <w:rFonts w:hint="eastAsia"/>
                <w:color w:val="auto"/>
                <w:lang w:val="en-GB"/>
              </w:rPr>
              <w:t>：</w:t>
            </w:r>
            <w:r>
              <w:rPr>
                <w:rFonts w:hint="eastAsia"/>
                <w:color w:val="auto"/>
              </w:rPr>
              <w:t>liquefiedpetroleumgas</w:t>
            </w:r>
          </w:p>
        </w:tc>
      </w:tr>
      <w:tr w14:paraId="3F5E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continue"/>
            <w:vAlign w:val="center"/>
          </w:tcPr>
          <w:p w14:paraId="749D67A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626" w:type="pct"/>
            <w:vAlign w:val="center"/>
          </w:tcPr>
          <w:p w14:paraId="785B2EE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危规号：21053</w:t>
            </w:r>
          </w:p>
        </w:tc>
        <w:tc>
          <w:tcPr>
            <w:tcW w:w="1989" w:type="pct"/>
            <w:vAlign w:val="center"/>
          </w:tcPr>
          <w:p w14:paraId="075CC83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CAS号：68476-85-7</w:t>
            </w:r>
          </w:p>
        </w:tc>
      </w:tr>
      <w:tr w14:paraId="22C1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restart"/>
            <w:vAlign w:val="center"/>
          </w:tcPr>
          <w:p w14:paraId="2B9F4C2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理化</w:t>
            </w:r>
          </w:p>
          <w:p w14:paraId="7F67275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性质</w:t>
            </w:r>
          </w:p>
        </w:tc>
        <w:tc>
          <w:tcPr>
            <w:tcW w:w="2626" w:type="pct"/>
            <w:vAlign w:val="center"/>
          </w:tcPr>
          <w:p w14:paraId="4CEADA2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外观与形状：无色气体或黄棕色油状液体，有特殊臭味</w:t>
            </w:r>
          </w:p>
        </w:tc>
        <w:tc>
          <w:tcPr>
            <w:tcW w:w="1989" w:type="pct"/>
            <w:vAlign w:val="center"/>
          </w:tcPr>
          <w:p w14:paraId="16B7029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自燃温度：413℃</w:t>
            </w:r>
          </w:p>
        </w:tc>
      </w:tr>
      <w:tr w14:paraId="442D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continue"/>
            <w:vAlign w:val="center"/>
          </w:tcPr>
          <w:p w14:paraId="0916862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626" w:type="pct"/>
            <w:vAlign w:val="center"/>
          </w:tcPr>
          <w:p w14:paraId="1E5B4A0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液态液化石油气相对密度为4℃的水的0.5～0.6倍</w:t>
            </w:r>
          </w:p>
        </w:tc>
        <w:tc>
          <w:tcPr>
            <w:tcW w:w="1989" w:type="pct"/>
            <w:vAlign w:val="center"/>
          </w:tcPr>
          <w:p w14:paraId="5D4F017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气态液化</w:t>
            </w:r>
            <w:r>
              <w:rPr>
                <w:rFonts w:hint="eastAsia"/>
                <w:color w:val="auto"/>
                <w:lang w:eastAsia="zh-CN"/>
              </w:rPr>
              <w:t>石油</w:t>
            </w:r>
            <w:r>
              <w:rPr>
                <w:rFonts w:hint="eastAsia"/>
                <w:color w:val="auto"/>
              </w:rPr>
              <w:t>油比空气重1.5～2.0倍</w:t>
            </w:r>
          </w:p>
        </w:tc>
      </w:tr>
      <w:tr w14:paraId="27EE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continue"/>
            <w:vAlign w:val="center"/>
          </w:tcPr>
          <w:p w14:paraId="1E60266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616" w:type="pct"/>
            <w:gridSpan w:val="2"/>
            <w:vAlign w:val="center"/>
          </w:tcPr>
          <w:p w14:paraId="1040A0F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稳定性：稳定</w:t>
            </w:r>
          </w:p>
        </w:tc>
      </w:tr>
      <w:tr w14:paraId="3D7F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restart"/>
            <w:vAlign w:val="center"/>
          </w:tcPr>
          <w:p w14:paraId="6E131B8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危险</w:t>
            </w:r>
          </w:p>
          <w:p w14:paraId="386BCEB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特性</w:t>
            </w:r>
          </w:p>
        </w:tc>
        <w:tc>
          <w:tcPr>
            <w:tcW w:w="2626" w:type="pct"/>
            <w:vAlign w:val="center"/>
          </w:tcPr>
          <w:p w14:paraId="5CBBE10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危险性类别：第2.1类易燃气体</w:t>
            </w:r>
          </w:p>
        </w:tc>
        <w:tc>
          <w:tcPr>
            <w:tcW w:w="1989" w:type="pct"/>
            <w:vAlign w:val="center"/>
          </w:tcPr>
          <w:p w14:paraId="646DF80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燃烧性：易燃</w:t>
            </w:r>
          </w:p>
        </w:tc>
      </w:tr>
      <w:tr w14:paraId="0D09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continue"/>
            <w:vAlign w:val="center"/>
          </w:tcPr>
          <w:p w14:paraId="0DA97ED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626" w:type="pct"/>
            <w:vAlign w:val="center"/>
          </w:tcPr>
          <w:p w14:paraId="6E101EA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闪点(℃)：-74℃</w:t>
            </w:r>
          </w:p>
        </w:tc>
        <w:tc>
          <w:tcPr>
            <w:tcW w:w="1989" w:type="pct"/>
            <w:vAlign w:val="center"/>
          </w:tcPr>
          <w:p w14:paraId="0CF8725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爆炸上限(%)：2.25</w:t>
            </w:r>
          </w:p>
        </w:tc>
      </w:tr>
      <w:tr w14:paraId="79E5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continue"/>
            <w:vAlign w:val="center"/>
          </w:tcPr>
          <w:p w14:paraId="6CBF9AD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2626" w:type="pct"/>
            <w:vAlign w:val="center"/>
          </w:tcPr>
          <w:p w14:paraId="7904910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爆炸下限(%)：9.65</w:t>
            </w:r>
          </w:p>
        </w:tc>
        <w:tc>
          <w:tcPr>
            <w:tcW w:w="1989" w:type="pct"/>
            <w:vAlign w:val="center"/>
          </w:tcPr>
          <w:p w14:paraId="0AD3AB4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燃烧(分解)产物：一氧化碳、二氧化碳</w:t>
            </w:r>
          </w:p>
        </w:tc>
      </w:tr>
      <w:tr w14:paraId="71EA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continue"/>
            <w:vAlign w:val="center"/>
          </w:tcPr>
          <w:p w14:paraId="3AD1233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616" w:type="pct"/>
            <w:gridSpan w:val="2"/>
            <w:vAlign w:val="center"/>
          </w:tcPr>
          <w:p w14:paraId="18BE7D2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极易燃，与空气混合能形成爆炸性混合物。遇热源和明火有燃烧爆炸的危险。与氟、氯等接触会发生剧烈的化学反应。其蒸气比空气重，能在较低处扩散到相当远的地方，遇明火会引着回燃。</w:t>
            </w:r>
          </w:p>
        </w:tc>
      </w:tr>
      <w:tr w14:paraId="7420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continue"/>
            <w:vAlign w:val="center"/>
          </w:tcPr>
          <w:p w14:paraId="6802B65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616" w:type="pct"/>
            <w:gridSpan w:val="2"/>
            <w:vAlign w:val="center"/>
          </w:tcPr>
          <w:p w14:paraId="0EE5845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灭火方法：切断气源。若不能立即切断气源，则不允许熄灭正在燃烧的气体。喷水冷却容器，可能的话将容器从火场移至空旷处。</w:t>
            </w:r>
          </w:p>
        </w:tc>
      </w:tr>
      <w:tr w14:paraId="06DF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continue"/>
            <w:vAlign w:val="center"/>
          </w:tcPr>
          <w:p w14:paraId="45B2492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616" w:type="pct"/>
            <w:gridSpan w:val="2"/>
            <w:vAlign w:val="center"/>
          </w:tcPr>
          <w:p w14:paraId="21F9EB5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灭火剂：雾状水、泡沫、二氧化碳。</w:t>
            </w:r>
          </w:p>
        </w:tc>
      </w:tr>
      <w:tr w14:paraId="225E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restart"/>
            <w:vAlign w:val="center"/>
          </w:tcPr>
          <w:p w14:paraId="40AB8D1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健康</w:t>
            </w:r>
          </w:p>
          <w:p w14:paraId="00E5052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危害</w:t>
            </w:r>
          </w:p>
        </w:tc>
        <w:tc>
          <w:tcPr>
            <w:tcW w:w="4616" w:type="pct"/>
            <w:gridSpan w:val="2"/>
            <w:vAlign w:val="center"/>
          </w:tcPr>
          <w:p w14:paraId="4CED14B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侵入途径：吸入</w:t>
            </w:r>
          </w:p>
        </w:tc>
      </w:tr>
      <w:tr w14:paraId="2543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383" w:type="pct"/>
            <w:vMerge w:val="continue"/>
            <w:vAlign w:val="center"/>
          </w:tcPr>
          <w:p w14:paraId="2F30A0C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616" w:type="pct"/>
            <w:gridSpan w:val="2"/>
            <w:vAlign w:val="center"/>
          </w:tcPr>
          <w:p w14:paraId="0568280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健康危害：有头晕、头痛、兴奋或嗜睡、恶心、呕吐、脉缓等；重症者可突然倒下，尿失禁，意识丧失，甚至呼吸停止。可致皮肤冻伤。长期接触低浓度者，可出现头痛、头晕、睡眠不佳、易疲劳、情绪不稳以及神经功能紊乱等。</w:t>
            </w:r>
          </w:p>
        </w:tc>
      </w:tr>
    </w:tbl>
    <w:p w14:paraId="434C1F9D">
      <w:pPr>
        <w:pStyle w:val="33"/>
        <w:bidi w:val="0"/>
        <w:rPr>
          <w:rFonts w:hint="eastAsia"/>
          <w:color w:val="auto"/>
        </w:rPr>
      </w:pPr>
      <w:r>
        <w:rPr>
          <w:rFonts w:hint="eastAsia"/>
          <w:color w:val="auto"/>
        </w:rPr>
        <w:t>原油伴生气具有以下特性：</w:t>
      </w:r>
    </w:p>
    <w:p w14:paraId="5705F4D7">
      <w:pPr>
        <w:pStyle w:val="33"/>
        <w:bidi w:val="0"/>
        <w:rPr>
          <w:rFonts w:hint="eastAsia"/>
          <w:color w:val="auto"/>
        </w:rPr>
      </w:pPr>
      <w:r>
        <w:rPr>
          <w:rFonts w:hint="eastAsia"/>
          <w:color w:val="auto"/>
        </w:rPr>
        <w:t>①易燃易爆性：极易燃，与空气混合能形成爆炸性混合物，遇热源和明火有燃烧爆炸的危险，燃烧分解产物为CO；</w:t>
      </w:r>
    </w:p>
    <w:p w14:paraId="5F1DD535">
      <w:pPr>
        <w:pStyle w:val="33"/>
        <w:bidi w:val="0"/>
        <w:rPr>
          <w:rFonts w:hint="eastAsia"/>
          <w:color w:val="auto"/>
        </w:rPr>
      </w:pPr>
      <w:r>
        <w:rPr>
          <w:rFonts w:hint="eastAsia"/>
          <w:color w:val="auto"/>
        </w:rPr>
        <w:t>②易扩散性：其蒸气比空气轻，能扩散到相当远的地方，遇明火会回燃。</w:t>
      </w:r>
    </w:p>
    <w:p w14:paraId="6EBA36EC">
      <w:pPr>
        <w:pStyle w:val="33"/>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CO</w:t>
      </w:r>
    </w:p>
    <w:p w14:paraId="52E6C93A">
      <w:pPr>
        <w:pStyle w:val="33"/>
        <w:bidi w:val="0"/>
        <w:rPr>
          <w:rFonts w:hint="eastAsia"/>
          <w:color w:val="auto"/>
        </w:rPr>
      </w:pPr>
      <w:r>
        <w:rPr>
          <w:rFonts w:hint="eastAsia"/>
          <w:color w:val="auto"/>
        </w:rPr>
        <w:t>原油、伴生气发生火灾爆炸时产生次生污染物CO，其主要理化性质及危险特性见</w:t>
      </w:r>
      <w:r>
        <w:rPr>
          <w:rFonts w:hint="eastAsia"/>
          <w:color w:val="auto"/>
          <w:lang w:eastAsia="zh-CN"/>
        </w:rPr>
        <w:fldChar w:fldCharType="begin"/>
      </w:r>
      <w:r>
        <w:rPr>
          <w:rFonts w:hint="eastAsia"/>
          <w:color w:val="auto"/>
          <w:lang w:eastAsia="zh-CN"/>
        </w:rPr>
        <w:instrText xml:space="preserve"> REF _Ref28062 \h </w:instrText>
      </w:r>
      <w:r>
        <w:rPr>
          <w:rFonts w:hint="eastAsia"/>
          <w:color w:val="auto"/>
          <w:lang w:eastAsia="zh-CN"/>
        </w:rPr>
        <w:fldChar w:fldCharType="separate"/>
      </w:r>
      <w:r>
        <w:rPr>
          <w:color w:val="auto"/>
        </w:rPr>
        <w:t>表</w:t>
      </w:r>
      <w:r>
        <w:rPr>
          <w:rFonts w:hint="eastAsia"/>
          <w:color w:val="auto"/>
          <w:lang w:val="en-US" w:eastAsia="zh-CN"/>
        </w:rPr>
        <w:t>5</w:t>
      </w:r>
      <w:r>
        <w:rPr>
          <w:rFonts w:hint="eastAsia"/>
          <w:color w:val="auto"/>
          <w:lang w:eastAsia="zh-CN"/>
        </w:rPr>
        <w:fldChar w:fldCharType="end"/>
      </w:r>
      <w:r>
        <w:rPr>
          <w:rFonts w:hint="eastAsia"/>
          <w:color w:val="auto"/>
          <w:lang w:val="en-US" w:eastAsia="zh-CN"/>
        </w:rPr>
        <w:t>.4-4</w:t>
      </w:r>
      <w:r>
        <w:rPr>
          <w:rFonts w:hint="eastAsia"/>
          <w:color w:val="auto"/>
        </w:rPr>
        <w:t>。</w:t>
      </w:r>
    </w:p>
    <w:p w14:paraId="07104571">
      <w:pPr>
        <w:pStyle w:val="43"/>
        <w:bidi w:val="0"/>
        <w:rPr>
          <w:rFonts w:hint="eastAsia" w:ascii="宋体" w:hAnsi="宋体" w:eastAsia="宋体" w:cs="宋体"/>
          <w:b/>
          <w:color w:val="auto"/>
          <w:kern w:val="0"/>
          <w:szCs w:val="21"/>
        </w:rPr>
      </w:pPr>
      <w:bookmarkStart w:id="272" w:name="_Ref28062"/>
      <w:r>
        <w:rPr>
          <w:color w:val="auto"/>
        </w:rPr>
        <w:t>表</w:t>
      </w:r>
      <w:bookmarkEnd w:id="272"/>
      <w:r>
        <w:rPr>
          <w:rFonts w:hint="eastAsia"/>
          <w:color w:val="auto"/>
          <w:lang w:val="en-US" w:eastAsia="zh-CN"/>
        </w:rPr>
        <w:t>5.4-4</w:t>
      </w:r>
      <w:r>
        <w:rPr>
          <w:rFonts w:hint="eastAsia" w:ascii="宋体" w:hAnsi="宋体" w:eastAsia="宋体" w:cs="宋体"/>
          <w:b/>
          <w:color w:val="auto"/>
          <w:kern w:val="0"/>
          <w:szCs w:val="21"/>
        </w:rPr>
        <w:t xml:space="preserve">  一氧化碳理化性质及危险特性</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95"/>
        <w:gridCol w:w="1698"/>
        <w:gridCol w:w="1966"/>
        <w:gridCol w:w="4571"/>
      </w:tblGrid>
      <w:tr w14:paraId="0722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restart"/>
            <w:vAlign w:val="center"/>
          </w:tcPr>
          <w:p w14:paraId="2E5E1B8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标识</w:t>
            </w:r>
          </w:p>
        </w:tc>
        <w:tc>
          <w:tcPr>
            <w:tcW w:w="2074" w:type="pct"/>
            <w:gridSpan w:val="2"/>
            <w:vAlign w:val="center"/>
          </w:tcPr>
          <w:p w14:paraId="07215077">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中文名：一氧化碳</w:t>
            </w:r>
          </w:p>
        </w:tc>
        <w:tc>
          <w:tcPr>
            <w:tcW w:w="2588" w:type="pct"/>
            <w:vAlign w:val="center"/>
          </w:tcPr>
          <w:p w14:paraId="1192F598">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fr-FR"/>
              </w:rPr>
            </w:pPr>
            <w:r>
              <w:rPr>
                <w:rFonts w:hint="eastAsia"/>
                <w:color w:val="auto"/>
              </w:rPr>
              <w:t>英文名</w:t>
            </w:r>
            <w:r>
              <w:rPr>
                <w:rFonts w:hint="eastAsia"/>
                <w:color w:val="auto"/>
                <w:lang w:val="fr-FR"/>
              </w:rPr>
              <w:t>：carbonnomoxide</w:t>
            </w:r>
          </w:p>
        </w:tc>
      </w:tr>
      <w:tr w14:paraId="080B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32B0ABD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fr-FR"/>
              </w:rPr>
            </w:pPr>
          </w:p>
        </w:tc>
        <w:tc>
          <w:tcPr>
            <w:tcW w:w="2074" w:type="pct"/>
            <w:gridSpan w:val="2"/>
            <w:vAlign w:val="center"/>
          </w:tcPr>
          <w:p w14:paraId="311BDCB0">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分子式：CO</w:t>
            </w:r>
          </w:p>
        </w:tc>
        <w:tc>
          <w:tcPr>
            <w:tcW w:w="2588" w:type="pct"/>
            <w:vAlign w:val="center"/>
          </w:tcPr>
          <w:p w14:paraId="0D1B46D4">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分子量：28</w:t>
            </w:r>
          </w:p>
        </w:tc>
      </w:tr>
      <w:tr w14:paraId="3C82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6023E86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961" w:type="pct"/>
            <w:vAlign w:val="center"/>
          </w:tcPr>
          <w:p w14:paraId="622A5C1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危规号：21005</w:t>
            </w:r>
          </w:p>
        </w:tc>
        <w:tc>
          <w:tcPr>
            <w:tcW w:w="1112" w:type="pct"/>
            <w:vAlign w:val="center"/>
          </w:tcPr>
          <w:p w14:paraId="5EC7A41E">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UN编号：1016</w:t>
            </w:r>
          </w:p>
        </w:tc>
        <w:tc>
          <w:tcPr>
            <w:tcW w:w="2588" w:type="pct"/>
            <w:vAlign w:val="center"/>
          </w:tcPr>
          <w:p w14:paraId="39C3D24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CAS号：630-08-0</w:t>
            </w:r>
          </w:p>
        </w:tc>
      </w:tr>
      <w:tr w14:paraId="7990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restart"/>
            <w:vAlign w:val="center"/>
          </w:tcPr>
          <w:p w14:paraId="31A3C00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理化性质</w:t>
            </w:r>
          </w:p>
        </w:tc>
        <w:tc>
          <w:tcPr>
            <w:tcW w:w="2074" w:type="pct"/>
            <w:gridSpan w:val="2"/>
            <w:vAlign w:val="center"/>
          </w:tcPr>
          <w:p w14:paraId="0E95335F">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外观与形状：无色无臭气体</w:t>
            </w:r>
          </w:p>
        </w:tc>
        <w:tc>
          <w:tcPr>
            <w:tcW w:w="2588" w:type="pct"/>
            <w:vAlign w:val="center"/>
          </w:tcPr>
          <w:p w14:paraId="243DCB6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溶解性：微溶于水，溶于乙醇、苯等多数有机溶剂</w:t>
            </w:r>
          </w:p>
        </w:tc>
      </w:tr>
      <w:tr w14:paraId="03F5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430A16AF">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3897A15C">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熔点(℃)：-199.1</w:t>
            </w:r>
          </w:p>
        </w:tc>
        <w:tc>
          <w:tcPr>
            <w:tcW w:w="2588" w:type="pct"/>
            <w:vAlign w:val="center"/>
          </w:tcPr>
          <w:p w14:paraId="52442C3D">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沸点(℃)：-191.4</w:t>
            </w:r>
          </w:p>
        </w:tc>
      </w:tr>
      <w:tr w14:paraId="1814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4F3AFCEE">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46A59BAA">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相对密度：(水=1)O.79</w:t>
            </w:r>
          </w:p>
        </w:tc>
        <w:tc>
          <w:tcPr>
            <w:tcW w:w="2588" w:type="pct"/>
            <w:vAlign w:val="center"/>
          </w:tcPr>
          <w:p w14:paraId="5F1BC80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相对密度：(空气=1)1.11</w:t>
            </w:r>
          </w:p>
        </w:tc>
      </w:tr>
      <w:tr w14:paraId="67BB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51D8D833">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0B95940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饱和蒸汽压(1(Pa)13.33(-257．9℃)</w:t>
            </w:r>
          </w:p>
        </w:tc>
        <w:tc>
          <w:tcPr>
            <w:tcW w:w="2588" w:type="pct"/>
            <w:vAlign w:val="center"/>
          </w:tcPr>
          <w:p w14:paraId="5D36144D">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禁忌物：强氧化剂、碱类</w:t>
            </w:r>
          </w:p>
        </w:tc>
      </w:tr>
      <w:tr w14:paraId="282E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19215050">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3FC6DF4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临界压力(MPa)：3.50</w:t>
            </w:r>
          </w:p>
        </w:tc>
        <w:tc>
          <w:tcPr>
            <w:tcW w:w="2588" w:type="pct"/>
            <w:vAlign w:val="center"/>
          </w:tcPr>
          <w:p w14:paraId="63BBCCE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临界温度(℃)：-140.2</w:t>
            </w:r>
          </w:p>
        </w:tc>
      </w:tr>
      <w:tr w14:paraId="7F19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3043884A">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4284995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LC50：2069mg/m3（人吸入1小时）</w:t>
            </w:r>
          </w:p>
        </w:tc>
        <w:tc>
          <w:tcPr>
            <w:tcW w:w="2588" w:type="pct"/>
            <w:vAlign w:val="center"/>
          </w:tcPr>
          <w:p w14:paraId="51DC4BBF">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r>
      <w:tr w14:paraId="0A85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6B9C7BFA">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07E1C964">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稳定性：稳定</w:t>
            </w:r>
          </w:p>
        </w:tc>
        <w:tc>
          <w:tcPr>
            <w:tcW w:w="2588" w:type="pct"/>
            <w:vAlign w:val="center"/>
          </w:tcPr>
          <w:p w14:paraId="34EBD5D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聚合危害：不聚合</w:t>
            </w:r>
          </w:p>
        </w:tc>
      </w:tr>
      <w:tr w14:paraId="00FC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restart"/>
            <w:vAlign w:val="center"/>
          </w:tcPr>
          <w:p w14:paraId="5553AF5A">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危险特性</w:t>
            </w:r>
          </w:p>
        </w:tc>
        <w:tc>
          <w:tcPr>
            <w:tcW w:w="2074" w:type="pct"/>
            <w:gridSpan w:val="2"/>
            <w:vAlign w:val="center"/>
          </w:tcPr>
          <w:p w14:paraId="65936ADF">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危险性类别：第2.1类易燃气体</w:t>
            </w:r>
          </w:p>
        </w:tc>
        <w:tc>
          <w:tcPr>
            <w:tcW w:w="2588" w:type="pct"/>
            <w:vAlign w:val="center"/>
          </w:tcPr>
          <w:p w14:paraId="1F8FE0B4">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燃烧性：易燃</w:t>
            </w:r>
          </w:p>
        </w:tc>
      </w:tr>
      <w:tr w14:paraId="3A65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7E0D707D">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5532079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引燃温度(℃)：610</w:t>
            </w:r>
          </w:p>
        </w:tc>
        <w:tc>
          <w:tcPr>
            <w:tcW w:w="2588" w:type="pct"/>
            <w:vAlign w:val="center"/>
          </w:tcPr>
          <w:p w14:paraId="5A8FB4D4">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闪点(℃)：&lt;-50</w:t>
            </w:r>
          </w:p>
        </w:tc>
      </w:tr>
      <w:tr w14:paraId="25EB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0F758E3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2F8355C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爆炸下限(%)：12.5</w:t>
            </w:r>
          </w:p>
        </w:tc>
        <w:tc>
          <w:tcPr>
            <w:tcW w:w="2588" w:type="pct"/>
            <w:vAlign w:val="center"/>
          </w:tcPr>
          <w:p w14:paraId="64A7DC18">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爆炸上限(%)：74.2</w:t>
            </w:r>
          </w:p>
        </w:tc>
      </w:tr>
      <w:tr w14:paraId="29C8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15521A5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1A83F7D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最小点火能(MJ)0.3～0.4</w:t>
            </w:r>
          </w:p>
        </w:tc>
        <w:tc>
          <w:tcPr>
            <w:tcW w:w="2588" w:type="pct"/>
            <w:vAlign w:val="center"/>
          </w:tcPr>
          <w:p w14:paraId="7AC173B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最大爆炸压力(MPa)：0.720</w:t>
            </w:r>
          </w:p>
        </w:tc>
      </w:tr>
      <w:tr w14:paraId="5CF3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0CBE8AC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2074" w:type="pct"/>
            <w:gridSpan w:val="2"/>
            <w:vAlign w:val="center"/>
          </w:tcPr>
          <w:p w14:paraId="3B18BB6C">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燃烧热(J/mol)：285624</w:t>
            </w:r>
          </w:p>
        </w:tc>
        <w:tc>
          <w:tcPr>
            <w:tcW w:w="2588" w:type="pct"/>
            <w:vAlign w:val="center"/>
          </w:tcPr>
          <w:p w14:paraId="065D8D2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燃烧(分解)产物：二氧化碳</w:t>
            </w:r>
          </w:p>
        </w:tc>
      </w:tr>
      <w:tr w14:paraId="674F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restart"/>
            <w:vAlign w:val="center"/>
          </w:tcPr>
          <w:p w14:paraId="78F8595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危险特性</w:t>
            </w:r>
          </w:p>
        </w:tc>
        <w:tc>
          <w:tcPr>
            <w:tcW w:w="4662" w:type="pct"/>
            <w:gridSpan w:val="3"/>
            <w:vAlign w:val="center"/>
          </w:tcPr>
          <w:p w14:paraId="30379CAE">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危险特性：是一种易燃易爆气体，与空气混合能形成爆炸性混合物，遇明火、</w:t>
            </w:r>
            <w:r>
              <w:rPr>
                <w:rFonts w:hint="eastAsia"/>
                <w:color w:val="auto"/>
                <w:lang w:eastAsia="zh-CN"/>
              </w:rPr>
              <w:t>高温</w:t>
            </w:r>
            <w:r>
              <w:rPr>
                <w:rFonts w:hint="eastAsia"/>
                <w:color w:val="auto"/>
              </w:rPr>
              <w:t>能引起燃烧爆炸</w:t>
            </w:r>
          </w:p>
        </w:tc>
      </w:tr>
      <w:tr w14:paraId="3E1A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28654E03">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4662" w:type="pct"/>
            <w:gridSpan w:val="3"/>
            <w:vAlign w:val="center"/>
          </w:tcPr>
          <w:p w14:paraId="7FE0D00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灭火方法：切断气源。若不能切断气源，则不允许熄灭正在燃烧的气体，喷水冷却容器，可能的话将容器从火场移至空旷处</w:t>
            </w:r>
          </w:p>
        </w:tc>
      </w:tr>
      <w:tr w14:paraId="5E15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056DADD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4662" w:type="pct"/>
            <w:gridSpan w:val="3"/>
            <w:vAlign w:val="center"/>
          </w:tcPr>
          <w:p w14:paraId="2669236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灭火剂：泡沫、二氧化碳、雾状水、干粉</w:t>
            </w:r>
          </w:p>
        </w:tc>
      </w:tr>
      <w:tr w14:paraId="1D2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restart"/>
            <w:vAlign w:val="center"/>
          </w:tcPr>
          <w:p w14:paraId="0B03C0ED">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健康危害</w:t>
            </w:r>
          </w:p>
        </w:tc>
        <w:tc>
          <w:tcPr>
            <w:tcW w:w="4662" w:type="pct"/>
            <w:gridSpan w:val="3"/>
            <w:vAlign w:val="center"/>
          </w:tcPr>
          <w:p w14:paraId="53B99B28">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侵入途径：吸入</w:t>
            </w:r>
          </w:p>
        </w:tc>
      </w:tr>
      <w:tr w14:paraId="7089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5601D12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4662" w:type="pct"/>
            <w:gridSpan w:val="3"/>
            <w:vAlign w:val="center"/>
          </w:tcPr>
          <w:p w14:paraId="3C076C8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健康危害：CO在血液中与血红蛋白结合而造成组织缺氧。</w:t>
            </w:r>
          </w:p>
          <w:p w14:paraId="7D6B5C7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急性中毒：轻度中毒者出现头痛、头晕、耳鸣、心悸、恶心、呕吐、无力，血液碳氧血红蛋白浓度可高于10%；中度中毒者除上述症状外，还有皮肤粘膜呈樱红色、脉快、烦躁、步态不稳</w:t>
            </w:r>
            <w:r>
              <w:rPr>
                <w:rFonts w:hint="eastAsia"/>
                <w:color w:val="auto"/>
                <w:lang w:eastAsia="zh-CN"/>
              </w:rPr>
              <w:t>，甚至</w:t>
            </w:r>
            <w:r>
              <w:rPr>
                <w:rFonts w:hint="eastAsia"/>
                <w:color w:val="auto"/>
              </w:rPr>
              <w:t>中度昏迷，血液碳氧血红蛋白浓度可高于30%；重度患者深度</w:t>
            </w:r>
            <w:r>
              <w:rPr>
                <w:rFonts w:hint="eastAsia"/>
                <w:color w:val="auto"/>
                <w:lang w:eastAsia="zh-CN"/>
              </w:rPr>
              <w:t>昏</w:t>
            </w:r>
            <w:r>
              <w:rPr>
                <w:rFonts w:hint="eastAsia"/>
                <w:color w:val="auto"/>
              </w:rPr>
              <w:t>迷、瞳孔缩小、肌张力增强、频繁抽搐、大小便失禁、休克、肺水肿、严重心肌损害等，血液碳氧血红蛋白可高于50%。慢性影响：能否造成慢性中毒及对心血管影响无定论。</w:t>
            </w:r>
          </w:p>
        </w:tc>
      </w:tr>
      <w:tr w14:paraId="2F7D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37" w:type="pct"/>
            <w:vMerge w:val="continue"/>
            <w:vAlign w:val="center"/>
          </w:tcPr>
          <w:p w14:paraId="704F0C8E">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4662" w:type="pct"/>
            <w:gridSpan w:val="3"/>
            <w:vAlign w:val="center"/>
          </w:tcPr>
          <w:p w14:paraId="36772A2E">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工作场所最高允许浓度：中国MAC=30mg/m</w:t>
            </w:r>
            <w:r>
              <w:rPr>
                <w:rFonts w:hint="eastAsia"/>
                <w:color w:val="auto"/>
                <w:vertAlign w:val="superscript"/>
              </w:rPr>
              <w:t>3</w:t>
            </w:r>
          </w:p>
        </w:tc>
      </w:tr>
    </w:tbl>
    <w:p w14:paraId="6007B652">
      <w:pPr>
        <w:pStyle w:val="33"/>
        <w:bidi w:val="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SO</w:t>
      </w:r>
      <w:r>
        <w:rPr>
          <w:rFonts w:hint="eastAsia"/>
          <w:color w:val="auto"/>
          <w:vertAlign w:val="subscript"/>
        </w:rPr>
        <w:t>2</w:t>
      </w:r>
    </w:p>
    <w:p w14:paraId="518CD065">
      <w:pPr>
        <w:pStyle w:val="33"/>
        <w:bidi w:val="0"/>
        <w:rPr>
          <w:rFonts w:hint="eastAsia"/>
          <w:color w:val="auto"/>
        </w:rPr>
      </w:pPr>
      <w:r>
        <w:rPr>
          <w:rFonts w:hint="eastAsia"/>
          <w:color w:val="auto"/>
        </w:rPr>
        <w:t>原油泄漏发生火灾时，组分中的有机硫燃烧产生次生污染物SO</w:t>
      </w:r>
      <w:r>
        <w:rPr>
          <w:rFonts w:hint="eastAsia"/>
          <w:color w:val="auto"/>
          <w:vertAlign w:val="subscript"/>
        </w:rPr>
        <w:t>2</w:t>
      </w:r>
      <w:r>
        <w:rPr>
          <w:rFonts w:hint="eastAsia"/>
          <w:color w:val="auto"/>
        </w:rPr>
        <w:t>，其主要理化性质及危险特性见</w:t>
      </w:r>
      <w:r>
        <w:rPr>
          <w:rFonts w:hint="eastAsia"/>
          <w:color w:val="auto"/>
          <w:lang w:eastAsia="zh-CN"/>
        </w:rPr>
        <w:fldChar w:fldCharType="begin"/>
      </w:r>
      <w:r>
        <w:rPr>
          <w:rFonts w:hint="eastAsia"/>
          <w:color w:val="auto"/>
          <w:lang w:eastAsia="zh-CN"/>
        </w:rPr>
        <w:instrText xml:space="preserve"> REF _Ref29319 \h </w:instrText>
      </w:r>
      <w:r>
        <w:rPr>
          <w:rFonts w:hint="eastAsia"/>
          <w:color w:val="auto"/>
          <w:lang w:eastAsia="zh-CN"/>
        </w:rPr>
        <w:fldChar w:fldCharType="separate"/>
      </w:r>
      <w:r>
        <w:rPr>
          <w:color w:val="auto"/>
        </w:rPr>
        <w:t>表</w:t>
      </w:r>
      <w:r>
        <w:rPr>
          <w:rFonts w:hint="eastAsia"/>
          <w:color w:val="auto"/>
          <w:lang w:val="en-US" w:eastAsia="zh-CN"/>
        </w:rPr>
        <w:t>5</w:t>
      </w:r>
      <w:r>
        <w:rPr>
          <w:rFonts w:hint="eastAsia"/>
          <w:color w:val="auto"/>
          <w:lang w:eastAsia="zh-CN"/>
        </w:rPr>
        <w:fldChar w:fldCharType="end"/>
      </w:r>
      <w:r>
        <w:rPr>
          <w:rFonts w:hint="eastAsia"/>
          <w:color w:val="auto"/>
          <w:lang w:val="en-US" w:eastAsia="zh-CN"/>
        </w:rPr>
        <w:t>.4-5</w:t>
      </w:r>
      <w:r>
        <w:rPr>
          <w:rFonts w:hint="eastAsia"/>
          <w:color w:val="auto"/>
        </w:rPr>
        <w:t>。</w:t>
      </w:r>
    </w:p>
    <w:p w14:paraId="04928C6E">
      <w:pPr>
        <w:pStyle w:val="43"/>
        <w:bidi w:val="0"/>
        <w:rPr>
          <w:rFonts w:hint="eastAsia"/>
          <w:color w:val="auto"/>
        </w:rPr>
      </w:pPr>
      <w:bookmarkStart w:id="273" w:name="_Ref29319"/>
      <w:r>
        <w:rPr>
          <w:color w:val="auto"/>
        </w:rPr>
        <w:t>表</w:t>
      </w:r>
      <w:bookmarkEnd w:id="273"/>
      <w:r>
        <w:rPr>
          <w:rFonts w:hint="eastAsia"/>
          <w:color w:val="auto"/>
          <w:lang w:val="en-US" w:eastAsia="zh-CN"/>
        </w:rPr>
        <w:t xml:space="preserve">5.4-5  </w:t>
      </w:r>
      <w:r>
        <w:rPr>
          <w:rFonts w:hint="eastAsia"/>
          <w:color w:val="auto"/>
        </w:rPr>
        <w:t>二氧化硫理化性质及危险特性</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94"/>
        <w:gridCol w:w="1698"/>
        <w:gridCol w:w="1795"/>
        <w:gridCol w:w="4743"/>
      </w:tblGrid>
      <w:tr w14:paraId="0ABA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restart"/>
            <w:vAlign w:val="center"/>
          </w:tcPr>
          <w:p w14:paraId="794D28A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标识</w:t>
            </w:r>
          </w:p>
        </w:tc>
        <w:tc>
          <w:tcPr>
            <w:tcW w:w="1977" w:type="pct"/>
            <w:gridSpan w:val="2"/>
          </w:tcPr>
          <w:p w14:paraId="645854A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中文名：二氧化硫</w:t>
            </w:r>
          </w:p>
        </w:tc>
        <w:tc>
          <w:tcPr>
            <w:tcW w:w="2684" w:type="pct"/>
          </w:tcPr>
          <w:p w14:paraId="016BD3C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lang w:val="fr-FR"/>
              </w:rPr>
            </w:pPr>
            <w:r>
              <w:rPr>
                <w:rFonts w:hint="eastAsia"/>
                <w:color w:val="auto"/>
              </w:rPr>
              <w:t>英文名</w:t>
            </w:r>
            <w:r>
              <w:rPr>
                <w:rFonts w:hint="eastAsia"/>
                <w:color w:val="auto"/>
                <w:lang w:val="fr-FR"/>
              </w:rPr>
              <w:t>：sulfur dioxide</w:t>
            </w:r>
          </w:p>
        </w:tc>
      </w:tr>
      <w:tr w14:paraId="7083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3D62D3A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lang w:val="fr-FR"/>
              </w:rPr>
            </w:pPr>
          </w:p>
        </w:tc>
        <w:tc>
          <w:tcPr>
            <w:tcW w:w="1977" w:type="pct"/>
            <w:gridSpan w:val="2"/>
          </w:tcPr>
          <w:p w14:paraId="6D8B3AB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分子式：SO2</w:t>
            </w:r>
          </w:p>
        </w:tc>
        <w:tc>
          <w:tcPr>
            <w:tcW w:w="2684" w:type="pct"/>
          </w:tcPr>
          <w:p w14:paraId="4D4B36D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分子量：64.06</w:t>
            </w:r>
          </w:p>
        </w:tc>
      </w:tr>
      <w:tr w14:paraId="786F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1E17997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961" w:type="pct"/>
          </w:tcPr>
          <w:p w14:paraId="6769612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危规号：23013</w:t>
            </w:r>
          </w:p>
        </w:tc>
        <w:tc>
          <w:tcPr>
            <w:tcW w:w="1016" w:type="pct"/>
          </w:tcPr>
          <w:p w14:paraId="250F18D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UN编号：1079</w:t>
            </w:r>
          </w:p>
        </w:tc>
        <w:tc>
          <w:tcPr>
            <w:tcW w:w="2684" w:type="pct"/>
          </w:tcPr>
          <w:p w14:paraId="6A1FB56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CAS号：7446-09-5</w:t>
            </w:r>
          </w:p>
        </w:tc>
      </w:tr>
      <w:tr w14:paraId="3217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restart"/>
            <w:vAlign w:val="center"/>
          </w:tcPr>
          <w:p w14:paraId="2B94B7F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理化</w:t>
            </w:r>
          </w:p>
          <w:p w14:paraId="520AFC9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性质</w:t>
            </w:r>
          </w:p>
        </w:tc>
        <w:tc>
          <w:tcPr>
            <w:tcW w:w="1977" w:type="pct"/>
            <w:gridSpan w:val="2"/>
            <w:vAlign w:val="center"/>
          </w:tcPr>
          <w:p w14:paraId="562D045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性状:无色气体，具有</w:t>
            </w:r>
            <w:r>
              <w:rPr>
                <w:rFonts w:hint="eastAsia"/>
                <w:color w:val="auto"/>
                <w:lang w:eastAsia="zh-CN"/>
              </w:rPr>
              <w:t>窒息</w:t>
            </w:r>
            <w:r>
              <w:rPr>
                <w:rFonts w:hint="eastAsia"/>
                <w:color w:val="auto"/>
              </w:rPr>
              <w:t>性特臭。</w:t>
            </w:r>
          </w:p>
        </w:tc>
        <w:tc>
          <w:tcPr>
            <w:tcW w:w="2684" w:type="pct"/>
          </w:tcPr>
          <w:p w14:paraId="68338BD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溶解性：溶于水、乙醇。</w:t>
            </w:r>
          </w:p>
        </w:tc>
      </w:tr>
      <w:tr w14:paraId="7FDD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20440FD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1977" w:type="pct"/>
            <w:gridSpan w:val="2"/>
            <w:vAlign w:val="center"/>
          </w:tcPr>
          <w:p w14:paraId="14DDC3F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熔点(℃)：-75.3</w:t>
            </w:r>
          </w:p>
        </w:tc>
        <w:tc>
          <w:tcPr>
            <w:tcW w:w="2684" w:type="pct"/>
          </w:tcPr>
          <w:p w14:paraId="1D97B27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沸点(℃)：-10</w:t>
            </w:r>
          </w:p>
        </w:tc>
      </w:tr>
      <w:tr w14:paraId="6950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318A9F1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1977" w:type="pct"/>
            <w:gridSpan w:val="2"/>
            <w:vAlign w:val="center"/>
          </w:tcPr>
          <w:p w14:paraId="5B5BA14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相对密度：(水=1)1.43</w:t>
            </w:r>
          </w:p>
        </w:tc>
        <w:tc>
          <w:tcPr>
            <w:tcW w:w="2684" w:type="pct"/>
          </w:tcPr>
          <w:p w14:paraId="0DF2518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相对密度：(空气=1)2.26</w:t>
            </w:r>
          </w:p>
        </w:tc>
      </w:tr>
      <w:tr w14:paraId="34FB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0CB69BC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1977" w:type="pct"/>
            <w:gridSpan w:val="2"/>
            <w:vAlign w:val="center"/>
          </w:tcPr>
          <w:p w14:paraId="283D600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饱和蒸汽压(KPa) 338.42（21.1℃）</w:t>
            </w:r>
          </w:p>
        </w:tc>
        <w:tc>
          <w:tcPr>
            <w:tcW w:w="2684" w:type="pct"/>
          </w:tcPr>
          <w:p w14:paraId="5C9C32D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禁忌物：强还原剂、强氧化剂、易燃或可燃物。</w:t>
            </w:r>
          </w:p>
        </w:tc>
      </w:tr>
      <w:tr w14:paraId="6C32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38A32F0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1977" w:type="pct"/>
            <w:gridSpan w:val="2"/>
            <w:vAlign w:val="center"/>
          </w:tcPr>
          <w:p w14:paraId="1A72F78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临界压力(MPa)：7.87</w:t>
            </w:r>
          </w:p>
        </w:tc>
        <w:tc>
          <w:tcPr>
            <w:tcW w:w="2684" w:type="pct"/>
          </w:tcPr>
          <w:p w14:paraId="6A57BF2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临界温度(℃)：157.8</w:t>
            </w:r>
          </w:p>
        </w:tc>
      </w:tr>
      <w:tr w14:paraId="65D7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4941966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1977" w:type="pct"/>
            <w:gridSpan w:val="2"/>
            <w:vAlign w:val="center"/>
          </w:tcPr>
          <w:p w14:paraId="048757E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稳定性：稳定</w:t>
            </w:r>
          </w:p>
        </w:tc>
        <w:tc>
          <w:tcPr>
            <w:tcW w:w="2684" w:type="pct"/>
          </w:tcPr>
          <w:p w14:paraId="388ABBF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聚合危害：不聚合</w:t>
            </w:r>
          </w:p>
        </w:tc>
      </w:tr>
      <w:tr w14:paraId="3B66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restart"/>
            <w:vAlign w:val="center"/>
          </w:tcPr>
          <w:p w14:paraId="35C1FA5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危险特性</w:t>
            </w:r>
          </w:p>
        </w:tc>
        <w:tc>
          <w:tcPr>
            <w:tcW w:w="1977" w:type="pct"/>
            <w:gridSpan w:val="2"/>
            <w:vAlign w:val="center"/>
          </w:tcPr>
          <w:p w14:paraId="186E704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危险性类别：第2.3类有毒气体</w:t>
            </w:r>
          </w:p>
        </w:tc>
        <w:tc>
          <w:tcPr>
            <w:tcW w:w="2684" w:type="pct"/>
          </w:tcPr>
          <w:p w14:paraId="3B0DBB6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燃烧性：不燃,有毒,</w:t>
            </w:r>
            <w:r>
              <w:rPr>
                <w:rFonts w:hint="eastAsia"/>
                <w:color w:val="auto"/>
                <w:lang w:eastAsia="zh-CN"/>
              </w:rPr>
              <w:t>具有</w:t>
            </w:r>
            <w:r>
              <w:rPr>
                <w:rFonts w:hint="eastAsia"/>
                <w:color w:val="auto"/>
              </w:rPr>
              <w:t>强刺激性。</w:t>
            </w:r>
          </w:p>
        </w:tc>
      </w:tr>
      <w:tr w14:paraId="328D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5E50691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1977" w:type="pct"/>
            <w:gridSpan w:val="2"/>
            <w:vAlign w:val="center"/>
          </w:tcPr>
          <w:p w14:paraId="30F98FC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引燃温度(℃)：无意义</w:t>
            </w:r>
          </w:p>
        </w:tc>
        <w:tc>
          <w:tcPr>
            <w:tcW w:w="2684" w:type="pct"/>
          </w:tcPr>
          <w:p w14:paraId="392A44D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闪点(℃)：无意义</w:t>
            </w:r>
          </w:p>
        </w:tc>
      </w:tr>
      <w:tr w14:paraId="58C9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398E654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1977" w:type="pct"/>
            <w:gridSpan w:val="2"/>
            <w:vAlign w:val="center"/>
          </w:tcPr>
          <w:p w14:paraId="62E5812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爆炸下限(%)：无意义</w:t>
            </w:r>
          </w:p>
        </w:tc>
        <w:tc>
          <w:tcPr>
            <w:tcW w:w="2684" w:type="pct"/>
          </w:tcPr>
          <w:p w14:paraId="6E72C49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爆炸上限(%)：无意义</w:t>
            </w:r>
          </w:p>
        </w:tc>
      </w:tr>
      <w:tr w14:paraId="17CD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07719CA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1977" w:type="pct"/>
            <w:gridSpan w:val="2"/>
          </w:tcPr>
          <w:p w14:paraId="196D59D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最小点火能(MJ) 无意义</w:t>
            </w:r>
          </w:p>
        </w:tc>
        <w:tc>
          <w:tcPr>
            <w:tcW w:w="2684" w:type="pct"/>
          </w:tcPr>
          <w:p w14:paraId="2603A5E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最大爆炸压力(MPa)：无意义</w:t>
            </w:r>
          </w:p>
        </w:tc>
      </w:tr>
      <w:tr w14:paraId="4A50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787DEAF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1977" w:type="pct"/>
            <w:gridSpan w:val="2"/>
          </w:tcPr>
          <w:p w14:paraId="04939DE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燃烧热(J/mol)：无意义</w:t>
            </w:r>
          </w:p>
        </w:tc>
        <w:tc>
          <w:tcPr>
            <w:tcW w:w="2684" w:type="pct"/>
          </w:tcPr>
          <w:p w14:paraId="75C59B7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燃烧(分解)产物：无意义</w:t>
            </w:r>
          </w:p>
        </w:tc>
      </w:tr>
      <w:tr w14:paraId="04B2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restart"/>
            <w:vAlign w:val="center"/>
          </w:tcPr>
          <w:p w14:paraId="38857C9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危险特性</w:t>
            </w:r>
          </w:p>
        </w:tc>
        <w:tc>
          <w:tcPr>
            <w:tcW w:w="4662" w:type="pct"/>
            <w:gridSpan w:val="3"/>
          </w:tcPr>
          <w:p w14:paraId="3CA891C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危险特性：不燃。若遇高热，容器内压增大，有开裂和爆炸的危险。</w:t>
            </w:r>
          </w:p>
        </w:tc>
      </w:tr>
      <w:tr w14:paraId="29F6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132C53F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662" w:type="pct"/>
            <w:gridSpan w:val="3"/>
          </w:tcPr>
          <w:p w14:paraId="55506B3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灭火方法：本品不燃。消防人员必须佩戴过滤式防毒面具（全面罩）或隔离式呼吸器、穿全身防火防毒服，在上风向灭火。切断气源。喷水冷却容器，可能的话将容器从火场移至空旷处。</w:t>
            </w:r>
          </w:p>
        </w:tc>
      </w:tr>
      <w:tr w14:paraId="59E1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5EED6F8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662" w:type="pct"/>
            <w:gridSpan w:val="3"/>
          </w:tcPr>
          <w:p w14:paraId="48FB4B8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灭火剂：雾状水、泡沫、二氧化碳。</w:t>
            </w:r>
          </w:p>
        </w:tc>
      </w:tr>
      <w:tr w14:paraId="6CEC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restart"/>
            <w:vAlign w:val="center"/>
          </w:tcPr>
          <w:p w14:paraId="653B061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健康危害</w:t>
            </w:r>
          </w:p>
        </w:tc>
        <w:tc>
          <w:tcPr>
            <w:tcW w:w="4662" w:type="pct"/>
            <w:gridSpan w:val="3"/>
          </w:tcPr>
          <w:p w14:paraId="6010642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侵入途径：吸入</w:t>
            </w:r>
          </w:p>
        </w:tc>
      </w:tr>
      <w:tr w14:paraId="310F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7DA6A74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662" w:type="pct"/>
            <w:gridSpan w:val="3"/>
          </w:tcPr>
          <w:p w14:paraId="40AF47B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健康危害：易被湿润的</w:t>
            </w:r>
            <w:r>
              <w:rPr>
                <w:rFonts w:hint="eastAsia"/>
                <w:color w:val="auto"/>
                <w:lang w:eastAsia="zh-CN"/>
              </w:rPr>
              <w:t>黏膜</w:t>
            </w:r>
            <w:r>
              <w:rPr>
                <w:rFonts w:hint="eastAsia"/>
                <w:color w:val="auto"/>
              </w:rPr>
              <w:t>表面吸收生成亚硫酸、硫酸。对眼及呼吸道</w:t>
            </w:r>
            <w:r>
              <w:rPr>
                <w:rFonts w:hint="eastAsia"/>
                <w:color w:val="auto"/>
                <w:lang w:eastAsia="zh-CN"/>
              </w:rPr>
              <w:t>黏膜</w:t>
            </w:r>
            <w:r>
              <w:rPr>
                <w:rFonts w:hint="eastAsia"/>
                <w:color w:val="auto"/>
              </w:rPr>
              <w:t>有强烈的刺激作用。大量吸入可引起肺水肿、喉水肿、声带痉挛而致</w:t>
            </w:r>
            <w:r>
              <w:rPr>
                <w:rFonts w:hint="eastAsia"/>
                <w:color w:val="auto"/>
                <w:lang w:eastAsia="zh-CN"/>
              </w:rPr>
              <w:t>窒息</w:t>
            </w:r>
            <w:r>
              <w:rPr>
                <w:rFonts w:hint="eastAsia"/>
                <w:color w:val="auto"/>
              </w:rPr>
              <w:t>。</w:t>
            </w:r>
          </w:p>
          <w:p w14:paraId="1AEA2B7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急性中毒：轻度中毒时，发生流泪、畏光、咳嗽，咽、喉灼痛等呼吸道及眼结膜刺激症状﹔严重中毒可在数小时内发生肺水肿﹔极高浓度时可引起反射性声门痉挛而致</w:t>
            </w:r>
            <w:r>
              <w:rPr>
                <w:rFonts w:hint="eastAsia"/>
                <w:color w:val="auto"/>
                <w:lang w:eastAsia="zh-CN"/>
              </w:rPr>
              <w:t>窒息</w:t>
            </w:r>
            <w:r>
              <w:rPr>
                <w:rFonts w:hint="eastAsia"/>
                <w:color w:val="auto"/>
              </w:rPr>
              <w:t>。</w:t>
            </w:r>
          </w:p>
          <w:p w14:paraId="41B299F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慢性中毒：长期接触二氧化硫，可有头痛、头昏、乏力等全身症状以及慢性鼻炎、支气管炎、嗅觉及味觉减退、肺气肿等﹔少数工人有牙齿酸蚀症。</w:t>
            </w:r>
          </w:p>
        </w:tc>
      </w:tr>
      <w:tr w14:paraId="518C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37" w:type="pct"/>
            <w:vMerge w:val="continue"/>
            <w:vAlign w:val="center"/>
          </w:tcPr>
          <w:p w14:paraId="10E1900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p>
        </w:tc>
        <w:tc>
          <w:tcPr>
            <w:tcW w:w="4662" w:type="pct"/>
            <w:gridSpan w:val="3"/>
          </w:tcPr>
          <w:p w14:paraId="7D1811B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工作场所最高允许浓度：中国MAC=15mg/m</w:t>
            </w:r>
            <w:r>
              <w:rPr>
                <w:rFonts w:hint="eastAsia"/>
                <w:color w:val="auto"/>
                <w:vertAlign w:val="superscript"/>
              </w:rPr>
              <w:t>3</w:t>
            </w:r>
          </w:p>
        </w:tc>
      </w:tr>
    </w:tbl>
    <w:p w14:paraId="4000B9BA">
      <w:pPr>
        <w:pStyle w:val="6"/>
        <w:bidi w:val="0"/>
        <w:rPr>
          <w:rFonts w:hint="default"/>
          <w:color w:val="auto"/>
          <w:lang w:val="en-US" w:eastAsia="zh-CN"/>
        </w:rPr>
      </w:pPr>
      <w:r>
        <w:rPr>
          <w:rFonts w:hint="eastAsia"/>
          <w:color w:val="auto"/>
          <w:lang w:val="en-US" w:eastAsia="zh-CN"/>
        </w:rPr>
        <w:t>5.4.3.2生产系统危险性识别</w:t>
      </w:r>
    </w:p>
    <w:p w14:paraId="0706CEF5">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根据各设施功能特点和危险物质分布情况，项目分为井场、原油集输管线两个功能单元，分述如下：</w:t>
      </w:r>
    </w:p>
    <w:p w14:paraId="624722C7">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（1）井场</w:t>
      </w:r>
    </w:p>
    <w:p w14:paraId="5A3ED2CC">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当发生油气泄漏事故时，若泄漏的原油遇到静电或明火，将会发生火灾事故产生颗粒物、CO等次生污染物，影响周围环境空气质量。泄漏的原油会渗入土壤，并污染地下水，对土壤和地下水环境造成不利影响。</w:t>
      </w:r>
    </w:p>
    <w:p w14:paraId="7D449FF8">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（2）原油集输管线</w:t>
      </w:r>
    </w:p>
    <w:p w14:paraId="1F2A2F90">
      <w:pPr>
        <w:pStyle w:val="33"/>
        <w:bidi w:val="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井场原油主要通过管线输送至计量站、转油站、联合站等原油处理站场。本次工程拟建油气集输管线运营过程中存在的风险事故有原油集输管线等设备因腐蚀穿孔而造成原油泄漏；冬季运营时输油管线因保温性能差等原因发生冻堵、管线破裂；人为破坏导致管道泄漏，特别是当地窃油现象时有发生，窃油者在管道上打孔，窃油后引起原油泄漏。泄漏的原油会渗入土壤，并污染地下水，对土壤和地下水环境造成不利影响。</w:t>
      </w:r>
    </w:p>
    <w:p w14:paraId="5E5544BE">
      <w:pPr>
        <w:pStyle w:val="6"/>
        <w:bidi w:val="0"/>
        <w:rPr>
          <w:rFonts w:hint="default"/>
          <w:color w:val="auto"/>
          <w:lang w:val="en-US" w:eastAsia="zh-CN"/>
        </w:rPr>
      </w:pPr>
      <w:r>
        <w:rPr>
          <w:rFonts w:hint="eastAsia"/>
          <w:color w:val="auto"/>
          <w:lang w:val="en-US" w:eastAsia="zh-CN"/>
        </w:rPr>
        <w:t>5.4.3.3危险物质向环境转移途径识别</w:t>
      </w:r>
    </w:p>
    <w:p w14:paraId="68D6D25B">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通过以上物质、生产设施识别，本项目危险物质扩散途径主要有：</w:t>
      </w:r>
    </w:p>
    <w:p w14:paraId="2519D551">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（1）井场发生井喷对空气、土壤等的不利影响。</w:t>
      </w:r>
    </w:p>
    <w:p w14:paraId="3C931E3F">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（2）原油集输管线发生泄漏事故，泄漏原油进入土壤，对土壤、植被产生影响；泄漏原油通过包气带进入地下水环境从而对地下水造成污染。</w:t>
      </w:r>
    </w:p>
    <w:p w14:paraId="2B31D971">
      <w:pPr>
        <w:pStyle w:val="6"/>
        <w:bidi w:val="0"/>
        <w:rPr>
          <w:rFonts w:hint="default"/>
          <w:color w:val="auto"/>
          <w:lang w:val="en-US" w:eastAsia="zh-CN"/>
        </w:rPr>
      </w:pPr>
      <w:r>
        <w:rPr>
          <w:rFonts w:hint="eastAsia"/>
          <w:color w:val="auto"/>
          <w:lang w:val="en-US" w:eastAsia="zh-CN"/>
        </w:rPr>
        <w:t>5.4.3.4环境风险识别结果</w:t>
      </w:r>
    </w:p>
    <w:p w14:paraId="502FBE9E">
      <w:pPr>
        <w:pStyle w:val="33"/>
        <w:bidi w:val="0"/>
        <w:rPr>
          <w:rFonts w:hint="eastAsia"/>
          <w:color w:val="auto"/>
          <w:lang w:val="en-US" w:eastAsia="zh-CN"/>
        </w:rPr>
      </w:pPr>
      <w:r>
        <w:rPr>
          <w:rFonts w:hint="eastAsia"/>
          <w:color w:val="auto"/>
          <w:lang w:val="en-US" w:eastAsia="zh-CN"/>
        </w:rPr>
        <w:t>综上所述，本项目主要危险单元包括井场、原油集输管线。各生产设施主要事故风险类型、来源及危害见</w:t>
      </w:r>
      <w:r>
        <w:rPr>
          <w:rFonts w:hint="eastAsia"/>
          <w:color w:val="auto"/>
          <w:lang w:val="en-US" w:eastAsia="zh-CN"/>
        </w:rPr>
        <w:fldChar w:fldCharType="begin"/>
      </w:r>
      <w:r>
        <w:rPr>
          <w:rFonts w:hint="eastAsia"/>
          <w:color w:val="auto"/>
          <w:lang w:val="en-US" w:eastAsia="zh-CN"/>
        </w:rPr>
        <w:instrText xml:space="preserve"> REF _Ref29394 \h </w:instrText>
      </w:r>
      <w:r>
        <w:rPr>
          <w:rFonts w:hint="eastAsia"/>
          <w:color w:val="auto"/>
          <w:lang w:val="en-US" w:eastAsia="zh-CN"/>
        </w:rPr>
        <w:fldChar w:fldCharType="separate"/>
      </w:r>
      <w:r>
        <w:rPr>
          <w:rFonts w:hint="eastAsia"/>
          <w:color w:val="auto"/>
          <w:lang w:val="en-US" w:eastAsia="zh-CN"/>
        </w:rPr>
        <w:t>表5</w:t>
      </w:r>
      <w:r>
        <w:rPr>
          <w:rFonts w:hint="eastAsia"/>
          <w:color w:val="auto"/>
          <w:lang w:val="en-US" w:eastAsia="zh-CN"/>
        </w:rPr>
        <w:fldChar w:fldCharType="end"/>
      </w:r>
      <w:r>
        <w:rPr>
          <w:rFonts w:hint="eastAsia"/>
          <w:color w:val="auto"/>
          <w:lang w:val="en-US" w:eastAsia="zh-CN"/>
        </w:rPr>
        <w:t>.4-6。</w:t>
      </w:r>
    </w:p>
    <w:p w14:paraId="2FAD589D">
      <w:pPr>
        <w:pStyle w:val="43"/>
        <w:bidi w:val="0"/>
        <w:rPr>
          <w:rFonts w:hint="eastAsia" w:ascii="宋体" w:hAnsi="宋体" w:eastAsia="宋体" w:cs="宋体"/>
          <w:b/>
          <w:color w:val="auto"/>
          <w:kern w:val="0"/>
          <w:szCs w:val="21"/>
        </w:rPr>
      </w:pPr>
      <w:bookmarkStart w:id="274" w:name="_Ref29394"/>
      <w:r>
        <w:rPr>
          <w:color w:val="auto"/>
        </w:rPr>
        <w:t>表</w:t>
      </w:r>
      <w:bookmarkEnd w:id="274"/>
      <w:r>
        <w:rPr>
          <w:rFonts w:hint="eastAsia"/>
          <w:color w:val="auto"/>
          <w:lang w:val="en-US" w:eastAsia="zh-CN"/>
        </w:rPr>
        <w:t>5.4-6</w:t>
      </w:r>
      <w:r>
        <w:rPr>
          <w:rFonts w:hint="eastAsia" w:ascii="宋体" w:hAnsi="宋体" w:eastAsia="宋体" w:cs="宋体"/>
          <w:b/>
          <w:color w:val="auto"/>
          <w:kern w:val="0"/>
          <w:szCs w:val="21"/>
        </w:rPr>
        <w:t xml:space="preserve">  项目环境风险识别表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040"/>
        <w:gridCol w:w="1119"/>
        <w:gridCol w:w="1262"/>
        <w:gridCol w:w="2978"/>
        <w:gridCol w:w="1688"/>
      </w:tblGrid>
      <w:tr w14:paraId="48D9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tcBorders>
              <w:tl2br w:val="nil"/>
              <w:tr2bl w:val="nil"/>
            </w:tcBorders>
            <w:noWrap w:val="0"/>
            <w:vAlign w:val="center"/>
          </w:tcPr>
          <w:p w14:paraId="6F2D4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auto"/>
                <w:kern w:val="2"/>
                <w:sz w:val="21"/>
                <w:szCs w:val="21"/>
                <w:vertAlign w:val="baseline"/>
                <w:lang w:val="en-US" w:eastAsia="zh-CN" w:bidi="ar-SA"/>
              </w:rPr>
            </w:pPr>
            <w:r>
              <w:rPr>
                <w:rFonts w:hint="eastAsia"/>
                <w:b/>
                <w:bCs/>
                <w:color w:val="auto"/>
                <w:sz w:val="21"/>
                <w:szCs w:val="21"/>
                <w:vertAlign w:val="baseline"/>
                <w:lang w:val="en-US" w:eastAsia="zh-CN"/>
              </w:rPr>
              <w:t>危险</w:t>
            </w:r>
            <w:r>
              <w:rPr>
                <w:rFonts w:hint="eastAsia"/>
                <w:b/>
                <w:bCs/>
                <w:color w:val="auto"/>
                <w:sz w:val="21"/>
                <w:szCs w:val="21"/>
                <w:vertAlign w:val="baseline"/>
                <w:lang w:eastAsia="zh-CN"/>
              </w:rPr>
              <w:t>单元</w:t>
            </w:r>
          </w:p>
        </w:tc>
        <w:tc>
          <w:tcPr>
            <w:tcW w:w="581" w:type="pct"/>
            <w:tcBorders>
              <w:tl2br w:val="nil"/>
              <w:tr2bl w:val="nil"/>
            </w:tcBorders>
            <w:noWrap w:val="0"/>
            <w:vAlign w:val="center"/>
          </w:tcPr>
          <w:p w14:paraId="58222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auto"/>
                <w:kern w:val="2"/>
                <w:sz w:val="21"/>
                <w:szCs w:val="21"/>
                <w:vertAlign w:val="baseline"/>
                <w:lang w:val="en-US" w:eastAsia="zh-CN" w:bidi="ar-SA"/>
              </w:rPr>
            </w:pPr>
            <w:r>
              <w:rPr>
                <w:rFonts w:hint="eastAsia"/>
                <w:b/>
                <w:bCs/>
                <w:color w:val="auto"/>
                <w:sz w:val="21"/>
                <w:szCs w:val="21"/>
                <w:vertAlign w:val="baseline"/>
                <w:lang w:eastAsia="zh-CN"/>
              </w:rPr>
              <w:t>风险源</w:t>
            </w:r>
          </w:p>
        </w:tc>
        <w:tc>
          <w:tcPr>
            <w:tcW w:w="625" w:type="pct"/>
            <w:tcBorders>
              <w:tl2br w:val="nil"/>
              <w:tr2bl w:val="nil"/>
            </w:tcBorders>
            <w:noWrap w:val="0"/>
            <w:vAlign w:val="center"/>
          </w:tcPr>
          <w:p w14:paraId="4076D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auto"/>
                <w:kern w:val="2"/>
                <w:sz w:val="21"/>
                <w:szCs w:val="21"/>
                <w:vertAlign w:val="baseline"/>
                <w:lang w:val="en-US" w:eastAsia="zh-CN" w:bidi="ar-SA"/>
              </w:rPr>
            </w:pPr>
            <w:r>
              <w:rPr>
                <w:rFonts w:hint="eastAsia"/>
                <w:b/>
                <w:bCs/>
                <w:color w:val="auto"/>
                <w:sz w:val="21"/>
                <w:szCs w:val="21"/>
                <w:vertAlign w:val="baseline"/>
                <w:lang w:eastAsia="zh-CN"/>
              </w:rPr>
              <w:t>环境风险类型</w:t>
            </w:r>
          </w:p>
        </w:tc>
        <w:tc>
          <w:tcPr>
            <w:tcW w:w="705" w:type="pct"/>
            <w:tcBorders>
              <w:tl2br w:val="nil"/>
              <w:tr2bl w:val="nil"/>
            </w:tcBorders>
            <w:noWrap w:val="0"/>
            <w:vAlign w:val="center"/>
          </w:tcPr>
          <w:p w14:paraId="414679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主要危险物质</w:t>
            </w:r>
          </w:p>
        </w:tc>
        <w:tc>
          <w:tcPr>
            <w:tcW w:w="1664" w:type="pct"/>
            <w:tcBorders>
              <w:tl2br w:val="nil"/>
              <w:tr2bl w:val="nil"/>
            </w:tcBorders>
            <w:noWrap w:val="0"/>
            <w:vAlign w:val="center"/>
          </w:tcPr>
          <w:p w14:paraId="58104A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环境影响途径</w:t>
            </w:r>
          </w:p>
        </w:tc>
        <w:tc>
          <w:tcPr>
            <w:tcW w:w="943" w:type="pct"/>
            <w:tcBorders>
              <w:tl2br w:val="nil"/>
              <w:tr2bl w:val="nil"/>
            </w:tcBorders>
            <w:noWrap w:val="0"/>
            <w:vAlign w:val="center"/>
          </w:tcPr>
          <w:p w14:paraId="49FE4B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可能受影响的环境敏感目标</w:t>
            </w:r>
          </w:p>
        </w:tc>
      </w:tr>
      <w:tr w14:paraId="6196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479" w:type="pct"/>
            <w:tcBorders>
              <w:tl2br w:val="nil"/>
              <w:tr2bl w:val="nil"/>
            </w:tcBorders>
            <w:noWrap w:val="0"/>
            <w:vAlign w:val="center"/>
          </w:tcPr>
          <w:p w14:paraId="7218C0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井场</w:t>
            </w:r>
          </w:p>
        </w:tc>
        <w:tc>
          <w:tcPr>
            <w:tcW w:w="581" w:type="pct"/>
            <w:tcBorders>
              <w:tl2br w:val="nil"/>
              <w:tr2bl w:val="nil"/>
            </w:tcBorders>
            <w:noWrap w:val="0"/>
            <w:vAlign w:val="center"/>
          </w:tcPr>
          <w:p w14:paraId="511827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井喷</w:t>
            </w:r>
          </w:p>
        </w:tc>
        <w:tc>
          <w:tcPr>
            <w:tcW w:w="625" w:type="pct"/>
            <w:tcBorders>
              <w:tl2br w:val="nil"/>
              <w:tr2bl w:val="nil"/>
            </w:tcBorders>
            <w:noWrap w:val="0"/>
            <w:vAlign w:val="center"/>
          </w:tcPr>
          <w:p w14:paraId="04568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火灾、爆炸</w:t>
            </w:r>
          </w:p>
        </w:tc>
        <w:tc>
          <w:tcPr>
            <w:tcW w:w="705" w:type="pct"/>
            <w:tcBorders>
              <w:tl2br w:val="nil"/>
              <w:tr2bl w:val="nil"/>
            </w:tcBorders>
            <w:noWrap w:val="0"/>
            <w:vAlign w:val="center"/>
          </w:tcPr>
          <w:p w14:paraId="099A49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原油、伴生气、CO等</w:t>
            </w:r>
          </w:p>
        </w:tc>
        <w:tc>
          <w:tcPr>
            <w:tcW w:w="1664" w:type="pct"/>
            <w:vMerge w:val="restart"/>
            <w:tcBorders>
              <w:tl2br w:val="nil"/>
              <w:tr2bl w:val="nil"/>
            </w:tcBorders>
            <w:noWrap w:val="0"/>
            <w:vAlign w:val="center"/>
          </w:tcPr>
          <w:p w14:paraId="79CA1C8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 w:val="21"/>
                <w:szCs w:val="21"/>
                <w:vertAlign w:val="baseline"/>
                <w:lang w:eastAsia="zh-CN"/>
              </w:rPr>
            </w:pPr>
            <w:r>
              <w:rPr>
                <w:rFonts w:hint="eastAsia"/>
                <w:color w:val="auto"/>
                <w:sz w:val="21"/>
                <w:szCs w:val="21"/>
                <w:vertAlign w:val="baseline"/>
                <w:lang w:eastAsia="zh-CN"/>
              </w:rPr>
              <w:t>油品挥发，造成大气污染；原油覆盖地表和渗入地下后，阻塞土壤孔隙，使土壤板结，通透性变差，不利于植物生长</w:t>
            </w:r>
          </w:p>
        </w:tc>
        <w:tc>
          <w:tcPr>
            <w:tcW w:w="943" w:type="pct"/>
            <w:vMerge w:val="restart"/>
            <w:tcBorders>
              <w:tl2br w:val="nil"/>
              <w:tr2bl w:val="nil"/>
            </w:tcBorders>
            <w:noWrap w:val="0"/>
            <w:vAlign w:val="center"/>
          </w:tcPr>
          <w:p w14:paraId="416BF39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 w:val="21"/>
                <w:szCs w:val="21"/>
                <w:vertAlign w:val="baseline"/>
                <w:lang w:eastAsia="zh-CN"/>
              </w:rPr>
            </w:pPr>
            <w:r>
              <w:rPr>
                <w:rFonts w:hint="eastAsia"/>
                <w:color w:val="auto"/>
                <w:sz w:val="21"/>
                <w:szCs w:val="21"/>
                <w:vertAlign w:val="baseline"/>
                <w:lang w:eastAsia="zh-CN"/>
              </w:rPr>
              <w:t>项目区大气环境周边</w:t>
            </w:r>
            <w:r>
              <w:rPr>
                <w:rFonts w:hint="eastAsia"/>
                <w:color w:val="auto"/>
                <w:sz w:val="21"/>
                <w:szCs w:val="21"/>
                <w:vertAlign w:val="baseline"/>
                <w:lang w:val="en-US" w:eastAsia="zh-CN"/>
              </w:rPr>
              <w:t>5km范围内的人员；周边地下水环境及土壤环境</w:t>
            </w:r>
          </w:p>
        </w:tc>
      </w:tr>
      <w:tr w14:paraId="064B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tcBorders>
              <w:tl2br w:val="nil"/>
              <w:tr2bl w:val="nil"/>
            </w:tcBorders>
            <w:noWrap w:val="0"/>
            <w:vAlign w:val="center"/>
          </w:tcPr>
          <w:p w14:paraId="4B179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集油管线</w:t>
            </w:r>
          </w:p>
        </w:tc>
        <w:tc>
          <w:tcPr>
            <w:tcW w:w="581" w:type="pct"/>
            <w:tcBorders>
              <w:tl2br w:val="nil"/>
              <w:tr2bl w:val="nil"/>
            </w:tcBorders>
            <w:noWrap w:val="0"/>
            <w:vAlign w:val="center"/>
          </w:tcPr>
          <w:p w14:paraId="60A929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泄漏</w:t>
            </w:r>
          </w:p>
        </w:tc>
        <w:tc>
          <w:tcPr>
            <w:tcW w:w="625" w:type="pct"/>
            <w:tcBorders>
              <w:tl2br w:val="nil"/>
              <w:tr2bl w:val="nil"/>
            </w:tcBorders>
            <w:noWrap w:val="0"/>
            <w:vAlign w:val="center"/>
          </w:tcPr>
          <w:p w14:paraId="57DD13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火灾、爆炸</w:t>
            </w:r>
          </w:p>
        </w:tc>
        <w:tc>
          <w:tcPr>
            <w:tcW w:w="705" w:type="pct"/>
            <w:tcBorders>
              <w:tl2br w:val="nil"/>
              <w:tr2bl w:val="nil"/>
            </w:tcBorders>
            <w:noWrap w:val="0"/>
            <w:vAlign w:val="center"/>
          </w:tcPr>
          <w:p w14:paraId="31414A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原油、伴生气、CO等</w:t>
            </w:r>
          </w:p>
        </w:tc>
        <w:tc>
          <w:tcPr>
            <w:tcW w:w="1664" w:type="pct"/>
            <w:vMerge w:val="continue"/>
            <w:tcBorders>
              <w:tl2br w:val="nil"/>
              <w:tr2bl w:val="nil"/>
            </w:tcBorders>
            <w:noWrap w:val="0"/>
            <w:vAlign w:val="center"/>
          </w:tcPr>
          <w:p w14:paraId="15FF4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eastAsia="zh-CN"/>
              </w:rPr>
            </w:pPr>
          </w:p>
        </w:tc>
        <w:tc>
          <w:tcPr>
            <w:tcW w:w="943" w:type="pct"/>
            <w:vMerge w:val="continue"/>
            <w:tcBorders>
              <w:tl2br w:val="nil"/>
              <w:tr2bl w:val="nil"/>
            </w:tcBorders>
            <w:noWrap w:val="0"/>
            <w:vAlign w:val="center"/>
          </w:tcPr>
          <w:p w14:paraId="45EA19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eastAsia="zh-CN"/>
              </w:rPr>
            </w:pPr>
          </w:p>
        </w:tc>
      </w:tr>
    </w:tbl>
    <w:p w14:paraId="170506A6">
      <w:pPr>
        <w:pStyle w:val="5"/>
        <w:bidi w:val="0"/>
        <w:rPr>
          <w:rFonts w:hint="default"/>
          <w:color w:val="auto"/>
          <w:lang w:val="en-US" w:eastAsia="zh-CN"/>
        </w:rPr>
      </w:pPr>
      <w:r>
        <w:rPr>
          <w:rFonts w:hint="eastAsia"/>
          <w:color w:val="auto"/>
          <w:lang w:val="en-US" w:eastAsia="zh-CN"/>
        </w:rPr>
        <w:t>5.4.4环境风险分析</w:t>
      </w:r>
    </w:p>
    <w:p w14:paraId="34C894A7">
      <w:pPr>
        <w:pStyle w:val="6"/>
        <w:bidi w:val="0"/>
        <w:rPr>
          <w:rFonts w:hint="default"/>
          <w:color w:val="auto"/>
          <w:lang w:val="en-US" w:eastAsia="zh-CN"/>
        </w:rPr>
      </w:pPr>
      <w:bookmarkStart w:id="275" w:name="_Toc3036"/>
      <w:r>
        <w:rPr>
          <w:rFonts w:hint="eastAsia"/>
          <w:color w:val="auto"/>
          <w:lang w:val="en-US" w:eastAsia="zh-CN"/>
        </w:rPr>
        <w:t>5.4.4.1</w:t>
      </w:r>
      <w:r>
        <w:rPr>
          <w:rFonts w:hint="default"/>
          <w:color w:val="auto"/>
          <w:lang w:val="en-US" w:eastAsia="zh-CN"/>
        </w:rPr>
        <w:t>井喷事故影响分析</w:t>
      </w:r>
      <w:bookmarkEnd w:id="275"/>
    </w:p>
    <w:p w14:paraId="235B2DE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井喷事故一旦发生，大量的油气喷出井口，散落于井场周围，据类比资料显示，井喷范围内土壤表层可见有蜡状的原油喷散物，井喷的影响范围及影响程度较大。由于项目区人烟稀少，所以井喷对人员的伤害有限，对项目区及周边土壤环境、大气环境、地下水产生影响。井喷事故发生时对地下水环境的影响主要是原油以面源的形式渗漏进入包气带土壤并污染地下水。污染物迁移途径为地表以下的包气带和含水层，然后随地下水流动而污染地下水。石油类污染物主要聚积在土壤表层1m以内，一般很难渗入到2m以下。同时油田区域气候干旱少雨，不存在大量降水的淋滤作用。因此，井喷事故中的泄漏原油不会进入地下含水层污染地下水。</w:t>
      </w:r>
    </w:p>
    <w:p w14:paraId="7F166136">
      <w:pPr>
        <w:pStyle w:val="6"/>
        <w:bidi w:val="0"/>
        <w:rPr>
          <w:rFonts w:hint="default"/>
          <w:color w:val="auto"/>
          <w:lang w:val="en-US" w:eastAsia="zh-CN"/>
        </w:rPr>
      </w:pPr>
      <w:bookmarkStart w:id="276" w:name="_Toc20997"/>
      <w:r>
        <w:rPr>
          <w:rFonts w:hint="eastAsia"/>
          <w:color w:val="auto"/>
          <w:lang w:val="en-US" w:eastAsia="zh-CN"/>
        </w:rPr>
        <w:t>5.4.4.2管道原油泄漏事故影响分析</w:t>
      </w:r>
      <w:bookmarkEnd w:id="276"/>
    </w:p>
    <w:p w14:paraId="369CAD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当管道在埋地敷设段内发生泄漏，原油则在土壤内部由于重力作用沿垂直方向向地下渗透，排除地质灾害等因素外，原油一般情况下不会冒出地表形成地面扩散。由于原油黏度和凝固点较高，且流动性较差，因此泄漏原油很难向土壤深层迁移。此时影响原油污染范围的因素有原油的泄漏量、存留时间及环境温度等。</w:t>
      </w:r>
    </w:p>
    <w:p w14:paraId="7E473A6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发生泄漏后，若不能及时采取措施制止，致使大量可燃气进入环境当中，若遇明火则会引发火灾等危害极大的事故。对环境、人员和设备产生一定危害，主要危害包括：①遇明火可能发生火灾或爆炸事故，造成人员伤亡、设备损坏等危害；②烃类气体以及火灾或爆炸事故次生污染物CO对人体的毒性危害，尽管毒性相对较低，主要具有麻醉和刺激作用，以及对呼吸道黏膜和皮肤有一定的刺激作用，但较长时间接触后，对人体产生头痛、眩晕、精神迟钝、恶心、呕吐、眼角膜充血等危害，对周围的环境及人群造成影响。伴生气中的甲烷进入大气后，可能会造成中毒事件。</w:t>
      </w:r>
    </w:p>
    <w:p w14:paraId="0CBF047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lang w:val="en-US" w:eastAsia="zh-CN"/>
        </w:rPr>
      </w:pPr>
      <w:r>
        <w:rPr>
          <w:rFonts w:hint="eastAsia"/>
          <w:color w:val="auto"/>
          <w:sz w:val="24"/>
          <w:szCs w:val="28"/>
          <w:lang w:val="en-US" w:eastAsia="zh-CN"/>
        </w:rPr>
        <w:t>由于项目区地域空旷，大气扩散条件较好，发生事故后，及时采取相应的措施，不会对周围环境空气产生明显影响。</w:t>
      </w:r>
    </w:p>
    <w:p w14:paraId="38CFF2B5">
      <w:pPr>
        <w:pStyle w:val="6"/>
        <w:bidi w:val="0"/>
        <w:rPr>
          <w:rFonts w:hint="default"/>
          <w:color w:val="auto"/>
          <w:lang w:val="en-US" w:eastAsia="zh-CN"/>
        </w:rPr>
      </w:pPr>
      <w:r>
        <w:rPr>
          <w:rFonts w:hint="eastAsia"/>
          <w:color w:val="auto"/>
          <w:lang w:val="en-US" w:eastAsia="zh-CN"/>
        </w:rPr>
        <w:t>5.4.4.3火灾爆炸事故影响分析</w:t>
      </w:r>
    </w:p>
    <w:p w14:paraId="49BAB67E">
      <w:pPr>
        <w:pStyle w:val="33"/>
        <w:bidi w:val="0"/>
        <w:rPr>
          <w:color w:val="auto"/>
          <w:lang w:val="en-US" w:eastAsia="zh-CN"/>
        </w:rPr>
      </w:pPr>
      <w:r>
        <w:rPr>
          <w:rFonts w:hint="default" w:ascii="Times New Roman" w:hAnsi="Times New Roman" w:eastAsia="宋体" w:cs="Times New Roman"/>
          <w:color w:val="auto"/>
          <w:sz w:val="24"/>
          <w:szCs w:val="24"/>
        </w:rPr>
        <w:t>管线埋地敷设，管线发生泄漏后，油气很难透过土壤扩散到大气环境中，泄漏物对大气环境影响较小；井场内</w:t>
      </w:r>
      <w:r>
        <w:rPr>
          <w:rFonts w:hint="eastAsia" w:ascii="Times New Roman" w:hAnsi="Times New Roman" w:eastAsia="宋体" w:cs="Times New Roman"/>
          <w:color w:val="auto"/>
          <w:sz w:val="24"/>
          <w:szCs w:val="24"/>
          <w:lang w:val="en-US" w:eastAsia="zh-CN"/>
        </w:rPr>
        <w:t>管线</w:t>
      </w:r>
      <w:r>
        <w:rPr>
          <w:rFonts w:hint="default" w:ascii="Times New Roman" w:hAnsi="Times New Roman" w:eastAsia="宋体" w:cs="Times New Roman"/>
          <w:color w:val="auto"/>
          <w:sz w:val="24"/>
          <w:szCs w:val="24"/>
        </w:rPr>
        <w:t>发生泄漏事故后，油气进入环境空气，其中的</w:t>
      </w:r>
      <w:r>
        <w:rPr>
          <w:rFonts w:hint="eastAsia"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rPr>
        <w:t>可能会对周围环境空气产生影响，若遇明火，可发生火灾、爆炸，火灾、爆炸产生的伴生/次生污染物可能对环境空气产生一定的影响。由于项目区周围无大气环境敏感目标，且地域空旷，扩散条件较好，发生事故后，及时采取相应的措施，不会对周围环境空气产生明显影响。</w:t>
      </w:r>
    </w:p>
    <w:p w14:paraId="7A7CBE28">
      <w:pPr>
        <w:pStyle w:val="6"/>
        <w:bidi w:val="0"/>
        <w:rPr>
          <w:rFonts w:hint="default"/>
          <w:color w:val="auto"/>
          <w:lang w:val="en-US" w:eastAsia="zh-CN"/>
        </w:rPr>
      </w:pPr>
      <w:r>
        <w:rPr>
          <w:rFonts w:hint="eastAsia"/>
          <w:color w:val="auto"/>
          <w:lang w:val="en-US" w:eastAsia="zh-CN"/>
        </w:rPr>
        <w:t>5.4.4.4封井环境风险影响分析</w:t>
      </w:r>
    </w:p>
    <w:p w14:paraId="622AAB39">
      <w:pPr>
        <w:pStyle w:val="33"/>
        <w:bidi w:val="0"/>
        <w:rPr>
          <w:rFonts w:hint="eastAsia"/>
          <w:color w:val="auto"/>
          <w:lang w:eastAsia="zh-CN"/>
        </w:rPr>
      </w:pPr>
      <w:r>
        <w:rPr>
          <w:color w:val="auto"/>
        </w:rPr>
        <w:t>项目进入退役期后，建设方将对注水井以及采油井进行封井，封井环境风险主要体现在封井不严，造成含油层或注水层少量的含油水进入承压水层，对地下水环境造成影响</w:t>
      </w:r>
      <w:r>
        <w:rPr>
          <w:rFonts w:hint="eastAsia"/>
          <w:color w:val="auto"/>
          <w:lang w:eastAsia="zh-CN"/>
        </w:rPr>
        <w:t>。</w:t>
      </w:r>
    </w:p>
    <w:p w14:paraId="3ABD5A35">
      <w:pPr>
        <w:pStyle w:val="5"/>
        <w:bidi w:val="0"/>
        <w:rPr>
          <w:rFonts w:hint="default"/>
          <w:color w:val="auto"/>
          <w:lang w:val="en-US" w:eastAsia="zh-CN"/>
        </w:rPr>
      </w:pPr>
      <w:r>
        <w:rPr>
          <w:rFonts w:hint="eastAsia"/>
          <w:color w:val="auto"/>
          <w:lang w:val="en-US" w:eastAsia="zh-CN"/>
        </w:rPr>
        <w:t>5.4.5环境风险评价自查表</w:t>
      </w:r>
    </w:p>
    <w:p w14:paraId="2CFF49F4">
      <w:pPr>
        <w:pStyle w:val="33"/>
        <w:bidi w:val="0"/>
        <w:rPr>
          <w:rFonts w:hint="default"/>
          <w:color w:val="auto"/>
          <w:lang w:val="en-US" w:eastAsia="zh-CN"/>
        </w:rPr>
      </w:pPr>
      <w:r>
        <w:rPr>
          <w:rFonts w:hint="eastAsia"/>
          <w:color w:val="auto"/>
          <w:lang w:val="en-US" w:eastAsia="zh-CN"/>
        </w:rPr>
        <w:t>环境风险评价自查表见表5.4-7。</w:t>
      </w:r>
    </w:p>
    <w:p w14:paraId="009706B4">
      <w:pPr>
        <w:pStyle w:val="43"/>
        <w:bidi w:val="0"/>
        <w:rPr>
          <w:rFonts w:cs="Times New Roman"/>
          <w:color w:val="auto"/>
        </w:rPr>
      </w:pPr>
      <w:r>
        <w:rPr>
          <w:rFonts w:cs="Times New Roman"/>
          <w:color w:val="auto"/>
        </w:rPr>
        <w:t>表</w:t>
      </w:r>
      <w:r>
        <w:rPr>
          <w:rFonts w:hint="eastAsia" w:cs="Times New Roman"/>
          <w:color w:val="auto"/>
          <w:lang w:val="en-US" w:eastAsia="zh-CN"/>
        </w:rPr>
        <w:t>5.4-7</w:t>
      </w:r>
      <w:r>
        <w:rPr>
          <w:rFonts w:cs="Times New Roman"/>
          <w:color w:val="auto"/>
        </w:rPr>
        <w:t xml:space="preserve">  环境风险评价自查表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59"/>
        <w:gridCol w:w="1286"/>
        <w:gridCol w:w="1253"/>
        <w:gridCol w:w="442"/>
        <w:gridCol w:w="509"/>
        <w:gridCol w:w="357"/>
        <w:gridCol w:w="205"/>
        <w:gridCol w:w="224"/>
        <w:gridCol w:w="233"/>
        <w:gridCol w:w="67"/>
        <w:gridCol w:w="55"/>
        <w:gridCol w:w="297"/>
        <w:gridCol w:w="362"/>
        <w:gridCol w:w="97"/>
        <w:gridCol w:w="184"/>
        <w:gridCol w:w="290"/>
        <w:gridCol w:w="145"/>
        <w:gridCol w:w="334"/>
        <w:gridCol w:w="210"/>
        <w:gridCol w:w="316"/>
        <w:gridCol w:w="145"/>
        <w:gridCol w:w="1164"/>
      </w:tblGrid>
      <w:tr w14:paraId="088F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101" w:type="pct"/>
            <w:gridSpan w:val="2"/>
            <w:vAlign w:val="center"/>
          </w:tcPr>
          <w:p w14:paraId="5474836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工作内容</w:t>
            </w:r>
          </w:p>
        </w:tc>
        <w:tc>
          <w:tcPr>
            <w:tcW w:w="3899" w:type="pct"/>
            <w:gridSpan w:val="20"/>
            <w:vAlign w:val="center"/>
          </w:tcPr>
          <w:p w14:paraId="18F79AE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完成情况</w:t>
            </w:r>
          </w:p>
        </w:tc>
      </w:tr>
      <w:tr w14:paraId="6EE6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3" w:type="pct"/>
            <w:vMerge w:val="restart"/>
            <w:vAlign w:val="center"/>
          </w:tcPr>
          <w:p w14:paraId="51DCB63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风险调查</w:t>
            </w:r>
          </w:p>
        </w:tc>
        <w:tc>
          <w:tcPr>
            <w:tcW w:w="728" w:type="pct"/>
            <w:vMerge w:val="restart"/>
            <w:vAlign w:val="center"/>
          </w:tcPr>
          <w:p w14:paraId="5AB82EB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危险物质</w:t>
            </w:r>
          </w:p>
        </w:tc>
        <w:tc>
          <w:tcPr>
            <w:tcW w:w="709" w:type="pct"/>
            <w:vAlign w:val="center"/>
          </w:tcPr>
          <w:p w14:paraId="63AA220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名称</w:t>
            </w:r>
          </w:p>
        </w:tc>
        <w:tc>
          <w:tcPr>
            <w:tcW w:w="1153" w:type="pct"/>
            <w:gridSpan w:val="7"/>
            <w:vAlign w:val="center"/>
          </w:tcPr>
          <w:p w14:paraId="0BE68E3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原油</w:t>
            </w:r>
          </w:p>
        </w:tc>
        <w:tc>
          <w:tcPr>
            <w:tcW w:w="998" w:type="pct"/>
            <w:gridSpan w:val="8"/>
            <w:vAlign w:val="center"/>
          </w:tcPr>
          <w:p w14:paraId="7840C84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val="en-US" w:eastAsia="zh-CN"/>
              </w:rPr>
            </w:pPr>
            <w:r>
              <w:rPr>
                <w:rFonts w:hint="eastAsia"/>
                <w:color w:val="auto"/>
                <w:lang w:val="en-US" w:eastAsia="zh-CN"/>
              </w:rPr>
              <w:t>伴生气</w:t>
            </w:r>
          </w:p>
        </w:tc>
        <w:tc>
          <w:tcPr>
            <w:tcW w:w="1039" w:type="pct"/>
            <w:gridSpan w:val="4"/>
            <w:vAlign w:val="center"/>
          </w:tcPr>
          <w:p w14:paraId="15A614C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r>
      <w:tr w14:paraId="7432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2005AD0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40D4D2A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09" w:type="pct"/>
            <w:vAlign w:val="center"/>
          </w:tcPr>
          <w:p w14:paraId="134E7AE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存在总量/t</w:t>
            </w:r>
          </w:p>
        </w:tc>
        <w:tc>
          <w:tcPr>
            <w:tcW w:w="1153" w:type="pct"/>
            <w:gridSpan w:val="7"/>
            <w:vAlign w:val="center"/>
          </w:tcPr>
          <w:p w14:paraId="178E642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rFonts w:hint="eastAsia"/>
                <w:color w:val="auto"/>
                <w:lang w:val="en-US" w:eastAsia="zh-CN"/>
              </w:rPr>
              <w:t>103.8142</w:t>
            </w:r>
            <w:r>
              <w:rPr>
                <w:color w:val="auto"/>
              </w:rPr>
              <w:t>t</w:t>
            </w:r>
          </w:p>
        </w:tc>
        <w:tc>
          <w:tcPr>
            <w:tcW w:w="998" w:type="pct"/>
            <w:gridSpan w:val="8"/>
            <w:vAlign w:val="center"/>
          </w:tcPr>
          <w:p w14:paraId="592A53B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val="en-US" w:eastAsia="zh-CN"/>
              </w:rPr>
            </w:pPr>
            <w:r>
              <w:rPr>
                <w:rFonts w:hint="eastAsia"/>
                <w:color w:val="auto"/>
                <w:lang w:val="en-US" w:eastAsia="zh-CN"/>
              </w:rPr>
              <w:t>7.5096t</w:t>
            </w:r>
          </w:p>
        </w:tc>
        <w:tc>
          <w:tcPr>
            <w:tcW w:w="1039" w:type="pct"/>
            <w:gridSpan w:val="4"/>
            <w:vAlign w:val="center"/>
          </w:tcPr>
          <w:p w14:paraId="4A08BB0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r>
      <w:tr w14:paraId="1EEB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7836EC7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28" w:type="pct"/>
            <w:vMerge w:val="restart"/>
            <w:vAlign w:val="center"/>
          </w:tcPr>
          <w:p w14:paraId="223D58B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环境敏感性</w:t>
            </w:r>
          </w:p>
        </w:tc>
        <w:tc>
          <w:tcPr>
            <w:tcW w:w="709" w:type="pct"/>
            <w:vMerge w:val="restart"/>
            <w:vAlign w:val="center"/>
          </w:tcPr>
          <w:p w14:paraId="2C256E3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大气</w:t>
            </w:r>
          </w:p>
        </w:tc>
        <w:tc>
          <w:tcPr>
            <w:tcW w:w="1557" w:type="pct"/>
            <w:gridSpan w:val="10"/>
            <w:vAlign w:val="center"/>
          </w:tcPr>
          <w:p w14:paraId="11586EB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500m范围内人口数</w:t>
            </w:r>
            <w:r>
              <w:rPr>
                <w:rFonts w:hint="eastAsia"/>
                <w:color w:val="auto"/>
                <w:lang w:val="en-US" w:eastAsia="zh-CN"/>
              </w:rPr>
              <w:t>50</w:t>
            </w:r>
            <w:r>
              <w:rPr>
                <w:color w:val="auto"/>
              </w:rPr>
              <w:t>人</w:t>
            </w:r>
          </w:p>
        </w:tc>
        <w:tc>
          <w:tcPr>
            <w:tcW w:w="1633" w:type="pct"/>
            <w:gridSpan w:val="9"/>
            <w:vAlign w:val="center"/>
          </w:tcPr>
          <w:p w14:paraId="7A80235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5km范围内人口数</w:t>
            </w:r>
            <w:r>
              <w:rPr>
                <w:rFonts w:hint="eastAsia"/>
                <w:color w:val="auto"/>
                <w:lang w:val="en-US" w:eastAsia="zh-CN"/>
              </w:rPr>
              <w:t>1000</w:t>
            </w:r>
            <w:r>
              <w:rPr>
                <w:color w:val="auto"/>
              </w:rPr>
              <w:t>人</w:t>
            </w:r>
          </w:p>
        </w:tc>
      </w:tr>
      <w:tr w14:paraId="47B3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230E5E6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01BE9F7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7C7EE3E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2531" w:type="pct"/>
            <w:gridSpan w:val="18"/>
            <w:vAlign w:val="center"/>
          </w:tcPr>
          <w:p w14:paraId="274922E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每公里管段周边200m范围内人口数（最大）</w:t>
            </w:r>
          </w:p>
        </w:tc>
        <w:tc>
          <w:tcPr>
            <w:tcW w:w="659" w:type="pct"/>
            <w:vAlign w:val="center"/>
          </w:tcPr>
          <w:p w14:paraId="2F4526B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rFonts w:hint="eastAsia"/>
                <w:color w:val="auto"/>
                <w:lang w:val="en-US" w:eastAsia="zh-CN"/>
              </w:rPr>
              <w:t>10</w:t>
            </w:r>
            <w:r>
              <w:rPr>
                <w:color w:val="auto"/>
              </w:rPr>
              <w:t>人</w:t>
            </w:r>
          </w:p>
        </w:tc>
      </w:tr>
      <w:tr w14:paraId="1F88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77E0B5E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3D1AB2E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09" w:type="pct"/>
            <w:vMerge w:val="restart"/>
            <w:vAlign w:val="center"/>
          </w:tcPr>
          <w:p w14:paraId="10609B2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地表水</w:t>
            </w:r>
          </w:p>
        </w:tc>
        <w:tc>
          <w:tcPr>
            <w:tcW w:w="1184" w:type="pct"/>
            <w:gridSpan w:val="8"/>
            <w:vAlign w:val="center"/>
          </w:tcPr>
          <w:p w14:paraId="185A271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地表水功能敏感性</w:t>
            </w:r>
          </w:p>
        </w:tc>
        <w:tc>
          <w:tcPr>
            <w:tcW w:w="696" w:type="pct"/>
            <w:gridSpan w:val="5"/>
            <w:vAlign w:val="center"/>
          </w:tcPr>
          <w:p w14:paraId="1938370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F1 □</w:t>
            </w:r>
          </w:p>
        </w:tc>
        <w:tc>
          <w:tcPr>
            <w:tcW w:w="651" w:type="pct"/>
            <w:gridSpan w:val="5"/>
            <w:vAlign w:val="center"/>
          </w:tcPr>
          <w:p w14:paraId="0F728DA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F2 □</w:t>
            </w:r>
          </w:p>
        </w:tc>
        <w:tc>
          <w:tcPr>
            <w:tcW w:w="659" w:type="pct"/>
            <w:vAlign w:val="center"/>
          </w:tcPr>
          <w:p w14:paraId="2538848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F3 □</w:t>
            </w:r>
          </w:p>
        </w:tc>
      </w:tr>
      <w:tr w14:paraId="58A2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7412393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067D4AC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5DA6373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1184" w:type="pct"/>
            <w:gridSpan w:val="8"/>
            <w:vAlign w:val="center"/>
          </w:tcPr>
          <w:p w14:paraId="41A42BC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环境敏感目标分级</w:t>
            </w:r>
          </w:p>
        </w:tc>
        <w:tc>
          <w:tcPr>
            <w:tcW w:w="696" w:type="pct"/>
            <w:gridSpan w:val="5"/>
            <w:vAlign w:val="center"/>
          </w:tcPr>
          <w:p w14:paraId="3E8FDD0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S1 □</w:t>
            </w:r>
          </w:p>
        </w:tc>
        <w:tc>
          <w:tcPr>
            <w:tcW w:w="651" w:type="pct"/>
            <w:gridSpan w:val="5"/>
            <w:vAlign w:val="center"/>
          </w:tcPr>
          <w:p w14:paraId="07D6101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S2 □</w:t>
            </w:r>
          </w:p>
        </w:tc>
        <w:tc>
          <w:tcPr>
            <w:tcW w:w="659" w:type="pct"/>
            <w:vAlign w:val="center"/>
          </w:tcPr>
          <w:p w14:paraId="02948AE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S3 □</w:t>
            </w:r>
          </w:p>
        </w:tc>
      </w:tr>
      <w:tr w14:paraId="07DE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75D8EAB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02EB166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09" w:type="pct"/>
            <w:vMerge w:val="restart"/>
            <w:vAlign w:val="center"/>
          </w:tcPr>
          <w:p w14:paraId="06B6102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地下水</w:t>
            </w:r>
          </w:p>
        </w:tc>
        <w:tc>
          <w:tcPr>
            <w:tcW w:w="1184" w:type="pct"/>
            <w:gridSpan w:val="8"/>
            <w:vAlign w:val="center"/>
          </w:tcPr>
          <w:p w14:paraId="27323A8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地下水功能敏感性</w:t>
            </w:r>
          </w:p>
        </w:tc>
        <w:tc>
          <w:tcPr>
            <w:tcW w:w="696" w:type="pct"/>
            <w:gridSpan w:val="5"/>
            <w:vAlign w:val="center"/>
          </w:tcPr>
          <w:p w14:paraId="145BF1D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G1 □</w:t>
            </w:r>
          </w:p>
        </w:tc>
        <w:tc>
          <w:tcPr>
            <w:tcW w:w="651" w:type="pct"/>
            <w:gridSpan w:val="5"/>
            <w:vAlign w:val="center"/>
          </w:tcPr>
          <w:p w14:paraId="0CC0A67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G2 □</w:t>
            </w:r>
          </w:p>
        </w:tc>
        <w:tc>
          <w:tcPr>
            <w:tcW w:w="659" w:type="pct"/>
            <w:vAlign w:val="center"/>
          </w:tcPr>
          <w:p w14:paraId="65DDF61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G3 □</w:t>
            </w:r>
          </w:p>
        </w:tc>
      </w:tr>
      <w:tr w14:paraId="59C4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50756A9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11E267C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37FE7CB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1184" w:type="pct"/>
            <w:gridSpan w:val="8"/>
            <w:vAlign w:val="center"/>
          </w:tcPr>
          <w:p w14:paraId="233AD71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包气带防污性能</w:t>
            </w:r>
          </w:p>
        </w:tc>
        <w:tc>
          <w:tcPr>
            <w:tcW w:w="696" w:type="pct"/>
            <w:gridSpan w:val="5"/>
            <w:vAlign w:val="center"/>
          </w:tcPr>
          <w:p w14:paraId="5B4ED92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D1 □</w:t>
            </w:r>
          </w:p>
        </w:tc>
        <w:tc>
          <w:tcPr>
            <w:tcW w:w="651" w:type="pct"/>
            <w:gridSpan w:val="5"/>
            <w:vAlign w:val="center"/>
          </w:tcPr>
          <w:p w14:paraId="73C2534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D2 □</w:t>
            </w:r>
          </w:p>
        </w:tc>
        <w:tc>
          <w:tcPr>
            <w:tcW w:w="659" w:type="pct"/>
            <w:vAlign w:val="center"/>
          </w:tcPr>
          <w:p w14:paraId="4BCB596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D3 □</w:t>
            </w:r>
          </w:p>
        </w:tc>
      </w:tr>
      <w:tr w14:paraId="1C2E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101" w:type="pct"/>
            <w:gridSpan w:val="2"/>
            <w:vMerge w:val="restart"/>
            <w:vAlign w:val="center"/>
          </w:tcPr>
          <w:p w14:paraId="7A8302A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物质及工艺系统</w:t>
            </w:r>
          </w:p>
          <w:p w14:paraId="23290A0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危险性</w:t>
            </w:r>
          </w:p>
        </w:tc>
        <w:tc>
          <w:tcPr>
            <w:tcW w:w="709" w:type="pct"/>
            <w:vAlign w:val="center"/>
          </w:tcPr>
          <w:p w14:paraId="2257452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Q值</w:t>
            </w:r>
          </w:p>
        </w:tc>
        <w:tc>
          <w:tcPr>
            <w:tcW w:w="856" w:type="pct"/>
            <w:gridSpan w:val="4"/>
            <w:vAlign w:val="center"/>
          </w:tcPr>
          <w:p w14:paraId="7A847D1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 xml:space="preserve">Q＜1 </w:t>
            </w:r>
            <w:r>
              <w:rPr>
                <w:rFonts w:hint="eastAsia"/>
                <w:color w:val="auto"/>
                <w:lang w:eastAsia="zh-CN"/>
              </w:rPr>
              <w:t>☑</w:t>
            </w:r>
          </w:p>
        </w:tc>
        <w:tc>
          <w:tcPr>
            <w:tcW w:w="756" w:type="pct"/>
            <w:gridSpan w:val="7"/>
            <w:vAlign w:val="center"/>
          </w:tcPr>
          <w:p w14:paraId="7F0BADF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1≤Q＜10</w:t>
            </w:r>
            <w:r>
              <w:rPr>
                <w:rFonts w:hint="eastAsia"/>
                <w:color w:val="auto"/>
                <w:lang w:eastAsia="zh-CN"/>
              </w:rPr>
              <w:t>□</w:t>
            </w:r>
            <w:r>
              <w:rPr>
                <w:color w:val="auto"/>
              </w:rPr>
              <w:t xml:space="preserve"> </w:t>
            </w:r>
          </w:p>
        </w:tc>
        <w:tc>
          <w:tcPr>
            <w:tcW w:w="919" w:type="pct"/>
            <w:gridSpan w:val="7"/>
            <w:vAlign w:val="center"/>
          </w:tcPr>
          <w:p w14:paraId="6EFE03C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10≤Q＜100 □</w:t>
            </w:r>
          </w:p>
        </w:tc>
        <w:tc>
          <w:tcPr>
            <w:tcW w:w="659" w:type="pct"/>
            <w:vAlign w:val="center"/>
          </w:tcPr>
          <w:p w14:paraId="0BB7509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Q＞100 □</w:t>
            </w:r>
          </w:p>
        </w:tc>
      </w:tr>
      <w:tr w14:paraId="4E83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gridSpan w:val="2"/>
            <w:vMerge w:val="continue"/>
            <w:vAlign w:val="center"/>
          </w:tcPr>
          <w:p w14:paraId="0647472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09" w:type="pct"/>
            <w:vAlign w:val="center"/>
          </w:tcPr>
          <w:p w14:paraId="475BD7C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M值</w:t>
            </w:r>
          </w:p>
        </w:tc>
        <w:tc>
          <w:tcPr>
            <w:tcW w:w="856" w:type="pct"/>
            <w:gridSpan w:val="4"/>
            <w:vAlign w:val="center"/>
          </w:tcPr>
          <w:p w14:paraId="3A38A56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M1 □</w:t>
            </w:r>
          </w:p>
        </w:tc>
        <w:tc>
          <w:tcPr>
            <w:tcW w:w="756" w:type="pct"/>
            <w:gridSpan w:val="7"/>
            <w:vAlign w:val="center"/>
          </w:tcPr>
          <w:p w14:paraId="66A72F5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M2 □</w:t>
            </w:r>
          </w:p>
        </w:tc>
        <w:tc>
          <w:tcPr>
            <w:tcW w:w="919" w:type="pct"/>
            <w:gridSpan w:val="7"/>
            <w:vAlign w:val="center"/>
          </w:tcPr>
          <w:p w14:paraId="640213D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M3 □</w:t>
            </w:r>
          </w:p>
        </w:tc>
        <w:tc>
          <w:tcPr>
            <w:tcW w:w="659" w:type="pct"/>
            <w:vAlign w:val="center"/>
          </w:tcPr>
          <w:p w14:paraId="183883F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M4 □</w:t>
            </w:r>
          </w:p>
        </w:tc>
      </w:tr>
      <w:tr w14:paraId="043F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gridSpan w:val="2"/>
            <w:vMerge w:val="continue"/>
            <w:vAlign w:val="center"/>
          </w:tcPr>
          <w:p w14:paraId="4FBFD99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09" w:type="pct"/>
            <w:vAlign w:val="center"/>
          </w:tcPr>
          <w:p w14:paraId="394B0A2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P值</w:t>
            </w:r>
          </w:p>
        </w:tc>
        <w:tc>
          <w:tcPr>
            <w:tcW w:w="856" w:type="pct"/>
            <w:gridSpan w:val="4"/>
            <w:vAlign w:val="center"/>
          </w:tcPr>
          <w:p w14:paraId="4A79F5C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P1 □</w:t>
            </w:r>
          </w:p>
        </w:tc>
        <w:tc>
          <w:tcPr>
            <w:tcW w:w="756" w:type="pct"/>
            <w:gridSpan w:val="7"/>
            <w:vAlign w:val="center"/>
          </w:tcPr>
          <w:p w14:paraId="3E99C1B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P2 □</w:t>
            </w:r>
          </w:p>
        </w:tc>
        <w:tc>
          <w:tcPr>
            <w:tcW w:w="919" w:type="pct"/>
            <w:gridSpan w:val="7"/>
            <w:vAlign w:val="center"/>
          </w:tcPr>
          <w:p w14:paraId="41DEDDC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P3 □</w:t>
            </w:r>
          </w:p>
        </w:tc>
        <w:tc>
          <w:tcPr>
            <w:tcW w:w="659" w:type="pct"/>
            <w:vAlign w:val="center"/>
          </w:tcPr>
          <w:p w14:paraId="11120ED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P4 □</w:t>
            </w:r>
          </w:p>
        </w:tc>
      </w:tr>
      <w:tr w14:paraId="3828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101" w:type="pct"/>
            <w:gridSpan w:val="2"/>
            <w:vMerge w:val="restart"/>
            <w:vAlign w:val="center"/>
          </w:tcPr>
          <w:p w14:paraId="09C94BA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环境敏感</w:t>
            </w:r>
          </w:p>
          <w:p w14:paraId="0A57FB4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程度</w:t>
            </w:r>
          </w:p>
        </w:tc>
        <w:tc>
          <w:tcPr>
            <w:tcW w:w="709" w:type="pct"/>
            <w:vAlign w:val="center"/>
          </w:tcPr>
          <w:p w14:paraId="6FE347B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大气</w:t>
            </w:r>
          </w:p>
        </w:tc>
        <w:tc>
          <w:tcPr>
            <w:tcW w:w="1115" w:type="pct"/>
            <w:gridSpan w:val="6"/>
            <w:vAlign w:val="center"/>
          </w:tcPr>
          <w:p w14:paraId="34211C3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E1 □</w:t>
            </w:r>
          </w:p>
        </w:tc>
        <w:tc>
          <w:tcPr>
            <w:tcW w:w="1036" w:type="pct"/>
            <w:gridSpan w:val="9"/>
            <w:vAlign w:val="center"/>
          </w:tcPr>
          <w:p w14:paraId="1A4E6F0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E2 □</w:t>
            </w:r>
          </w:p>
        </w:tc>
        <w:tc>
          <w:tcPr>
            <w:tcW w:w="1039" w:type="pct"/>
            <w:gridSpan w:val="4"/>
            <w:vAlign w:val="center"/>
          </w:tcPr>
          <w:p w14:paraId="1CB0D42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E3 □</w:t>
            </w:r>
          </w:p>
        </w:tc>
      </w:tr>
      <w:tr w14:paraId="4DCC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gridSpan w:val="2"/>
            <w:vMerge w:val="continue"/>
            <w:vAlign w:val="center"/>
          </w:tcPr>
          <w:p w14:paraId="73411AB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09" w:type="pct"/>
            <w:vAlign w:val="center"/>
          </w:tcPr>
          <w:p w14:paraId="267DC1C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地表水</w:t>
            </w:r>
          </w:p>
        </w:tc>
        <w:tc>
          <w:tcPr>
            <w:tcW w:w="1115" w:type="pct"/>
            <w:gridSpan w:val="6"/>
            <w:vAlign w:val="center"/>
          </w:tcPr>
          <w:p w14:paraId="2EC6D5B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E1 □</w:t>
            </w:r>
          </w:p>
        </w:tc>
        <w:tc>
          <w:tcPr>
            <w:tcW w:w="1036" w:type="pct"/>
            <w:gridSpan w:val="9"/>
            <w:vAlign w:val="center"/>
          </w:tcPr>
          <w:p w14:paraId="58287B9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E2 □</w:t>
            </w:r>
          </w:p>
        </w:tc>
        <w:tc>
          <w:tcPr>
            <w:tcW w:w="1039" w:type="pct"/>
            <w:gridSpan w:val="4"/>
            <w:vAlign w:val="center"/>
          </w:tcPr>
          <w:p w14:paraId="020460E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E3 □</w:t>
            </w:r>
          </w:p>
        </w:tc>
      </w:tr>
      <w:tr w14:paraId="6629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gridSpan w:val="2"/>
            <w:vMerge w:val="continue"/>
            <w:vAlign w:val="center"/>
          </w:tcPr>
          <w:p w14:paraId="69E35EE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09" w:type="pct"/>
            <w:vAlign w:val="center"/>
          </w:tcPr>
          <w:p w14:paraId="7DE13DE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地下水</w:t>
            </w:r>
          </w:p>
        </w:tc>
        <w:tc>
          <w:tcPr>
            <w:tcW w:w="1115" w:type="pct"/>
            <w:gridSpan w:val="6"/>
            <w:vAlign w:val="center"/>
          </w:tcPr>
          <w:p w14:paraId="6A41DEA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E1 □</w:t>
            </w:r>
          </w:p>
        </w:tc>
        <w:tc>
          <w:tcPr>
            <w:tcW w:w="1036" w:type="pct"/>
            <w:gridSpan w:val="9"/>
            <w:vAlign w:val="center"/>
          </w:tcPr>
          <w:p w14:paraId="7B56D36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E2 □</w:t>
            </w:r>
          </w:p>
        </w:tc>
        <w:tc>
          <w:tcPr>
            <w:tcW w:w="1039" w:type="pct"/>
            <w:gridSpan w:val="4"/>
            <w:vAlign w:val="center"/>
          </w:tcPr>
          <w:p w14:paraId="65D996A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E3 □</w:t>
            </w:r>
          </w:p>
        </w:tc>
      </w:tr>
      <w:tr w14:paraId="3BBE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101" w:type="pct"/>
            <w:gridSpan w:val="2"/>
            <w:vAlign w:val="center"/>
          </w:tcPr>
          <w:p w14:paraId="3CD05F8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环境风险潜势</w:t>
            </w:r>
          </w:p>
        </w:tc>
        <w:tc>
          <w:tcPr>
            <w:tcW w:w="959" w:type="pct"/>
            <w:gridSpan w:val="2"/>
            <w:vAlign w:val="center"/>
          </w:tcPr>
          <w:p w14:paraId="34A34A1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Ⅳ+ □</w:t>
            </w:r>
          </w:p>
        </w:tc>
        <w:tc>
          <w:tcPr>
            <w:tcW w:w="733" w:type="pct"/>
            <w:gridSpan w:val="4"/>
            <w:vAlign w:val="center"/>
          </w:tcPr>
          <w:p w14:paraId="3581DFF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Ⅳ □</w:t>
            </w:r>
          </w:p>
        </w:tc>
        <w:tc>
          <w:tcPr>
            <w:tcW w:w="733" w:type="pct"/>
            <w:gridSpan w:val="7"/>
            <w:vAlign w:val="center"/>
          </w:tcPr>
          <w:p w14:paraId="2157F8B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Ⅲ□</w:t>
            </w:r>
          </w:p>
        </w:tc>
        <w:tc>
          <w:tcPr>
            <w:tcW w:w="733" w:type="pct"/>
            <w:gridSpan w:val="5"/>
            <w:vAlign w:val="center"/>
          </w:tcPr>
          <w:p w14:paraId="22E4E8E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Ⅱ□</w:t>
            </w:r>
          </w:p>
        </w:tc>
        <w:tc>
          <w:tcPr>
            <w:tcW w:w="741" w:type="pct"/>
            <w:gridSpan w:val="2"/>
            <w:vAlign w:val="center"/>
          </w:tcPr>
          <w:p w14:paraId="5F532D2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 xml:space="preserve">I </w:t>
            </w:r>
            <w:r>
              <w:rPr>
                <w:rFonts w:hint="eastAsia"/>
                <w:color w:val="auto"/>
                <w:lang w:eastAsia="zh-CN"/>
              </w:rPr>
              <w:t>☑</w:t>
            </w:r>
          </w:p>
        </w:tc>
      </w:tr>
      <w:tr w14:paraId="65BA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101" w:type="pct"/>
            <w:gridSpan w:val="2"/>
            <w:vAlign w:val="center"/>
          </w:tcPr>
          <w:p w14:paraId="460B827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评价等级</w:t>
            </w:r>
          </w:p>
        </w:tc>
        <w:tc>
          <w:tcPr>
            <w:tcW w:w="1247" w:type="pct"/>
            <w:gridSpan w:val="3"/>
            <w:vAlign w:val="center"/>
          </w:tcPr>
          <w:p w14:paraId="3DB4574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一级 □</w:t>
            </w:r>
          </w:p>
        </w:tc>
        <w:tc>
          <w:tcPr>
            <w:tcW w:w="814" w:type="pct"/>
            <w:gridSpan w:val="7"/>
            <w:vAlign w:val="center"/>
          </w:tcPr>
          <w:p w14:paraId="661A434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二级 □</w:t>
            </w:r>
          </w:p>
        </w:tc>
        <w:tc>
          <w:tcPr>
            <w:tcW w:w="918" w:type="pct"/>
            <w:gridSpan w:val="7"/>
            <w:vAlign w:val="center"/>
          </w:tcPr>
          <w:p w14:paraId="6AA3AED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三级 □</w:t>
            </w:r>
          </w:p>
        </w:tc>
        <w:tc>
          <w:tcPr>
            <w:tcW w:w="920" w:type="pct"/>
            <w:gridSpan w:val="3"/>
            <w:vAlign w:val="center"/>
          </w:tcPr>
          <w:p w14:paraId="47C991C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 xml:space="preserve">简单分析 </w:t>
            </w:r>
            <w:r>
              <w:rPr>
                <w:rFonts w:hint="eastAsia"/>
                <w:color w:val="auto"/>
                <w:lang w:eastAsia="zh-CN"/>
              </w:rPr>
              <w:t>☑</w:t>
            </w:r>
          </w:p>
        </w:tc>
      </w:tr>
      <w:tr w14:paraId="62C2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3" w:type="pct"/>
            <w:vMerge w:val="restart"/>
            <w:vAlign w:val="center"/>
          </w:tcPr>
          <w:p w14:paraId="1C8846B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风险识别</w:t>
            </w:r>
          </w:p>
        </w:tc>
        <w:tc>
          <w:tcPr>
            <w:tcW w:w="728" w:type="pct"/>
            <w:vAlign w:val="center"/>
          </w:tcPr>
          <w:p w14:paraId="0808012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物质危险性</w:t>
            </w:r>
          </w:p>
        </w:tc>
        <w:tc>
          <w:tcPr>
            <w:tcW w:w="2061" w:type="pct"/>
            <w:gridSpan w:val="10"/>
            <w:vAlign w:val="center"/>
          </w:tcPr>
          <w:p w14:paraId="0505CEF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有毒有害 □</w:t>
            </w:r>
          </w:p>
        </w:tc>
        <w:tc>
          <w:tcPr>
            <w:tcW w:w="1838" w:type="pct"/>
            <w:gridSpan w:val="10"/>
            <w:vAlign w:val="center"/>
          </w:tcPr>
          <w:p w14:paraId="2BACB28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 xml:space="preserve">易燃易爆 </w:t>
            </w:r>
            <w:r>
              <w:rPr>
                <w:rFonts w:hint="eastAsia"/>
                <w:color w:val="auto"/>
                <w:lang w:eastAsia="zh-CN"/>
              </w:rPr>
              <w:t>☑</w:t>
            </w:r>
          </w:p>
        </w:tc>
      </w:tr>
      <w:tr w14:paraId="63AA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7A85C57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28" w:type="pct"/>
            <w:vAlign w:val="center"/>
          </w:tcPr>
          <w:p w14:paraId="49B530A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环境风险类型</w:t>
            </w:r>
          </w:p>
        </w:tc>
        <w:tc>
          <w:tcPr>
            <w:tcW w:w="2061" w:type="pct"/>
            <w:gridSpan w:val="10"/>
            <w:vAlign w:val="center"/>
          </w:tcPr>
          <w:p w14:paraId="3D2634A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 xml:space="preserve">泄漏 </w:t>
            </w:r>
            <w:r>
              <w:rPr>
                <w:rFonts w:hint="eastAsia"/>
                <w:color w:val="auto"/>
                <w:lang w:eastAsia="zh-CN"/>
              </w:rPr>
              <w:t>☑</w:t>
            </w:r>
          </w:p>
        </w:tc>
        <w:tc>
          <w:tcPr>
            <w:tcW w:w="1838" w:type="pct"/>
            <w:gridSpan w:val="10"/>
            <w:vAlign w:val="center"/>
          </w:tcPr>
          <w:p w14:paraId="16B6869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 xml:space="preserve">火灾、爆炸引发伴生/次生污染物排放 </w:t>
            </w:r>
            <w:r>
              <w:rPr>
                <w:rFonts w:hint="eastAsia"/>
                <w:color w:val="auto"/>
                <w:lang w:eastAsia="zh-CN"/>
              </w:rPr>
              <w:t>☑</w:t>
            </w:r>
          </w:p>
        </w:tc>
      </w:tr>
      <w:tr w14:paraId="2628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480C328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28" w:type="pct"/>
            <w:vAlign w:val="center"/>
          </w:tcPr>
          <w:p w14:paraId="2949FE1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影响途径</w:t>
            </w:r>
          </w:p>
        </w:tc>
        <w:tc>
          <w:tcPr>
            <w:tcW w:w="1449" w:type="pct"/>
            <w:gridSpan w:val="4"/>
            <w:vAlign w:val="center"/>
          </w:tcPr>
          <w:p w14:paraId="4BCFC39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大气</w:t>
            </w:r>
            <w:r>
              <w:rPr>
                <w:rFonts w:hint="eastAsia"/>
                <w:color w:val="auto"/>
                <w:lang w:eastAsia="zh-CN"/>
              </w:rPr>
              <w:t>☑</w:t>
            </w:r>
          </w:p>
        </w:tc>
        <w:tc>
          <w:tcPr>
            <w:tcW w:w="1222" w:type="pct"/>
            <w:gridSpan w:val="11"/>
            <w:vAlign w:val="center"/>
          </w:tcPr>
          <w:p w14:paraId="50B3673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地表水</w:t>
            </w:r>
            <w:r>
              <w:rPr>
                <w:rFonts w:hint="eastAsia"/>
                <w:color w:val="auto"/>
                <w:lang w:eastAsia="zh-CN"/>
              </w:rPr>
              <w:t>□</w:t>
            </w:r>
          </w:p>
        </w:tc>
        <w:tc>
          <w:tcPr>
            <w:tcW w:w="1228" w:type="pct"/>
            <w:gridSpan w:val="5"/>
            <w:vAlign w:val="center"/>
          </w:tcPr>
          <w:p w14:paraId="08F72BA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地下水</w:t>
            </w:r>
            <w:r>
              <w:rPr>
                <w:rFonts w:hint="eastAsia"/>
                <w:color w:val="auto"/>
                <w:lang w:eastAsia="zh-CN"/>
              </w:rPr>
              <w:t>☑</w:t>
            </w:r>
          </w:p>
        </w:tc>
      </w:tr>
      <w:tr w14:paraId="08C0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101" w:type="pct"/>
            <w:gridSpan w:val="2"/>
            <w:vAlign w:val="center"/>
          </w:tcPr>
          <w:p w14:paraId="221E76A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 xml:space="preserve">事故情形分析 </w:t>
            </w:r>
          </w:p>
        </w:tc>
        <w:tc>
          <w:tcPr>
            <w:tcW w:w="1247" w:type="pct"/>
            <w:gridSpan w:val="3"/>
            <w:vAlign w:val="center"/>
          </w:tcPr>
          <w:p w14:paraId="6D6DB40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源强设定方法□</w:t>
            </w:r>
          </w:p>
        </w:tc>
        <w:tc>
          <w:tcPr>
            <w:tcW w:w="814" w:type="pct"/>
            <w:gridSpan w:val="7"/>
            <w:vAlign w:val="center"/>
          </w:tcPr>
          <w:p w14:paraId="4FDC2CD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计算法 □</w:t>
            </w:r>
          </w:p>
        </w:tc>
        <w:tc>
          <w:tcPr>
            <w:tcW w:w="918" w:type="pct"/>
            <w:gridSpan w:val="7"/>
            <w:vAlign w:val="center"/>
          </w:tcPr>
          <w:p w14:paraId="646FA84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经验估算法 □</w:t>
            </w:r>
          </w:p>
        </w:tc>
        <w:tc>
          <w:tcPr>
            <w:tcW w:w="920" w:type="pct"/>
            <w:gridSpan w:val="3"/>
            <w:vAlign w:val="center"/>
          </w:tcPr>
          <w:p w14:paraId="674DCAD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其他估算法 □</w:t>
            </w:r>
          </w:p>
        </w:tc>
      </w:tr>
      <w:tr w14:paraId="28FF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3" w:type="pct"/>
            <w:vMerge w:val="restart"/>
            <w:vAlign w:val="center"/>
          </w:tcPr>
          <w:p w14:paraId="4544693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风险预测与评价</w:t>
            </w:r>
          </w:p>
        </w:tc>
        <w:tc>
          <w:tcPr>
            <w:tcW w:w="728" w:type="pct"/>
            <w:vMerge w:val="restart"/>
            <w:vAlign w:val="center"/>
          </w:tcPr>
          <w:p w14:paraId="7F52735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大气</w:t>
            </w:r>
          </w:p>
        </w:tc>
        <w:tc>
          <w:tcPr>
            <w:tcW w:w="1247" w:type="pct"/>
            <w:gridSpan w:val="3"/>
            <w:vAlign w:val="center"/>
          </w:tcPr>
          <w:p w14:paraId="02DD29A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预测模型</w:t>
            </w:r>
          </w:p>
        </w:tc>
        <w:tc>
          <w:tcPr>
            <w:tcW w:w="814" w:type="pct"/>
            <w:gridSpan w:val="7"/>
            <w:vAlign w:val="center"/>
          </w:tcPr>
          <w:p w14:paraId="25F0295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SLAB □</w:t>
            </w:r>
          </w:p>
        </w:tc>
        <w:tc>
          <w:tcPr>
            <w:tcW w:w="918" w:type="pct"/>
            <w:gridSpan w:val="7"/>
            <w:vAlign w:val="center"/>
          </w:tcPr>
          <w:p w14:paraId="00EC16E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AFTOX □</w:t>
            </w:r>
          </w:p>
        </w:tc>
        <w:tc>
          <w:tcPr>
            <w:tcW w:w="920" w:type="pct"/>
            <w:gridSpan w:val="3"/>
            <w:vAlign w:val="center"/>
          </w:tcPr>
          <w:p w14:paraId="08536DD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其他 □</w:t>
            </w:r>
          </w:p>
        </w:tc>
      </w:tr>
      <w:tr w14:paraId="7FAB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4A49744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76D6451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1247" w:type="pct"/>
            <w:gridSpan w:val="3"/>
            <w:vMerge w:val="restart"/>
            <w:vAlign w:val="center"/>
          </w:tcPr>
          <w:p w14:paraId="034B6EE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预测结果</w:t>
            </w:r>
          </w:p>
        </w:tc>
        <w:tc>
          <w:tcPr>
            <w:tcW w:w="2652" w:type="pct"/>
            <w:gridSpan w:val="17"/>
            <w:vAlign w:val="center"/>
          </w:tcPr>
          <w:p w14:paraId="509E905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大气毒性终点浓度-1 最大影响范围     m</w:t>
            </w:r>
          </w:p>
        </w:tc>
      </w:tr>
      <w:tr w14:paraId="1F7B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1AEFB4A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5209B63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gridSpan w:val="3"/>
            <w:vMerge w:val="continue"/>
            <w:vAlign w:val="center"/>
          </w:tcPr>
          <w:p w14:paraId="17C6CEE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2652" w:type="pct"/>
            <w:gridSpan w:val="17"/>
            <w:vAlign w:val="center"/>
          </w:tcPr>
          <w:p w14:paraId="18764A6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大气毒性终点浓度-2 最大影响范围     m</w:t>
            </w:r>
          </w:p>
        </w:tc>
      </w:tr>
      <w:tr w14:paraId="475E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088D187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28" w:type="pct"/>
            <w:vAlign w:val="center"/>
          </w:tcPr>
          <w:p w14:paraId="25D9689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地表水</w:t>
            </w:r>
          </w:p>
        </w:tc>
        <w:tc>
          <w:tcPr>
            <w:tcW w:w="3899" w:type="pct"/>
            <w:gridSpan w:val="20"/>
            <w:vAlign w:val="center"/>
          </w:tcPr>
          <w:p w14:paraId="014557A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最近环境敏感目标   ，到达时间      h</w:t>
            </w:r>
          </w:p>
        </w:tc>
      </w:tr>
      <w:tr w14:paraId="3710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0CE16D2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728" w:type="pct"/>
            <w:vMerge w:val="restart"/>
            <w:vAlign w:val="center"/>
          </w:tcPr>
          <w:p w14:paraId="1A287C4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地下水</w:t>
            </w:r>
          </w:p>
        </w:tc>
        <w:tc>
          <w:tcPr>
            <w:tcW w:w="3899" w:type="pct"/>
            <w:gridSpan w:val="20"/>
            <w:vAlign w:val="center"/>
          </w:tcPr>
          <w:p w14:paraId="0D3D4ED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下游厂区边界到达时间      d</w:t>
            </w:r>
          </w:p>
        </w:tc>
      </w:tr>
      <w:tr w14:paraId="1DB9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0" w:type="auto"/>
            <w:vMerge w:val="continue"/>
            <w:vAlign w:val="center"/>
          </w:tcPr>
          <w:p w14:paraId="6A1CE8A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0" w:type="auto"/>
            <w:vMerge w:val="continue"/>
            <w:vAlign w:val="center"/>
          </w:tcPr>
          <w:p w14:paraId="373A1C1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3899" w:type="pct"/>
            <w:gridSpan w:val="20"/>
            <w:vAlign w:val="center"/>
          </w:tcPr>
          <w:p w14:paraId="23BEBBE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最近环境敏感目标      ，到达时间      d</w:t>
            </w:r>
          </w:p>
        </w:tc>
      </w:tr>
      <w:tr w14:paraId="1017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101" w:type="pct"/>
            <w:gridSpan w:val="2"/>
            <w:vAlign w:val="center"/>
          </w:tcPr>
          <w:p w14:paraId="1D0AEC4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重点风险防范措施</w:t>
            </w:r>
          </w:p>
        </w:tc>
        <w:tc>
          <w:tcPr>
            <w:tcW w:w="3899" w:type="pct"/>
            <w:gridSpan w:val="20"/>
            <w:vAlign w:val="center"/>
          </w:tcPr>
          <w:p w14:paraId="5B5B9F5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通过制定并落实切实可行的事故防范措施和应急预案，将事故风险降到最低限度。</w:t>
            </w:r>
          </w:p>
        </w:tc>
      </w:tr>
      <w:tr w14:paraId="4D8F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101" w:type="pct"/>
            <w:gridSpan w:val="2"/>
            <w:vAlign w:val="center"/>
          </w:tcPr>
          <w:p w14:paraId="2BDA511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评价结论与建议</w:t>
            </w:r>
          </w:p>
        </w:tc>
        <w:tc>
          <w:tcPr>
            <w:tcW w:w="3899" w:type="pct"/>
            <w:gridSpan w:val="20"/>
            <w:vAlign w:val="center"/>
          </w:tcPr>
          <w:p w14:paraId="5E14FBB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风险程度可以接受</w:t>
            </w:r>
          </w:p>
        </w:tc>
      </w:tr>
    </w:tbl>
    <w:p w14:paraId="1C2A9BA2">
      <w:pPr>
        <w:pStyle w:val="5"/>
        <w:bidi w:val="0"/>
        <w:rPr>
          <w:rFonts w:hint="default"/>
          <w:color w:val="auto"/>
          <w:lang w:val="en-US" w:eastAsia="zh-CN"/>
        </w:rPr>
      </w:pPr>
      <w:r>
        <w:rPr>
          <w:rFonts w:hint="eastAsia"/>
          <w:color w:val="auto"/>
          <w:lang w:val="en-US" w:eastAsia="zh-CN"/>
        </w:rPr>
        <w:t>5.4.6环境风险评价</w:t>
      </w:r>
    </w:p>
    <w:p w14:paraId="2F8CDFA3">
      <w:pPr>
        <w:pStyle w:val="33"/>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本项目涉及的主要危险物质为原油及伴生气，环境风险事故类型主要为井喷、原油管道泄漏。通过采取可靠的安全防范措施、规范的设计和严格正确的操作，能有效</w:t>
      </w:r>
      <w:r>
        <w:rPr>
          <w:rFonts w:hint="eastAsia" w:cs="Times New Roman"/>
          <w:color w:val="auto"/>
          <w:lang w:val="en-US" w:eastAsia="zh-CN"/>
        </w:rPr>
        <w:t>地</w:t>
      </w:r>
      <w:r>
        <w:rPr>
          <w:rFonts w:ascii="Times New Roman" w:hAnsi="Times New Roman" w:eastAsia="宋体" w:cs="Times New Roman"/>
          <w:color w:val="auto"/>
          <w:lang w:val="en-US" w:eastAsia="zh-CN"/>
        </w:rPr>
        <w:t>防止</w:t>
      </w:r>
      <w:r>
        <w:rPr>
          <w:rFonts w:hint="eastAsia" w:cs="Times New Roman"/>
          <w:color w:val="auto"/>
          <w:lang w:val="en-US" w:eastAsia="zh-CN"/>
        </w:rPr>
        <w:t>泄漏</w:t>
      </w:r>
      <w:r>
        <w:rPr>
          <w:rFonts w:ascii="Times New Roman" w:hAnsi="Times New Roman" w:eastAsia="宋体" w:cs="Times New Roman"/>
          <w:color w:val="auto"/>
          <w:lang w:val="en-US" w:eastAsia="zh-CN"/>
        </w:rPr>
        <w:t>、火灾、爆炸等事故的发生，一旦发生事故，依靠装置内的安全防护设施和事故应急措施也能及时控制事故，防止事故的蔓延，减少事故带来的人员伤亡、财产损失和环境影响，项目风险水平可以接受。项目在满足环评提出的各项要求前提下，切实落实各项安全管理措施，发生事故的可能将进一步降低，项目选址和建设从环境风险角度考虑是可以接受的。</w:t>
      </w:r>
    </w:p>
    <w:p w14:paraId="4C16881C">
      <w:pPr>
        <w:pStyle w:val="33"/>
        <w:bidi w:val="0"/>
        <w:rPr>
          <w:color w:val="auto"/>
          <w:lang w:val="en-US" w:eastAsia="zh-CN"/>
        </w:rPr>
      </w:pPr>
      <w:r>
        <w:rPr>
          <w:color w:val="auto"/>
          <w:lang w:val="en-US" w:eastAsia="zh-CN"/>
        </w:rPr>
        <w:t>本项目环境风险简单分析内容表见</w:t>
      </w:r>
      <w:r>
        <w:rPr>
          <w:color w:val="auto"/>
          <w:lang w:val="en-US" w:eastAsia="zh-CN"/>
        </w:rPr>
        <w:fldChar w:fldCharType="begin"/>
      </w:r>
      <w:r>
        <w:rPr>
          <w:color w:val="auto"/>
          <w:lang w:val="en-US" w:eastAsia="zh-CN"/>
        </w:rPr>
        <w:instrText xml:space="preserve"> REF _Ref107034046 \h  \* MERGEFORMAT </w:instrText>
      </w:r>
      <w:r>
        <w:rPr>
          <w:color w:val="auto"/>
          <w:lang w:val="en-US" w:eastAsia="zh-CN"/>
        </w:rPr>
        <w:fldChar w:fldCharType="separate"/>
      </w:r>
      <w:r>
        <w:rPr>
          <w:color w:val="auto"/>
          <w:lang w:val="en-US" w:eastAsia="zh-CN"/>
        </w:rPr>
        <w:t>表</w:t>
      </w:r>
      <w:r>
        <w:rPr>
          <w:rFonts w:hint="eastAsia"/>
          <w:color w:val="auto"/>
          <w:lang w:val="en-US" w:eastAsia="zh-CN"/>
        </w:rPr>
        <w:t>5</w:t>
      </w:r>
      <w:r>
        <w:rPr>
          <w:color w:val="auto"/>
          <w:lang w:val="en-US" w:eastAsia="zh-CN"/>
        </w:rPr>
        <w:fldChar w:fldCharType="end"/>
      </w:r>
      <w:r>
        <w:rPr>
          <w:rFonts w:hint="eastAsia"/>
          <w:color w:val="auto"/>
          <w:lang w:val="en-US" w:eastAsia="zh-CN"/>
        </w:rPr>
        <w:t>.4-8</w:t>
      </w:r>
      <w:r>
        <w:rPr>
          <w:color w:val="auto"/>
          <w:lang w:val="en-US" w:eastAsia="zh-CN"/>
        </w:rPr>
        <w:t>。</w:t>
      </w:r>
    </w:p>
    <w:p w14:paraId="7E0E860A">
      <w:pPr>
        <w:pStyle w:val="43"/>
        <w:bidi w:val="0"/>
        <w:rPr>
          <w:rFonts w:cs="Times New Roman"/>
          <w:color w:val="auto"/>
        </w:rPr>
      </w:pPr>
      <w:bookmarkStart w:id="277" w:name="_Ref107034046"/>
      <w:r>
        <w:rPr>
          <w:rFonts w:cs="Times New Roman"/>
          <w:color w:val="auto"/>
        </w:rPr>
        <w:t>表</w:t>
      </w:r>
      <w:bookmarkEnd w:id="277"/>
      <w:r>
        <w:rPr>
          <w:rFonts w:hint="eastAsia" w:cs="Times New Roman"/>
          <w:color w:val="auto"/>
          <w:lang w:val="en-US" w:eastAsia="zh-CN"/>
        </w:rPr>
        <w:t>5.4-8</w:t>
      </w:r>
      <w:r>
        <w:rPr>
          <w:rFonts w:cs="Times New Roman"/>
          <w:color w:val="auto"/>
        </w:rPr>
        <w:t xml:space="preserve">  项目环境风险简单分析内容表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1657"/>
        <w:gridCol w:w="1609"/>
        <w:gridCol w:w="1829"/>
        <w:gridCol w:w="1854"/>
      </w:tblGrid>
      <w:tr w14:paraId="4CEF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7" w:type="pct"/>
            <w:tcBorders>
              <w:top w:val="single" w:color="auto" w:sz="4" w:space="0"/>
              <w:left w:val="single" w:color="auto" w:sz="4" w:space="0"/>
              <w:bottom w:val="single" w:color="auto" w:sz="4" w:space="0"/>
              <w:right w:val="single" w:color="auto" w:sz="4" w:space="0"/>
            </w:tcBorders>
            <w:vAlign w:val="center"/>
          </w:tcPr>
          <w:p w14:paraId="4B01A28A">
            <w:pPr>
              <w:pStyle w:val="44"/>
              <w:bidi w:val="0"/>
              <w:rPr>
                <w:color w:val="auto"/>
              </w:rPr>
            </w:pPr>
            <w:r>
              <w:rPr>
                <w:color w:val="auto"/>
              </w:rPr>
              <w:t>建设项目名称</w:t>
            </w:r>
          </w:p>
        </w:tc>
        <w:tc>
          <w:tcPr>
            <w:tcW w:w="3882" w:type="pct"/>
            <w:gridSpan w:val="4"/>
            <w:tcBorders>
              <w:top w:val="single" w:color="auto" w:sz="4" w:space="0"/>
              <w:left w:val="single" w:color="auto" w:sz="4" w:space="0"/>
              <w:bottom w:val="single" w:color="auto" w:sz="4" w:space="0"/>
              <w:right w:val="single" w:color="auto" w:sz="4" w:space="0"/>
            </w:tcBorders>
            <w:vAlign w:val="center"/>
          </w:tcPr>
          <w:p w14:paraId="4B80FAE6">
            <w:pPr>
              <w:pStyle w:val="44"/>
              <w:bidi w:val="0"/>
              <w:rPr>
                <w:rFonts w:hint="default" w:eastAsia="宋体"/>
                <w:color w:val="auto"/>
                <w:lang w:val="en-US" w:eastAsia="zh-CN"/>
              </w:rPr>
            </w:pPr>
            <w:r>
              <w:rPr>
                <w:rFonts w:hint="eastAsia"/>
                <w:color w:val="auto"/>
                <w:lang w:val="en-US" w:eastAsia="zh-CN"/>
              </w:rPr>
              <w:t>百口泉采油厂单罐井治理工程</w:t>
            </w:r>
          </w:p>
        </w:tc>
      </w:tr>
      <w:tr w14:paraId="62F4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7" w:type="pct"/>
            <w:tcBorders>
              <w:top w:val="single" w:color="auto" w:sz="4" w:space="0"/>
              <w:left w:val="single" w:color="auto" w:sz="4" w:space="0"/>
              <w:bottom w:val="single" w:color="auto" w:sz="4" w:space="0"/>
              <w:right w:val="single" w:color="auto" w:sz="4" w:space="0"/>
            </w:tcBorders>
            <w:vAlign w:val="center"/>
          </w:tcPr>
          <w:p w14:paraId="2A46E34A">
            <w:pPr>
              <w:pStyle w:val="44"/>
              <w:bidi w:val="0"/>
              <w:rPr>
                <w:color w:val="auto"/>
              </w:rPr>
            </w:pPr>
            <w:r>
              <w:rPr>
                <w:color w:val="auto"/>
              </w:rPr>
              <w:t>建设地点</w:t>
            </w:r>
          </w:p>
        </w:tc>
        <w:tc>
          <w:tcPr>
            <w:tcW w:w="925" w:type="pct"/>
            <w:tcBorders>
              <w:top w:val="single" w:color="auto" w:sz="4" w:space="0"/>
              <w:left w:val="single" w:color="auto" w:sz="4" w:space="0"/>
              <w:bottom w:val="single" w:color="auto" w:sz="4" w:space="0"/>
              <w:right w:val="single" w:color="auto" w:sz="4" w:space="0"/>
            </w:tcBorders>
            <w:vAlign w:val="center"/>
          </w:tcPr>
          <w:p w14:paraId="3A96DAD9">
            <w:pPr>
              <w:pStyle w:val="44"/>
              <w:bidi w:val="0"/>
              <w:rPr>
                <w:rFonts w:hint="default" w:eastAsia="宋体"/>
                <w:color w:val="auto"/>
                <w:lang w:val="en-US" w:eastAsia="zh-CN"/>
              </w:rPr>
            </w:pPr>
            <w:r>
              <w:rPr>
                <w:rFonts w:hint="eastAsia"/>
                <w:color w:val="auto"/>
                <w:lang w:val="en-US" w:eastAsia="zh-CN"/>
              </w:rPr>
              <w:t>新疆维吾尔自治区</w:t>
            </w:r>
          </w:p>
        </w:tc>
        <w:tc>
          <w:tcPr>
            <w:tcW w:w="899" w:type="pct"/>
            <w:tcBorders>
              <w:top w:val="single" w:color="auto" w:sz="4" w:space="0"/>
              <w:left w:val="single" w:color="auto" w:sz="4" w:space="0"/>
              <w:bottom w:val="single" w:color="auto" w:sz="4" w:space="0"/>
              <w:right w:val="single" w:color="auto" w:sz="4" w:space="0"/>
            </w:tcBorders>
            <w:vAlign w:val="center"/>
          </w:tcPr>
          <w:p w14:paraId="4FF37F7B">
            <w:pPr>
              <w:pStyle w:val="44"/>
              <w:bidi w:val="0"/>
              <w:rPr>
                <w:rFonts w:hint="default" w:eastAsia="宋体"/>
                <w:color w:val="auto"/>
                <w:lang w:val="en-US" w:eastAsia="zh-CN"/>
              </w:rPr>
            </w:pPr>
            <w:r>
              <w:rPr>
                <w:rFonts w:hint="eastAsia"/>
                <w:color w:val="auto"/>
                <w:lang w:val="en-US" w:eastAsia="zh-CN"/>
              </w:rPr>
              <w:t>克拉玛依市、塔城地区</w:t>
            </w:r>
          </w:p>
        </w:tc>
        <w:tc>
          <w:tcPr>
            <w:tcW w:w="2058" w:type="pct"/>
            <w:gridSpan w:val="2"/>
            <w:tcBorders>
              <w:top w:val="single" w:color="auto" w:sz="4" w:space="0"/>
              <w:left w:val="single" w:color="auto" w:sz="4" w:space="0"/>
              <w:bottom w:val="single" w:color="auto" w:sz="4" w:space="0"/>
              <w:right w:val="single" w:color="auto" w:sz="4" w:space="0"/>
            </w:tcBorders>
            <w:vAlign w:val="center"/>
          </w:tcPr>
          <w:p w14:paraId="394E3D97">
            <w:pPr>
              <w:pStyle w:val="44"/>
              <w:bidi w:val="0"/>
              <w:rPr>
                <w:color w:val="auto"/>
              </w:rPr>
            </w:pPr>
            <w:r>
              <w:rPr>
                <w:rFonts w:hint="eastAsia"/>
                <w:color w:val="auto"/>
                <w:lang w:val="en-US" w:eastAsia="zh-CN"/>
              </w:rPr>
              <w:t>乌尔禾</w:t>
            </w:r>
            <w:r>
              <w:rPr>
                <w:color w:val="auto"/>
              </w:rPr>
              <w:t>区</w:t>
            </w:r>
            <w:r>
              <w:rPr>
                <w:rFonts w:hint="eastAsia"/>
                <w:color w:val="auto"/>
                <w:lang w:val="en-US" w:eastAsia="zh-CN"/>
              </w:rPr>
              <w:t>、和布克赛尔蒙古自治</w:t>
            </w:r>
            <w:r>
              <w:rPr>
                <w:color w:val="auto"/>
              </w:rPr>
              <w:t>县</w:t>
            </w:r>
          </w:p>
        </w:tc>
      </w:tr>
      <w:tr w14:paraId="7C41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7" w:type="pct"/>
            <w:tcBorders>
              <w:top w:val="single" w:color="auto" w:sz="4" w:space="0"/>
              <w:left w:val="single" w:color="auto" w:sz="4" w:space="0"/>
              <w:bottom w:val="single" w:color="auto" w:sz="4" w:space="0"/>
              <w:right w:val="single" w:color="auto" w:sz="4" w:space="0"/>
            </w:tcBorders>
            <w:vAlign w:val="center"/>
          </w:tcPr>
          <w:p w14:paraId="6EA39C81">
            <w:pPr>
              <w:pStyle w:val="44"/>
              <w:bidi w:val="0"/>
              <w:rPr>
                <w:color w:val="auto"/>
              </w:rPr>
            </w:pPr>
            <w:r>
              <w:rPr>
                <w:color w:val="auto"/>
              </w:rPr>
              <w:t>地理坐标</w:t>
            </w:r>
          </w:p>
        </w:tc>
        <w:tc>
          <w:tcPr>
            <w:tcW w:w="925" w:type="pct"/>
            <w:tcBorders>
              <w:top w:val="single" w:color="auto" w:sz="4" w:space="0"/>
              <w:left w:val="single" w:color="auto" w:sz="4" w:space="0"/>
              <w:bottom w:val="single" w:color="auto" w:sz="4" w:space="0"/>
              <w:right w:val="single" w:color="auto" w:sz="4" w:space="0"/>
            </w:tcBorders>
            <w:vAlign w:val="center"/>
          </w:tcPr>
          <w:p w14:paraId="40A97943">
            <w:pPr>
              <w:pStyle w:val="44"/>
              <w:bidi w:val="0"/>
              <w:rPr>
                <w:color w:val="auto"/>
              </w:rPr>
            </w:pPr>
            <w:r>
              <w:rPr>
                <w:color w:val="auto"/>
              </w:rPr>
              <w:t>经度</w:t>
            </w:r>
          </w:p>
        </w:tc>
        <w:tc>
          <w:tcPr>
            <w:tcW w:w="899" w:type="pct"/>
            <w:tcBorders>
              <w:top w:val="single" w:color="auto" w:sz="4" w:space="0"/>
              <w:left w:val="single" w:color="auto" w:sz="4" w:space="0"/>
              <w:bottom w:val="single" w:color="auto" w:sz="4" w:space="0"/>
              <w:right w:val="single" w:color="auto" w:sz="4" w:space="0"/>
            </w:tcBorders>
            <w:vAlign w:val="center"/>
          </w:tcPr>
          <w:p w14:paraId="79F3BB87">
            <w:pPr>
              <w:pStyle w:val="44"/>
              <w:bidi w:val="0"/>
              <w:rPr>
                <w:rFonts w:hint="default" w:ascii="Times New Roman" w:hAnsi="Times New Roman" w:cs="Times New Roman"/>
                <w:color w:val="auto"/>
              </w:rPr>
            </w:pPr>
            <w:r>
              <w:rPr>
                <w:rFonts w:hint="eastAsia"/>
                <w:color w:val="auto"/>
                <w:lang w:val="en-US" w:eastAsia="zh-CN"/>
              </w:rPr>
              <w:t>******</w:t>
            </w:r>
          </w:p>
        </w:tc>
        <w:tc>
          <w:tcPr>
            <w:tcW w:w="1022" w:type="pct"/>
            <w:tcBorders>
              <w:top w:val="single" w:color="auto" w:sz="4" w:space="0"/>
              <w:left w:val="single" w:color="auto" w:sz="4" w:space="0"/>
              <w:bottom w:val="single" w:color="auto" w:sz="4" w:space="0"/>
              <w:right w:val="single" w:color="auto" w:sz="4" w:space="0"/>
            </w:tcBorders>
            <w:vAlign w:val="center"/>
          </w:tcPr>
          <w:p w14:paraId="502810C1">
            <w:pPr>
              <w:pStyle w:val="44"/>
              <w:bidi w:val="0"/>
              <w:rPr>
                <w:rFonts w:hint="default" w:ascii="Times New Roman" w:hAnsi="Times New Roman" w:cs="Times New Roman"/>
                <w:color w:val="auto"/>
              </w:rPr>
            </w:pPr>
            <w:r>
              <w:rPr>
                <w:rFonts w:hint="default" w:ascii="Times New Roman" w:hAnsi="Times New Roman" w:cs="Times New Roman"/>
                <w:color w:val="auto"/>
              </w:rPr>
              <w:t>纬度</w:t>
            </w:r>
          </w:p>
        </w:tc>
        <w:tc>
          <w:tcPr>
            <w:tcW w:w="1035" w:type="pct"/>
            <w:tcBorders>
              <w:top w:val="single" w:color="auto" w:sz="4" w:space="0"/>
              <w:left w:val="single" w:color="auto" w:sz="4" w:space="0"/>
              <w:bottom w:val="single" w:color="auto" w:sz="4" w:space="0"/>
              <w:right w:val="single" w:color="auto" w:sz="4" w:space="0"/>
            </w:tcBorders>
            <w:vAlign w:val="center"/>
          </w:tcPr>
          <w:p w14:paraId="526B9BFF">
            <w:pPr>
              <w:pStyle w:val="44"/>
              <w:bidi w:val="0"/>
              <w:rPr>
                <w:rFonts w:hint="default" w:ascii="Times New Roman" w:hAnsi="Times New Roman" w:cs="Times New Roman"/>
                <w:color w:val="auto"/>
              </w:rPr>
            </w:pPr>
            <w:r>
              <w:rPr>
                <w:rFonts w:hint="eastAsia"/>
                <w:color w:val="auto"/>
                <w:lang w:val="en-US" w:eastAsia="zh-CN"/>
              </w:rPr>
              <w:t>******</w:t>
            </w:r>
          </w:p>
        </w:tc>
      </w:tr>
      <w:tr w14:paraId="78A9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7" w:type="pct"/>
            <w:tcBorders>
              <w:top w:val="single" w:color="auto" w:sz="4" w:space="0"/>
              <w:left w:val="single" w:color="auto" w:sz="4" w:space="0"/>
              <w:bottom w:val="single" w:color="auto" w:sz="4" w:space="0"/>
              <w:right w:val="single" w:color="auto" w:sz="4" w:space="0"/>
            </w:tcBorders>
            <w:vAlign w:val="center"/>
          </w:tcPr>
          <w:p w14:paraId="398DC405">
            <w:pPr>
              <w:pStyle w:val="44"/>
              <w:bidi w:val="0"/>
              <w:rPr>
                <w:color w:val="auto"/>
              </w:rPr>
            </w:pPr>
            <w:r>
              <w:rPr>
                <w:color w:val="auto"/>
              </w:rPr>
              <w:t>主要危险物质及分布</w:t>
            </w:r>
          </w:p>
        </w:tc>
        <w:tc>
          <w:tcPr>
            <w:tcW w:w="3882" w:type="pct"/>
            <w:gridSpan w:val="4"/>
            <w:tcBorders>
              <w:top w:val="single" w:color="auto" w:sz="4" w:space="0"/>
              <w:left w:val="single" w:color="auto" w:sz="4" w:space="0"/>
              <w:bottom w:val="single" w:color="auto" w:sz="4" w:space="0"/>
              <w:right w:val="single" w:color="auto" w:sz="4" w:space="0"/>
            </w:tcBorders>
            <w:vAlign w:val="center"/>
          </w:tcPr>
          <w:p w14:paraId="0D5660C5">
            <w:pPr>
              <w:pStyle w:val="44"/>
              <w:bidi w:val="0"/>
              <w:rPr>
                <w:color w:val="auto"/>
              </w:rPr>
            </w:pPr>
            <w:r>
              <w:rPr>
                <w:color w:val="auto"/>
              </w:rPr>
              <w:t>危险物质有原油、原油伴生气，危险单元主要分布于井场和</w:t>
            </w:r>
            <w:r>
              <w:rPr>
                <w:rFonts w:hint="eastAsia"/>
                <w:color w:val="auto"/>
                <w:lang w:val="en-US" w:eastAsia="zh-CN"/>
              </w:rPr>
              <w:t>集油</w:t>
            </w:r>
            <w:r>
              <w:rPr>
                <w:color w:val="auto"/>
              </w:rPr>
              <w:t>管线。</w:t>
            </w:r>
          </w:p>
        </w:tc>
      </w:tr>
      <w:tr w14:paraId="0A15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7" w:type="pct"/>
            <w:tcBorders>
              <w:top w:val="single" w:color="auto" w:sz="4" w:space="0"/>
              <w:left w:val="single" w:color="auto" w:sz="4" w:space="0"/>
              <w:bottom w:val="single" w:color="auto" w:sz="4" w:space="0"/>
              <w:right w:val="single" w:color="auto" w:sz="4" w:space="0"/>
            </w:tcBorders>
            <w:vAlign w:val="center"/>
          </w:tcPr>
          <w:p w14:paraId="3A12B68B">
            <w:pPr>
              <w:pStyle w:val="44"/>
              <w:bidi w:val="0"/>
              <w:rPr>
                <w:color w:val="auto"/>
              </w:rPr>
            </w:pPr>
            <w:r>
              <w:rPr>
                <w:color w:val="auto"/>
              </w:rPr>
              <w:t>环境影响途径及危害后果（大气、地表水、地下水等）</w:t>
            </w:r>
          </w:p>
        </w:tc>
        <w:tc>
          <w:tcPr>
            <w:tcW w:w="3882" w:type="pct"/>
            <w:gridSpan w:val="4"/>
            <w:tcBorders>
              <w:top w:val="single" w:color="auto" w:sz="4" w:space="0"/>
              <w:left w:val="single" w:color="auto" w:sz="4" w:space="0"/>
              <w:bottom w:val="single" w:color="auto" w:sz="4" w:space="0"/>
              <w:right w:val="single" w:color="auto" w:sz="4" w:space="0"/>
            </w:tcBorders>
            <w:vAlign w:val="center"/>
          </w:tcPr>
          <w:p w14:paraId="720C711A">
            <w:pPr>
              <w:pStyle w:val="44"/>
              <w:bidi w:val="0"/>
              <w:jc w:val="both"/>
              <w:rPr>
                <w:color w:val="auto"/>
              </w:rPr>
            </w:pPr>
            <w:r>
              <w:rPr>
                <w:color w:val="auto"/>
              </w:rPr>
              <w:t>井喷事故、原油泄漏对环境空气</w:t>
            </w:r>
            <w:r>
              <w:rPr>
                <w:rFonts w:hint="eastAsia"/>
                <w:color w:val="auto"/>
                <w:lang w:eastAsia="zh-CN"/>
              </w:rPr>
              <w:t>、</w:t>
            </w:r>
            <w:r>
              <w:rPr>
                <w:rFonts w:hint="eastAsia"/>
                <w:color w:val="auto"/>
                <w:lang w:val="en-US" w:eastAsia="zh-CN"/>
              </w:rPr>
              <w:t>土壤</w:t>
            </w:r>
            <w:r>
              <w:rPr>
                <w:color w:val="auto"/>
              </w:rPr>
              <w:t>及水体的污染。原油</w:t>
            </w:r>
            <w:r>
              <w:rPr>
                <w:rFonts w:hint="eastAsia"/>
                <w:color w:val="auto"/>
                <w:lang w:eastAsia="zh-CN"/>
              </w:rPr>
              <w:t>泄漏</w:t>
            </w:r>
            <w:r>
              <w:rPr>
                <w:color w:val="auto"/>
              </w:rPr>
              <w:t>发生火灾事故会导致周围环境空气受到污染，原油泄漏会污染土壤和水体，井喷释放的原油和伴生气会对当地大气环境、土壤和水体造成影响。</w:t>
            </w:r>
          </w:p>
        </w:tc>
      </w:tr>
      <w:tr w14:paraId="66E1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7" w:type="pct"/>
            <w:tcBorders>
              <w:top w:val="single" w:color="auto" w:sz="4" w:space="0"/>
              <w:left w:val="single" w:color="auto" w:sz="4" w:space="0"/>
              <w:bottom w:val="single" w:color="auto" w:sz="4" w:space="0"/>
              <w:right w:val="single" w:color="auto" w:sz="4" w:space="0"/>
            </w:tcBorders>
            <w:vAlign w:val="center"/>
          </w:tcPr>
          <w:p w14:paraId="7115D46C">
            <w:pPr>
              <w:pStyle w:val="44"/>
              <w:bidi w:val="0"/>
              <w:rPr>
                <w:color w:val="auto"/>
              </w:rPr>
            </w:pPr>
            <w:r>
              <w:rPr>
                <w:color w:val="auto"/>
              </w:rPr>
              <w:t>风险防范措施要求</w:t>
            </w:r>
          </w:p>
        </w:tc>
        <w:tc>
          <w:tcPr>
            <w:tcW w:w="3882" w:type="pct"/>
            <w:gridSpan w:val="4"/>
            <w:tcBorders>
              <w:top w:val="single" w:color="auto" w:sz="4" w:space="0"/>
              <w:left w:val="single" w:color="auto" w:sz="4" w:space="0"/>
              <w:bottom w:val="single" w:color="auto" w:sz="4" w:space="0"/>
              <w:right w:val="single" w:color="auto" w:sz="4" w:space="0"/>
            </w:tcBorders>
            <w:vAlign w:val="center"/>
          </w:tcPr>
          <w:p w14:paraId="136E6717">
            <w:pPr>
              <w:pStyle w:val="44"/>
              <w:bidi w:val="0"/>
              <w:rPr>
                <w:color w:val="auto"/>
              </w:rPr>
            </w:pPr>
            <w:r>
              <w:rPr>
                <w:color w:val="auto"/>
              </w:rPr>
              <w:t>制定风险应急预案，尤其是原油火灾爆炸应急预案，降低事故风险损失。</w:t>
            </w:r>
          </w:p>
        </w:tc>
      </w:tr>
      <w:tr w14:paraId="13C5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D305171">
            <w:pPr>
              <w:pStyle w:val="44"/>
              <w:bidi w:val="0"/>
              <w:jc w:val="both"/>
              <w:rPr>
                <w:color w:val="auto"/>
              </w:rPr>
            </w:pPr>
            <w:r>
              <w:rPr>
                <w:color w:val="auto"/>
              </w:rPr>
              <w:t>填表说明（列出项目相关信息及评价说明）</w:t>
            </w:r>
          </w:p>
          <w:p w14:paraId="2E4EC906">
            <w:pPr>
              <w:pStyle w:val="44"/>
              <w:bidi w:val="0"/>
              <w:jc w:val="both"/>
              <w:rPr>
                <w:color w:val="auto"/>
              </w:rPr>
            </w:pPr>
            <w:r>
              <w:rPr>
                <w:color w:val="auto"/>
              </w:rPr>
              <w:t>本项目涉及</w:t>
            </w:r>
            <w:r>
              <w:rPr>
                <w:rFonts w:hint="eastAsia"/>
                <w:color w:val="auto"/>
                <w:lang w:val="en-US" w:eastAsia="zh-CN"/>
              </w:rPr>
              <w:t>采油</w:t>
            </w:r>
            <w:r>
              <w:rPr>
                <w:color w:val="auto"/>
              </w:rPr>
              <w:t>井场</w:t>
            </w:r>
            <w:r>
              <w:rPr>
                <w:rFonts w:hint="eastAsia"/>
                <w:color w:val="auto"/>
                <w:lang w:val="en-US" w:eastAsia="zh-CN"/>
              </w:rPr>
              <w:t>18</w:t>
            </w:r>
            <w:r>
              <w:rPr>
                <w:color w:val="auto"/>
              </w:rPr>
              <w:t>座，</w:t>
            </w:r>
            <w:r>
              <w:rPr>
                <w:rFonts w:hint="eastAsia"/>
                <w:color w:val="auto"/>
                <w:lang w:val="en-US" w:eastAsia="zh-CN"/>
              </w:rPr>
              <w:t>其中10口评价井转产能井</w:t>
            </w:r>
            <w:r>
              <w:rPr>
                <w:color w:val="auto"/>
              </w:rPr>
              <w:t>，产能规模约</w:t>
            </w:r>
            <w:r>
              <w:rPr>
                <w:rFonts w:hint="eastAsia"/>
                <w:color w:val="auto"/>
                <w:lang w:val="en-US" w:eastAsia="zh-CN"/>
              </w:rPr>
              <w:t>7.72</w:t>
            </w:r>
            <w:r>
              <w:rPr>
                <w:color w:val="auto"/>
              </w:rPr>
              <w:t>×10</w:t>
            </w:r>
            <w:r>
              <w:rPr>
                <w:color w:val="auto"/>
                <w:vertAlign w:val="superscript"/>
              </w:rPr>
              <w:t>4</w:t>
            </w:r>
            <w:r>
              <w:rPr>
                <w:color w:val="auto"/>
              </w:rPr>
              <w:t>t/a；新建</w:t>
            </w:r>
            <w:r>
              <w:rPr>
                <w:rFonts w:hint="eastAsia"/>
                <w:color w:val="auto"/>
                <w:lang w:val="en-US" w:eastAsia="zh-CN"/>
              </w:rPr>
              <w:t>集油</w:t>
            </w:r>
            <w:r>
              <w:rPr>
                <w:color w:val="auto"/>
              </w:rPr>
              <w:t>管线</w:t>
            </w:r>
            <w:r>
              <w:rPr>
                <w:rFonts w:hint="eastAsia"/>
                <w:color w:val="auto"/>
                <w:lang w:val="en-US" w:eastAsia="zh-CN"/>
              </w:rPr>
              <w:t>20.71</w:t>
            </w:r>
            <w:r>
              <w:rPr>
                <w:color w:val="auto"/>
              </w:rPr>
              <w:t>km。本次评价重点关注风险单元为</w:t>
            </w:r>
            <w:r>
              <w:rPr>
                <w:rFonts w:hint="eastAsia"/>
                <w:color w:val="auto"/>
                <w:lang w:val="en-US" w:eastAsia="zh-CN"/>
              </w:rPr>
              <w:t>采油</w:t>
            </w:r>
            <w:r>
              <w:rPr>
                <w:color w:val="auto"/>
              </w:rPr>
              <w:t>井场、原油集输管线。经判定，各风险单元最大危险物质数量与临界量比值均Q＜1，环境风险潜势为Ⅰ，评价等级为简单分析。</w:t>
            </w:r>
          </w:p>
        </w:tc>
      </w:tr>
    </w:tbl>
    <w:p w14:paraId="5ECF985A">
      <w:pPr>
        <w:pStyle w:val="33"/>
        <w:bidi w:val="0"/>
        <w:rPr>
          <w:color w:val="auto"/>
          <w:lang w:val="en-US" w:eastAsia="zh-CN"/>
        </w:rPr>
      </w:pPr>
    </w:p>
    <w:p w14:paraId="4D638D9A">
      <w:pPr>
        <w:rPr>
          <w:rFonts w:ascii="Times New Roman" w:hAnsi="Times New Roman" w:eastAsia="宋体"/>
          <w:color w:val="auto"/>
          <w:lang w:val="en-US" w:eastAsia="zh-CN"/>
        </w:rPr>
      </w:pPr>
      <w:r>
        <w:rPr>
          <w:rFonts w:ascii="Times New Roman" w:hAnsi="Times New Roman" w:eastAsia="宋体"/>
          <w:color w:val="auto"/>
          <w:lang w:val="en-US" w:eastAsia="zh-CN"/>
        </w:rPr>
        <w:br w:type="page"/>
      </w:r>
    </w:p>
    <w:p w14:paraId="3636046A">
      <w:pPr>
        <w:pStyle w:val="11"/>
        <w:bidi w:val="0"/>
        <w:rPr>
          <w:rFonts w:ascii="Times New Roman" w:hAnsi="Times New Roman" w:eastAsia="宋体"/>
          <w:color w:val="auto"/>
          <w:lang w:val="en-US" w:eastAsia="zh-CN"/>
        </w:rPr>
        <w:sectPr>
          <w:pgSz w:w="11906" w:h="16838"/>
          <w:pgMar w:top="1474" w:right="1587" w:bottom="147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40BFF51">
      <w:pPr>
        <w:pStyle w:val="3"/>
        <w:bidi w:val="0"/>
        <w:rPr>
          <w:rFonts w:hint="default"/>
          <w:color w:val="auto"/>
          <w:lang w:val="en-US" w:eastAsia="zh-CN"/>
        </w:rPr>
      </w:pPr>
      <w:bookmarkStart w:id="278" w:name="_Toc28568"/>
      <w:r>
        <w:rPr>
          <w:rFonts w:hint="eastAsia"/>
          <w:color w:val="auto"/>
          <w:lang w:val="en-US" w:eastAsia="zh-CN"/>
        </w:rPr>
        <w:t>6环境保护措施及其可行性论证分析</w:t>
      </w:r>
      <w:bookmarkEnd w:id="278"/>
    </w:p>
    <w:p w14:paraId="52BDAF6A">
      <w:pPr>
        <w:pStyle w:val="2"/>
        <w:bidi w:val="0"/>
        <w:rPr>
          <w:rFonts w:hint="default"/>
          <w:color w:val="auto"/>
          <w:lang w:val="en-US" w:eastAsia="zh-CN"/>
        </w:rPr>
      </w:pPr>
      <w:bookmarkStart w:id="279" w:name="_Toc9919"/>
      <w:r>
        <w:rPr>
          <w:rFonts w:hint="eastAsia"/>
          <w:color w:val="auto"/>
          <w:lang w:val="en-US" w:eastAsia="zh-CN"/>
        </w:rPr>
        <w:t>6.1施工期环境保护措施可行性分析</w:t>
      </w:r>
      <w:bookmarkEnd w:id="279"/>
    </w:p>
    <w:p w14:paraId="03B2F05B">
      <w:pPr>
        <w:pStyle w:val="5"/>
        <w:bidi w:val="0"/>
        <w:rPr>
          <w:rFonts w:hint="default"/>
          <w:color w:val="auto"/>
          <w:lang w:val="en-US" w:eastAsia="zh-CN"/>
        </w:rPr>
      </w:pPr>
      <w:r>
        <w:rPr>
          <w:rFonts w:hint="eastAsia"/>
          <w:color w:val="auto"/>
          <w:lang w:val="en-US" w:eastAsia="zh-CN"/>
        </w:rPr>
        <w:t>6.1.1施工废气污染防治措施</w:t>
      </w:r>
    </w:p>
    <w:p w14:paraId="1F0A7371">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szCs w:val="28"/>
          <w:lang w:val="en-US" w:eastAsia="zh-CN"/>
        </w:rPr>
      </w:pPr>
      <w:r>
        <w:rPr>
          <w:rFonts w:hint="eastAsia"/>
          <w:color w:val="auto"/>
          <w:sz w:val="24"/>
          <w:szCs w:val="28"/>
          <w:lang w:val="en-US" w:eastAsia="zh-CN"/>
        </w:rPr>
        <w:t>（1）施工扬尘控制措施</w:t>
      </w:r>
    </w:p>
    <w:p w14:paraId="7C0741D0">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color w:val="auto"/>
          <w:sz w:val="24"/>
          <w:szCs w:val="28"/>
        </w:rPr>
      </w:pPr>
      <w:r>
        <w:rPr>
          <w:rFonts w:hint="eastAsia" w:ascii="Times New Roman" w:hAnsi="Times New Roman" w:eastAsia="宋体" w:cs="Times New Roman"/>
          <w:color w:val="auto"/>
          <w:sz w:val="24"/>
          <w:szCs w:val="24"/>
          <w:lang w:val="en-US" w:eastAsia="zh-CN"/>
        </w:rPr>
        <w:t>①</w:t>
      </w:r>
      <w:r>
        <w:rPr>
          <w:rFonts w:ascii="Times New Roman" w:hAnsi="Times New Roman" w:eastAsia="宋体" w:cs="Times New Roman"/>
          <w:color w:val="auto"/>
          <w:sz w:val="24"/>
          <w:szCs w:val="24"/>
        </w:rPr>
        <w:t>施工中尽量缩小影响范围，提高工程施工效率，减少工程在空间上、时间上对生态环境的影响，作业场地保持一定湿度，进出车辆严格限速，防止沙尘飞扬，削弱粉尘扩散。</w:t>
      </w:r>
    </w:p>
    <w:p w14:paraId="382CDE36">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eastAsia="宋体"/>
          <w:color w:val="auto"/>
          <w:sz w:val="24"/>
          <w:szCs w:val="28"/>
          <w:lang w:val="en-US" w:eastAsia="zh-CN"/>
        </w:rPr>
      </w:pPr>
      <w:r>
        <w:rPr>
          <w:rFonts w:hint="eastAsia"/>
          <w:color w:val="auto"/>
          <w:sz w:val="24"/>
          <w:szCs w:val="28"/>
          <w:lang w:val="en-US" w:eastAsia="zh-CN"/>
        </w:rPr>
        <w:t>②</w:t>
      </w:r>
      <w:r>
        <w:rPr>
          <w:rFonts w:ascii="Times New Roman" w:hAnsi="Times New Roman" w:eastAsia="宋体" w:cs="Times New Roman"/>
          <w:color w:val="auto"/>
          <w:sz w:val="24"/>
          <w:szCs w:val="24"/>
        </w:rPr>
        <w:t>制定合理的施工计划，采取集中力量分段施工的方法，尽量缩短施工周期，以减轻扬尘的影响范围和影响程度。</w:t>
      </w:r>
    </w:p>
    <w:p w14:paraId="0AB2BB34">
      <w:pPr>
        <w:pStyle w:val="63"/>
        <w:keepNext w:val="0"/>
        <w:keepLines w:val="0"/>
        <w:pageBreakBefore w:val="0"/>
        <w:widowControl/>
        <w:kinsoku/>
        <w:wordWrap/>
        <w:overflowPunct/>
        <w:topLinePunct w:val="0"/>
        <w:autoSpaceDE/>
        <w:autoSpaceDN/>
        <w:bidi w:val="0"/>
        <w:adjustRightInd/>
        <w:snapToGrid/>
        <w:ind w:firstLine="420"/>
        <w:textAlignment w:val="auto"/>
        <w:rPr>
          <w:rFonts w:ascii="Times New Roman" w:hAnsi="Times New Roman" w:eastAsia="宋体" w:cs="Times New Roman"/>
          <w:color w:val="auto"/>
          <w:sz w:val="24"/>
          <w:szCs w:val="24"/>
        </w:rPr>
      </w:pPr>
      <w:r>
        <w:rPr>
          <w:rFonts w:hint="eastAsia"/>
          <w:color w:val="auto"/>
          <w:sz w:val="24"/>
          <w:szCs w:val="28"/>
          <w:lang w:val="en-US" w:eastAsia="zh-CN"/>
        </w:rPr>
        <w:t>③</w:t>
      </w:r>
      <w:r>
        <w:rPr>
          <w:rFonts w:ascii="Times New Roman" w:hAnsi="Times New Roman" w:eastAsia="宋体" w:cs="Times New Roman"/>
          <w:color w:val="auto"/>
          <w:sz w:val="24"/>
          <w:szCs w:val="24"/>
        </w:rPr>
        <w:t>遇有4级以上大风天气，停止土方施工，并做好遮盖工作，最大限度地减少扬尘。</w:t>
      </w:r>
    </w:p>
    <w:p w14:paraId="2869DE5B">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eastAsia="宋体"/>
          <w:color w:val="auto"/>
          <w:sz w:val="24"/>
          <w:szCs w:val="28"/>
          <w:lang w:val="en-US" w:eastAsia="zh-CN"/>
        </w:rPr>
      </w:pPr>
      <w:r>
        <w:rPr>
          <w:rFonts w:hint="eastAsia" w:ascii="Times New Roman" w:hAnsi="Times New Roman" w:eastAsia="宋体" w:cs="Times New Roman"/>
          <w:color w:val="auto"/>
          <w:sz w:val="24"/>
          <w:szCs w:val="24"/>
          <w:lang w:val="en-US" w:eastAsia="zh-CN"/>
        </w:rPr>
        <w:t>④</w:t>
      </w:r>
      <w:r>
        <w:rPr>
          <w:rFonts w:ascii="Times New Roman" w:hAnsi="Times New Roman" w:eastAsia="宋体" w:cs="Times New Roman"/>
          <w:color w:val="auto"/>
          <w:sz w:val="24"/>
          <w:szCs w:val="24"/>
        </w:rPr>
        <w:t>运输车辆保持工况良好，不应超载运输，采取遮盖措施。</w:t>
      </w:r>
    </w:p>
    <w:p w14:paraId="3D4AFEB2">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color w:val="auto"/>
          <w:sz w:val="24"/>
          <w:szCs w:val="28"/>
        </w:rPr>
      </w:pPr>
      <w:r>
        <w:rPr>
          <w:rFonts w:hint="eastAsia" w:ascii="Times New Roman" w:hAnsi="Times New Roman" w:eastAsia="宋体" w:cs="Times New Roman"/>
          <w:color w:val="auto"/>
          <w:sz w:val="24"/>
          <w:szCs w:val="24"/>
          <w:lang w:val="en-US" w:eastAsia="zh-CN"/>
        </w:rPr>
        <w:t>⑤</w:t>
      </w:r>
      <w:r>
        <w:rPr>
          <w:rFonts w:ascii="Times New Roman" w:hAnsi="Times New Roman" w:eastAsia="宋体" w:cs="Times New Roman"/>
          <w:color w:val="auto"/>
          <w:sz w:val="24"/>
          <w:szCs w:val="24"/>
        </w:rPr>
        <w:t>合理规划布局，选择最短的运输路线，利用油区现有的公路，并加强对道路洒水抑尘，运输车辆低速行驶。</w:t>
      </w:r>
    </w:p>
    <w:p w14:paraId="020C65FB">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color w:val="auto"/>
          <w:sz w:val="24"/>
          <w:szCs w:val="28"/>
        </w:rPr>
      </w:pPr>
      <w:r>
        <w:rPr>
          <w:rFonts w:hint="eastAsia"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施工结束后尽快对施工场地进行整理和平整，减少风蚀量。</w:t>
      </w:r>
    </w:p>
    <w:p w14:paraId="4165744C">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（2）施工机械和车辆尾气防治措施</w:t>
      </w:r>
    </w:p>
    <w:p w14:paraId="07723A74">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①施工机械、运输车辆采用污染物指标符合国家标准且低含硫量的优质柴油，减少污染物排放。</w:t>
      </w:r>
    </w:p>
    <w:p w14:paraId="44393926">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②确保施工机械用柴油机尾气达到《非道路移动机械用柴油机排气污染物排放限值及测量方法（中国第三、四阶段）》（GB20891-2014）中相关要求。</w:t>
      </w:r>
    </w:p>
    <w:p w14:paraId="76BCCBEC">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（3）施工焊接烟尘、防腐废气防治措施</w:t>
      </w:r>
    </w:p>
    <w:p w14:paraId="77526FFD">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cs="Times New Roman"/>
          <w:color w:val="auto"/>
          <w:sz w:val="24"/>
          <w:szCs w:val="28"/>
          <w:lang w:val="zh-CN"/>
        </w:rPr>
        <w:t>焊条使用国家合格产品</w:t>
      </w:r>
      <w:r>
        <w:rPr>
          <w:rFonts w:hint="eastAsia" w:cs="Times New Roman"/>
          <w:color w:val="auto"/>
          <w:sz w:val="24"/>
          <w:szCs w:val="28"/>
          <w:lang w:val="zh-CN"/>
        </w:rPr>
        <w:t>。</w:t>
      </w:r>
    </w:p>
    <w:p w14:paraId="474D2DE0">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eastAsia" w:cs="Times New Roman"/>
          <w:color w:val="auto"/>
          <w:kern w:val="0"/>
          <w:sz w:val="24"/>
          <w:szCs w:val="24"/>
          <w:lang w:val="en-US" w:eastAsia="zh-CN"/>
        </w:rPr>
        <w:t>使用环保型防腐材料和先进的快速防腐工艺。</w:t>
      </w:r>
    </w:p>
    <w:p w14:paraId="38C33FB7">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③缩短施工时间。</w:t>
      </w:r>
    </w:p>
    <w:p w14:paraId="4C9589AF">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ascii="宋体" w:hAnsi="宋体" w:eastAsia="宋体" w:cs="宋体"/>
          <w:color w:val="auto"/>
          <w:sz w:val="24"/>
          <w:szCs w:val="24"/>
        </w:rPr>
        <w:t>综上，采取以上措施后，项目施工期废气造成的环境影响均可得到有效控制；而且施工期短，随着施工期的结束，其造成的影响也随之消失。所以，项目施工期采取的大气污染防治措施可行。</w:t>
      </w:r>
    </w:p>
    <w:p w14:paraId="34E35DCC">
      <w:pPr>
        <w:pStyle w:val="5"/>
        <w:bidi w:val="0"/>
        <w:rPr>
          <w:rFonts w:hint="default"/>
          <w:color w:val="auto"/>
          <w:lang w:val="en-US" w:eastAsia="zh-CN"/>
        </w:rPr>
      </w:pPr>
      <w:r>
        <w:rPr>
          <w:rFonts w:hint="eastAsia"/>
          <w:color w:val="auto"/>
          <w:lang w:val="en-US" w:eastAsia="zh-CN"/>
        </w:rPr>
        <w:t>6.1.2施工废水污染防治措施</w:t>
      </w:r>
    </w:p>
    <w:p w14:paraId="1239E12C">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1</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管道试压废水</w:t>
      </w:r>
    </w:p>
    <w:p w14:paraId="0585E4D0">
      <w:pPr>
        <w:pStyle w:val="11"/>
        <w:bidi w:val="0"/>
        <w:rPr>
          <w:rFonts w:hint="eastAsia" w:ascii="Times New Roman" w:hAnsi="Times New Roman" w:eastAsia="宋体"/>
          <w:color w:val="auto"/>
        </w:rPr>
      </w:pPr>
      <w:r>
        <w:rPr>
          <w:rFonts w:hint="eastAsia" w:ascii="Times New Roman" w:hAnsi="Times New Roman" w:eastAsia="宋体"/>
          <w:color w:val="auto"/>
        </w:rPr>
        <w:t>试压废水分散于各管道施工场地，试压废水经</w:t>
      </w:r>
      <w:r>
        <w:rPr>
          <w:rFonts w:hint="eastAsia" w:ascii="Times New Roman" w:hAnsi="Times New Roman" w:eastAsia="宋体"/>
          <w:color w:val="auto"/>
          <w:lang w:val="en-US" w:eastAsia="zh-CN"/>
        </w:rPr>
        <w:t>管道</w:t>
      </w:r>
      <w:r>
        <w:rPr>
          <w:rFonts w:hint="eastAsia" w:ascii="Times New Roman" w:hAnsi="Times New Roman" w:eastAsia="宋体"/>
          <w:color w:val="auto"/>
        </w:rPr>
        <w:t>收集后</w:t>
      </w:r>
      <w:bookmarkStart w:id="280" w:name="_Hlk115196101"/>
      <w:r>
        <w:rPr>
          <w:rFonts w:hint="eastAsia" w:ascii="Times New Roman" w:hAnsi="Times New Roman" w:eastAsia="宋体"/>
          <w:color w:val="auto"/>
          <w:lang w:val="en-US" w:eastAsia="zh-CN"/>
        </w:rPr>
        <w:t>集输至百联站采出水处理系统</w:t>
      </w:r>
      <w:r>
        <w:rPr>
          <w:rFonts w:hint="eastAsia" w:ascii="Times New Roman" w:hAnsi="Times New Roman" w:eastAsia="宋体"/>
          <w:color w:val="auto"/>
        </w:rPr>
        <w:t>处理达标后回注油层</w:t>
      </w:r>
      <w:bookmarkEnd w:id="280"/>
      <w:r>
        <w:rPr>
          <w:rFonts w:hint="eastAsia" w:ascii="Times New Roman" w:hAnsi="Times New Roman" w:eastAsia="宋体"/>
          <w:color w:val="auto"/>
        </w:rPr>
        <w:t>，不外排。由于项目管道较为分散，局部废水产生较少，水质相对简单，通过分批次合理安排试压废水进</w:t>
      </w:r>
      <w:r>
        <w:rPr>
          <w:rFonts w:hint="eastAsia" w:ascii="Times New Roman" w:hAnsi="Times New Roman" w:eastAsia="宋体"/>
          <w:color w:val="auto"/>
          <w:lang w:val="en-US" w:eastAsia="zh-CN"/>
        </w:rPr>
        <w:t>百联站采出水</w:t>
      </w:r>
      <w:r>
        <w:rPr>
          <w:rFonts w:hint="eastAsia" w:ascii="Times New Roman" w:hAnsi="Times New Roman" w:eastAsia="宋体"/>
          <w:color w:val="auto"/>
        </w:rPr>
        <w:t>处理</w:t>
      </w:r>
      <w:r>
        <w:rPr>
          <w:rFonts w:hint="eastAsia" w:ascii="Times New Roman" w:hAnsi="Times New Roman" w:eastAsia="宋体"/>
          <w:color w:val="auto"/>
          <w:lang w:val="en-US" w:eastAsia="zh-CN"/>
        </w:rPr>
        <w:t>系统</w:t>
      </w:r>
      <w:r>
        <w:rPr>
          <w:rFonts w:hint="eastAsia" w:ascii="Times New Roman" w:hAnsi="Times New Roman" w:eastAsia="宋体"/>
          <w:color w:val="auto"/>
        </w:rPr>
        <w:t>处理时序，可实现试压废水有效处理。</w:t>
      </w:r>
    </w:p>
    <w:p w14:paraId="754E134B">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2</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生活污水</w:t>
      </w:r>
    </w:p>
    <w:p w14:paraId="5453FAB9">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施工人员生活污水依托生活基地内既有设施，最终交由乌尔禾区生活污水处理厂处理。</w:t>
      </w:r>
    </w:p>
    <w:p w14:paraId="0F64B824">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3</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管线施工污染防治</w:t>
      </w:r>
    </w:p>
    <w:p w14:paraId="7E0084A9">
      <w:pPr>
        <w:pStyle w:val="11"/>
        <w:bidi w:val="0"/>
        <w:rPr>
          <w:rFonts w:hint="eastAsia" w:ascii="Times New Roman" w:hAnsi="Times New Roman" w:eastAsia="宋体"/>
          <w:color w:val="auto"/>
          <w:lang w:eastAsia="zh-CN"/>
        </w:rPr>
      </w:pPr>
      <w:r>
        <w:rPr>
          <w:rFonts w:hint="eastAsia" w:ascii="Times New Roman" w:hAnsi="Times New Roman" w:eastAsia="宋体"/>
          <w:color w:val="auto"/>
          <w:lang w:val="en-US" w:eastAsia="zh-CN"/>
        </w:rPr>
        <w:t>①</w:t>
      </w:r>
      <w:r>
        <w:rPr>
          <w:rFonts w:ascii="Times New Roman" w:hAnsi="Times New Roman" w:eastAsia="宋体"/>
          <w:color w:val="auto"/>
        </w:rPr>
        <w:t>管线采用密闭输送方式，输油管线采用无缝钢管</w:t>
      </w:r>
      <w:r>
        <w:rPr>
          <w:rFonts w:hint="eastAsia"/>
          <w:color w:val="auto"/>
          <w:lang w:eastAsia="zh-CN"/>
        </w:rPr>
        <w:t>。</w:t>
      </w:r>
    </w:p>
    <w:p w14:paraId="3E140BB1">
      <w:pPr>
        <w:pStyle w:val="11"/>
        <w:bidi w:val="0"/>
        <w:rPr>
          <w:rFonts w:ascii="Times New Roman" w:hAnsi="Times New Roman" w:eastAsia="宋体"/>
          <w:color w:val="auto"/>
        </w:rPr>
      </w:pPr>
      <w:r>
        <w:rPr>
          <w:rFonts w:hint="eastAsia" w:ascii="Times New Roman" w:hAnsi="Times New Roman" w:eastAsia="宋体"/>
          <w:color w:val="auto"/>
          <w:lang w:val="en-US" w:eastAsia="zh-CN"/>
        </w:rPr>
        <w:t>②</w:t>
      </w:r>
      <w:r>
        <w:rPr>
          <w:rFonts w:ascii="Times New Roman" w:hAnsi="Times New Roman" w:eastAsia="宋体"/>
          <w:color w:val="auto"/>
        </w:rPr>
        <w:t>管线组焊完毕，应先进行100%外观检查，外观检查合格后，方可进行焊缝内部质量检查。</w:t>
      </w:r>
    </w:p>
    <w:p w14:paraId="73AD97A2">
      <w:pPr>
        <w:pStyle w:val="11"/>
        <w:bidi w:val="0"/>
        <w:rPr>
          <w:rFonts w:hint="eastAsia" w:ascii="Times New Roman" w:hAnsi="Times New Roman" w:eastAsia="宋体"/>
          <w:color w:val="auto"/>
          <w:lang w:eastAsia="zh-CN"/>
        </w:rPr>
      </w:pPr>
      <w:r>
        <w:rPr>
          <w:rFonts w:hint="eastAsia" w:ascii="Times New Roman" w:hAnsi="Times New Roman" w:eastAsia="宋体"/>
          <w:color w:val="auto"/>
          <w:lang w:val="en-US" w:eastAsia="zh-CN"/>
        </w:rPr>
        <w:t>③</w:t>
      </w:r>
      <w:r>
        <w:rPr>
          <w:rFonts w:ascii="Times New Roman" w:hAnsi="Times New Roman" w:eastAsia="宋体"/>
          <w:color w:val="auto"/>
        </w:rPr>
        <w:t>施工过程中产生的试压废水依托</w:t>
      </w:r>
      <w:r>
        <w:rPr>
          <w:rFonts w:hint="eastAsia" w:ascii="Times New Roman" w:hAnsi="Times New Roman" w:eastAsia="宋体"/>
          <w:color w:val="auto"/>
          <w:lang w:val="en-US" w:eastAsia="zh-CN"/>
        </w:rPr>
        <w:t>百联站</w:t>
      </w:r>
      <w:r>
        <w:rPr>
          <w:rFonts w:ascii="Times New Roman" w:hAnsi="Times New Roman" w:eastAsia="宋体"/>
          <w:color w:val="auto"/>
        </w:rPr>
        <w:t>采出水处理系统处理后用于油田回注</w:t>
      </w:r>
      <w:r>
        <w:rPr>
          <w:rFonts w:hint="eastAsia" w:ascii="Times New Roman" w:hAnsi="Times New Roman" w:eastAsia="宋体"/>
          <w:color w:val="auto"/>
          <w:lang w:eastAsia="zh-CN"/>
        </w:rPr>
        <w:t>。</w:t>
      </w:r>
    </w:p>
    <w:p w14:paraId="0EDEDF83">
      <w:pPr>
        <w:pStyle w:val="11"/>
        <w:bidi w:val="0"/>
        <w:rPr>
          <w:rFonts w:ascii="Times New Roman" w:hAnsi="Times New Roman" w:eastAsia="宋体"/>
          <w:color w:val="auto"/>
        </w:rPr>
      </w:pPr>
      <w:r>
        <w:rPr>
          <w:rFonts w:hint="eastAsia" w:ascii="Times New Roman" w:hAnsi="Times New Roman" w:eastAsia="宋体"/>
          <w:color w:val="auto"/>
          <w:lang w:val="en-US" w:eastAsia="zh-CN"/>
        </w:rPr>
        <w:t>④</w:t>
      </w:r>
      <w:r>
        <w:rPr>
          <w:rFonts w:ascii="Times New Roman" w:hAnsi="Times New Roman" w:eastAsia="宋体"/>
          <w:color w:val="auto"/>
        </w:rPr>
        <w:t>管线加装压力装置，一旦检测管线发生破损，应立即采取措施防止泄漏；建立巡检制度，定期对管线壁厚进行测量，一旦发现异常，及时更换管道，杜绝管道污染物泄漏事件的发生，防止对土壤和浅层</w:t>
      </w:r>
      <w:r>
        <w:rPr>
          <w:rFonts w:hint="eastAsia"/>
          <w:color w:val="auto"/>
          <w:lang w:eastAsia="zh-CN"/>
        </w:rPr>
        <w:t>地下水</w:t>
      </w:r>
      <w:r>
        <w:rPr>
          <w:rFonts w:ascii="Times New Roman" w:hAnsi="Times New Roman" w:eastAsia="宋体"/>
          <w:color w:val="auto"/>
        </w:rPr>
        <w:t>造成污染。</w:t>
      </w:r>
    </w:p>
    <w:p w14:paraId="6FAB63DC">
      <w:pPr>
        <w:pStyle w:val="5"/>
        <w:bidi w:val="0"/>
        <w:rPr>
          <w:rFonts w:hint="default"/>
          <w:color w:val="auto"/>
          <w:lang w:val="en-US" w:eastAsia="zh-CN"/>
        </w:rPr>
      </w:pPr>
      <w:r>
        <w:rPr>
          <w:rFonts w:hint="eastAsia"/>
          <w:color w:val="auto"/>
          <w:lang w:val="en-US" w:eastAsia="zh-CN"/>
        </w:rPr>
        <w:t>6.1.3施工期噪声污染防治措施</w:t>
      </w:r>
    </w:p>
    <w:p w14:paraId="7846A817">
      <w:pPr>
        <w:pStyle w:val="11"/>
        <w:bidi w:val="0"/>
        <w:rPr>
          <w:rFonts w:hint="default" w:ascii="Times New Roman" w:hAnsi="Times New Roman" w:eastAsia="宋体"/>
          <w:color w:val="auto"/>
        </w:rPr>
      </w:pPr>
      <w:r>
        <w:rPr>
          <w:rFonts w:hint="default" w:ascii="Times New Roman" w:hAnsi="Times New Roman" w:eastAsia="宋体"/>
          <w:color w:val="auto"/>
        </w:rPr>
        <w:t>（1）优先选用低噪声设备，并定期保养，严格操作规程。</w:t>
      </w:r>
    </w:p>
    <w:p w14:paraId="3C300639">
      <w:pPr>
        <w:pStyle w:val="11"/>
        <w:bidi w:val="0"/>
        <w:rPr>
          <w:rFonts w:hint="default" w:ascii="Times New Roman" w:hAnsi="Times New Roman" w:eastAsia="宋体"/>
          <w:color w:val="auto"/>
        </w:rPr>
      </w:pPr>
      <w:r>
        <w:rPr>
          <w:rFonts w:hint="default" w:ascii="Times New Roman" w:hAnsi="Times New Roman" w:eastAsia="宋体"/>
          <w:color w:val="auto"/>
        </w:rPr>
        <w:t>（</w:t>
      </w:r>
      <w:r>
        <w:rPr>
          <w:rFonts w:hint="default" w:ascii="Times New Roman" w:hAnsi="Times New Roman" w:eastAsia="宋体"/>
          <w:color w:val="auto"/>
          <w:lang w:val="en-US" w:eastAsia="zh-CN"/>
        </w:rPr>
        <w:t>2</w:t>
      </w:r>
      <w:r>
        <w:rPr>
          <w:rFonts w:hint="default" w:ascii="Times New Roman" w:hAnsi="Times New Roman" w:eastAsia="宋体"/>
          <w:color w:val="auto"/>
        </w:rPr>
        <w:t>）施工机械操作人员及现场施工人员按劳动卫生标准控制工作时间，并由施工单位为施工人员配置个人防护措施，如</w:t>
      </w:r>
      <w:r>
        <w:rPr>
          <w:rFonts w:hint="eastAsia"/>
          <w:color w:val="auto"/>
          <w:lang w:eastAsia="zh-CN"/>
        </w:rPr>
        <w:t>戴</w:t>
      </w:r>
      <w:r>
        <w:rPr>
          <w:rFonts w:hint="default" w:ascii="Times New Roman" w:hAnsi="Times New Roman" w:eastAsia="宋体"/>
          <w:color w:val="auto"/>
        </w:rPr>
        <w:t>耳塞等。</w:t>
      </w:r>
    </w:p>
    <w:p w14:paraId="0F73AD5F">
      <w:pPr>
        <w:pStyle w:val="11"/>
        <w:bidi w:val="0"/>
        <w:rPr>
          <w:rFonts w:ascii="Times New Roman" w:hAnsi="Times New Roman" w:eastAsia="宋体"/>
          <w:color w:val="auto"/>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3</w:t>
      </w:r>
      <w:r>
        <w:rPr>
          <w:rFonts w:hint="eastAsia" w:ascii="Times New Roman" w:hAnsi="Times New Roman" w:eastAsia="宋体"/>
          <w:color w:val="auto"/>
          <w:lang w:eastAsia="zh-CN"/>
        </w:rPr>
        <w:t>）</w:t>
      </w:r>
      <w:r>
        <w:rPr>
          <w:rFonts w:ascii="Times New Roman" w:hAnsi="Times New Roman" w:eastAsia="宋体"/>
          <w:color w:val="auto"/>
        </w:rPr>
        <w:t>施工单位应优先选用低噪声机械设备或自带隔声、消声的机械设备；在施工过程中平稳操作机械设备，最大限度降低噪声影响。</w:t>
      </w:r>
    </w:p>
    <w:p w14:paraId="6CFDA38E">
      <w:pPr>
        <w:pStyle w:val="11"/>
        <w:bidi w:val="0"/>
        <w:rPr>
          <w:rFonts w:ascii="Times New Roman" w:hAnsi="Times New Roman" w:eastAsia="宋体"/>
          <w:color w:val="auto"/>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4</w:t>
      </w:r>
      <w:r>
        <w:rPr>
          <w:rFonts w:hint="eastAsia" w:ascii="Times New Roman" w:hAnsi="Times New Roman" w:eastAsia="宋体"/>
          <w:color w:val="auto"/>
          <w:lang w:eastAsia="zh-CN"/>
        </w:rPr>
        <w:t>）</w:t>
      </w:r>
      <w:r>
        <w:rPr>
          <w:rFonts w:ascii="Times New Roman" w:hAnsi="Times New Roman" w:eastAsia="宋体"/>
          <w:color w:val="auto"/>
        </w:rPr>
        <w:t>做好施工机械的维护和保养，有效降低机械设备运转的噪声源强。</w:t>
      </w:r>
    </w:p>
    <w:p w14:paraId="058BE78E">
      <w:pPr>
        <w:pStyle w:val="11"/>
        <w:bidi w:val="0"/>
        <w:rPr>
          <w:rFonts w:ascii="Times New Roman" w:hAnsi="Times New Roman" w:eastAsia="宋体"/>
          <w:color w:val="auto"/>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5</w:t>
      </w:r>
      <w:r>
        <w:rPr>
          <w:rFonts w:hint="eastAsia" w:ascii="Times New Roman" w:hAnsi="Times New Roman" w:eastAsia="宋体"/>
          <w:color w:val="auto"/>
          <w:lang w:eastAsia="zh-CN"/>
        </w:rPr>
        <w:t>）</w:t>
      </w:r>
      <w:r>
        <w:rPr>
          <w:rFonts w:ascii="Times New Roman" w:hAnsi="Times New Roman" w:eastAsia="宋体"/>
          <w:color w:val="auto"/>
        </w:rPr>
        <w:t>加强对物料装卸施工的管理；金属材料在卸货时，要求轻抬、轻放，减少撞击性噪声。</w:t>
      </w:r>
    </w:p>
    <w:p w14:paraId="40C2A849">
      <w:pPr>
        <w:pStyle w:val="11"/>
        <w:bidi w:val="0"/>
        <w:rPr>
          <w:rFonts w:hint="eastAsia" w:ascii="Times New Roman" w:hAnsi="Times New Roman" w:eastAsia="宋体"/>
          <w:color w:val="auto"/>
          <w:lang w:val="en-US" w:eastAsia="zh-CN"/>
        </w:rPr>
      </w:pPr>
      <w:r>
        <w:rPr>
          <w:rFonts w:hint="default" w:ascii="Times New Roman" w:hAnsi="Times New Roman" w:eastAsia="宋体"/>
          <w:color w:val="auto"/>
        </w:rPr>
        <w:t>在采取以上措施后，施工期噪声对环境影响较小，可以满足《建筑施工场界环境噪声排放标准》（GB12523-2011）要求，随施工结束，影响消失，噪声控制措施可行。</w:t>
      </w:r>
    </w:p>
    <w:p w14:paraId="5A571459">
      <w:pPr>
        <w:pStyle w:val="5"/>
        <w:bidi w:val="0"/>
        <w:rPr>
          <w:rFonts w:hint="default"/>
          <w:color w:val="auto"/>
          <w:lang w:val="en-US" w:eastAsia="zh-CN"/>
        </w:rPr>
      </w:pPr>
      <w:r>
        <w:rPr>
          <w:rFonts w:hint="eastAsia"/>
          <w:color w:val="auto"/>
          <w:lang w:val="en-US" w:eastAsia="zh-CN"/>
        </w:rPr>
        <w:t>6.1.4施工期固体废物污染防治措施</w:t>
      </w:r>
    </w:p>
    <w:p w14:paraId="4D8C39E1">
      <w:pPr>
        <w:pStyle w:val="11"/>
        <w:bidi w:val="0"/>
        <w:rPr>
          <w:rFonts w:hint="eastAsia" w:ascii="Times New Roman" w:hAnsi="Times New Roman" w:eastAsia="宋体"/>
          <w:color w:val="auto"/>
        </w:rPr>
      </w:pPr>
      <w:r>
        <w:rPr>
          <w:rFonts w:hint="eastAsia" w:ascii="Times New Roman" w:hAnsi="Times New Roman" w:eastAsia="宋体"/>
          <w:color w:val="auto"/>
        </w:rPr>
        <w:t>本项目为地面工程建设项目，施工期固体废物主要为施工人员生活垃圾及施工废料。</w:t>
      </w:r>
    </w:p>
    <w:p w14:paraId="413F790C">
      <w:pPr>
        <w:pStyle w:val="11"/>
        <w:bidi w:val="0"/>
        <w:rPr>
          <w:rFonts w:hint="eastAsia" w:ascii="Times New Roman" w:hAnsi="Times New Roman" w:eastAsia="宋体"/>
          <w:color w:val="auto"/>
        </w:rPr>
      </w:pPr>
      <w:r>
        <w:rPr>
          <w:rFonts w:hint="eastAsia" w:ascii="Times New Roman" w:hAnsi="Times New Roman" w:eastAsia="宋体"/>
          <w:color w:val="auto"/>
        </w:rPr>
        <w:t>（1）井场垃圾分类储存，加盖以防止风吹</w:t>
      </w:r>
      <w:r>
        <w:rPr>
          <w:rFonts w:hint="eastAsia"/>
          <w:color w:val="auto"/>
          <w:lang w:eastAsia="zh-CN"/>
        </w:rPr>
        <w:t>雨</w:t>
      </w:r>
      <w:r>
        <w:rPr>
          <w:rFonts w:hint="eastAsia" w:ascii="Times New Roman" w:hAnsi="Times New Roman" w:eastAsia="宋体"/>
          <w:color w:val="auto"/>
        </w:rPr>
        <w:t>扫，严禁现场</w:t>
      </w:r>
      <w:r>
        <w:rPr>
          <w:rFonts w:hint="eastAsia"/>
          <w:color w:val="auto"/>
          <w:lang w:eastAsia="zh-CN"/>
        </w:rPr>
        <w:t>抛撒</w:t>
      </w:r>
      <w:r>
        <w:rPr>
          <w:rFonts w:hint="eastAsia" w:ascii="Times New Roman" w:hAnsi="Times New Roman" w:eastAsia="宋体"/>
          <w:color w:val="auto"/>
        </w:rPr>
        <w:t>、焚烧、掩埋。</w:t>
      </w:r>
    </w:p>
    <w:p w14:paraId="2038714B">
      <w:pPr>
        <w:pStyle w:val="11"/>
        <w:bidi w:val="0"/>
        <w:rPr>
          <w:rFonts w:hint="eastAsia" w:ascii="Times New Roman" w:hAnsi="Times New Roman" w:eastAsia="宋体"/>
          <w:color w:val="auto"/>
        </w:rPr>
      </w:pPr>
      <w:r>
        <w:rPr>
          <w:rFonts w:hint="eastAsia" w:ascii="Times New Roman" w:hAnsi="Times New Roman" w:eastAsia="宋体"/>
          <w:color w:val="auto"/>
        </w:rPr>
        <w:t>（2）井场工业垃圾应定点存放，集中回收。井场生活垃圾在生活基地内集中分类存放，施工结束后由施工单位清运至乌尔禾区生活垃圾填埋场填埋处理。</w:t>
      </w:r>
    </w:p>
    <w:p w14:paraId="4FFCED83">
      <w:pPr>
        <w:pStyle w:val="11"/>
        <w:bidi w:val="0"/>
        <w:rPr>
          <w:rFonts w:ascii="Times New Roman" w:hAnsi="Times New Roman" w:eastAsia="宋体"/>
          <w:color w:val="auto"/>
        </w:rPr>
      </w:pPr>
      <w:r>
        <w:rPr>
          <w:rFonts w:hint="eastAsia" w:ascii="Times New Roman" w:hAnsi="Times New Roman" w:eastAsia="宋体"/>
          <w:color w:val="auto"/>
        </w:rPr>
        <w:t>（3）本项目土石方量较小，管线及道路施工剩余土方回填管堤或用于施工作业带平整；施工废料等建筑垃圾首先考虑回收利用，不可回收利用的建筑垃圾集中收集后建筑垃圾由施工单位清运。</w:t>
      </w:r>
    </w:p>
    <w:p w14:paraId="24FAFA80">
      <w:pPr>
        <w:pStyle w:val="5"/>
        <w:bidi w:val="0"/>
        <w:rPr>
          <w:rFonts w:hint="default"/>
          <w:color w:val="auto"/>
          <w:lang w:val="en-US" w:eastAsia="zh-CN"/>
        </w:rPr>
      </w:pPr>
      <w:r>
        <w:rPr>
          <w:rFonts w:hint="eastAsia"/>
          <w:color w:val="auto"/>
          <w:lang w:val="en-US" w:eastAsia="zh-CN"/>
        </w:rPr>
        <w:t>6.1.5施工期土壤污染防治措施</w:t>
      </w:r>
    </w:p>
    <w:p w14:paraId="41D72967">
      <w:pPr>
        <w:pStyle w:val="11"/>
        <w:bidi w:val="0"/>
        <w:rPr>
          <w:rFonts w:hint="eastAsia" w:ascii="Times New Roman" w:hAnsi="Times New Roman" w:eastAsia="宋体"/>
          <w:color w:val="auto"/>
        </w:rPr>
      </w:pPr>
      <w:r>
        <w:rPr>
          <w:rFonts w:hint="eastAsia" w:ascii="Times New Roman" w:hAnsi="Times New Roman" w:eastAsia="宋体"/>
          <w:color w:val="auto"/>
        </w:rPr>
        <w:t>（1）应严格控制施工期临时占地面积，按设计及规划的施工范围进行施工作业，减少土壤扰动。</w:t>
      </w:r>
    </w:p>
    <w:p w14:paraId="5A8BAFF9">
      <w:pPr>
        <w:pStyle w:val="11"/>
        <w:bidi w:val="0"/>
        <w:rPr>
          <w:rFonts w:hint="eastAsia" w:ascii="Times New Roman" w:hAnsi="Times New Roman" w:eastAsia="宋体"/>
          <w:color w:val="auto"/>
        </w:rPr>
      </w:pPr>
      <w:r>
        <w:rPr>
          <w:rFonts w:hint="eastAsia" w:ascii="Times New Roman" w:hAnsi="Times New Roman" w:eastAsia="宋体"/>
          <w:color w:val="auto"/>
        </w:rPr>
        <w:t>（2）施工机械及运输车辆应按规定的道路行驶，减少对土壤的碾压，减少碾压造成的土壤紧实度增加及养分流失。</w:t>
      </w:r>
    </w:p>
    <w:p w14:paraId="6C8DA9A6">
      <w:pPr>
        <w:pStyle w:val="11"/>
        <w:bidi w:val="0"/>
        <w:rPr>
          <w:rFonts w:hint="eastAsia" w:ascii="Times New Roman" w:hAnsi="Times New Roman" w:eastAsia="宋体"/>
          <w:color w:val="auto"/>
        </w:rPr>
      </w:pPr>
      <w:r>
        <w:rPr>
          <w:rFonts w:hint="eastAsia" w:ascii="Times New Roman" w:hAnsi="Times New Roman" w:eastAsia="宋体"/>
          <w:color w:val="auto"/>
        </w:rPr>
        <w:t>（3）施工产生的建筑垃圾不得随意抛洒，应集中收集并及时清运，防止污染物进入土壤环境造成污染。</w:t>
      </w:r>
    </w:p>
    <w:p w14:paraId="6F577735">
      <w:pPr>
        <w:pStyle w:val="11"/>
        <w:bidi w:val="0"/>
        <w:rPr>
          <w:rFonts w:ascii="Times New Roman" w:hAnsi="Times New Roman" w:eastAsia="宋体"/>
          <w:color w:val="auto"/>
        </w:rPr>
      </w:pPr>
      <w:r>
        <w:rPr>
          <w:rFonts w:hint="eastAsia" w:ascii="Times New Roman" w:hAnsi="Times New Roman" w:eastAsia="宋体"/>
          <w:color w:val="auto"/>
        </w:rPr>
        <w:t>（4）项目区地处风蚀区，施工期需严格落实各项水土流失防治措施，施工完毕后通过对临时占地采取土地平整和防沙治沙措施，地表基本可免受水土流失。</w:t>
      </w:r>
    </w:p>
    <w:p w14:paraId="540EAC01">
      <w:pPr>
        <w:pStyle w:val="5"/>
        <w:bidi w:val="0"/>
        <w:rPr>
          <w:rFonts w:hint="default"/>
          <w:color w:val="auto"/>
          <w:lang w:val="en-US" w:eastAsia="zh-CN"/>
        </w:rPr>
      </w:pPr>
      <w:r>
        <w:rPr>
          <w:rFonts w:hint="eastAsia"/>
          <w:color w:val="auto"/>
          <w:lang w:val="en-US" w:eastAsia="zh-CN"/>
        </w:rPr>
        <w:t>6.1.6施工期生态环境保护措施</w:t>
      </w:r>
    </w:p>
    <w:p w14:paraId="08A423C1">
      <w:pPr>
        <w:pStyle w:val="6"/>
        <w:bidi w:val="0"/>
        <w:rPr>
          <w:rFonts w:hint="default"/>
          <w:color w:val="auto"/>
          <w:lang w:val="en-US" w:eastAsia="zh-CN"/>
        </w:rPr>
      </w:pPr>
      <w:r>
        <w:rPr>
          <w:rFonts w:hint="eastAsia"/>
          <w:color w:val="auto"/>
          <w:lang w:val="en-US" w:eastAsia="zh-CN"/>
        </w:rPr>
        <w:t>6.1.6.1避让措施</w:t>
      </w:r>
    </w:p>
    <w:p w14:paraId="56E963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管线地面建设工程在设计时，应对选址、选线进行多方案比选，合理选址、选线</w:t>
      </w:r>
      <w:r>
        <w:rPr>
          <w:rFonts w:hint="eastAsia" w:cs="Times New Roman"/>
          <w:color w:val="auto"/>
          <w:sz w:val="24"/>
          <w:szCs w:val="24"/>
          <w:highlight w:val="none"/>
          <w:lang w:val="en-US" w:eastAsia="zh-CN"/>
        </w:rPr>
        <w:t>。</w:t>
      </w:r>
    </w:p>
    <w:p w14:paraId="65E6B8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合理选择管道线路走向，避开不良地质、特殊地质和水土流失严重地段。</w:t>
      </w:r>
    </w:p>
    <w:p w14:paraId="24BF9D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尽量利用已有道路，减少施工临时用地，尤其是少占林地；施工便道的选线应避免和尽量减少对地表植被的破坏和影响。</w:t>
      </w:r>
    </w:p>
    <w:p w14:paraId="2CA72C7E">
      <w:pPr>
        <w:pStyle w:val="6"/>
        <w:bidi w:val="0"/>
        <w:rPr>
          <w:rFonts w:hint="default"/>
          <w:color w:val="auto"/>
          <w:lang w:val="en-US" w:eastAsia="zh-CN"/>
        </w:rPr>
      </w:pPr>
      <w:r>
        <w:rPr>
          <w:rFonts w:hint="eastAsia"/>
          <w:color w:val="auto"/>
          <w:lang w:val="en-US" w:eastAsia="zh-CN"/>
        </w:rPr>
        <w:t>6.1.6.2减缓措施</w:t>
      </w:r>
    </w:p>
    <w:p w14:paraId="483341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（1）合理选址选线，最大程度避让环境保护目标。</w:t>
      </w:r>
    </w:p>
    <w:p w14:paraId="0833B2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（2）合理规划施工工序，尽量减少临时占地面积，提高工效，缩短施工时间，及时恢复地表。</w:t>
      </w:r>
    </w:p>
    <w:p w14:paraId="72E86A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（3）控制施工车辆的停放和施工材料的堆放。</w:t>
      </w:r>
    </w:p>
    <w:p w14:paraId="544CBE3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（4）管沟开挖时可进行表土剥离，管线敷设完成后逆向分层回填，对管线施工区进行土地平整。</w:t>
      </w:r>
    </w:p>
    <w:p w14:paraId="2DCFC6D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（5）施工期避开雨季，注意保护周边植被，尽可能减少对植被和土地的破坏。</w:t>
      </w:r>
    </w:p>
    <w:p w14:paraId="23F4339E">
      <w:pPr>
        <w:pStyle w:val="6"/>
        <w:bidi w:val="0"/>
        <w:rPr>
          <w:rFonts w:hint="default"/>
          <w:color w:val="auto"/>
          <w:lang w:val="en-US" w:eastAsia="zh-CN"/>
        </w:rPr>
      </w:pPr>
      <w:r>
        <w:rPr>
          <w:rFonts w:hint="eastAsia"/>
          <w:color w:val="auto"/>
          <w:lang w:val="en-US" w:eastAsia="zh-CN"/>
        </w:rPr>
        <w:t>6.1.6.3生态补偿措施</w:t>
      </w:r>
    </w:p>
    <w:p w14:paraId="395FC15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为了弥补因本项目建设引起的植被占用和破坏导致的生态损失，评价要求按占多少补多少的原则进行生态补偿，由建设单位出资</w:t>
      </w:r>
      <w:r>
        <w:rPr>
          <w:rFonts w:hint="eastAsia" w:cs="Times New Roman"/>
          <w:color w:val="auto"/>
          <w:sz w:val="24"/>
          <w:szCs w:val="24"/>
          <w:lang w:eastAsia="zh-CN"/>
        </w:rPr>
        <w:t>，由</w:t>
      </w:r>
      <w:r>
        <w:rPr>
          <w:rFonts w:hint="eastAsia" w:ascii="Times New Roman" w:hAnsi="Times New Roman" w:eastAsia="宋体" w:cs="Times New Roman"/>
          <w:color w:val="auto"/>
          <w:sz w:val="24"/>
          <w:szCs w:val="24"/>
          <w:lang w:eastAsia="zh-CN"/>
        </w:rPr>
        <w:t>有关部门具体实施。对临时占地进行植被恢复，生态恢复措施要在紧邻施工完成的生长季节进行。</w:t>
      </w:r>
    </w:p>
    <w:p w14:paraId="6A4DA18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根据油田的环境特征、立地条件、气候等环境因素，结合类比本项目资料，推荐油田植被恢复以灌草为主，植物种类应选择当地易生长的物种。</w:t>
      </w:r>
    </w:p>
    <w:p w14:paraId="15B5E8A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生态恢复的具体措施如下：</w:t>
      </w:r>
    </w:p>
    <w:p w14:paraId="35BECDD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（1）施工结束后，临时占地撒播草种或种生长快、耐干旱的品种；</w:t>
      </w:r>
    </w:p>
    <w:p w14:paraId="1A95073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（2）在其它受破坏和干扰的区域，要及时修整，恢复原貌，植被（自然的、人工的）破坏应在施工结束后的半年或来年予以恢复。</w:t>
      </w:r>
    </w:p>
    <w:p w14:paraId="354109B8">
      <w:pPr>
        <w:pStyle w:val="6"/>
        <w:bidi w:val="0"/>
        <w:rPr>
          <w:rFonts w:hint="default"/>
          <w:color w:val="auto"/>
          <w:lang w:val="en-US" w:eastAsia="zh-CN"/>
        </w:rPr>
      </w:pPr>
      <w:r>
        <w:rPr>
          <w:rFonts w:hint="eastAsia"/>
          <w:color w:val="auto"/>
          <w:lang w:val="en-US" w:eastAsia="zh-CN"/>
        </w:rPr>
        <w:t>6.1.6.4生态保护与修复措施</w:t>
      </w:r>
    </w:p>
    <w:p w14:paraId="1AE6C791">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1</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井场、阀池生态保护措施</w:t>
      </w:r>
    </w:p>
    <w:p w14:paraId="47DA0E8B">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①控制作业面范围，</w:t>
      </w:r>
      <w:r>
        <w:rPr>
          <w:rFonts w:hint="eastAsia"/>
          <w:color w:val="auto"/>
        </w:rPr>
        <w:t>地面工程设施建设应尽量减少临时占地</w:t>
      </w:r>
      <w:r>
        <w:rPr>
          <w:rFonts w:hint="eastAsia"/>
          <w:color w:val="auto"/>
          <w:lang w:eastAsia="zh-CN"/>
        </w:rPr>
        <w:t>。</w:t>
      </w:r>
    </w:p>
    <w:p w14:paraId="45AE4F41">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w:t>
      </w:r>
      <w:r>
        <w:rPr>
          <w:rFonts w:hint="eastAsia"/>
          <w:color w:val="auto"/>
        </w:rPr>
        <w:t>做好施工过程中固废的收集，防止金属边角料等混入土层而污染土壤及地下水。</w:t>
      </w:r>
    </w:p>
    <w:p w14:paraId="77CC605B">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2</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管线生态保护措施</w:t>
      </w:r>
    </w:p>
    <w:p w14:paraId="614A1AD9">
      <w:pPr>
        <w:pStyle w:val="11"/>
        <w:bidi w:val="0"/>
        <w:rPr>
          <w:rFonts w:hint="eastAsia" w:ascii="Times New Roman" w:hAnsi="Times New Roman" w:eastAsia="宋体"/>
          <w:color w:val="auto"/>
        </w:rPr>
      </w:pPr>
      <w:r>
        <w:rPr>
          <w:rFonts w:hint="eastAsia" w:ascii="Times New Roman" w:hAnsi="Times New Roman" w:eastAsia="宋体"/>
          <w:color w:val="auto"/>
        </w:rPr>
        <w:t>①在开挖地表、平整土地时，尽可能将表土堆在一旁，施工完毕，应尽快整理施工现场，将表土覆盖在原地表，以恢复植被。严格执行分段施工、分层开挖、分层堆放、分层回填的作业制度。</w:t>
      </w:r>
    </w:p>
    <w:p w14:paraId="639711E6">
      <w:pPr>
        <w:pStyle w:val="11"/>
        <w:bidi w:val="0"/>
        <w:rPr>
          <w:rFonts w:hint="eastAsia" w:ascii="Times New Roman" w:hAnsi="Times New Roman" w:eastAsia="宋体"/>
          <w:color w:val="auto"/>
        </w:rPr>
      </w:pPr>
      <w:r>
        <w:rPr>
          <w:rFonts w:hint="eastAsia" w:ascii="Times New Roman" w:hAnsi="Times New Roman" w:eastAsia="宋体"/>
          <w:color w:val="auto"/>
        </w:rPr>
        <w:t>②在管线建设过程中，应兼顾线路走向与生态环境保护，以减轻对生态环境的破坏。</w:t>
      </w:r>
    </w:p>
    <w:p w14:paraId="09DE4532">
      <w:pPr>
        <w:pStyle w:val="11"/>
        <w:bidi w:val="0"/>
        <w:rPr>
          <w:rFonts w:hint="eastAsia" w:ascii="Times New Roman" w:hAnsi="Times New Roman" w:eastAsia="宋体"/>
          <w:color w:val="auto"/>
        </w:rPr>
      </w:pPr>
      <w:r>
        <w:rPr>
          <w:rFonts w:hint="eastAsia" w:ascii="Times New Roman" w:hAnsi="Times New Roman" w:eastAsia="宋体"/>
          <w:color w:val="auto"/>
        </w:rPr>
        <w:t>③按施工作业带宽度确定植被恢复范围，尽量采用作业带范围内原有物种进行植被恢复。</w:t>
      </w:r>
    </w:p>
    <w:p w14:paraId="56A8EC77">
      <w:pPr>
        <w:pStyle w:val="11"/>
        <w:bidi w:val="0"/>
        <w:rPr>
          <w:rFonts w:hint="eastAsia" w:ascii="Times New Roman" w:hAnsi="Times New Roman" w:eastAsia="宋体"/>
          <w:color w:val="auto"/>
        </w:rPr>
      </w:pPr>
      <w:r>
        <w:rPr>
          <w:rFonts w:hint="eastAsia" w:ascii="Times New Roman" w:hAnsi="Times New Roman" w:eastAsia="宋体"/>
          <w:color w:val="auto"/>
        </w:rPr>
        <w:t>④选择最佳时间施工，既便于管线敷设，又利于水土保持；既保证工程质量，又节约经费开支。</w:t>
      </w:r>
    </w:p>
    <w:p w14:paraId="061994FA">
      <w:pPr>
        <w:pStyle w:val="33"/>
        <w:bidi w:val="0"/>
        <w:rPr>
          <w:color w:val="auto"/>
        </w:rPr>
      </w:pPr>
      <w:r>
        <w:rPr>
          <w:rFonts w:hint="eastAsia"/>
          <w:color w:val="auto"/>
        </w:rPr>
        <w:t>管线施工生态保护措施平面布置示意图见</w:t>
      </w:r>
      <w:r>
        <w:rPr>
          <w:rFonts w:hint="eastAsia"/>
          <w:color w:val="auto"/>
          <w:lang w:eastAsia="zh-CN"/>
        </w:rPr>
        <w:fldChar w:fldCharType="begin"/>
      </w:r>
      <w:r>
        <w:rPr>
          <w:rFonts w:hint="eastAsia"/>
          <w:color w:val="auto"/>
          <w:lang w:eastAsia="zh-CN"/>
        </w:rPr>
        <w:instrText xml:space="preserve"> REF _Ref14800 \h </w:instrText>
      </w:r>
      <w:r>
        <w:rPr>
          <w:rFonts w:hint="eastAsia"/>
          <w:color w:val="auto"/>
          <w:lang w:eastAsia="zh-CN"/>
        </w:rPr>
        <w:fldChar w:fldCharType="separate"/>
      </w:r>
      <w:r>
        <w:rPr>
          <w:color w:val="auto"/>
        </w:rPr>
        <w:t>图</w:t>
      </w:r>
      <w:r>
        <w:rPr>
          <w:rFonts w:hint="eastAsia"/>
          <w:color w:val="auto"/>
          <w:lang w:val="en-US" w:eastAsia="zh-CN"/>
        </w:rPr>
        <w:t>6</w:t>
      </w:r>
      <w:r>
        <w:rPr>
          <w:rFonts w:hint="eastAsia"/>
          <w:color w:val="auto"/>
          <w:lang w:eastAsia="zh-CN"/>
        </w:rPr>
        <w:fldChar w:fldCharType="end"/>
      </w:r>
      <w:r>
        <w:rPr>
          <w:rFonts w:hint="eastAsia"/>
          <w:color w:val="auto"/>
          <w:lang w:val="en-US" w:eastAsia="zh-CN"/>
        </w:rPr>
        <w:t>.1-1</w:t>
      </w:r>
      <w:r>
        <w:rPr>
          <w:rFonts w:hint="eastAsia"/>
          <w:color w:val="auto"/>
        </w:rPr>
        <w:t>。</w:t>
      </w:r>
    </w:p>
    <w:p w14:paraId="488EAE58">
      <w:pPr>
        <w:ind w:firstLine="0"/>
        <w:jc w:val="center"/>
        <w:rPr>
          <w:color w:val="auto"/>
        </w:rPr>
      </w:pPr>
      <w:r>
        <w:rPr>
          <w:color w:val="auto"/>
        </w:rPr>
        <w:drawing>
          <wp:inline distT="0" distB="0" distL="0" distR="0">
            <wp:extent cx="3218815" cy="1534795"/>
            <wp:effectExtent l="0" t="0" r="635"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218815" cy="1534795"/>
                    </a:xfrm>
                    <a:prstGeom prst="rect">
                      <a:avLst/>
                    </a:prstGeom>
                    <a:noFill/>
                    <a:ln>
                      <a:noFill/>
                    </a:ln>
                  </pic:spPr>
                </pic:pic>
              </a:graphicData>
            </a:graphic>
          </wp:inline>
        </w:drawing>
      </w:r>
    </w:p>
    <w:p w14:paraId="514D0569">
      <w:pPr>
        <w:pStyle w:val="43"/>
        <w:bidi w:val="0"/>
        <w:rPr>
          <w:color w:val="auto"/>
        </w:rPr>
      </w:pPr>
      <w:bookmarkStart w:id="281" w:name="_Ref114214453"/>
      <w:bookmarkEnd w:id="281"/>
      <w:bookmarkStart w:id="282" w:name="_Ref14800"/>
      <w:r>
        <w:rPr>
          <w:color w:val="auto"/>
        </w:rPr>
        <w:t>图</w:t>
      </w:r>
      <w:bookmarkEnd w:id="282"/>
      <w:r>
        <w:rPr>
          <w:rFonts w:hint="eastAsia"/>
          <w:color w:val="auto"/>
          <w:lang w:val="en-US" w:eastAsia="zh-CN"/>
        </w:rPr>
        <w:t>6.1-1</w:t>
      </w:r>
      <w:r>
        <w:rPr>
          <w:color w:val="auto"/>
        </w:rPr>
        <w:t xml:space="preserve">  管线施工临时占地植被恢复示意图</w:t>
      </w:r>
    </w:p>
    <w:p w14:paraId="1CF0A82F">
      <w:pPr>
        <w:pStyle w:val="6"/>
        <w:bidi w:val="0"/>
        <w:rPr>
          <w:rFonts w:hint="default"/>
          <w:color w:val="auto"/>
          <w:lang w:val="en-US" w:eastAsia="zh-CN"/>
        </w:rPr>
      </w:pPr>
      <w:r>
        <w:rPr>
          <w:rFonts w:hint="eastAsia"/>
          <w:color w:val="auto"/>
          <w:lang w:val="en-US" w:eastAsia="zh-CN"/>
        </w:rPr>
        <w:t>6.1.6.5水土保持措施</w:t>
      </w:r>
    </w:p>
    <w:p w14:paraId="12431CDA">
      <w:pPr>
        <w:pStyle w:val="11"/>
        <w:bidi w:val="0"/>
        <w:rPr>
          <w:rFonts w:ascii="Times New Roman" w:hAnsi="Times New Roman" w:eastAsia="宋体"/>
          <w:color w:val="auto"/>
        </w:rPr>
      </w:pPr>
      <w:r>
        <w:rPr>
          <w:rFonts w:hint="eastAsia" w:ascii="Times New Roman" w:hAnsi="Times New Roman" w:eastAsia="宋体"/>
          <w:color w:val="auto"/>
        </w:rPr>
        <w:t>本工程部分井区位于塔城地区和布克赛尔蒙古自治县境内，属于自治区级水土流失重点治理区II</w:t>
      </w:r>
      <w:r>
        <w:rPr>
          <w:rFonts w:hint="eastAsia" w:ascii="Times New Roman" w:hAnsi="Times New Roman" w:eastAsia="宋体"/>
          <w:color w:val="auto"/>
          <w:vertAlign w:val="subscript"/>
        </w:rPr>
        <w:t>2</w:t>
      </w:r>
      <w:r>
        <w:rPr>
          <w:rFonts w:hint="eastAsia" w:ascii="Times New Roman" w:hAnsi="Times New Roman" w:eastAsia="宋体"/>
          <w:color w:val="auto"/>
        </w:rPr>
        <w:t>天山北坡诸小河流域重点治理区，气候干燥，风力强大，地表土质疏松干燥，区域大部分土壤表层为砂砾石砾慕所覆盖，植被分布稀疏，属于典型荒漠生态系统。根据现场调查，在植被遭到破坏的区域，在自然条件下很难得到恢复。由于受到区域土壤、水分等条件的限制，本工程进行植被恢复在经济技术条件下将很难实现，因此，本次水土保持主要以工程措施为主。本次井场施工仅进行设备安装及更换，因此水土保持工程措施以管线为主。</w:t>
      </w:r>
    </w:p>
    <w:p w14:paraId="6A843486">
      <w:pPr>
        <w:pStyle w:val="11"/>
        <w:bidi w:val="0"/>
        <w:rPr>
          <w:rFonts w:hint="eastAsia" w:ascii="Times New Roman" w:hAnsi="Times New Roman" w:eastAsia="宋体"/>
          <w:color w:val="auto"/>
        </w:rPr>
      </w:pPr>
      <w:r>
        <w:rPr>
          <w:rFonts w:hint="eastAsia" w:ascii="Times New Roman" w:hAnsi="Times New Roman" w:eastAsia="宋体"/>
          <w:color w:val="auto"/>
        </w:rPr>
        <w:t>（1）工程防治措施</w:t>
      </w:r>
    </w:p>
    <w:p w14:paraId="0C9F1285">
      <w:pPr>
        <w:pStyle w:val="11"/>
        <w:bidi w:val="0"/>
        <w:rPr>
          <w:rFonts w:hint="eastAsia" w:ascii="Times New Roman" w:hAnsi="Times New Roman" w:eastAsia="宋体"/>
          <w:color w:val="auto"/>
        </w:rPr>
      </w:pPr>
      <w:r>
        <w:rPr>
          <w:rFonts w:hint="eastAsia" w:ascii="Times New Roman" w:hAnsi="Times New Roman" w:eastAsia="宋体"/>
          <w:color w:val="auto"/>
        </w:rPr>
        <w:t>①应划定施工活动范围，严格控制和管理车辆及重型机械的行驶范围，所有车辆采用“一”字型作业方法，走统一车辙，避免加行开辟新路，以减少风沙活动。</w:t>
      </w:r>
    </w:p>
    <w:p w14:paraId="6BB5F2CC">
      <w:pPr>
        <w:pStyle w:val="11"/>
        <w:bidi w:val="0"/>
        <w:rPr>
          <w:rFonts w:hint="eastAsia" w:ascii="Times New Roman" w:hAnsi="Times New Roman" w:eastAsia="宋体"/>
          <w:color w:val="auto"/>
        </w:rPr>
      </w:pPr>
      <w:r>
        <w:rPr>
          <w:rFonts w:hint="eastAsia" w:ascii="Times New Roman" w:hAnsi="Times New Roman" w:eastAsia="宋体"/>
          <w:color w:val="auto"/>
        </w:rPr>
        <w:t>②管沟挖、填方作业应做到互补平衡，地面建设产生的弃方不得随处堆放，应合理利用，如建设管堤等。</w:t>
      </w:r>
    </w:p>
    <w:p w14:paraId="228FC8E6">
      <w:pPr>
        <w:pStyle w:val="11"/>
        <w:bidi w:val="0"/>
        <w:rPr>
          <w:rFonts w:hint="eastAsia" w:ascii="Times New Roman" w:hAnsi="Times New Roman" w:eastAsia="宋体"/>
          <w:color w:val="auto"/>
        </w:rPr>
      </w:pPr>
      <w:r>
        <w:rPr>
          <w:rFonts w:hint="eastAsia" w:ascii="Times New Roman" w:hAnsi="Times New Roman" w:eastAsia="宋体"/>
          <w:color w:val="auto"/>
        </w:rPr>
        <w:t>③管沟回填应按层回填，以利施工带土壤和植被的尽早恢复。回填后应予以平整、压实，以免发生水土流失。</w:t>
      </w:r>
    </w:p>
    <w:p w14:paraId="7F9357A3">
      <w:pPr>
        <w:pStyle w:val="11"/>
        <w:bidi w:val="0"/>
        <w:rPr>
          <w:rFonts w:hint="eastAsia" w:ascii="Times New Roman" w:hAnsi="Times New Roman" w:eastAsia="宋体"/>
          <w:color w:val="auto"/>
        </w:rPr>
      </w:pPr>
      <w:r>
        <w:rPr>
          <w:rFonts w:hint="eastAsia" w:ascii="Times New Roman" w:hAnsi="Times New Roman" w:eastAsia="宋体"/>
          <w:color w:val="auto"/>
        </w:rPr>
        <w:t>④管线经过的斜坡、土坎等地段，工程设计中应修筑护坡堡坎的方式来防止水土流失。</w:t>
      </w:r>
    </w:p>
    <w:p w14:paraId="65F536EF">
      <w:pPr>
        <w:pStyle w:val="11"/>
        <w:bidi w:val="0"/>
        <w:rPr>
          <w:rFonts w:hint="eastAsia" w:ascii="Times New Roman" w:hAnsi="Times New Roman" w:eastAsia="宋体"/>
          <w:color w:val="auto"/>
        </w:rPr>
      </w:pPr>
      <w:r>
        <w:rPr>
          <w:rFonts w:hint="eastAsia" w:ascii="Times New Roman" w:hAnsi="Times New Roman" w:eastAsia="宋体"/>
          <w:color w:val="auto"/>
        </w:rPr>
        <w:t>⑤为减少风沙危害，线路走向应尽量与地形走向一致，尽量绕开植被，并在垄间通过。与道路纵向一致的管道建设，恢复后的地面应低于路面，并置于道路背风一侧。</w:t>
      </w:r>
    </w:p>
    <w:p w14:paraId="7A6CF345">
      <w:pPr>
        <w:pStyle w:val="11"/>
        <w:bidi w:val="0"/>
        <w:rPr>
          <w:rFonts w:hint="eastAsia" w:ascii="Times New Roman" w:hAnsi="Times New Roman" w:eastAsia="宋体"/>
          <w:color w:val="auto"/>
        </w:rPr>
      </w:pPr>
      <w:r>
        <w:rPr>
          <w:rFonts w:hint="eastAsia" w:ascii="Times New Roman" w:hAnsi="Times New Roman" w:eastAsia="宋体"/>
          <w:color w:val="auto"/>
        </w:rPr>
        <w:t>⑥施工结束后，做好施工基地的恢复工作，应结合地形修整成一定形状，与周围环境相协调，井场区域及道路两侧采用砂砾石铺垫，防止风蚀现象发生。</w:t>
      </w:r>
    </w:p>
    <w:p w14:paraId="09DAB184">
      <w:pPr>
        <w:pStyle w:val="11"/>
        <w:bidi w:val="0"/>
        <w:rPr>
          <w:rFonts w:hint="eastAsia" w:ascii="Times New Roman" w:hAnsi="Times New Roman" w:eastAsia="宋体"/>
          <w:color w:val="auto"/>
        </w:rPr>
      </w:pPr>
      <w:r>
        <w:rPr>
          <w:rFonts w:hint="eastAsia" w:ascii="Times New Roman" w:hAnsi="Times New Roman" w:eastAsia="宋体"/>
          <w:color w:val="auto"/>
        </w:rPr>
        <w:t>（2）水土保持管理措施</w:t>
      </w:r>
    </w:p>
    <w:p w14:paraId="74BBADD4">
      <w:pPr>
        <w:pStyle w:val="11"/>
        <w:bidi w:val="0"/>
        <w:rPr>
          <w:rFonts w:hint="eastAsia" w:ascii="Times New Roman" w:hAnsi="Times New Roman" w:eastAsia="宋体"/>
          <w:color w:val="auto"/>
        </w:rPr>
      </w:pPr>
      <w:r>
        <w:rPr>
          <w:rFonts w:hint="eastAsia" w:ascii="Times New Roman" w:hAnsi="Times New Roman" w:eastAsia="宋体"/>
          <w:color w:val="auto"/>
        </w:rPr>
        <w:t>对工程措施的管理要纳入生产管理计划之中，专业人员负责施工设计和技术指导，在责任范围内建立相应的管理措施。根据《中华人民共和国水土保持法》，在山区、丘陵区、风沙区以及水土保持规划确定的容易发生水土流失的其他区域开展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p w14:paraId="59801BDE">
      <w:pPr>
        <w:pStyle w:val="11"/>
        <w:bidi w:val="0"/>
        <w:rPr>
          <w:rFonts w:hint="eastAsia" w:ascii="Times New Roman" w:hAnsi="Times New Roman" w:eastAsia="宋体"/>
          <w:color w:val="auto"/>
        </w:rPr>
      </w:pPr>
      <w:r>
        <w:rPr>
          <w:rFonts w:hint="eastAsia" w:ascii="Times New Roman" w:hAnsi="Times New Roman" w:eastAsia="宋体"/>
          <w:color w:val="auto"/>
        </w:rPr>
        <w:t>①项目选线和拟采用的技术标准，应该充分考虑水土流失因素，尽量避开植被茂盛地段，施工期间严格划定施工活动范围，严格控制和管理运输车辆及重型机械的运行范围，不另辟施工便道，不得离开运输道路及随意驾驶。由专人监督负责，以防破坏土壤和植被。</w:t>
      </w:r>
    </w:p>
    <w:p w14:paraId="5AD7C909">
      <w:pPr>
        <w:pStyle w:val="11"/>
        <w:bidi w:val="0"/>
        <w:rPr>
          <w:rFonts w:hint="eastAsia" w:ascii="Times New Roman" w:hAnsi="Times New Roman" w:eastAsia="宋体"/>
          <w:color w:val="auto"/>
        </w:rPr>
      </w:pPr>
      <w:r>
        <w:rPr>
          <w:rFonts w:hint="eastAsia" w:ascii="Times New Roman" w:hAnsi="Times New Roman" w:eastAsia="宋体"/>
          <w:color w:val="auto"/>
        </w:rPr>
        <w:t>②严禁在大风、大雨天气下施工，特别是深挖和回填等作业。</w:t>
      </w:r>
    </w:p>
    <w:p w14:paraId="6FA55B58">
      <w:pPr>
        <w:pStyle w:val="11"/>
        <w:bidi w:val="0"/>
        <w:rPr>
          <w:rFonts w:hint="eastAsia" w:ascii="Times New Roman" w:hAnsi="Times New Roman" w:eastAsia="宋体"/>
          <w:color w:val="auto"/>
        </w:rPr>
      </w:pPr>
      <w:r>
        <w:rPr>
          <w:rFonts w:hint="eastAsia" w:ascii="Times New Roman" w:hAnsi="Times New Roman" w:eastAsia="宋体"/>
          <w:color w:val="auto"/>
        </w:rPr>
        <w:t>③建设项目主管部门应该积极主动加强水土保持管理，对施工人员进行培训和教育，自觉保持水土，保护植被。严禁施工材料乱堆乱放，不随意乱采乱挖沿线植被。</w:t>
      </w:r>
    </w:p>
    <w:p w14:paraId="62858B9D">
      <w:pPr>
        <w:pStyle w:val="11"/>
        <w:bidi w:val="0"/>
        <w:rPr>
          <w:rFonts w:hint="eastAsia" w:ascii="Times New Roman" w:hAnsi="Times New Roman" w:eastAsia="宋体"/>
          <w:color w:val="auto"/>
        </w:rPr>
      </w:pPr>
      <w:r>
        <w:rPr>
          <w:rFonts w:hint="eastAsia" w:ascii="Times New Roman" w:hAnsi="Times New Roman" w:eastAsia="宋体"/>
          <w:color w:val="auto"/>
        </w:rPr>
        <w:t>④对施工迹地恢复平整，以减少区域水土流失量的增加。</w:t>
      </w:r>
    </w:p>
    <w:p w14:paraId="08E023B7">
      <w:pPr>
        <w:pStyle w:val="11"/>
        <w:bidi w:val="0"/>
        <w:rPr>
          <w:rFonts w:hint="eastAsia" w:ascii="Times New Roman" w:hAnsi="Times New Roman" w:eastAsia="宋体"/>
          <w:color w:val="auto"/>
        </w:rPr>
      </w:pPr>
      <w:r>
        <w:rPr>
          <w:rFonts w:hint="eastAsia" w:ascii="Times New Roman" w:hAnsi="Times New Roman" w:eastAsia="宋体"/>
          <w:color w:val="auto"/>
        </w:rPr>
        <w:t>⑤加强施工期管理，加速建设进度，减少施工期水土流失的产生；同时在施工期间，应提前制定严密的交通管理措施。</w:t>
      </w:r>
    </w:p>
    <w:p w14:paraId="2092D1C0">
      <w:pPr>
        <w:pStyle w:val="6"/>
        <w:bidi w:val="0"/>
        <w:rPr>
          <w:rFonts w:hint="default"/>
          <w:color w:val="auto"/>
          <w:lang w:val="en-US" w:eastAsia="zh-CN"/>
        </w:rPr>
      </w:pPr>
      <w:r>
        <w:rPr>
          <w:rFonts w:hint="eastAsia"/>
          <w:color w:val="auto"/>
          <w:lang w:val="en-US" w:eastAsia="zh-CN"/>
        </w:rPr>
        <w:t>6.1.6.6防沙治沙措施</w:t>
      </w:r>
    </w:p>
    <w:p w14:paraId="0E141D3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建设单位应严格按照《中华人民共和国防沙治沙法》《关于加强沙区建设项目环境影响评价工作的通知》（新环环评发〔2020〕138号）中有关规定，执行以下防沙治沙防治措施：</w:t>
      </w:r>
    </w:p>
    <w:p w14:paraId="3E71774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（1）大力宣传《</w:t>
      </w:r>
      <w:r>
        <w:rPr>
          <w:rFonts w:hint="eastAsia" w:ascii="Times New Roman" w:hAnsi="Times New Roman" w:eastAsia="宋体" w:cs="Times New Roman"/>
          <w:color w:val="auto"/>
          <w:sz w:val="24"/>
          <w:szCs w:val="24"/>
          <w:lang w:val="en-US" w:eastAsia="zh-CN"/>
        </w:rPr>
        <w:t>中华人民共和国</w:t>
      </w:r>
      <w:r>
        <w:rPr>
          <w:rFonts w:hint="default" w:ascii="Times New Roman" w:hAnsi="Times New Roman" w:eastAsia="宋体" w:cs="Times New Roman"/>
          <w:color w:val="auto"/>
          <w:sz w:val="24"/>
          <w:szCs w:val="24"/>
        </w:rPr>
        <w:t>防沙治沙法》，使施工人员知法、懂法、守法，自觉保护林草植被，自觉履行防治义务。禁止在沙化土地上砍挖灌木、药材及其他固沙植物。</w:t>
      </w:r>
    </w:p>
    <w:p w14:paraId="2B7A844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（2）施工结束后对占地进行平整，清运现场遗留的污染物，按照正式征地文件的规定对占地进行经济补偿。</w:t>
      </w:r>
    </w:p>
    <w:p w14:paraId="3DEE386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（3）严格控制各项工程作业面积，井场永久占地范围内用砾石铺垫，所有车辆尽量走统一车辙，避</w:t>
      </w:r>
      <w:r>
        <w:rPr>
          <w:rFonts w:hint="eastAsia" w:cs="Times New Roman"/>
          <w:color w:val="auto"/>
          <w:sz w:val="24"/>
          <w:szCs w:val="24"/>
          <w:lang w:eastAsia="zh-CN"/>
        </w:rPr>
        <w:t>免强</w:t>
      </w:r>
      <w:r>
        <w:rPr>
          <w:rFonts w:hint="default" w:ascii="Times New Roman" w:hAnsi="Times New Roman" w:eastAsia="宋体" w:cs="Times New Roman"/>
          <w:color w:val="auto"/>
          <w:sz w:val="24"/>
          <w:szCs w:val="24"/>
        </w:rPr>
        <w:t>行开辟新路，以减少风沙活动。</w:t>
      </w:r>
    </w:p>
    <w:p w14:paraId="210805C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（4））加强对野生植物的保护，尽量减少对梭梭、白梭梭等优良固沙植被的破坏；加强运营期管理，严禁随意开设巡检道路，防止因人为扰动而加剧项目区沙化程度。</w:t>
      </w:r>
    </w:p>
    <w:p w14:paraId="3679C92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）优化施工组织，避免在大风天气进行土方作业。管线开挖的土方应分层开挖、分层堆放、分层回填，挖方全部回填，管廊上方土方平整压实；管线施工产生的临时堆土采用防尘网苫盖。</w:t>
      </w:r>
    </w:p>
    <w:p w14:paraId="714086D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）采取少占地、少破坏植被的原则，缩小施工范围；工程施工结束后采取自然恢复的方式对区域植被进行恢复</w:t>
      </w:r>
      <w:r>
        <w:rPr>
          <w:rFonts w:hint="default" w:ascii="Times New Roman" w:hAnsi="Times New Roman" w:eastAsia="宋体" w:cs="Times New Roman"/>
          <w:color w:val="auto"/>
          <w:sz w:val="24"/>
          <w:szCs w:val="24"/>
          <w:lang w:eastAsia="zh-CN"/>
        </w:rPr>
        <w:t>。</w:t>
      </w:r>
    </w:p>
    <w:p w14:paraId="256F954D">
      <w:pPr>
        <w:pStyle w:val="6"/>
        <w:bidi w:val="0"/>
        <w:rPr>
          <w:rFonts w:hint="default"/>
          <w:color w:val="auto"/>
          <w:lang w:val="en-US" w:eastAsia="zh-CN"/>
        </w:rPr>
      </w:pPr>
      <w:r>
        <w:rPr>
          <w:rFonts w:hint="eastAsia"/>
          <w:color w:val="auto"/>
          <w:lang w:val="en-US" w:eastAsia="zh-CN"/>
        </w:rPr>
        <w:t>6.1.6.7和布克赛尔江格尔沙漠公园保护措施</w:t>
      </w:r>
    </w:p>
    <w:p w14:paraId="62B38275">
      <w:pPr>
        <w:pStyle w:val="11"/>
        <w:bidi w:val="0"/>
        <w:rPr>
          <w:rFonts w:hint="eastAsia" w:ascii="Times New Roman" w:hAnsi="Times New Roman" w:eastAsia="宋体"/>
          <w:color w:val="auto"/>
        </w:rPr>
      </w:pPr>
      <w:r>
        <w:rPr>
          <w:rFonts w:hint="eastAsia" w:ascii="Times New Roman" w:hAnsi="Times New Roman" w:eastAsia="宋体"/>
          <w:color w:val="auto"/>
        </w:rPr>
        <w:t>本</w:t>
      </w:r>
      <w:r>
        <w:rPr>
          <w:rFonts w:hint="eastAsia" w:ascii="Times New Roman" w:hAnsi="Times New Roman" w:eastAsia="宋体"/>
          <w:color w:val="auto"/>
          <w:lang w:val="en-US" w:eastAsia="zh-CN"/>
        </w:rPr>
        <w:t>工程赛探1</w:t>
      </w:r>
      <w:r>
        <w:rPr>
          <w:rFonts w:hint="eastAsia" w:ascii="Times New Roman" w:hAnsi="Times New Roman" w:eastAsia="宋体"/>
          <w:color w:val="auto"/>
        </w:rPr>
        <w:t>井</w:t>
      </w:r>
      <w:r>
        <w:rPr>
          <w:rFonts w:hint="eastAsia" w:ascii="Times New Roman" w:hAnsi="Times New Roman" w:eastAsia="宋体"/>
          <w:color w:val="auto"/>
          <w:lang w:val="en-US" w:eastAsia="zh-CN"/>
        </w:rPr>
        <w:t>集油</w:t>
      </w:r>
      <w:r>
        <w:rPr>
          <w:rFonts w:hint="eastAsia" w:ascii="Times New Roman" w:hAnsi="Times New Roman" w:eastAsia="宋体"/>
          <w:color w:val="auto"/>
        </w:rPr>
        <w:t>管线距离和布克赛尔江格尔国家沙漠公园最近，为</w:t>
      </w:r>
      <w:r>
        <w:rPr>
          <w:rFonts w:hint="eastAsia" w:ascii="Times New Roman" w:hAnsi="Times New Roman" w:eastAsia="宋体"/>
          <w:color w:val="auto"/>
          <w:lang w:val="en-US" w:eastAsia="zh-CN"/>
        </w:rPr>
        <w:t>1.42k</w:t>
      </w:r>
      <w:r>
        <w:rPr>
          <w:rFonts w:hint="eastAsia" w:ascii="Times New Roman" w:hAnsi="Times New Roman" w:eastAsia="宋体"/>
          <w:color w:val="auto"/>
        </w:rPr>
        <w:t>m。项目建设活动不会进入沙漠公园内，符合沙漠公园相关文件要求。项目需采取的保护措施为：</w:t>
      </w:r>
    </w:p>
    <w:p w14:paraId="715CC505">
      <w:pPr>
        <w:pStyle w:val="11"/>
        <w:bidi w:val="0"/>
        <w:rPr>
          <w:rFonts w:hint="eastAsia" w:ascii="Times New Roman" w:hAnsi="Times New Roman" w:eastAsia="宋体"/>
          <w:color w:val="auto"/>
        </w:rPr>
      </w:pPr>
      <w:r>
        <w:rPr>
          <w:rFonts w:hint="eastAsia" w:ascii="Times New Roman" w:hAnsi="Times New Roman" w:eastAsia="宋体"/>
          <w:color w:val="auto"/>
        </w:rPr>
        <w:t>①严格按照《国家沙漠公园管理办法》（林沙发[2017]104 号）文件规定执行。除国家另有规定外，在国家沙漠公园范围内禁止下列行为：（一）开展房地产、高尔夫球场、大型楼堂馆所、工业开发、农业开发等建设项目；（二）直接排放或者堆放未经处理或者超标准的生活污水、废水、废渣、废物及其他污染物；（三）其他破坏或者有损荒漠生态系统功能的活动。</w:t>
      </w:r>
    </w:p>
    <w:p w14:paraId="294FB90E">
      <w:pPr>
        <w:pStyle w:val="11"/>
        <w:bidi w:val="0"/>
        <w:rPr>
          <w:rFonts w:hint="eastAsia" w:ascii="Times New Roman" w:hAnsi="Times New Roman" w:eastAsia="宋体"/>
          <w:color w:val="auto"/>
        </w:rPr>
      </w:pPr>
      <w:r>
        <w:rPr>
          <w:rFonts w:hint="eastAsia" w:ascii="Times New Roman" w:hAnsi="Times New Roman" w:eastAsia="宋体"/>
          <w:color w:val="auto"/>
        </w:rPr>
        <w:t>②项目施工场地邻近沙漠公园段，采取彩条旗限行，防止施工人员误入沙漠公园造成破坏。</w:t>
      </w:r>
    </w:p>
    <w:p w14:paraId="32AB08E2">
      <w:pPr>
        <w:pStyle w:val="11"/>
        <w:bidi w:val="0"/>
        <w:rPr>
          <w:rFonts w:hint="eastAsia" w:ascii="Times New Roman" w:hAnsi="Times New Roman" w:eastAsia="宋体"/>
          <w:color w:val="auto"/>
        </w:rPr>
      </w:pPr>
      <w:r>
        <w:rPr>
          <w:rFonts w:hint="eastAsia" w:ascii="Times New Roman" w:hAnsi="Times New Roman" w:eastAsia="宋体"/>
          <w:color w:val="auto"/>
        </w:rPr>
        <w:t>③靠近沙漠公园地带土方堆存过程中使用防尘网苫盖，并定期进行洒水抑尘。</w:t>
      </w:r>
    </w:p>
    <w:p w14:paraId="47CBA166">
      <w:pPr>
        <w:pStyle w:val="11"/>
        <w:bidi w:val="0"/>
        <w:rPr>
          <w:rFonts w:ascii="Times New Roman" w:hAnsi="Times New Roman" w:eastAsia="宋体"/>
          <w:color w:val="auto"/>
        </w:rPr>
      </w:pPr>
      <w:r>
        <w:rPr>
          <w:rFonts w:hint="eastAsia" w:ascii="Times New Roman" w:hAnsi="Times New Roman" w:eastAsia="宋体"/>
          <w:color w:val="auto"/>
        </w:rPr>
        <w:t>④管线路由靠近沙漠公园管段采用小型机械，必要时需人工开挖的方式减少施工作业带宽度。</w:t>
      </w:r>
    </w:p>
    <w:p w14:paraId="08F176A4">
      <w:pPr>
        <w:pStyle w:val="6"/>
        <w:bidi w:val="0"/>
        <w:rPr>
          <w:rFonts w:hint="default"/>
          <w:color w:val="auto"/>
          <w:lang w:val="en-US" w:eastAsia="zh-CN"/>
        </w:rPr>
      </w:pPr>
      <w:r>
        <w:rPr>
          <w:rFonts w:hint="eastAsia"/>
          <w:color w:val="auto"/>
          <w:lang w:val="en-US" w:eastAsia="zh-CN"/>
        </w:rPr>
        <w:t>6.1.6.8生态环境整治措施</w:t>
      </w:r>
    </w:p>
    <w:p w14:paraId="2493696B">
      <w:pPr>
        <w:pStyle w:val="11"/>
        <w:bidi w:val="0"/>
        <w:rPr>
          <w:rFonts w:hint="eastAsia" w:ascii="Times New Roman" w:hAnsi="Times New Roman" w:eastAsia="宋体"/>
          <w:color w:val="auto"/>
        </w:rPr>
      </w:pPr>
      <w:r>
        <w:rPr>
          <w:rFonts w:hint="eastAsia" w:ascii="Times New Roman" w:hAnsi="Times New Roman" w:eastAsia="宋体"/>
          <w:color w:val="auto"/>
        </w:rPr>
        <w:t>①工程施工应与水土保持工程同步进行，统一验收合格后才能竣工。</w:t>
      </w:r>
    </w:p>
    <w:p w14:paraId="5A1E4AF4">
      <w:pPr>
        <w:pStyle w:val="11"/>
        <w:bidi w:val="0"/>
        <w:rPr>
          <w:rFonts w:hint="eastAsia" w:ascii="Times New Roman" w:hAnsi="Times New Roman" w:eastAsia="宋体"/>
          <w:color w:val="auto"/>
        </w:rPr>
      </w:pPr>
      <w:r>
        <w:rPr>
          <w:rFonts w:hint="eastAsia" w:ascii="Times New Roman" w:hAnsi="Times New Roman" w:eastAsia="宋体"/>
          <w:color w:val="auto"/>
        </w:rPr>
        <w:t>②管线、井场和</w:t>
      </w:r>
      <w:r>
        <w:rPr>
          <w:rFonts w:hint="eastAsia" w:ascii="Times New Roman" w:hAnsi="Times New Roman" w:eastAsia="宋体"/>
          <w:color w:val="auto"/>
          <w:lang w:val="en-US" w:eastAsia="zh-CN"/>
        </w:rPr>
        <w:t>阀池</w:t>
      </w:r>
      <w:r>
        <w:rPr>
          <w:rFonts w:hint="eastAsia" w:ascii="Times New Roman" w:hAnsi="Times New Roman" w:eastAsia="宋体"/>
          <w:color w:val="auto"/>
        </w:rPr>
        <w:t>等建设施工区，雨季施工要做好临时排水及拦挡措施。</w:t>
      </w:r>
    </w:p>
    <w:p w14:paraId="49F411D7">
      <w:pPr>
        <w:pStyle w:val="11"/>
        <w:bidi w:val="0"/>
        <w:rPr>
          <w:rFonts w:hint="eastAsia" w:ascii="Times New Roman" w:hAnsi="Times New Roman" w:eastAsia="宋体"/>
          <w:color w:val="auto"/>
        </w:rPr>
      </w:pPr>
      <w:r>
        <w:rPr>
          <w:rFonts w:hint="eastAsia" w:ascii="Times New Roman" w:hAnsi="Times New Roman" w:eastAsia="宋体"/>
          <w:color w:val="auto"/>
        </w:rPr>
        <w:t>③大风天气要对易起尘场所，如各施工区的施工便道、管沟开挖土料堆放区、机械和人为活动扰动频繁区域，应采取遮盖、洒水等抑尘措施。</w:t>
      </w:r>
    </w:p>
    <w:p w14:paraId="23EB5272">
      <w:pPr>
        <w:pStyle w:val="11"/>
        <w:bidi w:val="0"/>
        <w:rPr>
          <w:rFonts w:hint="eastAsia" w:ascii="Times New Roman" w:hAnsi="Times New Roman" w:eastAsia="宋体"/>
          <w:color w:val="auto"/>
        </w:rPr>
      </w:pPr>
      <w:r>
        <w:rPr>
          <w:rFonts w:hint="eastAsia" w:ascii="Times New Roman" w:hAnsi="Times New Roman" w:eastAsia="宋体"/>
          <w:color w:val="auto"/>
        </w:rPr>
        <w:t>④管道敷设时，应分层开挖管沟，地表耕作土层集中堆放，安排挖方土堆放地，并采取临时覆盖措施。</w:t>
      </w:r>
    </w:p>
    <w:p w14:paraId="43BBF0AF">
      <w:pPr>
        <w:pStyle w:val="11"/>
        <w:bidi w:val="0"/>
        <w:rPr>
          <w:rFonts w:hint="eastAsia" w:ascii="Times New Roman" w:hAnsi="Times New Roman" w:eastAsia="宋体"/>
          <w:color w:val="auto"/>
        </w:rPr>
      </w:pPr>
      <w:r>
        <w:rPr>
          <w:rFonts w:hint="eastAsia" w:ascii="Times New Roman" w:hAnsi="Times New Roman" w:eastAsia="宋体"/>
          <w:color w:val="auto"/>
        </w:rPr>
        <w:t>⑤各施工场地平整时，要在各开挖面采取临时拦挡措施。挖方及时回填，不能立即回填的，在指定场所集中堆放，并做好临时防护措施。</w:t>
      </w:r>
    </w:p>
    <w:p w14:paraId="0016251E">
      <w:pPr>
        <w:pStyle w:val="11"/>
        <w:bidi w:val="0"/>
        <w:rPr>
          <w:rFonts w:hint="eastAsia" w:ascii="Times New Roman" w:hAnsi="Times New Roman" w:eastAsia="宋体"/>
          <w:color w:val="auto"/>
        </w:rPr>
      </w:pPr>
      <w:r>
        <w:rPr>
          <w:rFonts w:hint="eastAsia" w:ascii="Times New Roman" w:hAnsi="Times New Roman" w:eastAsia="宋体"/>
          <w:color w:val="auto"/>
        </w:rPr>
        <w:t>⑥各区域施工产生的建筑垃圾，要及时清运，堆放至指定场所，并实施平整、碾压覆土等，以利恢复植被。</w:t>
      </w:r>
    </w:p>
    <w:p w14:paraId="66B970B3">
      <w:pPr>
        <w:pStyle w:val="11"/>
        <w:bidi w:val="0"/>
        <w:rPr>
          <w:rFonts w:hint="eastAsia" w:ascii="Times New Roman" w:hAnsi="Times New Roman" w:eastAsia="宋体"/>
          <w:color w:val="auto"/>
        </w:rPr>
      </w:pPr>
      <w:r>
        <w:rPr>
          <w:rFonts w:hint="eastAsia" w:ascii="Times New Roman" w:hAnsi="Times New Roman" w:eastAsia="宋体"/>
          <w:color w:val="auto"/>
        </w:rPr>
        <w:t>⑦建筑用的砂石料堆放应设苫布围挡；砂石料堆放区、预制构件场、混凝土搅拌站的活动在扬沙天气和降水天气停止施工，对容易诱发沙尘、粉尘及污染土壤的建材，进行覆盖。</w:t>
      </w:r>
    </w:p>
    <w:p w14:paraId="44336621">
      <w:pPr>
        <w:pStyle w:val="11"/>
        <w:bidi w:val="0"/>
        <w:rPr>
          <w:rFonts w:hint="eastAsia" w:ascii="Times New Roman" w:hAnsi="Times New Roman" w:eastAsia="宋体"/>
          <w:color w:val="auto"/>
        </w:rPr>
      </w:pPr>
      <w:r>
        <w:rPr>
          <w:rFonts w:hint="eastAsia" w:ascii="Times New Roman" w:hAnsi="Times New Roman" w:eastAsia="宋体"/>
          <w:color w:val="auto"/>
        </w:rPr>
        <w:t>⑧对施工场所应经常进行喷洒水，减少地面起尘。</w:t>
      </w:r>
    </w:p>
    <w:p w14:paraId="371F38C8">
      <w:pPr>
        <w:pStyle w:val="2"/>
        <w:bidi w:val="0"/>
        <w:rPr>
          <w:rFonts w:hint="default"/>
          <w:color w:val="auto"/>
          <w:lang w:val="en-US" w:eastAsia="zh-CN"/>
        </w:rPr>
      </w:pPr>
      <w:bookmarkStart w:id="283" w:name="_Toc27091"/>
      <w:r>
        <w:rPr>
          <w:rFonts w:hint="eastAsia"/>
          <w:color w:val="auto"/>
          <w:lang w:val="en-US" w:eastAsia="zh-CN"/>
        </w:rPr>
        <w:t>6.2运营期环境保护措施及其可行性分析</w:t>
      </w:r>
      <w:bookmarkEnd w:id="283"/>
    </w:p>
    <w:p w14:paraId="3B1C01F9">
      <w:pPr>
        <w:pStyle w:val="5"/>
        <w:bidi w:val="0"/>
        <w:rPr>
          <w:rFonts w:hint="default"/>
          <w:color w:val="auto"/>
          <w:lang w:val="en-US" w:eastAsia="zh-CN"/>
        </w:rPr>
      </w:pPr>
      <w:r>
        <w:rPr>
          <w:rFonts w:hint="eastAsia"/>
          <w:color w:val="auto"/>
          <w:lang w:val="en-US" w:eastAsia="zh-CN"/>
        </w:rPr>
        <w:t>6.2.1运营期废气污染防治措施</w:t>
      </w:r>
    </w:p>
    <w:p w14:paraId="255BBB21">
      <w:pPr>
        <w:pStyle w:val="33"/>
        <w:bidi w:val="0"/>
        <w:rPr>
          <w:rFonts w:hint="default"/>
          <w:color w:val="auto"/>
          <w:lang w:val="en-US" w:eastAsia="zh-CN"/>
        </w:rPr>
      </w:pPr>
      <w:r>
        <w:rPr>
          <w:rFonts w:hint="eastAsia"/>
          <w:color w:val="auto"/>
          <w:lang w:val="en-US" w:eastAsia="zh-CN"/>
        </w:rPr>
        <w:t>1、伴生气回收利用措施</w:t>
      </w:r>
    </w:p>
    <w:p w14:paraId="1B3964BB">
      <w:pPr>
        <w:pStyle w:val="11"/>
        <w:bidi w:val="0"/>
        <w:rPr>
          <w:rFonts w:hint="eastAsia" w:ascii="Times New Roman" w:hAnsi="Times New Roman" w:eastAsia="宋体"/>
          <w:color w:val="auto"/>
        </w:rPr>
      </w:pPr>
      <w:r>
        <w:rPr>
          <w:rFonts w:hint="eastAsia" w:ascii="Times New Roman" w:hAnsi="Times New Roman" w:eastAsia="宋体"/>
          <w:color w:val="auto"/>
          <w:lang w:val="en-US" w:eastAsia="zh-CN"/>
        </w:rPr>
        <w:t>（1）</w:t>
      </w:r>
      <w:r>
        <w:rPr>
          <w:rFonts w:hint="eastAsia" w:ascii="Times New Roman" w:hAnsi="Times New Roman" w:eastAsia="宋体"/>
          <w:color w:val="auto"/>
        </w:rPr>
        <w:t>实施油气密闭输送</w:t>
      </w:r>
    </w:p>
    <w:p w14:paraId="11C49596">
      <w:pPr>
        <w:pStyle w:val="11"/>
        <w:bidi w:val="0"/>
        <w:rPr>
          <w:rFonts w:hint="eastAsia" w:ascii="Times New Roman" w:hAnsi="Times New Roman" w:eastAsia="宋体"/>
          <w:color w:val="auto"/>
        </w:rPr>
      </w:pPr>
      <w:r>
        <w:rPr>
          <w:rFonts w:hint="eastAsia" w:ascii="Times New Roman" w:hAnsi="Times New Roman" w:eastAsia="宋体"/>
          <w:color w:val="auto"/>
        </w:rPr>
        <w:t>本项目新建井场主要采用管道密闭集输，井口采取定压阀回收套管气，可减少集输过程中的烃类无组织排放。</w:t>
      </w:r>
    </w:p>
    <w:p w14:paraId="5EDD0114">
      <w:pPr>
        <w:pStyle w:val="11"/>
        <w:bidi w:val="0"/>
        <w:rPr>
          <w:rFonts w:hint="eastAsia" w:ascii="Times New Roman" w:hAnsi="Times New Roman" w:eastAsia="宋体"/>
          <w:color w:val="auto"/>
        </w:rPr>
      </w:pPr>
      <w:r>
        <w:rPr>
          <w:rFonts w:hint="eastAsia" w:ascii="Times New Roman" w:hAnsi="Times New Roman" w:eastAsia="宋体"/>
          <w:color w:val="auto"/>
          <w:lang w:val="en-US" w:eastAsia="zh-CN"/>
        </w:rPr>
        <w:t>（2）</w:t>
      </w:r>
      <w:r>
        <w:rPr>
          <w:rFonts w:hint="eastAsia" w:ascii="Times New Roman" w:hAnsi="Times New Roman" w:eastAsia="宋体"/>
          <w:color w:val="auto"/>
        </w:rPr>
        <w:t>伴生气综合利用</w:t>
      </w:r>
    </w:p>
    <w:p w14:paraId="74F7F881">
      <w:pPr>
        <w:pStyle w:val="11"/>
        <w:bidi w:val="0"/>
        <w:rPr>
          <w:rFonts w:hint="eastAsia" w:ascii="Times New Roman" w:hAnsi="Times New Roman" w:eastAsia="宋体"/>
          <w:color w:val="auto"/>
        </w:rPr>
      </w:pPr>
      <w:r>
        <w:rPr>
          <w:rFonts w:hint="eastAsia" w:ascii="Times New Roman" w:hAnsi="Times New Roman" w:eastAsia="宋体"/>
          <w:color w:val="auto"/>
        </w:rPr>
        <w:t>提高伴生气回收利用率，分离伴生气首先用于站场加热炉燃料，</w:t>
      </w:r>
      <w:r>
        <w:rPr>
          <w:rFonts w:hint="eastAsia" w:ascii="Times New Roman" w:hAnsi="Times New Roman" w:eastAsia="宋体"/>
          <w:color w:val="auto"/>
          <w:lang w:val="en-US" w:eastAsia="zh-CN"/>
        </w:rPr>
        <w:t>剩余输送至下游场站伴生气回收装置进行回收利用</w:t>
      </w:r>
      <w:r>
        <w:rPr>
          <w:rFonts w:hint="eastAsia" w:ascii="Times New Roman" w:hAnsi="Times New Roman" w:eastAsia="宋体"/>
          <w:color w:val="auto"/>
        </w:rPr>
        <w:t>，伴生气利用率为</w:t>
      </w:r>
      <w:r>
        <w:rPr>
          <w:rFonts w:hint="eastAsia" w:ascii="Times New Roman" w:hAnsi="Times New Roman" w:eastAsia="宋体"/>
          <w:color w:val="auto"/>
          <w:lang w:eastAsia="zh-CN"/>
        </w:rPr>
        <w:t>9</w:t>
      </w:r>
      <w:r>
        <w:rPr>
          <w:rFonts w:hint="eastAsia" w:ascii="Times New Roman" w:hAnsi="Times New Roman" w:eastAsia="宋体"/>
          <w:color w:val="auto"/>
          <w:lang w:val="en-US" w:eastAsia="zh-CN"/>
        </w:rPr>
        <w:t>9.8</w:t>
      </w:r>
      <w:r>
        <w:rPr>
          <w:rFonts w:hint="eastAsia" w:ascii="Times New Roman" w:hAnsi="Times New Roman" w:eastAsia="宋体"/>
          <w:color w:val="auto"/>
        </w:rPr>
        <w:t>%。</w:t>
      </w:r>
    </w:p>
    <w:p w14:paraId="0FD85CE5">
      <w:pPr>
        <w:pStyle w:val="11"/>
        <w:bidi w:val="0"/>
        <w:rPr>
          <w:rFonts w:hint="eastAsia" w:ascii="Times New Roman" w:hAnsi="Times New Roman" w:eastAsia="宋体"/>
          <w:color w:val="auto"/>
        </w:rPr>
      </w:pPr>
      <w:r>
        <w:rPr>
          <w:rFonts w:hint="eastAsia" w:ascii="Times New Roman" w:hAnsi="Times New Roman" w:eastAsia="宋体"/>
          <w:color w:val="auto"/>
          <w:lang w:val="en-US" w:eastAsia="zh-CN"/>
        </w:rPr>
        <w:t>（3）</w:t>
      </w:r>
      <w:r>
        <w:rPr>
          <w:rFonts w:hint="eastAsia" w:ascii="Times New Roman" w:hAnsi="Times New Roman" w:eastAsia="宋体"/>
          <w:color w:val="auto"/>
        </w:rPr>
        <w:t>站场进口处设置紧急截断阀，输油、输气干线设置紧急切断系统，一旦发生事故，紧急切断油、气源，从而最大限度地减少油气集输过程中烃类气体的排放量。</w:t>
      </w:r>
    </w:p>
    <w:p w14:paraId="160F62F8">
      <w:pPr>
        <w:pStyle w:val="1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无组织烃类气体逸散防治措施</w:t>
      </w:r>
    </w:p>
    <w:p w14:paraId="1AC677C5">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本项目工程不涉及罐容75m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及以上原油储罐</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工程采取管道密闭集输系统，也不涉及拉油环节</w:t>
      </w:r>
      <w:r>
        <w:rPr>
          <w:rFonts w:hint="default" w:ascii="Times New Roman" w:hAnsi="Times New Roman" w:eastAsia="宋体" w:cs="Times New Roman"/>
          <w:color w:val="auto"/>
        </w:rPr>
        <w:t>。评价结合《陆上石油天然气开采工业大气污染物排放标准》（GB39728-2020）中挥发性有机物排放控制要求，提出项目无组织排放控制措施如下：</w:t>
      </w:r>
    </w:p>
    <w:p w14:paraId="78ACE9F3">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原油储存排放控制措施</w:t>
      </w:r>
    </w:p>
    <w:p w14:paraId="38FE514C">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本项目工程不涉及罐容75m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及以上原油储罐</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US" w:eastAsia="zh-CN"/>
        </w:rPr>
        <w:t>现场调查</w:t>
      </w:r>
      <w:r>
        <w:rPr>
          <w:rFonts w:hint="default" w:ascii="Times New Roman" w:hAnsi="Times New Roman" w:eastAsia="宋体" w:cs="Times New Roman"/>
          <w:color w:val="auto"/>
        </w:rPr>
        <w:t>，结合现有联合站、转油站原油储罐（不含事故油罐）真实蒸气压及罐容。现有站场原油储罐挥发性有机物排放满足标准表2控制要求。</w:t>
      </w:r>
    </w:p>
    <w:p w14:paraId="00EAA4AF">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废水集输和处理系统排放控制要求</w:t>
      </w:r>
    </w:p>
    <w:p w14:paraId="4F0AD0F8">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本项目依托站场油田采出水处理装置均采用密闭管线集输，接入口和排出口采取了与环境空气隔离措施，符合标准中提出的排放控制要求。</w:t>
      </w:r>
    </w:p>
    <w:p w14:paraId="7E9011C6">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设备与管线组件泄漏排放控制要求</w:t>
      </w:r>
    </w:p>
    <w:p w14:paraId="3B8563E8">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对泵、阀门、法兰等易发生泄漏的设备与管线组件定期检查密封性，防止或减少跑、冒、滴、漏现象，通过源头控制无组织排放。</w:t>
      </w:r>
      <w:r>
        <w:rPr>
          <w:rFonts w:hint="eastAsia" w:ascii="Times New Roman" w:hAnsi="Times New Roman" w:eastAsia="宋体" w:cs="Times New Roman"/>
          <w:color w:val="auto"/>
          <w:lang w:eastAsia="zh-CN"/>
        </w:rPr>
        <w:t>运营</w:t>
      </w:r>
      <w:r>
        <w:rPr>
          <w:rFonts w:hint="default" w:ascii="Times New Roman" w:hAnsi="Times New Roman" w:eastAsia="宋体" w:cs="Times New Roman"/>
          <w:color w:val="auto"/>
        </w:rPr>
        <w:t>过</w:t>
      </w:r>
      <w:r>
        <w:rPr>
          <w:rFonts w:hint="eastAsia" w:cs="Times New Roman"/>
          <w:color w:val="auto"/>
          <w:lang w:eastAsia="zh-CN"/>
        </w:rPr>
        <w:t>程中</w:t>
      </w:r>
      <w:r>
        <w:rPr>
          <w:rFonts w:hint="default" w:ascii="Times New Roman" w:hAnsi="Times New Roman" w:eastAsia="宋体" w:cs="Times New Roman"/>
          <w:color w:val="auto"/>
        </w:rPr>
        <w:t>出现下列情况之一，则认定设备或管线组件发生了泄漏，应开展修复工作：</w:t>
      </w:r>
    </w:p>
    <w:p w14:paraId="012FE73F">
      <w:pPr>
        <w:pStyle w:val="1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①密封点存在渗液、滴液等可见的泄漏现象</w:t>
      </w:r>
      <w:r>
        <w:rPr>
          <w:rFonts w:hint="default" w:ascii="Times New Roman" w:hAnsi="Times New Roman" w:eastAsia="宋体" w:cs="Times New Roman"/>
          <w:color w:val="auto"/>
          <w:lang w:eastAsia="zh-CN"/>
        </w:rPr>
        <w:t>；</w:t>
      </w:r>
    </w:p>
    <w:p w14:paraId="65FAC2F6">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②</w:t>
      </w:r>
      <w:r>
        <w:rPr>
          <w:rFonts w:hint="default" w:ascii="Times New Roman" w:hAnsi="Times New Roman" w:eastAsia="宋体" w:cs="Times New Roman"/>
          <w:color w:val="auto"/>
          <w:lang w:val="en-US" w:eastAsia="zh-CN"/>
        </w:rPr>
        <w:t>密封点泄漏检测值超过GB39728-2020表4规定的泄漏认定浓度（2000μmol/mol）。</w:t>
      </w:r>
    </w:p>
    <w:p w14:paraId="49D7DE38">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其他排放控制要求</w:t>
      </w:r>
    </w:p>
    <w:p w14:paraId="07A890EB">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①加强采油井井口密闭性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加强无下游站场的井场技术性封井措施的监控，避免技术性封井密闭性不足造成无组织烃类</w:t>
      </w:r>
      <w:r>
        <w:rPr>
          <w:rFonts w:hint="eastAsia" w:cs="Times New Roman"/>
          <w:color w:val="auto"/>
          <w:lang w:val="en-US" w:eastAsia="zh-CN"/>
        </w:rPr>
        <w:t>泄漏</w:t>
      </w:r>
      <w:r>
        <w:rPr>
          <w:rFonts w:hint="default" w:ascii="Times New Roman" w:hAnsi="Times New Roman" w:eastAsia="宋体" w:cs="Times New Roman"/>
          <w:color w:val="auto"/>
        </w:rPr>
        <w:t>。</w:t>
      </w:r>
    </w:p>
    <w:p w14:paraId="54B4D2F5">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②优化操作规程，减少操作环节，合理安排储运作业。</w:t>
      </w:r>
    </w:p>
    <w:p w14:paraId="25A40F99">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③原油、伴生气</w:t>
      </w:r>
      <w:r>
        <w:rPr>
          <w:rFonts w:hint="default" w:ascii="Times New Roman" w:hAnsi="Times New Roman" w:eastAsia="宋体" w:cs="Times New Roman"/>
          <w:color w:val="auto"/>
          <w:lang w:val="en-US" w:eastAsia="zh-CN"/>
        </w:rPr>
        <w:t>必须</w:t>
      </w:r>
      <w:r>
        <w:rPr>
          <w:rFonts w:hint="default" w:ascii="Times New Roman" w:hAnsi="Times New Roman" w:eastAsia="宋体" w:cs="Times New Roman"/>
          <w:color w:val="auto"/>
        </w:rPr>
        <w:t>通过管道密闭集输。</w:t>
      </w:r>
    </w:p>
    <w:p w14:paraId="0E9A5417">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④油田伴生气作为燃料或输至</w:t>
      </w:r>
      <w:r>
        <w:rPr>
          <w:rFonts w:hint="eastAsia" w:ascii="Times New Roman" w:hAnsi="Times New Roman" w:eastAsia="宋体" w:cs="Times New Roman"/>
          <w:color w:val="auto"/>
          <w:lang w:val="en-US" w:eastAsia="zh-CN"/>
        </w:rPr>
        <w:t>伴生气</w:t>
      </w:r>
      <w:r>
        <w:rPr>
          <w:rFonts w:hint="default" w:ascii="Times New Roman" w:hAnsi="Times New Roman" w:eastAsia="宋体" w:cs="Times New Roman"/>
          <w:color w:val="auto"/>
        </w:rPr>
        <w:t>综合利用设施回收利用。</w:t>
      </w:r>
    </w:p>
    <w:p w14:paraId="398DBD0C">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⑤加强油气计量器具管理维护，降低计量误差，减少损耗。</w:t>
      </w:r>
    </w:p>
    <w:p w14:paraId="27CF0DB0">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⑥定期检查储油设施的密封状态及底部，防止储油设施底板泄漏。</w:t>
      </w:r>
    </w:p>
    <w:p w14:paraId="7F73AD40">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⑦污油泥暂存点内含油污泥及时委托有资质单位定期转运处置。</w:t>
      </w:r>
    </w:p>
    <w:p w14:paraId="7C6CA9B9">
      <w:pPr>
        <w:pStyle w:val="5"/>
        <w:bidi w:val="0"/>
        <w:rPr>
          <w:rFonts w:hint="default"/>
          <w:color w:val="auto"/>
          <w:lang w:val="en-US" w:eastAsia="zh-CN"/>
        </w:rPr>
      </w:pPr>
      <w:r>
        <w:rPr>
          <w:rFonts w:hint="eastAsia"/>
          <w:color w:val="auto"/>
          <w:lang w:val="en-US" w:eastAsia="zh-CN"/>
        </w:rPr>
        <w:t>6.2.2运营期废水污染防治措施</w:t>
      </w:r>
    </w:p>
    <w:p w14:paraId="4514E173">
      <w:pPr>
        <w:pStyle w:val="6"/>
        <w:bidi w:val="0"/>
        <w:rPr>
          <w:rFonts w:hint="default"/>
          <w:color w:val="auto"/>
          <w:lang w:val="en-US" w:eastAsia="zh-CN"/>
        </w:rPr>
      </w:pPr>
      <w:r>
        <w:rPr>
          <w:rFonts w:hint="eastAsia"/>
          <w:color w:val="auto"/>
          <w:lang w:val="en-US" w:eastAsia="zh-CN"/>
        </w:rPr>
        <w:t>6.2.2.1废水处置措施</w:t>
      </w:r>
    </w:p>
    <w:p w14:paraId="15520427">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井下作业废水经罐车拉运至百联站，采出水管输至百联站，井下作业废水及采出水均经百联站污水处理系统处理达到《碎屑岩油藏注水水质推荐指标及分析方法》（SY/T5329-2022）中的有关标准后回注油藏。</w:t>
      </w:r>
    </w:p>
    <w:p w14:paraId="51F76E39">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为防止回注过程中污染表层地下水，要确保回注井套管无破损，固井质量合格，在回注的过程中，要加强对注水压力的监控，发现井口压力突然下降应立即停止回注，检查回注井井壁套管是否破损。</w:t>
      </w:r>
    </w:p>
    <w:p w14:paraId="3225862B">
      <w:pPr>
        <w:pStyle w:val="11"/>
        <w:bidi w:val="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现有工程</w:t>
      </w:r>
      <w:r>
        <w:rPr>
          <w:rFonts w:hint="eastAsia" w:ascii="Times New Roman" w:hAnsi="Times New Roman" w:eastAsia="宋体" w:cs="Times New Roman"/>
          <w:color w:val="auto"/>
        </w:rPr>
        <w:t>注水井井筒满足废水回注需求，注水井完井套管采用了环氧冷缠带牺牲阳极保护套管+高强度水泥固井技术，水泥返高至地面，套管保护较好，且对注水层位上段配套套管保护封隔器，实现废水集中在目的层注入，确保地下水源不受污染，废水安全回注。</w:t>
      </w:r>
    </w:p>
    <w:p w14:paraId="4790FB03">
      <w:pPr>
        <w:spacing w:line="360" w:lineRule="auto"/>
        <w:contextualSpacing/>
        <w:jc w:val="center"/>
        <w:rPr>
          <w:rFonts w:hint="eastAsia" w:ascii="宋体" w:hAnsi="宋体" w:eastAsia="宋体" w:cs="宋体"/>
          <w:b/>
          <w:color w:val="auto"/>
          <w:sz w:val="24"/>
          <w:szCs w:val="21"/>
        </w:rPr>
      </w:pPr>
      <w:r>
        <w:rPr>
          <w:rFonts w:hint="eastAsia" w:ascii="宋体" w:hAnsi="宋体" w:eastAsia="宋体" w:cs="宋体"/>
          <w:b/>
          <w:color w:val="auto"/>
          <w:sz w:val="24"/>
          <w:szCs w:val="21"/>
        </w:rPr>
        <w:drawing>
          <wp:inline distT="0" distB="0" distL="0" distR="0">
            <wp:extent cx="1903730" cy="2235200"/>
            <wp:effectExtent l="0" t="0" r="1270"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03730" cy="2235200"/>
                    </a:xfrm>
                    <a:prstGeom prst="rect">
                      <a:avLst/>
                    </a:prstGeom>
                    <a:noFill/>
                    <a:ln>
                      <a:noFill/>
                    </a:ln>
                  </pic:spPr>
                </pic:pic>
              </a:graphicData>
            </a:graphic>
          </wp:inline>
        </w:drawing>
      </w:r>
    </w:p>
    <w:p w14:paraId="14A91F20">
      <w:pPr>
        <w:pStyle w:val="43"/>
        <w:bidi w:val="0"/>
        <w:rPr>
          <w:rFonts w:hint="eastAsia"/>
          <w:color w:val="auto"/>
        </w:rPr>
      </w:pPr>
      <w:bookmarkStart w:id="284" w:name="_Ref22064"/>
      <w:r>
        <w:rPr>
          <w:color w:val="auto"/>
        </w:rPr>
        <w:t>图</w:t>
      </w:r>
      <w:r>
        <w:rPr>
          <w:rFonts w:hint="eastAsia"/>
          <w:color w:val="auto"/>
          <w:lang w:val="en-US" w:eastAsia="zh-CN"/>
        </w:rPr>
        <w:t>6.2</w:t>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bookmarkEnd w:id="284"/>
      <w:r>
        <w:rPr>
          <w:rFonts w:hint="eastAsia"/>
          <w:color w:val="auto"/>
        </w:rPr>
        <w:t xml:space="preserve">  注水井井身结构示意图</w:t>
      </w:r>
    </w:p>
    <w:p w14:paraId="6BC8D750">
      <w:pPr>
        <w:pStyle w:val="11"/>
        <w:bidi w:val="0"/>
        <w:rPr>
          <w:rFonts w:hint="eastAsia" w:ascii="Times New Roman" w:hAnsi="Times New Roman" w:eastAsia="宋体" w:cs="Times New Roman"/>
          <w:color w:val="auto"/>
        </w:rPr>
      </w:pPr>
      <w:r>
        <w:rPr>
          <w:rFonts w:hint="eastAsia" w:ascii="Times New Roman" w:hAnsi="Times New Roman" w:eastAsia="宋体" w:cs="Times New Roman"/>
          <w:color w:val="auto"/>
        </w:rPr>
        <w:t>依托注水井的井身结构如</w:t>
      </w:r>
      <w:r>
        <w:rPr>
          <w:rFonts w:hint="default" w:ascii="Times New Roman" w:hAnsi="Times New Roman" w:eastAsia="宋体" w:cs="Times New Roman"/>
          <w:color w:val="auto"/>
          <w:lang w:eastAsia="zh-CN"/>
        </w:rPr>
        <w:fldChar w:fldCharType="begin"/>
      </w:r>
      <w:r>
        <w:rPr>
          <w:rFonts w:hint="default" w:ascii="Times New Roman" w:hAnsi="Times New Roman" w:eastAsia="宋体" w:cs="Times New Roman"/>
          <w:color w:val="auto"/>
          <w:lang w:eastAsia="zh-CN"/>
        </w:rPr>
        <w:instrText xml:space="preserve"> REF _Ref22064 \h </w:instrText>
      </w:r>
      <w:r>
        <w:rPr>
          <w:rFonts w:hint="default" w:ascii="Times New Roman" w:hAnsi="Times New Roman" w:eastAsia="宋体" w:cs="Times New Roman"/>
          <w:color w:val="auto"/>
          <w:lang w:eastAsia="zh-CN"/>
        </w:rPr>
        <w:fldChar w:fldCharType="separate"/>
      </w:r>
      <w:r>
        <w:rPr>
          <w:rFonts w:hint="default" w:ascii="Times New Roman" w:hAnsi="Times New Roman" w:eastAsia="宋体" w:cs="Times New Roman"/>
          <w:color w:val="auto"/>
        </w:rPr>
        <w:t>图</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eastAsia="zh-CN"/>
        </w:rPr>
        <w:fldChar w:fldCharType="end"/>
      </w:r>
      <w:r>
        <w:rPr>
          <w:rFonts w:hint="default" w:ascii="Times New Roman" w:hAnsi="Times New Roman" w:eastAsia="宋体" w:cs="Times New Roman"/>
          <w:color w:val="auto"/>
          <w:lang w:val="en-US" w:eastAsia="zh-CN"/>
        </w:rPr>
        <w:t>.2-1</w:t>
      </w:r>
      <w:r>
        <w:rPr>
          <w:rFonts w:hint="eastAsia" w:ascii="Times New Roman" w:hAnsi="Times New Roman" w:eastAsia="宋体" w:cs="Times New Roman"/>
          <w:color w:val="auto"/>
        </w:rPr>
        <w:t>所示，注水井通过水泥将套管与地层之间进行封闭，上有封隔器完全隔绝回注过程中与非注水层和地下含水层的联系，阻止回注水对非注水层和地下含水层的污染；井底构筑水泥塞，阻止注水向下部地层的渗入；仅井体底部的钢质封闭管壁设置了射孔段作为回注水排出钢管之外的通道；地面部分，井口高出地面，并设置控制加压装置，防止对地下潜水及地表水造成污染。因此，回注地层的采出水及</w:t>
      </w:r>
      <w:r>
        <w:rPr>
          <w:rFonts w:hint="eastAsia" w:ascii="Times New Roman" w:hAnsi="Times New Roman" w:eastAsia="宋体" w:cs="Times New Roman"/>
          <w:color w:val="auto"/>
          <w:lang w:val="en-US" w:eastAsia="zh-CN"/>
        </w:rPr>
        <w:t>井下作业废水</w:t>
      </w:r>
      <w:r>
        <w:rPr>
          <w:rFonts w:hint="eastAsia" w:ascii="Times New Roman" w:hAnsi="Times New Roman" w:eastAsia="宋体" w:cs="Times New Roman"/>
          <w:color w:val="auto"/>
        </w:rPr>
        <w:t>在正常情况下不可能跨越抗压强度较高的钢管与水泥阻挡层而涌入非注水层，不会对地下水水质产生影响。</w:t>
      </w:r>
    </w:p>
    <w:p w14:paraId="1C870FED">
      <w:pPr>
        <w:pStyle w:val="11"/>
        <w:bidi w:val="0"/>
        <w:rPr>
          <w:rFonts w:hint="eastAsia" w:ascii="Times New Roman" w:hAnsi="Times New Roman" w:eastAsia="宋体" w:cs="Times New Roman"/>
          <w:color w:val="auto"/>
        </w:rPr>
      </w:pPr>
      <w:r>
        <w:rPr>
          <w:rFonts w:hint="default" w:ascii="Times New Roman" w:hAnsi="Times New Roman" w:eastAsia="宋体" w:cs="Times New Roman"/>
          <w:color w:val="auto"/>
        </w:rPr>
        <w:t>综上，项目</w:t>
      </w:r>
      <w:r>
        <w:rPr>
          <w:rFonts w:hint="eastAsia" w:ascii="Times New Roman" w:hAnsi="Times New Roman" w:eastAsia="宋体" w:cs="Times New Roman"/>
          <w:color w:val="auto"/>
        </w:rPr>
        <w:t>产生的生产废水可实现全部回用不外排</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废水</w:t>
      </w:r>
      <w:r>
        <w:rPr>
          <w:rFonts w:hint="default" w:ascii="Times New Roman" w:hAnsi="Times New Roman" w:eastAsia="宋体" w:cs="Times New Roman"/>
          <w:color w:val="auto"/>
        </w:rPr>
        <w:t>防治措施可行。</w:t>
      </w:r>
    </w:p>
    <w:p w14:paraId="501F629C">
      <w:pPr>
        <w:pStyle w:val="6"/>
        <w:bidi w:val="0"/>
        <w:rPr>
          <w:rFonts w:hint="default"/>
          <w:color w:val="auto"/>
          <w:lang w:val="en-US" w:eastAsia="zh-CN"/>
        </w:rPr>
      </w:pPr>
      <w:r>
        <w:rPr>
          <w:rFonts w:hint="eastAsia"/>
          <w:color w:val="auto"/>
          <w:lang w:val="en-US" w:eastAsia="zh-CN"/>
        </w:rPr>
        <w:t>6.2.2.2地下水污染防治措施</w:t>
      </w:r>
    </w:p>
    <w:p w14:paraId="1A564825">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1</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源头控制措施</w:t>
      </w:r>
    </w:p>
    <w:p w14:paraId="6CB53BD8">
      <w:pPr>
        <w:pStyle w:val="11"/>
        <w:bidi w:val="0"/>
        <w:rPr>
          <w:rFonts w:hint="eastAsia" w:ascii="Times New Roman" w:hAnsi="Times New Roman" w:eastAsia="宋体"/>
          <w:color w:val="auto"/>
          <w:lang w:eastAsia="zh-CN"/>
        </w:rPr>
      </w:pPr>
      <w:r>
        <w:rPr>
          <w:rFonts w:hint="eastAsia" w:ascii="Times New Roman" w:hAnsi="Times New Roman" w:eastAsia="宋体"/>
          <w:color w:val="auto"/>
          <w:lang w:val="en-US" w:eastAsia="zh-CN"/>
        </w:rPr>
        <w:t>①</w:t>
      </w:r>
      <w:r>
        <w:rPr>
          <w:rFonts w:ascii="Times New Roman" w:hAnsi="Times New Roman" w:eastAsia="宋体"/>
          <w:color w:val="auto"/>
        </w:rPr>
        <w:t>采出水</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井下作业废水</w:t>
      </w:r>
      <w:r>
        <w:rPr>
          <w:rFonts w:ascii="Times New Roman" w:hAnsi="Times New Roman" w:eastAsia="宋体"/>
          <w:color w:val="auto"/>
        </w:rPr>
        <w:t>在联合站内油水分离后进入采出水处理设施处理</w:t>
      </w:r>
      <w:r>
        <w:rPr>
          <w:rFonts w:hint="eastAsia" w:ascii="Times New Roman" w:hAnsi="Times New Roman" w:eastAsia="宋体"/>
          <w:color w:val="auto"/>
          <w:lang w:eastAsia="zh-CN"/>
        </w:rPr>
        <w:t>，</w:t>
      </w:r>
      <w:r>
        <w:rPr>
          <w:rFonts w:ascii="Times New Roman" w:hAnsi="Times New Roman" w:eastAsia="宋体"/>
          <w:color w:val="auto"/>
        </w:rPr>
        <w:t>整套采出水处理设施采用地上密闭罐体装置，杜绝污水跑冒滴漏</w:t>
      </w:r>
      <w:r>
        <w:rPr>
          <w:rFonts w:hint="eastAsia"/>
          <w:color w:val="auto"/>
          <w:lang w:eastAsia="zh-CN"/>
        </w:rPr>
        <w:t>。</w:t>
      </w:r>
    </w:p>
    <w:p w14:paraId="0D29F20C">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w:t>
      </w:r>
      <w:r>
        <w:rPr>
          <w:rFonts w:ascii="Times New Roman" w:hAnsi="Times New Roman" w:eastAsia="宋体"/>
          <w:color w:val="auto"/>
        </w:rPr>
        <w:t>作业废水（修井、洗井废水）经采出水处理设施处理后达到标准后全部回注区块开发油层。要求生产废水处理率和回注率均达到100%，且必须回注开发油层，严禁回注其他层位，严禁采出水外排</w:t>
      </w:r>
      <w:r>
        <w:rPr>
          <w:rFonts w:hint="eastAsia" w:ascii="Times New Roman" w:hAnsi="Times New Roman" w:eastAsia="宋体"/>
          <w:color w:val="auto"/>
          <w:lang w:eastAsia="zh-CN"/>
        </w:rPr>
        <w:t>。</w:t>
      </w:r>
    </w:p>
    <w:p w14:paraId="4800509B">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③</w:t>
      </w:r>
      <w:r>
        <w:rPr>
          <w:rFonts w:ascii="Times New Roman" w:hAnsi="Times New Roman" w:eastAsia="宋体"/>
          <w:color w:val="auto"/>
        </w:rPr>
        <w:t>优化水资源配置，节约和保护水资源，提高水资源利用效率和效益，制定节水方案，生产废水回注率要求达到100%，使有限的水资源得到合理利用。</w:t>
      </w:r>
    </w:p>
    <w:p w14:paraId="48839562">
      <w:pPr>
        <w:pStyle w:val="11"/>
        <w:bidi w:val="0"/>
        <w:rPr>
          <w:rFonts w:hint="eastAsia" w:ascii="宋体" w:hAnsi="宋体" w:eastAsia="宋体" w:cs="宋体"/>
          <w:color w:val="auto"/>
          <w:lang w:eastAsia="zh-CN"/>
        </w:rPr>
      </w:pPr>
      <w:r>
        <w:rPr>
          <w:rFonts w:hint="eastAsia" w:ascii="宋体" w:hAnsi="宋体" w:eastAsia="宋体" w:cs="宋体"/>
          <w:color w:val="auto"/>
          <w:lang w:val="en-US" w:eastAsia="zh-CN"/>
        </w:rPr>
        <w:t>④</w:t>
      </w:r>
      <w:r>
        <w:rPr>
          <w:rFonts w:hint="eastAsia" w:ascii="宋体" w:hAnsi="宋体" w:eastAsia="宋体" w:cs="宋体"/>
          <w:color w:val="auto"/>
          <w:lang w:eastAsia="zh-CN"/>
        </w:rPr>
        <w:t>运营</w:t>
      </w:r>
      <w:r>
        <w:rPr>
          <w:rFonts w:hint="eastAsia" w:ascii="宋体" w:hAnsi="宋体" w:eastAsia="宋体" w:cs="宋体"/>
          <w:color w:val="auto"/>
        </w:rPr>
        <w:t>期修井作业往往会有部分原油散落在油井周围成为落地油，井下作业时采用“密闭清洗，钢制箱体平台，高分子轻体钻等清洁生产工艺”，并采用“铺设作业、带罐上岗”的模式，实现“井液不出井筒，落地原油全部回收”</w:t>
      </w:r>
      <w:r>
        <w:rPr>
          <w:rFonts w:hint="eastAsia" w:ascii="宋体" w:hAnsi="宋体" w:eastAsia="宋体" w:cs="宋体"/>
          <w:color w:val="auto"/>
          <w:lang w:eastAsia="zh-CN"/>
        </w:rPr>
        <w:t>。</w:t>
      </w:r>
    </w:p>
    <w:p w14:paraId="36172AB9">
      <w:pPr>
        <w:pStyle w:val="11"/>
        <w:bidi w:val="0"/>
        <w:rPr>
          <w:rFonts w:hint="eastAsia" w:ascii="宋体" w:hAnsi="宋体" w:eastAsia="宋体" w:cs="宋体"/>
          <w:color w:val="auto"/>
          <w:lang w:eastAsia="zh-CN"/>
        </w:rPr>
      </w:pPr>
      <w:r>
        <w:rPr>
          <w:rFonts w:hint="eastAsia" w:ascii="宋体" w:hAnsi="宋体" w:eastAsia="宋体" w:cs="宋体"/>
          <w:color w:val="auto"/>
          <w:lang w:val="en-US" w:eastAsia="zh-CN"/>
        </w:rPr>
        <w:t>⑤</w:t>
      </w:r>
      <w:r>
        <w:rPr>
          <w:rFonts w:hint="eastAsia" w:ascii="宋体" w:hAnsi="宋体" w:eastAsia="宋体" w:cs="宋体"/>
          <w:color w:val="auto"/>
        </w:rPr>
        <w:t>对落地油必须严格按照清洁生产的原则，在源头上加以控制，使之尽量“不落地”</w:t>
      </w:r>
      <w:r>
        <w:rPr>
          <w:rFonts w:hint="eastAsia" w:ascii="宋体" w:hAnsi="宋体" w:eastAsia="宋体" w:cs="宋体"/>
          <w:color w:val="auto"/>
          <w:lang w:eastAsia="zh-CN"/>
        </w:rPr>
        <w:t>。</w:t>
      </w:r>
    </w:p>
    <w:p w14:paraId="62EDF4A7">
      <w:pPr>
        <w:pStyle w:val="11"/>
        <w:bidi w:val="0"/>
        <w:rPr>
          <w:rFonts w:hint="eastAsia"/>
          <w:color w:val="auto"/>
          <w:lang w:eastAsia="zh-CN" w:bidi="ar"/>
        </w:rPr>
      </w:pPr>
      <w:r>
        <w:rPr>
          <w:rFonts w:hint="eastAsia" w:ascii="Times New Roman" w:hAnsi="Times New Roman" w:eastAsia="宋体"/>
          <w:color w:val="auto"/>
          <w:lang w:val="en-US" w:eastAsia="zh-CN"/>
        </w:rPr>
        <w:t>⑥</w:t>
      </w:r>
      <w:r>
        <w:rPr>
          <w:color w:val="auto"/>
          <w:lang w:bidi="ar"/>
        </w:rPr>
        <w:t>建立管线管理和维护细则，详细记录油压、水压和输入输出油（水）量</w:t>
      </w:r>
      <w:r>
        <w:rPr>
          <w:rFonts w:hint="eastAsia"/>
          <w:color w:val="auto"/>
          <w:lang w:eastAsia="zh-CN" w:bidi="ar"/>
        </w:rPr>
        <w:t>。</w:t>
      </w:r>
    </w:p>
    <w:p w14:paraId="2E790C48">
      <w:pPr>
        <w:pStyle w:val="11"/>
        <w:bidi w:val="0"/>
        <w:rPr>
          <w:rFonts w:hint="eastAsia" w:ascii="Times New Roman" w:hAnsi="Times New Roman" w:eastAsia="宋体"/>
          <w:color w:val="auto"/>
          <w:lang w:val="en-US" w:eastAsia="zh-CN"/>
        </w:rPr>
      </w:pPr>
      <w:r>
        <w:rPr>
          <w:rFonts w:hint="eastAsia"/>
          <w:color w:val="auto"/>
          <w:lang w:val="en-US" w:eastAsia="zh-CN" w:bidi="ar"/>
        </w:rPr>
        <w:t>⑦</w:t>
      </w:r>
      <w:r>
        <w:rPr>
          <w:color w:val="auto"/>
          <w:lang w:bidi="ar"/>
        </w:rPr>
        <w:t>对管线定期进行人工巡查</w:t>
      </w:r>
      <w:r>
        <w:rPr>
          <w:rFonts w:hint="eastAsia"/>
          <w:color w:val="auto"/>
          <w:lang w:eastAsia="zh-CN" w:bidi="ar"/>
        </w:rPr>
        <w:t>，</w:t>
      </w:r>
      <w:r>
        <w:rPr>
          <w:color w:val="auto"/>
          <w:lang w:bidi="ar"/>
        </w:rPr>
        <w:t>遇到管线破裂发生原油泄漏的情况，必须及时采取相应措施</w:t>
      </w:r>
      <w:r>
        <w:rPr>
          <w:rFonts w:hint="eastAsia"/>
          <w:color w:val="auto"/>
          <w:lang w:eastAsia="zh-CN" w:bidi="ar"/>
        </w:rPr>
        <w:t>。</w:t>
      </w:r>
    </w:p>
    <w:p w14:paraId="3C619D46">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（2）分区防控措施</w:t>
      </w:r>
    </w:p>
    <w:p w14:paraId="0F84E84A">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根据《环境影响评价技术导则 地下水环境》（HJ610-2016），分区防渗以水平防渗为主，导则要求：“已颁布污染控制国家标准或防渗技术规范的行业，水平防渗技术要求按照相应标准或规范执行，如GB16889、GB18597、GB18598、GB18599、GB/T50934等”，因此本次评价按照《石油化工工程防渗技术规范》（GB/T50934-2013）执行。</w:t>
      </w:r>
    </w:p>
    <w:p w14:paraId="6C095C49">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依据《石油化工工程防渗技术规范》（GB/T50934-2013），结合生产装置和设施的性质、包气带岩性结构、污染控制难易程度及其地下水环境风险，以及拟采取的防渗处理方案，将地面设施的防渗措施分为三个级别，即重点防渗区和简单防渗区。针对不同的污染防治区制定了如下相应的防渗措施与要求。污染防治分区防渗见</w:t>
      </w:r>
      <w:r>
        <w:rPr>
          <w:rFonts w:hint="eastAsia" w:ascii="Times New Roman" w:hAnsi="Times New Roman" w:eastAsia="宋体"/>
          <w:color w:val="auto"/>
          <w:lang w:val="en-US" w:eastAsia="zh-CN"/>
        </w:rPr>
        <w:fldChar w:fldCharType="begin"/>
      </w:r>
      <w:r>
        <w:rPr>
          <w:rFonts w:hint="eastAsia" w:ascii="Times New Roman" w:hAnsi="Times New Roman" w:eastAsia="宋体"/>
          <w:color w:val="auto"/>
          <w:lang w:val="en-US" w:eastAsia="zh-CN"/>
        </w:rPr>
        <w:instrText xml:space="preserve"> REF _Ref114218171 \h  \* MERGEFORMAT </w:instrText>
      </w:r>
      <w:r>
        <w:rPr>
          <w:rFonts w:hint="eastAsia" w:ascii="Times New Roman" w:hAnsi="Times New Roman" w:eastAsia="宋体"/>
          <w:color w:val="auto"/>
          <w:lang w:val="en-US" w:eastAsia="zh-CN"/>
        </w:rPr>
        <w:fldChar w:fldCharType="separate"/>
      </w:r>
      <w:r>
        <w:rPr>
          <w:rFonts w:hint="eastAsia" w:ascii="Times New Roman" w:hAnsi="Times New Roman" w:eastAsia="宋体"/>
          <w:color w:val="auto"/>
          <w:lang w:val="en-US" w:eastAsia="zh-CN"/>
        </w:rPr>
        <w:t>表</w:t>
      </w:r>
      <w:r>
        <w:rPr>
          <w:rFonts w:hint="eastAsia" w:ascii="Times New Roman" w:hAnsi="Times New Roman" w:eastAsia="宋体"/>
          <w:color w:val="auto"/>
          <w:lang w:val="en-US" w:eastAsia="zh-CN"/>
        </w:rPr>
        <w:fldChar w:fldCharType="begin"/>
      </w:r>
      <w:r>
        <w:rPr>
          <w:rFonts w:hint="eastAsia" w:ascii="Times New Roman" w:hAnsi="Times New Roman" w:eastAsia="宋体"/>
          <w:color w:val="auto"/>
          <w:lang w:val="en-US" w:eastAsia="zh-CN"/>
        </w:rPr>
        <w:instrText xml:space="preserve"> STYLEREF 2 \s </w:instrText>
      </w:r>
      <w:r>
        <w:rPr>
          <w:rFonts w:hint="eastAsia" w:ascii="Times New Roman" w:hAnsi="Times New Roman" w:eastAsia="宋体"/>
          <w:color w:val="auto"/>
          <w:lang w:val="en-US" w:eastAsia="zh-CN"/>
        </w:rPr>
        <w:fldChar w:fldCharType="separate"/>
      </w:r>
      <w:r>
        <w:rPr>
          <w:rFonts w:hint="eastAsia" w:ascii="Times New Roman" w:hAnsi="Times New Roman" w:eastAsia="宋体"/>
          <w:color w:val="auto"/>
          <w:lang w:val="en-US" w:eastAsia="zh-CN"/>
        </w:rPr>
        <w:t>6.2</w:t>
      </w:r>
      <w:r>
        <w:rPr>
          <w:rFonts w:hint="eastAsia" w:ascii="Times New Roman" w:hAnsi="Times New Roman" w:eastAsia="宋体"/>
          <w:color w:val="auto"/>
          <w:lang w:val="en-US" w:eastAsia="zh-CN"/>
        </w:rPr>
        <w:fldChar w:fldCharType="end"/>
      </w:r>
      <w:r>
        <w:rPr>
          <w:rFonts w:hint="eastAsia" w:ascii="Times New Roman" w:hAnsi="Times New Roman" w:eastAsia="宋体"/>
          <w:color w:val="auto"/>
          <w:lang w:val="en-US" w:eastAsia="zh-CN"/>
        </w:rPr>
        <w:noBreakHyphen/>
      </w:r>
      <w:r>
        <w:rPr>
          <w:rFonts w:hint="eastAsia" w:ascii="Times New Roman" w:hAnsi="Times New Roman" w:eastAsia="宋体"/>
          <w:color w:val="auto"/>
          <w:lang w:val="en-US" w:eastAsia="zh-CN"/>
        </w:rPr>
        <w:t>1</w:t>
      </w:r>
      <w:r>
        <w:rPr>
          <w:rFonts w:hint="eastAsia" w:ascii="Times New Roman" w:hAnsi="Times New Roman" w:eastAsia="宋体"/>
          <w:color w:val="auto"/>
          <w:lang w:val="en-US" w:eastAsia="zh-CN"/>
        </w:rPr>
        <w:fldChar w:fldCharType="end"/>
      </w:r>
      <w:r>
        <w:rPr>
          <w:rFonts w:hint="eastAsia" w:ascii="Times New Roman" w:hAnsi="Times New Roman" w:eastAsia="宋体"/>
          <w:color w:val="auto"/>
          <w:lang w:val="en-US" w:eastAsia="zh-CN"/>
        </w:rPr>
        <w:t>。</w:t>
      </w:r>
    </w:p>
    <w:p w14:paraId="766ABF2D">
      <w:pPr>
        <w:pStyle w:val="43"/>
        <w:bidi w:val="0"/>
        <w:rPr>
          <w:rFonts w:cs="Times New Roman"/>
          <w:color w:val="auto"/>
        </w:rPr>
      </w:pPr>
      <w:bookmarkStart w:id="285" w:name="_Ref114218171"/>
      <w:r>
        <w:rPr>
          <w:rFonts w:cs="Times New Roman"/>
          <w:color w:val="auto"/>
        </w:rPr>
        <w:t>表</w:t>
      </w:r>
      <w:r>
        <w:rPr>
          <w:rFonts w:hint="eastAsia" w:cs="Times New Roman"/>
          <w:color w:val="auto"/>
          <w:lang w:val="en-US" w:eastAsia="zh-CN"/>
        </w:rPr>
        <w:t>6.2</w:t>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285"/>
      <w:r>
        <w:rPr>
          <w:rFonts w:cs="Times New Roman"/>
          <w:color w:val="auto"/>
        </w:rPr>
        <w:t xml:space="preserve">  地下水污染防渗分区表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863"/>
        <w:gridCol w:w="1285"/>
        <w:gridCol w:w="1003"/>
        <w:gridCol w:w="1255"/>
        <w:gridCol w:w="1112"/>
        <w:gridCol w:w="2890"/>
      </w:tblGrid>
      <w:tr w14:paraId="1A5B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trPr>
        <w:tc>
          <w:tcPr>
            <w:tcW w:w="513" w:type="pct"/>
            <w:shd w:val="clear" w:color="auto" w:fill="auto"/>
            <w:vAlign w:val="center"/>
          </w:tcPr>
          <w:p w14:paraId="133FD6A6">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防渗分区</w:t>
            </w:r>
          </w:p>
        </w:tc>
        <w:tc>
          <w:tcPr>
            <w:tcW w:w="764" w:type="pct"/>
            <w:shd w:val="clear" w:color="auto" w:fill="auto"/>
            <w:vAlign w:val="center"/>
          </w:tcPr>
          <w:p w14:paraId="76F8BB5E">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天然包气带防污性能</w:t>
            </w:r>
          </w:p>
        </w:tc>
        <w:tc>
          <w:tcPr>
            <w:tcW w:w="596" w:type="pct"/>
            <w:shd w:val="clear" w:color="auto" w:fill="auto"/>
            <w:vAlign w:val="center"/>
          </w:tcPr>
          <w:p w14:paraId="21805469">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污染控制难易程度</w:t>
            </w:r>
          </w:p>
        </w:tc>
        <w:tc>
          <w:tcPr>
            <w:tcW w:w="746" w:type="pct"/>
            <w:shd w:val="clear" w:color="auto" w:fill="auto"/>
            <w:vAlign w:val="center"/>
          </w:tcPr>
          <w:p w14:paraId="0D2FA7D4">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位置</w:t>
            </w:r>
          </w:p>
        </w:tc>
        <w:tc>
          <w:tcPr>
            <w:tcW w:w="661" w:type="pct"/>
            <w:shd w:val="clear" w:color="auto" w:fill="auto"/>
            <w:vAlign w:val="center"/>
          </w:tcPr>
          <w:p w14:paraId="110F58A6">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污染物类型</w:t>
            </w:r>
          </w:p>
        </w:tc>
        <w:tc>
          <w:tcPr>
            <w:tcW w:w="1718" w:type="pct"/>
            <w:shd w:val="clear" w:color="auto" w:fill="auto"/>
            <w:vAlign w:val="center"/>
          </w:tcPr>
          <w:p w14:paraId="2B804177">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防渗技术要求</w:t>
            </w:r>
          </w:p>
        </w:tc>
      </w:tr>
      <w:tr w14:paraId="02D0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trPr>
        <w:tc>
          <w:tcPr>
            <w:tcW w:w="513" w:type="pct"/>
            <w:shd w:val="clear" w:color="auto" w:fill="auto"/>
            <w:vAlign w:val="center"/>
          </w:tcPr>
          <w:p w14:paraId="149DF10E">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764" w:type="pct"/>
            <w:shd w:val="clear" w:color="auto" w:fill="auto"/>
            <w:vAlign w:val="center"/>
          </w:tcPr>
          <w:p w14:paraId="76877497">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弱</w:t>
            </w:r>
          </w:p>
        </w:tc>
        <w:tc>
          <w:tcPr>
            <w:tcW w:w="596" w:type="pct"/>
            <w:shd w:val="clear" w:color="auto" w:fill="auto"/>
            <w:vAlign w:val="center"/>
          </w:tcPr>
          <w:p w14:paraId="554E231F">
            <w:pPr>
              <w:pStyle w:val="42"/>
              <w:keepNext w:val="0"/>
              <w:keepLines w:val="0"/>
              <w:pageBreakBefore w:val="0"/>
              <w:widowControl/>
              <w:kinsoku/>
              <w:wordWrap/>
              <w:overflowPunct/>
              <w:topLinePunct w:val="0"/>
              <w:autoSpaceDE w:val="0"/>
              <w:autoSpaceDN w:val="0"/>
              <w:bidi w:val="0"/>
              <w:adjustRightInd/>
              <w:snapToGrid/>
              <w:spacing w:after="160"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w:t>
            </w:r>
          </w:p>
        </w:tc>
        <w:tc>
          <w:tcPr>
            <w:tcW w:w="1255" w:type="dxa"/>
            <w:shd w:val="clear" w:color="auto" w:fill="auto"/>
            <w:vAlign w:val="center"/>
          </w:tcPr>
          <w:p w14:paraId="3365DCFB">
            <w:pPr>
              <w:pStyle w:val="42"/>
              <w:keepNext w:val="0"/>
              <w:keepLines w:val="0"/>
              <w:pageBreakBefore w:val="0"/>
              <w:widowControl/>
              <w:kinsoku/>
              <w:wordWrap/>
              <w:overflowPunct/>
              <w:topLinePunct w:val="0"/>
              <w:autoSpaceDE w:val="0"/>
              <w:autoSpaceDN w:val="0"/>
              <w:bidi w:val="0"/>
              <w:adjustRightInd/>
              <w:snapToGrid/>
              <w:spacing w:after="160"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管线阀池</w:t>
            </w:r>
          </w:p>
        </w:tc>
        <w:tc>
          <w:tcPr>
            <w:tcW w:w="1112" w:type="dxa"/>
            <w:shd w:val="clear" w:color="auto" w:fill="auto"/>
            <w:vAlign w:val="center"/>
          </w:tcPr>
          <w:p w14:paraId="58AF44AB">
            <w:pPr>
              <w:pStyle w:val="42"/>
              <w:keepNext w:val="0"/>
              <w:keepLines w:val="0"/>
              <w:pageBreakBefore w:val="0"/>
              <w:widowControl/>
              <w:kinsoku/>
              <w:wordWrap/>
              <w:overflowPunct/>
              <w:topLinePunct w:val="0"/>
              <w:autoSpaceDE w:val="0"/>
              <w:autoSpaceDN w:val="0"/>
              <w:bidi w:val="0"/>
              <w:adjustRightInd/>
              <w:snapToGrid/>
              <w:spacing w:after="160"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718" w:type="pct"/>
            <w:shd w:val="clear" w:color="auto" w:fill="auto"/>
            <w:vAlign w:val="center"/>
          </w:tcPr>
          <w:p w14:paraId="3561128B">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等效黏土防渗层Mb≥6.0m，K≤1×10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cm/s；或执行《石油化工工程防渗技术规范》（GB/T50934-2013）</w:t>
            </w:r>
          </w:p>
        </w:tc>
      </w:tr>
      <w:tr w14:paraId="1323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trPr>
        <w:tc>
          <w:tcPr>
            <w:tcW w:w="513" w:type="pct"/>
            <w:shd w:val="clear" w:color="auto" w:fill="auto"/>
            <w:vAlign w:val="center"/>
          </w:tcPr>
          <w:p w14:paraId="7ADD3586">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w:t>
            </w:r>
          </w:p>
        </w:tc>
        <w:tc>
          <w:tcPr>
            <w:tcW w:w="764" w:type="pct"/>
            <w:shd w:val="clear" w:color="auto" w:fill="auto"/>
            <w:vAlign w:val="center"/>
          </w:tcPr>
          <w:p w14:paraId="6CA50FBE">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弱</w:t>
            </w:r>
          </w:p>
        </w:tc>
        <w:tc>
          <w:tcPr>
            <w:tcW w:w="596" w:type="pct"/>
            <w:shd w:val="clear" w:color="auto" w:fill="auto"/>
            <w:vAlign w:val="center"/>
          </w:tcPr>
          <w:p w14:paraId="4468FD88">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w:t>
            </w:r>
          </w:p>
        </w:tc>
        <w:tc>
          <w:tcPr>
            <w:tcW w:w="746" w:type="pct"/>
            <w:shd w:val="clear" w:color="auto" w:fill="auto"/>
            <w:vAlign w:val="center"/>
          </w:tcPr>
          <w:p w14:paraId="035F3D13">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其他区域</w:t>
            </w:r>
          </w:p>
        </w:tc>
        <w:tc>
          <w:tcPr>
            <w:tcW w:w="661" w:type="pct"/>
            <w:shd w:val="clear" w:color="auto" w:fill="auto"/>
            <w:vAlign w:val="center"/>
          </w:tcPr>
          <w:p w14:paraId="0E10940E">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p w14:paraId="1157A854">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类型</w:t>
            </w:r>
          </w:p>
        </w:tc>
        <w:tc>
          <w:tcPr>
            <w:tcW w:w="1718" w:type="pct"/>
            <w:shd w:val="clear" w:color="auto" w:fill="auto"/>
            <w:vAlign w:val="center"/>
          </w:tcPr>
          <w:p w14:paraId="4604CFFB">
            <w:pPr>
              <w:pStyle w:val="42"/>
              <w:keepNext w:val="0"/>
              <w:keepLines w:val="0"/>
              <w:pageBreakBefore w:val="0"/>
              <w:widowControl/>
              <w:kinsoku/>
              <w:wordWrap/>
              <w:overflowPunct/>
              <w:topLinePunct w:val="0"/>
              <w:autoSpaceDE w:val="0"/>
              <w:autoSpaceDN w:val="0"/>
              <w:bidi w:val="0"/>
              <w:adjustRightInd/>
              <w:snapToGrid/>
              <w:spacing w:after="16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一般地面硬化</w:t>
            </w:r>
          </w:p>
        </w:tc>
      </w:tr>
    </w:tbl>
    <w:p w14:paraId="7A7C295B">
      <w:pPr>
        <w:pStyle w:val="11"/>
        <w:bidi w:val="0"/>
        <w:rPr>
          <w:rFonts w:ascii="Times New Roman" w:hAnsi="Times New Roman" w:eastAsia="宋体"/>
          <w:color w:val="auto"/>
        </w:rPr>
      </w:pPr>
      <w:r>
        <w:rPr>
          <w:rFonts w:ascii="Times New Roman" w:hAnsi="Times New Roman" w:eastAsia="宋体"/>
          <w:color w:val="auto"/>
        </w:rPr>
        <w:t>①重点防渗区</w:t>
      </w:r>
    </w:p>
    <w:p w14:paraId="35602BA6">
      <w:pPr>
        <w:pStyle w:val="11"/>
        <w:bidi w:val="0"/>
        <w:rPr>
          <w:rFonts w:ascii="Times New Roman" w:hAnsi="Times New Roman" w:eastAsia="宋体"/>
          <w:color w:val="auto"/>
        </w:rPr>
      </w:pPr>
      <w:r>
        <w:rPr>
          <w:rFonts w:hint="eastAsia" w:ascii="Times New Roman" w:hAnsi="Times New Roman" w:eastAsia="宋体"/>
          <w:color w:val="auto"/>
        </w:rPr>
        <w:t>重点防渗区主要为</w:t>
      </w:r>
      <w:r>
        <w:rPr>
          <w:rFonts w:hint="eastAsia" w:ascii="Times New Roman" w:hAnsi="Times New Roman" w:eastAsia="宋体"/>
          <w:color w:val="auto"/>
          <w:lang w:val="en-US" w:eastAsia="zh-CN"/>
        </w:rPr>
        <w:t>阀池</w:t>
      </w:r>
      <w:r>
        <w:rPr>
          <w:rFonts w:hint="eastAsia" w:ascii="Times New Roman" w:hAnsi="Times New Roman" w:eastAsia="宋体"/>
          <w:color w:val="auto"/>
          <w:lang w:eastAsia="zh-CN"/>
        </w:rPr>
        <w:t>，</w:t>
      </w:r>
      <w:r>
        <w:rPr>
          <w:rFonts w:ascii="Times New Roman" w:hAnsi="Times New Roman" w:eastAsia="宋体"/>
          <w:color w:val="auto"/>
        </w:rPr>
        <w:t>可采用天然材料防渗结构、刚性防渗结构和复合防渗结构中的其中一种。天然材料防渗结构的天然材料防渗层饱和渗透系数不应大于1.0×10</w:t>
      </w:r>
      <w:r>
        <w:rPr>
          <w:rFonts w:ascii="Times New Roman" w:hAnsi="Times New Roman" w:eastAsia="宋体"/>
          <w:color w:val="auto"/>
          <w:vertAlign w:val="superscript"/>
        </w:rPr>
        <w:t>-7</w:t>
      </w:r>
      <w:r>
        <w:rPr>
          <w:rFonts w:ascii="Times New Roman" w:hAnsi="Times New Roman" w:eastAsia="宋体"/>
          <w:color w:val="auto"/>
        </w:rPr>
        <w:t>cm/s，厚度不应小于6.0m；刚性防渗结构应采用水泥基渗透结晶型抗渗混凝土（厚度不宜小于150mm）+水泥基渗透结晶型防渗涂层（厚度不小于0.8mm）的结构型式，防渗结构层的渗透系数不应大于1.0×10</w:t>
      </w:r>
      <w:r>
        <w:rPr>
          <w:rFonts w:ascii="Times New Roman" w:hAnsi="Times New Roman" w:eastAsia="宋体"/>
          <w:color w:val="auto"/>
          <w:vertAlign w:val="superscript"/>
        </w:rPr>
        <w:t>-10</w:t>
      </w:r>
      <w:r>
        <w:rPr>
          <w:rFonts w:ascii="Times New Roman" w:hAnsi="Times New Roman" w:eastAsia="宋体"/>
          <w:color w:val="auto"/>
        </w:rPr>
        <w:t>cm/s；复合防渗结构应采用土工膜（厚度不小于1.5mm）+抗渗混凝土（厚度不宜小于100mm）的结构型式，抗渗混凝土的渗透系数不应大于1.0×10</w:t>
      </w:r>
      <w:r>
        <w:rPr>
          <w:rFonts w:ascii="Times New Roman" w:hAnsi="Times New Roman" w:eastAsia="宋体"/>
          <w:color w:val="auto"/>
          <w:vertAlign w:val="superscript"/>
        </w:rPr>
        <w:t>-6</w:t>
      </w:r>
      <w:r>
        <w:rPr>
          <w:rFonts w:ascii="Times New Roman" w:hAnsi="Times New Roman" w:eastAsia="宋体"/>
          <w:color w:val="auto"/>
        </w:rPr>
        <w:t>cm/s。不管采取何种防渗型式，确保防渗性能应与6m厚的粘土层等效（粘土渗透系数1.0×10</w:t>
      </w:r>
      <w:r>
        <w:rPr>
          <w:rFonts w:ascii="Times New Roman" w:hAnsi="Times New Roman" w:eastAsia="宋体"/>
          <w:color w:val="auto"/>
          <w:vertAlign w:val="superscript"/>
        </w:rPr>
        <w:t>-7</w:t>
      </w:r>
      <w:r>
        <w:rPr>
          <w:rFonts w:ascii="Times New Roman" w:hAnsi="Times New Roman" w:eastAsia="宋体"/>
          <w:color w:val="auto"/>
        </w:rPr>
        <w:t>cm/s），且应与所接触的污染物或物料相兼容，采用的防渗材料及施工工艺应符合健康、安全、环保的要求。防渗设计应保证在设计使用年限内不会对包气带及地下水造成污染。当达到设计使用年限时，应对防渗层进行检验和鉴定，合格后方可继续使用。</w:t>
      </w:r>
    </w:p>
    <w:p w14:paraId="3DB6C73B">
      <w:pPr>
        <w:pStyle w:val="11"/>
        <w:bidi w:val="0"/>
        <w:rPr>
          <w:rFonts w:ascii="Times New Roman" w:hAnsi="Times New Roman" w:eastAsia="宋体"/>
          <w:color w:val="auto"/>
        </w:rPr>
      </w:pPr>
      <w:r>
        <w:rPr>
          <w:rFonts w:ascii="Times New Roman" w:hAnsi="Times New Roman" w:eastAsia="宋体"/>
          <w:color w:val="auto"/>
        </w:rPr>
        <w:t>②简单防渗区</w:t>
      </w:r>
    </w:p>
    <w:p w14:paraId="7434DE00">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rPr>
        <w:t>简单防渗区主要是指井场内及井口外的其他区域，采用非铺砌地坪</w:t>
      </w:r>
      <w:r>
        <w:rPr>
          <w:rFonts w:hint="eastAsia" w:ascii="Times New Roman" w:hAnsi="Times New Roman" w:eastAsia="宋体"/>
          <w:color w:val="auto"/>
          <w:lang w:val="en-US" w:eastAsia="zh-CN"/>
        </w:rPr>
        <w:t>即可</w:t>
      </w:r>
      <w:r>
        <w:rPr>
          <w:rFonts w:ascii="Times New Roman" w:hAnsi="Times New Roman" w:eastAsia="宋体"/>
          <w:color w:val="auto"/>
        </w:rPr>
        <w:t>。</w:t>
      </w:r>
    </w:p>
    <w:p w14:paraId="57DC7354">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3</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污染监控措施</w:t>
      </w:r>
    </w:p>
    <w:p w14:paraId="5FE70EC2">
      <w:pPr>
        <w:pStyle w:val="11"/>
        <w:bidi w:val="0"/>
        <w:rPr>
          <w:rFonts w:hint="eastAsia" w:ascii="Times New Roman" w:hAnsi="Times New Roman" w:eastAsia="宋体"/>
          <w:color w:val="auto"/>
        </w:rPr>
      </w:pPr>
      <w:r>
        <w:rPr>
          <w:rFonts w:hint="eastAsia" w:ascii="Times New Roman" w:hAnsi="Times New Roman" w:eastAsia="宋体"/>
          <w:color w:val="auto"/>
        </w:rPr>
        <w:t>为了及时发现项目</w:t>
      </w:r>
      <w:r>
        <w:rPr>
          <w:rFonts w:hint="eastAsia" w:ascii="Times New Roman" w:hAnsi="Times New Roman" w:eastAsia="宋体"/>
          <w:color w:val="auto"/>
          <w:lang w:eastAsia="zh-CN"/>
        </w:rPr>
        <w:t>运营</w:t>
      </w:r>
      <w:r>
        <w:rPr>
          <w:rFonts w:hint="eastAsia" w:ascii="Times New Roman" w:hAnsi="Times New Roman" w:eastAsia="宋体"/>
          <w:color w:val="auto"/>
        </w:rPr>
        <w:t>中出现的对地下水环境的不利影响，防范地下水污染事故发生，保证周边水源井的供水安全，减缓对地下水环境的不利影响，并为地下水污染后的治理措施制定和治理方案实施提供基础资料，建议建设单位在项目正式运行前，在油田公司监测计划的基础上结合本项目工程布局完善地下水环境跟踪监测点，并在项目</w:t>
      </w:r>
      <w:r>
        <w:rPr>
          <w:rFonts w:hint="eastAsia" w:ascii="Times New Roman" w:hAnsi="Times New Roman" w:eastAsia="宋体"/>
          <w:color w:val="auto"/>
          <w:lang w:eastAsia="zh-CN"/>
        </w:rPr>
        <w:t>运营</w:t>
      </w:r>
      <w:r>
        <w:rPr>
          <w:rFonts w:hint="eastAsia" w:ascii="Times New Roman" w:hAnsi="Times New Roman" w:eastAsia="宋体"/>
          <w:color w:val="auto"/>
        </w:rPr>
        <w:t>中定期监测、定期整理研究、定期预报、识别事故并及时采取措施，尽可能减小项目在非正常状况下对地下水环境的影响。</w:t>
      </w:r>
    </w:p>
    <w:p w14:paraId="4A7E9027">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①监测井布设原则</w:t>
      </w:r>
    </w:p>
    <w:p w14:paraId="76D6F614">
      <w:pPr>
        <w:pStyle w:val="11"/>
        <w:bidi w:val="0"/>
        <w:rPr>
          <w:rFonts w:hint="eastAsia" w:ascii="Times New Roman" w:hAnsi="Times New Roman" w:eastAsia="宋体"/>
          <w:color w:val="auto"/>
        </w:rPr>
      </w:pPr>
      <w:r>
        <w:rPr>
          <w:rFonts w:hint="eastAsia" w:ascii="Times New Roman" w:hAnsi="Times New Roman" w:eastAsia="宋体"/>
          <w:color w:val="auto"/>
          <w:lang w:val="en-US" w:eastAsia="zh-CN"/>
        </w:rPr>
        <w:t>A.</w:t>
      </w:r>
      <w:r>
        <w:rPr>
          <w:rFonts w:hint="eastAsia" w:ascii="Times New Roman" w:hAnsi="Times New Roman" w:eastAsia="宋体"/>
          <w:color w:val="auto"/>
        </w:rPr>
        <w:t>井场、站场地下水环境监测</w:t>
      </w:r>
    </w:p>
    <w:p w14:paraId="4B23FC70">
      <w:pPr>
        <w:pStyle w:val="11"/>
        <w:bidi w:val="0"/>
        <w:rPr>
          <w:rFonts w:hint="eastAsia" w:ascii="Times New Roman" w:hAnsi="Times New Roman" w:eastAsia="宋体"/>
          <w:color w:val="auto"/>
        </w:rPr>
      </w:pPr>
      <w:r>
        <w:rPr>
          <w:rFonts w:hint="eastAsia" w:ascii="Times New Roman" w:hAnsi="Times New Roman" w:eastAsia="宋体"/>
          <w:color w:val="auto"/>
          <w:lang w:val="en-US" w:eastAsia="zh-CN"/>
        </w:rPr>
        <w:t>百口泉采油厂现有</w:t>
      </w:r>
      <w:r>
        <w:rPr>
          <w:rFonts w:hint="eastAsia" w:ascii="Times New Roman" w:hAnsi="Times New Roman" w:eastAsia="宋体"/>
          <w:color w:val="auto"/>
        </w:rPr>
        <w:t>采油井、采出水回注井众多，非正常状况下污染物渗漏的井位具有不确定性，对每口井周围的地下水环境都进行监控不太可行。水质监测点布设的原则从五个方面考虑，一是监测点尽量布置在采油井和采出水回注井相对集中的下游；二是监测点尽量布置在采油井和采出水回注井下游人口相对集中的位置；三是监测点尽量布置在站场和保障点下游；四是监测点尽量布置在距离水源地最近的采油井和采出水回注井下游；五是尽可能利用现有石油开采水源井和居民供水井作为监测点。监测点位置依据潜在污染源位置、地下水径流方向及地下水模拟结果综合确定，监测层位根据污染源可能的污染层位确定。</w:t>
      </w:r>
    </w:p>
    <w:p w14:paraId="1DFE3951">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B.集输管线地下水环境监测</w:t>
      </w:r>
    </w:p>
    <w:p w14:paraId="42602773">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集输管线总里程较长，非正常状况下污染物渗漏的位置具有不确定性，沿线全部布置水质监测点不太可行。</w:t>
      </w:r>
    </w:p>
    <w:p w14:paraId="0E280D00">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对于集输管线的监测，除了严格执行定期的人工巡检制度，应当利用进出油（水）水量平衡的方法，及时发现原油或者采出水可能发生的渗漏，并在集输管线设置分布式光纤监测装置，对输送过程中的形变和温度进行持续动态监测，也可以及时发现原油或者采出水可能发生的渗漏，降低原油或者采出水出现长期的持续渗漏可能性。</w:t>
      </w:r>
    </w:p>
    <w:p w14:paraId="2406E750">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②百口泉采油厂现有监测井情况</w:t>
      </w:r>
    </w:p>
    <w:p w14:paraId="2C37BBE4">
      <w:pPr>
        <w:pStyle w:val="11"/>
        <w:bidi w:val="0"/>
        <w:rPr>
          <w:rFonts w:hint="eastAsia" w:ascii="Times New Roman" w:hAnsi="Times New Roman" w:eastAsia="宋体"/>
          <w:color w:val="auto"/>
          <w:lang w:val="en-US" w:eastAsia="zh"/>
        </w:rPr>
      </w:pPr>
      <w:r>
        <w:rPr>
          <w:rFonts w:hint="eastAsia" w:ascii="Times New Roman" w:hAnsi="Times New Roman" w:eastAsia="宋体"/>
          <w:color w:val="auto"/>
          <w:lang w:val="en-US" w:eastAsia="zh-CN"/>
        </w:rPr>
        <w:t>根据历年产建环评和排污单位自行监测指南要求，企业主要在现有站场周边建设污染监控井。但由于产建项目井场、站场数量较多，分布比较分散，本次可利用的现有监测井数量较少。本次只选取作业区相关的监测井信息，</w:t>
      </w:r>
      <w:r>
        <w:rPr>
          <w:rFonts w:hint="eastAsia" w:ascii="Times New Roman" w:hAnsi="Times New Roman" w:eastAsia="宋体"/>
          <w:color w:val="auto"/>
          <w:lang w:val="en-US" w:eastAsia="zh"/>
        </w:rPr>
        <w:t>具体见下</w:t>
      </w:r>
      <w:r>
        <w:rPr>
          <w:rFonts w:hint="eastAsia"/>
          <w:color w:val="auto"/>
          <w:lang w:val="en-US" w:eastAsia="zh-CN"/>
        </w:rPr>
        <w:t>表</w:t>
      </w:r>
      <w:r>
        <w:rPr>
          <w:rFonts w:hint="eastAsia" w:ascii="Times New Roman" w:hAnsi="Times New Roman" w:eastAsia="宋体"/>
          <w:color w:val="auto"/>
          <w:lang w:val="en-US" w:eastAsia="zh-CN"/>
        </w:rPr>
        <w:t>.2-2</w:t>
      </w:r>
      <w:r>
        <w:rPr>
          <w:rFonts w:hint="eastAsia" w:ascii="Times New Roman" w:hAnsi="Times New Roman" w:eastAsia="宋体"/>
          <w:color w:val="auto"/>
          <w:lang w:val="en-US" w:eastAsia="zh"/>
        </w:rPr>
        <w:t>。</w:t>
      </w:r>
    </w:p>
    <w:p w14:paraId="58A977A4">
      <w:pPr>
        <w:pStyle w:val="43"/>
        <w:bidi w:val="0"/>
        <w:rPr>
          <w:rFonts w:hint="eastAsia"/>
          <w:color w:val="auto"/>
          <w:lang w:val="en-US" w:eastAsia="zh-CN"/>
        </w:rPr>
      </w:pPr>
      <w:bookmarkStart w:id="286" w:name="_Ref2665"/>
    </w:p>
    <w:p w14:paraId="01383CF0">
      <w:pPr>
        <w:pStyle w:val="43"/>
        <w:bidi w:val="0"/>
        <w:rPr>
          <w:rFonts w:hint="default"/>
          <w:color w:val="auto"/>
          <w:lang w:val="en-US" w:eastAsia="zh-CN"/>
        </w:rPr>
      </w:pPr>
      <w:r>
        <w:rPr>
          <w:rFonts w:hint="eastAsia"/>
          <w:color w:val="auto"/>
          <w:lang w:val="en-US" w:eastAsia="zh-CN"/>
        </w:rPr>
        <w:t xml:space="preserve">表6.2-2  </w:t>
      </w:r>
      <w:r>
        <w:rPr>
          <w:rFonts w:hint="eastAsia"/>
          <w:color w:val="auto"/>
          <w:lang w:val="en-US" w:eastAsia="zh"/>
        </w:rPr>
        <w:t>现有地下水监测井一览表</w:t>
      </w:r>
    </w:p>
    <w:bookmarkEnd w:id="286"/>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770"/>
        <w:gridCol w:w="1920"/>
        <w:gridCol w:w="2030"/>
        <w:gridCol w:w="2131"/>
      </w:tblGrid>
      <w:tr w14:paraId="1D67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7BECE2D6">
            <w:pPr>
              <w:pStyle w:val="34"/>
              <w:bidi w:val="0"/>
              <w:jc w:val="center"/>
              <w:rPr>
                <w:rFonts w:hint="default"/>
                <w:b/>
                <w:bCs/>
                <w:color w:val="auto"/>
                <w:lang w:val="en-US" w:eastAsia="zh-CN"/>
              </w:rPr>
            </w:pPr>
            <w:r>
              <w:rPr>
                <w:rFonts w:hint="eastAsia"/>
                <w:b/>
                <w:bCs/>
                <w:color w:val="auto"/>
                <w:lang w:val="en-US" w:eastAsia="zh-CN"/>
              </w:rPr>
              <w:t>序号</w:t>
            </w:r>
          </w:p>
        </w:tc>
        <w:tc>
          <w:tcPr>
            <w:tcW w:w="1770" w:type="dxa"/>
            <w:tcBorders>
              <w:right w:val="single" w:color="000000" w:sz="4" w:space="0"/>
            </w:tcBorders>
            <w:vAlign w:val="center"/>
          </w:tcPr>
          <w:p w14:paraId="560E0786">
            <w:pPr>
              <w:pStyle w:val="34"/>
              <w:bidi w:val="0"/>
              <w:jc w:val="center"/>
              <w:rPr>
                <w:rFonts w:hint="default"/>
                <w:b/>
                <w:bCs/>
                <w:color w:val="auto"/>
                <w:lang w:val="en-US" w:eastAsia="zh-CN"/>
              </w:rPr>
            </w:pPr>
            <w:r>
              <w:rPr>
                <w:rFonts w:hint="eastAsia"/>
                <w:b/>
                <w:bCs/>
                <w:color w:val="auto"/>
                <w:lang w:val="en-US" w:eastAsia="zh-CN"/>
              </w:rPr>
              <w:t>站场名称</w:t>
            </w:r>
          </w:p>
        </w:tc>
        <w:tc>
          <w:tcPr>
            <w:tcW w:w="1920" w:type="dxa"/>
            <w:tcBorders>
              <w:left w:val="single" w:color="000000" w:sz="4" w:space="0"/>
            </w:tcBorders>
            <w:vAlign w:val="center"/>
          </w:tcPr>
          <w:p w14:paraId="3CDBF8EB">
            <w:pPr>
              <w:pStyle w:val="34"/>
              <w:bidi w:val="0"/>
              <w:jc w:val="center"/>
              <w:rPr>
                <w:rFonts w:hint="default"/>
                <w:b/>
                <w:bCs/>
                <w:color w:val="auto"/>
                <w:lang w:val="en-US" w:eastAsia="zh-CN"/>
              </w:rPr>
            </w:pPr>
            <w:r>
              <w:rPr>
                <w:rFonts w:hint="eastAsia"/>
                <w:b/>
                <w:bCs/>
                <w:color w:val="auto"/>
                <w:lang w:val="en-US" w:eastAsia="zh-CN"/>
              </w:rPr>
              <w:t>与本项目位置关系</w:t>
            </w:r>
          </w:p>
        </w:tc>
        <w:tc>
          <w:tcPr>
            <w:tcW w:w="2030" w:type="dxa"/>
            <w:vAlign w:val="center"/>
          </w:tcPr>
          <w:p w14:paraId="1DBF4EF9">
            <w:pPr>
              <w:pStyle w:val="34"/>
              <w:bidi w:val="0"/>
              <w:jc w:val="center"/>
              <w:rPr>
                <w:rFonts w:hint="default"/>
                <w:b/>
                <w:bCs/>
                <w:color w:val="auto"/>
                <w:lang w:val="en-US" w:eastAsia="zh-CN"/>
              </w:rPr>
            </w:pPr>
            <w:r>
              <w:rPr>
                <w:rFonts w:hint="eastAsia"/>
                <w:b/>
                <w:bCs/>
                <w:color w:val="auto"/>
                <w:lang w:val="en-US" w:eastAsia="zh-CN"/>
              </w:rPr>
              <w:t>点位编号</w:t>
            </w:r>
          </w:p>
        </w:tc>
        <w:tc>
          <w:tcPr>
            <w:tcW w:w="2131" w:type="dxa"/>
            <w:vAlign w:val="center"/>
          </w:tcPr>
          <w:p w14:paraId="5EE9DF9C">
            <w:pPr>
              <w:pStyle w:val="34"/>
              <w:bidi w:val="0"/>
              <w:jc w:val="center"/>
              <w:rPr>
                <w:rFonts w:hint="default"/>
                <w:b/>
                <w:bCs/>
                <w:color w:val="auto"/>
                <w:lang w:val="en-US" w:eastAsia="zh-CN"/>
              </w:rPr>
            </w:pPr>
            <w:r>
              <w:rPr>
                <w:rFonts w:hint="eastAsia"/>
                <w:b/>
                <w:bCs/>
                <w:color w:val="auto"/>
                <w:lang w:val="en-US" w:eastAsia="zh-CN"/>
              </w:rPr>
              <w:t>监测日期</w:t>
            </w:r>
          </w:p>
        </w:tc>
      </w:tr>
      <w:tr w14:paraId="5BF7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14:paraId="712B4B7C">
            <w:pPr>
              <w:pStyle w:val="34"/>
              <w:bidi w:val="0"/>
              <w:jc w:val="center"/>
              <w:rPr>
                <w:rFonts w:hint="default"/>
                <w:color w:val="auto"/>
                <w:lang w:val="en-US" w:eastAsia="zh-CN"/>
              </w:rPr>
            </w:pPr>
            <w:r>
              <w:rPr>
                <w:rFonts w:hint="eastAsia"/>
                <w:color w:val="auto"/>
                <w:lang w:val="en-US" w:eastAsia="zh-CN"/>
              </w:rPr>
              <w:t>1</w:t>
            </w:r>
          </w:p>
        </w:tc>
        <w:tc>
          <w:tcPr>
            <w:tcW w:w="1770" w:type="dxa"/>
            <w:vMerge w:val="restart"/>
            <w:tcBorders>
              <w:right w:val="single" w:color="000000" w:sz="4" w:space="0"/>
            </w:tcBorders>
            <w:vAlign w:val="center"/>
          </w:tcPr>
          <w:p w14:paraId="08802869">
            <w:pPr>
              <w:pStyle w:val="34"/>
              <w:bidi w:val="0"/>
              <w:jc w:val="center"/>
              <w:rPr>
                <w:rFonts w:hint="default"/>
                <w:color w:val="auto"/>
                <w:lang w:val="en-US" w:eastAsia="zh-CN"/>
              </w:rPr>
            </w:pPr>
            <w:r>
              <w:rPr>
                <w:rFonts w:hint="eastAsia"/>
                <w:color w:val="auto"/>
                <w:lang w:val="en-US" w:eastAsia="zh-CN"/>
              </w:rPr>
              <w:t>百联站灌区/重点单元地下水监测井</w:t>
            </w:r>
          </w:p>
        </w:tc>
        <w:tc>
          <w:tcPr>
            <w:tcW w:w="1920" w:type="dxa"/>
            <w:vMerge w:val="restart"/>
            <w:tcBorders>
              <w:left w:val="single" w:color="000000" w:sz="4" w:space="0"/>
            </w:tcBorders>
            <w:vAlign w:val="center"/>
          </w:tcPr>
          <w:p w14:paraId="3672BD63">
            <w:pPr>
              <w:pStyle w:val="34"/>
              <w:bidi w:val="0"/>
              <w:jc w:val="center"/>
              <w:rPr>
                <w:rFonts w:hint="default"/>
                <w:color w:val="auto"/>
                <w:lang w:val="en-US" w:eastAsia="zh-CN"/>
              </w:rPr>
            </w:pPr>
            <w:r>
              <w:rPr>
                <w:rFonts w:hint="eastAsia"/>
                <w:color w:val="auto"/>
                <w:lang w:val="en-US" w:eastAsia="zh-CN"/>
              </w:rPr>
              <w:t>百厂探区西南侧约4.06km，位于项目区侧向下游</w:t>
            </w:r>
          </w:p>
        </w:tc>
        <w:tc>
          <w:tcPr>
            <w:tcW w:w="2030" w:type="dxa"/>
            <w:vAlign w:val="center"/>
          </w:tcPr>
          <w:p w14:paraId="11292F42">
            <w:pPr>
              <w:pStyle w:val="34"/>
              <w:bidi w:val="0"/>
              <w:jc w:val="center"/>
              <w:rPr>
                <w:rFonts w:hint="default"/>
                <w:color w:val="auto"/>
                <w:lang w:val="en-US" w:eastAsia="zh-CN"/>
              </w:rPr>
            </w:pPr>
            <w:r>
              <w:rPr>
                <w:rFonts w:hint="eastAsia"/>
                <w:color w:val="auto"/>
                <w:lang w:val="en-US" w:eastAsia="zh-CN"/>
              </w:rPr>
              <w:t>bqk1-2</w:t>
            </w:r>
          </w:p>
        </w:tc>
        <w:tc>
          <w:tcPr>
            <w:tcW w:w="2131" w:type="dxa"/>
            <w:vMerge w:val="restart"/>
            <w:vAlign w:val="center"/>
          </w:tcPr>
          <w:p w14:paraId="0BD828EF">
            <w:pPr>
              <w:pStyle w:val="34"/>
              <w:bidi w:val="0"/>
              <w:jc w:val="center"/>
              <w:rPr>
                <w:rFonts w:hint="default"/>
                <w:color w:val="auto"/>
                <w:lang w:val="en-US" w:eastAsia="zh-CN"/>
              </w:rPr>
            </w:pPr>
            <w:r>
              <w:rPr>
                <w:rFonts w:hint="eastAsia"/>
                <w:color w:val="auto"/>
                <w:lang w:val="en-US" w:eastAsia="zh-CN"/>
              </w:rPr>
              <w:t>2025.6.23-2025.6.28</w:t>
            </w:r>
          </w:p>
        </w:tc>
      </w:tr>
      <w:tr w14:paraId="6EC0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6647BAED">
            <w:pPr>
              <w:pStyle w:val="34"/>
              <w:bidi w:val="0"/>
              <w:jc w:val="center"/>
              <w:rPr>
                <w:rFonts w:hint="default"/>
                <w:color w:val="auto"/>
                <w:lang w:val="en-US" w:eastAsia="zh-CN"/>
              </w:rPr>
            </w:pPr>
          </w:p>
        </w:tc>
        <w:tc>
          <w:tcPr>
            <w:tcW w:w="1770" w:type="dxa"/>
            <w:vMerge w:val="continue"/>
            <w:tcBorders>
              <w:right w:val="single" w:color="000000" w:sz="4" w:space="0"/>
            </w:tcBorders>
            <w:vAlign w:val="center"/>
          </w:tcPr>
          <w:p w14:paraId="6D959BFF">
            <w:pPr>
              <w:pStyle w:val="34"/>
              <w:bidi w:val="0"/>
              <w:jc w:val="center"/>
              <w:rPr>
                <w:rFonts w:hint="eastAsia"/>
                <w:color w:val="auto"/>
                <w:lang w:val="en-US" w:eastAsia="zh-CN"/>
              </w:rPr>
            </w:pPr>
          </w:p>
        </w:tc>
        <w:tc>
          <w:tcPr>
            <w:tcW w:w="1920" w:type="dxa"/>
            <w:vMerge w:val="continue"/>
            <w:tcBorders>
              <w:left w:val="single" w:color="000000" w:sz="4" w:space="0"/>
            </w:tcBorders>
            <w:vAlign w:val="center"/>
          </w:tcPr>
          <w:p w14:paraId="63AF152A">
            <w:pPr>
              <w:pStyle w:val="34"/>
              <w:bidi w:val="0"/>
              <w:jc w:val="center"/>
              <w:rPr>
                <w:rFonts w:hint="eastAsia"/>
                <w:color w:val="auto"/>
                <w:lang w:val="en-US" w:eastAsia="zh-CN"/>
              </w:rPr>
            </w:pPr>
          </w:p>
        </w:tc>
        <w:tc>
          <w:tcPr>
            <w:tcW w:w="2030" w:type="dxa"/>
            <w:vAlign w:val="center"/>
          </w:tcPr>
          <w:p w14:paraId="0D3D32C2">
            <w:pPr>
              <w:pStyle w:val="34"/>
              <w:bidi w:val="0"/>
              <w:jc w:val="center"/>
              <w:rPr>
                <w:rFonts w:hint="default"/>
                <w:color w:val="auto"/>
                <w:lang w:val="en-US" w:eastAsia="zh-CN"/>
              </w:rPr>
            </w:pPr>
            <w:r>
              <w:rPr>
                <w:rFonts w:hint="eastAsia"/>
                <w:color w:val="auto"/>
                <w:lang w:val="en-US" w:eastAsia="zh-CN"/>
              </w:rPr>
              <w:t>bqk1-3</w:t>
            </w:r>
          </w:p>
        </w:tc>
        <w:tc>
          <w:tcPr>
            <w:tcW w:w="2131" w:type="dxa"/>
            <w:vMerge w:val="continue"/>
            <w:vAlign w:val="center"/>
          </w:tcPr>
          <w:p w14:paraId="6BC3735B">
            <w:pPr>
              <w:pStyle w:val="34"/>
              <w:bidi w:val="0"/>
              <w:jc w:val="center"/>
              <w:rPr>
                <w:rFonts w:hint="eastAsia"/>
                <w:color w:val="auto"/>
                <w:lang w:val="en-US" w:eastAsia="zh-CN"/>
              </w:rPr>
            </w:pPr>
          </w:p>
        </w:tc>
      </w:tr>
      <w:tr w14:paraId="4FC5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39EED544">
            <w:pPr>
              <w:pStyle w:val="34"/>
              <w:bidi w:val="0"/>
              <w:jc w:val="center"/>
              <w:rPr>
                <w:rFonts w:hint="eastAsia"/>
                <w:color w:val="auto"/>
                <w:lang w:val="en-US" w:eastAsia="zh-CN"/>
              </w:rPr>
            </w:pPr>
          </w:p>
        </w:tc>
        <w:tc>
          <w:tcPr>
            <w:tcW w:w="1770" w:type="dxa"/>
            <w:vMerge w:val="continue"/>
            <w:tcBorders>
              <w:right w:val="single" w:color="000000" w:sz="4" w:space="0"/>
            </w:tcBorders>
            <w:vAlign w:val="center"/>
          </w:tcPr>
          <w:p w14:paraId="567242F7">
            <w:pPr>
              <w:pStyle w:val="34"/>
              <w:bidi w:val="0"/>
              <w:jc w:val="center"/>
              <w:rPr>
                <w:rFonts w:hint="eastAsia"/>
                <w:color w:val="auto"/>
                <w:lang w:val="en-US" w:eastAsia="zh-CN"/>
              </w:rPr>
            </w:pPr>
          </w:p>
        </w:tc>
        <w:tc>
          <w:tcPr>
            <w:tcW w:w="1920" w:type="dxa"/>
            <w:vMerge w:val="continue"/>
            <w:tcBorders>
              <w:left w:val="single" w:color="000000" w:sz="4" w:space="0"/>
            </w:tcBorders>
            <w:vAlign w:val="center"/>
          </w:tcPr>
          <w:p w14:paraId="18BF475D">
            <w:pPr>
              <w:pStyle w:val="34"/>
              <w:bidi w:val="0"/>
              <w:jc w:val="center"/>
              <w:rPr>
                <w:rFonts w:hint="eastAsia"/>
                <w:color w:val="auto"/>
                <w:lang w:val="en-US" w:eastAsia="zh-CN"/>
              </w:rPr>
            </w:pPr>
          </w:p>
        </w:tc>
        <w:tc>
          <w:tcPr>
            <w:tcW w:w="2030" w:type="dxa"/>
            <w:vAlign w:val="center"/>
          </w:tcPr>
          <w:p w14:paraId="2FDE7BC3">
            <w:pPr>
              <w:pStyle w:val="34"/>
              <w:bidi w:val="0"/>
              <w:jc w:val="center"/>
              <w:rPr>
                <w:rFonts w:hint="default"/>
                <w:color w:val="auto"/>
                <w:lang w:val="en-US" w:eastAsia="zh-CN"/>
              </w:rPr>
            </w:pPr>
            <w:r>
              <w:rPr>
                <w:rFonts w:hint="eastAsia"/>
                <w:color w:val="auto"/>
                <w:lang w:val="en-US" w:eastAsia="zh-CN"/>
              </w:rPr>
              <w:t>bqk1-4</w:t>
            </w:r>
          </w:p>
        </w:tc>
        <w:tc>
          <w:tcPr>
            <w:tcW w:w="2131" w:type="dxa"/>
            <w:vMerge w:val="continue"/>
            <w:vAlign w:val="center"/>
          </w:tcPr>
          <w:p w14:paraId="71363DB1">
            <w:pPr>
              <w:pStyle w:val="34"/>
              <w:bidi w:val="0"/>
              <w:jc w:val="center"/>
              <w:rPr>
                <w:rFonts w:hint="eastAsia"/>
                <w:color w:val="auto"/>
                <w:lang w:val="en-US" w:eastAsia="zh-CN"/>
              </w:rPr>
            </w:pPr>
          </w:p>
        </w:tc>
      </w:tr>
      <w:tr w14:paraId="6976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30E8EB31">
            <w:pPr>
              <w:pStyle w:val="34"/>
              <w:bidi w:val="0"/>
              <w:jc w:val="center"/>
              <w:rPr>
                <w:rFonts w:hint="eastAsia"/>
                <w:color w:val="auto"/>
                <w:lang w:val="en-US" w:eastAsia="zh-CN"/>
              </w:rPr>
            </w:pPr>
          </w:p>
        </w:tc>
        <w:tc>
          <w:tcPr>
            <w:tcW w:w="1770" w:type="dxa"/>
            <w:vMerge w:val="continue"/>
            <w:tcBorders>
              <w:right w:val="single" w:color="000000" w:sz="4" w:space="0"/>
            </w:tcBorders>
            <w:vAlign w:val="center"/>
          </w:tcPr>
          <w:p w14:paraId="363161F8">
            <w:pPr>
              <w:pStyle w:val="34"/>
              <w:bidi w:val="0"/>
              <w:jc w:val="center"/>
              <w:rPr>
                <w:rFonts w:hint="eastAsia"/>
                <w:color w:val="auto"/>
                <w:lang w:val="en-US" w:eastAsia="zh-CN"/>
              </w:rPr>
            </w:pPr>
          </w:p>
        </w:tc>
        <w:tc>
          <w:tcPr>
            <w:tcW w:w="1920" w:type="dxa"/>
            <w:vMerge w:val="continue"/>
            <w:tcBorders>
              <w:left w:val="single" w:color="000000" w:sz="4" w:space="0"/>
            </w:tcBorders>
            <w:vAlign w:val="center"/>
          </w:tcPr>
          <w:p w14:paraId="148A8F0E">
            <w:pPr>
              <w:pStyle w:val="34"/>
              <w:bidi w:val="0"/>
              <w:jc w:val="center"/>
              <w:rPr>
                <w:rFonts w:hint="eastAsia"/>
                <w:color w:val="auto"/>
                <w:lang w:val="en-US" w:eastAsia="zh-CN"/>
              </w:rPr>
            </w:pPr>
          </w:p>
        </w:tc>
        <w:tc>
          <w:tcPr>
            <w:tcW w:w="2030" w:type="dxa"/>
            <w:vAlign w:val="center"/>
          </w:tcPr>
          <w:p w14:paraId="41643F4E">
            <w:pPr>
              <w:pStyle w:val="34"/>
              <w:bidi w:val="0"/>
              <w:jc w:val="center"/>
              <w:rPr>
                <w:rFonts w:hint="default"/>
                <w:color w:val="auto"/>
                <w:lang w:val="en-US" w:eastAsia="zh-CN"/>
              </w:rPr>
            </w:pPr>
            <w:r>
              <w:rPr>
                <w:rFonts w:hint="eastAsia"/>
                <w:color w:val="auto"/>
                <w:lang w:val="en-US" w:eastAsia="zh-CN"/>
              </w:rPr>
              <w:t>bqk1-5</w:t>
            </w:r>
          </w:p>
        </w:tc>
        <w:tc>
          <w:tcPr>
            <w:tcW w:w="2131" w:type="dxa"/>
            <w:vMerge w:val="continue"/>
            <w:vAlign w:val="center"/>
          </w:tcPr>
          <w:p w14:paraId="0B0C481B">
            <w:pPr>
              <w:pStyle w:val="34"/>
              <w:bidi w:val="0"/>
              <w:jc w:val="center"/>
              <w:rPr>
                <w:rFonts w:hint="eastAsia"/>
                <w:color w:val="auto"/>
                <w:lang w:val="en-US" w:eastAsia="zh-CN"/>
              </w:rPr>
            </w:pPr>
          </w:p>
        </w:tc>
      </w:tr>
      <w:tr w14:paraId="534D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14:paraId="270A1527">
            <w:pPr>
              <w:pStyle w:val="34"/>
              <w:bidi w:val="0"/>
              <w:jc w:val="center"/>
              <w:rPr>
                <w:rFonts w:hint="default"/>
                <w:color w:val="auto"/>
                <w:lang w:val="en-US" w:eastAsia="zh-CN"/>
              </w:rPr>
            </w:pPr>
            <w:r>
              <w:rPr>
                <w:rFonts w:hint="eastAsia"/>
                <w:color w:val="auto"/>
                <w:lang w:val="en-US" w:eastAsia="zh-CN"/>
              </w:rPr>
              <w:t>2</w:t>
            </w:r>
          </w:p>
        </w:tc>
        <w:tc>
          <w:tcPr>
            <w:tcW w:w="1770" w:type="dxa"/>
            <w:vMerge w:val="restart"/>
            <w:tcBorders>
              <w:right w:val="single" w:color="000000" w:sz="4" w:space="0"/>
            </w:tcBorders>
            <w:vAlign w:val="center"/>
          </w:tcPr>
          <w:p w14:paraId="06C00D77">
            <w:pPr>
              <w:pStyle w:val="34"/>
              <w:bidi w:val="0"/>
              <w:jc w:val="center"/>
              <w:rPr>
                <w:rFonts w:hint="default"/>
                <w:color w:val="auto"/>
                <w:lang w:val="en-US" w:eastAsia="zh-CN"/>
              </w:rPr>
            </w:pPr>
            <w:r>
              <w:rPr>
                <w:rFonts w:hint="eastAsia"/>
                <w:color w:val="auto"/>
                <w:lang w:val="en-US" w:eastAsia="zh-CN"/>
              </w:rPr>
              <w:t>危险废物储存点地下水监测井</w:t>
            </w:r>
          </w:p>
        </w:tc>
        <w:tc>
          <w:tcPr>
            <w:tcW w:w="1920" w:type="dxa"/>
            <w:vMerge w:val="restart"/>
            <w:tcBorders>
              <w:left w:val="single" w:color="000000" w:sz="4" w:space="0"/>
            </w:tcBorders>
            <w:vAlign w:val="center"/>
          </w:tcPr>
          <w:p w14:paraId="0628DA66">
            <w:pPr>
              <w:pStyle w:val="34"/>
              <w:bidi w:val="0"/>
              <w:jc w:val="center"/>
              <w:rPr>
                <w:rFonts w:hint="default"/>
                <w:color w:val="auto"/>
                <w:lang w:val="en-US" w:eastAsia="zh-CN"/>
              </w:rPr>
            </w:pPr>
            <w:r>
              <w:rPr>
                <w:rFonts w:hint="eastAsia"/>
                <w:color w:val="auto"/>
                <w:lang w:val="en-US" w:eastAsia="zh-CN"/>
              </w:rPr>
              <w:t>百厂探区西南侧约8.7km，位于项目区侧向下游</w:t>
            </w:r>
          </w:p>
        </w:tc>
        <w:tc>
          <w:tcPr>
            <w:tcW w:w="2030" w:type="dxa"/>
            <w:vAlign w:val="center"/>
          </w:tcPr>
          <w:p w14:paraId="75CCA069">
            <w:pPr>
              <w:pStyle w:val="34"/>
              <w:bidi w:val="0"/>
              <w:jc w:val="center"/>
              <w:rPr>
                <w:rFonts w:hint="default"/>
                <w:color w:val="auto"/>
                <w:lang w:val="en-US" w:eastAsia="zh-CN"/>
              </w:rPr>
            </w:pPr>
            <w:r>
              <w:rPr>
                <w:rFonts w:hint="eastAsia"/>
                <w:color w:val="auto"/>
                <w:lang w:val="en-US" w:eastAsia="zh-CN"/>
              </w:rPr>
              <w:t>bqk1-1（对照点）</w:t>
            </w:r>
          </w:p>
        </w:tc>
        <w:tc>
          <w:tcPr>
            <w:tcW w:w="2131" w:type="dxa"/>
            <w:vMerge w:val="restart"/>
            <w:vAlign w:val="center"/>
          </w:tcPr>
          <w:p w14:paraId="24C8D376">
            <w:pPr>
              <w:pStyle w:val="34"/>
              <w:bidi w:val="0"/>
              <w:jc w:val="center"/>
              <w:rPr>
                <w:rFonts w:hint="default"/>
                <w:color w:val="auto"/>
                <w:lang w:val="en-US" w:eastAsia="zh-CN"/>
              </w:rPr>
            </w:pPr>
            <w:r>
              <w:rPr>
                <w:rFonts w:hint="eastAsia"/>
                <w:color w:val="auto"/>
                <w:lang w:val="en-US" w:eastAsia="zh-CN"/>
              </w:rPr>
              <w:t>2025.4.20-2025.4.29</w:t>
            </w:r>
          </w:p>
        </w:tc>
      </w:tr>
      <w:tr w14:paraId="32DB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58B3FB8F">
            <w:pPr>
              <w:pStyle w:val="34"/>
              <w:bidi w:val="0"/>
              <w:jc w:val="center"/>
              <w:rPr>
                <w:rFonts w:hint="eastAsia"/>
                <w:color w:val="auto"/>
                <w:lang w:val="en-US" w:eastAsia="zh-CN"/>
              </w:rPr>
            </w:pPr>
          </w:p>
        </w:tc>
        <w:tc>
          <w:tcPr>
            <w:tcW w:w="1770" w:type="dxa"/>
            <w:vMerge w:val="continue"/>
            <w:tcBorders>
              <w:right w:val="single" w:color="000000" w:sz="4" w:space="0"/>
            </w:tcBorders>
            <w:vAlign w:val="center"/>
          </w:tcPr>
          <w:p w14:paraId="1BDC843E">
            <w:pPr>
              <w:pStyle w:val="34"/>
              <w:bidi w:val="0"/>
              <w:jc w:val="center"/>
              <w:rPr>
                <w:rFonts w:hint="eastAsia"/>
                <w:color w:val="auto"/>
                <w:lang w:val="en-US" w:eastAsia="zh-CN"/>
              </w:rPr>
            </w:pPr>
          </w:p>
        </w:tc>
        <w:tc>
          <w:tcPr>
            <w:tcW w:w="1920" w:type="dxa"/>
            <w:vMerge w:val="continue"/>
            <w:tcBorders>
              <w:left w:val="single" w:color="000000" w:sz="4" w:space="0"/>
            </w:tcBorders>
            <w:vAlign w:val="center"/>
          </w:tcPr>
          <w:p w14:paraId="6D4ADA74">
            <w:pPr>
              <w:pStyle w:val="34"/>
              <w:bidi w:val="0"/>
              <w:jc w:val="center"/>
              <w:rPr>
                <w:rFonts w:hint="eastAsia"/>
                <w:color w:val="auto"/>
                <w:lang w:val="en-US" w:eastAsia="zh-CN"/>
              </w:rPr>
            </w:pPr>
          </w:p>
        </w:tc>
        <w:tc>
          <w:tcPr>
            <w:tcW w:w="2030" w:type="dxa"/>
            <w:vAlign w:val="center"/>
          </w:tcPr>
          <w:p w14:paraId="6AFB4D6D">
            <w:pPr>
              <w:pStyle w:val="34"/>
              <w:bidi w:val="0"/>
              <w:jc w:val="center"/>
              <w:rPr>
                <w:rFonts w:hint="default"/>
                <w:color w:val="auto"/>
                <w:lang w:val="en-US" w:eastAsia="zh-CN"/>
              </w:rPr>
            </w:pPr>
            <w:r>
              <w:rPr>
                <w:rFonts w:hint="eastAsia"/>
                <w:color w:val="auto"/>
                <w:lang w:val="en-US" w:eastAsia="zh-CN"/>
              </w:rPr>
              <w:t>bqk2-1</w:t>
            </w:r>
          </w:p>
        </w:tc>
        <w:tc>
          <w:tcPr>
            <w:tcW w:w="2131" w:type="dxa"/>
            <w:vMerge w:val="continue"/>
            <w:vAlign w:val="center"/>
          </w:tcPr>
          <w:p w14:paraId="388920C9">
            <w:pPr>
              <w:pStyle w:val="34"/>
              <w:bidi w:val="0"/>
              <w:jc w:val="center"/>
              <w:rPr>
                <w:rFonts w:hint="eastAsia"/>
                <w:color w:val="auto"/>
                <w:lang w:val="en-US" w:eastAsia="zh-CN"/>
              </w:rPr>
            </w:pPr>
          </w:p>
        </w:tc>
      </w:tr>
      <w:tr w14:paraId="5E64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14:paraId="57E0D729">
            <w:pPr>
              <w:pStyle w:val="34"/>
              <w:bidi w:val="0"/>
              <w:jc w:val="center"/>
              <w:rPr>
                <w:rFonts w:hint="default"/>
                <w:color w:val="auto"/>
                <w:lang w:val="en-US" w:eastAsia="zh-CN"/>
              </w:rPr>
            </w:pPr>
            <w:r>
              <w:rPr>
                <w:rFonts w:hint="eastAsia"/>
                <w:color w:val="auto"/>
                <w:lang w:val="en-US" w:eastAsia="zh-CN"/>
              </w:rPr>
              <w:t>3</w:t>
            </w:r>
          </w:p>
        </w:tc>
        <w:tc>
          <w:tcPr>
            <w:tcW w:w="1770" w:type="dxa"/>
            <w:vMerge w:val="restart"/>
            <w:tcBorders>
              <w:right w:val="single" w:color="000000" w:sz="4" w:space="0"/>
            </w:tcBorders>
            <w:vAlign w:val="center"/>
          </w:tcPr>
          <w:p w14:paraId="76921D8E">
            <w:pPr>
              <w:pStyle w:val="34"/>
              <w:bidi w:val="0"/>
              <w:jc w:val="center"/>
              <w:rPr>
                <w:rFonts w:hint="default"/>
                <w:color w:val="auto"/>
                <w:lang w:val="en-US" w:eastAsia="zh-CN"/>
              </w:rPr>
            </w:pPr>
            <w:r>
              <w:rPr>
                <w:rFonts w:hint="eastAsia"/>
                <w:color w:val="auto"/>
                <w:lang w:val="en-US" w:eastAsia="zh-CN"/>
              </w:rPr>
              <w:t>艾湖2转油站</w:t>
            </w:r>
          </w:p>
        </w:tc>
        <w:tc>
          <w:tcPr>
            <w:tcW w:w="1920" w:type="dxa"/>
            <w:vMerge w:val="restart"/>
            <w:tcBorders>
              <w:left w:val="single" w:color="000000" w:sz="4" w:space="0"/>
            </w:tcBorders>
            <w:vAlign w:val="center"/>
          </w:tcPr>
          <w:p w14:paraId="4668FD8C">
            <w:pPr>
              <w:pStyle w:val="34"/>
              <w:bidi w:val="0"/>
              <w:jc w:val="center"/>
              <w:rPr>
                <w:rFonts w:hint="default"/>
                <w:color w:val="auto"/>
                <w:lang w:val="en-US" w:eastAsia="zh-CN"/>
              </w:rPr>
            </w:pPr>
            <w:r>
              <w:rPr>
                <w:rFonts w:hint="eastAsia"/>
                <w:color w:val="auto"/>
                <w:lang w:val="en-US" w:eastAsia="zh-CN"/>
              </w:rPr>
              <w:t>玛18井区西北侧约6.91km，位于项目区上游</w:t>
            </w:r>
          </w:p>
        </w:tc>
        <w:tc>
          <w:tcPr>
            <w:tcW w:w="2030" w:type="dxa"/>
            <w:vAlign w:val="center"/>
          </w:tcPr>
          <w:p w14:paraId="18E79F7D">
            <w:pPr>
              <w:pStyle w:val="34"/>
              <w:bidi w:val="0"/>
              <w:jc w:val="center"/>
              <w:rPr>
                <w:rFonts w:hint="default"/>
                <w:color w:val="auto"/>
                <w:lang w:val="en-US" w:eastAsia="zh-CN"/>
              </w:rPr>
            </w:pPr>
            <w:r>
              <w:rPr>
                <w:rFonts w:hint="eastAsia"/>
                <w:color w:val="auto"/>
                <w:lang w:val="en-US" w:eastAsia="zh-CN"/>
              </w:rPr>
              <w:t>东侧1#</w:t>
            </w:r>
          </w:p>
        </w:tc>
        <w:tc>
          <w:tcPr>
            <w:tcW w:w="2131" w:type="dxa"/>
            <w:vMerge w:val="restart"/>
            <w:vAlign w:val="center"/>
          </w:tcPr>
          <w:p w14:paraId="267A8EC3">
            <w:pPr>
              <w:pStyle w:val="34"/>
              <w:bidi w:val="0"/>
              <w:jc w:val="center"/>
              <w:rPr>
                <w:rFonts w:hint="default"/>
                <w:color w:val="auto"/>
                <w:lang w:val="en-US" w:eastAsia="zh-CN"/>
              </w:rPr>
            </w:pPr>
            <w:r>
              <w:rPr>
                <w:rFonts w:hint="eastAsia"/>
                <w:color w:val="auto"/>
                <w:lang w:val="en-US" w:eastAsia="zh-CN"/>
              </w:rPr>
              <w:t>2025.4.15-2025.4.26</w:t>
            </w:r>
          </w:p>
        </w:tc>
      </w:tr>
      <w:tr w14:paraId="5845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253F178D">
            <w:pPr>
              <w:pStyle w:val="34"/>
              <w:bidi w:val="0"/>
              <w:jc w:val="center"/>
              <w:rPr>
                <w:rFonts w:hint="eastAsia"/>
                <w:color w:val="auto"/>
                <w:lang w:val="en-US" w:eastAsia="zh-CN"/>
              </w:rPr>
            </w:pPr>
          </w:p>
        </w:tc>
        <w:tc>
          <w:tcPr>
            <w:tcW w:w="1770" w:type="dxa"/>
            <w:vMerge w:val="continue"/>
            <w:tcBorders>
              <w:right w:val="single" w:color="000000" w:sz="4" w:space="0"/>
            </w:tcBorders>
            <w:vAlign w:val="center"/>
          </w:tcPr>
          <w:p w14:paraId="277E56BD">
            <w:pPr>
              <w:pStyle w:val="34"/>
              <w:bidi w:val="0"/>
              <w:jc w:val="center"/>
              <w:rPr>
                <w:rFonts w:hint="eastAsia"/>
                <w:color w:val="auto"/>
                <w:lang w:val="en-US" w:eastAsia="zh-CN"/>
              </w:rPr>
            </w:pPr>
          </w:p>
        </w:tc>
        <w:tc>
          <w:tcPr>
            <w:tcW w:w="1920" w:type="dxa"/>
            <w:vMerge w:val="continue"/>
            <w:tcBorders>
              <w:left w:val="single" w:color="000000" w:sz="4" w:space="0"/>
            </w:tcBorders>
            <w:vAlign w:val="center"/>
          </w:tcPr>
          <w:p w14:paraId="5A1B9B4B">
            <w:pPr>
              <w:pStyle w:val="34"/>
              <w:bidi w:val="0"/>
              <w:jc w:val="center"/>
              <w:rPr>
                <w:rFonts w:hint="eastAsia"/>
                <w:color w:val="auto"/>
                <w:lang w:val="en-US" w:eastAsia="zh-CN"/>
              </w:rPr>
            </w:pPr>
          </w:p>
        </w:tc>
        <w:tc>
          <w:tcPr>
            <w:tcW w:w="2030" w:type="dxa"/>
            <w:vAlign w:val="center"/>
          </w:tcPr>
          <w:p w14:paraId="79C76BFE">
            <w:pPr>
              <w:pStyle w:val="34"/>
              <w:bidi w:val="0"/>
              <w:jc w:val="center"/>
              <w:rPr>
                <w:rFonts w:hint="default"/>
                <w:color w:val="auto"/>
                <w:lang w:val="en-US" w:eastAsia="zh-CN"/>
              </w:rPr>
            </w:pPr>
            <w:r>
              <w:rPr>
                <w:rFonts w:hint="eastAsia"/>
                <w:color w:val="auto"/>
                <w:lang w:val="en-US" w:eastAsia="zh-CN"/>
              </w:rPr>
              <w:t>南侧2#</w:t>
            </w:r>
          </w:p>
        </w:tc>
        <w:tc>
          <w:tcPr>
            <w:tcW w:w="2131" w:type="dxa"/>
            <w:vMerge w:val="continue"/>
            <w:vAlign w:val="center"/>
          </w:tcPr>
          <w:p w14:paraId="6CAEFA5A">
            <w:pPr>
              <w:pStyle w:val="34"/>
              <w:bidi w:val="0"/>
              <w:jc w:val="center"/>
              <w:rPr>
                <w:rFonts w:hint="eastAsia"/>
                <w:color w:val="auto"/>
                <w:lang w:val="en-US" w:eastAsia="zh-CN"/>
              </w:rPr>
            </w:pPr>
          </w:p>
        </w:tc>
      </w:tr>
      <w:tr w14:paraId="4170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52BD0488">
            <w:pPr>
              <w:pStyle w:val="34"/>
              <w:bidi w:val="0"/>
              <w:jc w:val="center"/>
              <w:rPr>
                <w:rFonts w:hint="eastAsia"/>
                <w:color w:val="auto"/>
                <w:lang w:val="en-US" w:eastAsia="zh-CN"/>
              </w:rPr>
            </w:pPr>
          </w:p>
        </w:tc>
        <w:tc>
          <w:tcPr>
            <w:tcW w:w="1770" w:type="dxa"/>
            <w:vMerge w:val="continue"/>
            <w:tcBorders>
              <w:right w:val="single" w:color="000000" w:sz="4" w:space="0"/>
            </w:tcBorders>
            <w:vAlign w:val="center"/>
          </w:tcPr>
          <w:p w14:paraId="55881890">
            <w:pPr>
              <w:pStyle w:val="34"/>
              <w:bidi w:val="0"/>
              <w:jc w:val="center"/>
              <w:rPr>
                <w:rFonts w:hint="eastAsia"/>
                <w:color w:val="auto"/>
                <w:lang w:val="en-US" w:eastAsia="zh-CN"/>
              </w:rPr>
            </w:pPr>
          </w:p>
        </w:tc>
        <w:tc>
          <w:tcPr>
            <w:tcW w:w="1920" w:type="dxa"/>
            <w:vMerge w:val="continue"/>
            <w:tcBorders>
              <w:left w:val="single" w:color="000000" w:sz="4" w:space="0"/>
            </w:tcBorders>
            <w:vAlign w:val="center"/>
          </w:tcPr>
          <w:p w14:paraId="6F644AC9">
            <w:pPr>
              <w:pStyle w:val="34"/>
              <w:bidi w:val="0"/>
              <w:jc w:val="center"/>
              <w:rPr>
                <w:rFonts w:hint="eastAsia"/>
                <w:color w:val="auto"/>
                <w:lang w:val="en-US" w:eastAsia="zh-CN"/>
              </w:rPr>
            </w:pPr>
          </w:p>
        </w:tc>
        <w:tc>
          <w:tcPr>
            <w:tcW w:w="2030" w:type="dxa"/>
            <w:vAlign w:val="center"/>
          </w:tcPr>
          <w:p w14:paraId="68E21F4E">
            <w:pPr>
              <w:pStyle w:val="34"/>
              <w:bidi w:val="0"/>
              <w:jc w:val="center"/>
              <w:rPr>
                <w:rFonts w:hint="default"/>
                <w:color w:val="auto"/>
                <w:lang w:val="en-US" w:eastAsia="zh-CN"/>
              </w:rPr>
            </w:pPr>
            <w:r>
              <w:rPr>
                <w:rFonts w:hint="eastAsia"/>
                <w:color w:val="auto"/>
                <w:lang w:val="en-US" w:eastAsia="zh-CN"/>
              </w:rPr>
              <w:t>西侧3#</w:t>
            </w:r>
          </w:p>
        </w:tc>
        <w:tc>
          <w:tcPr>
            <w:tcW w:w="2131" w:type="dxa"/>
            <w:vMerge w:val="continue"/>
            <w:vAlign w:val="center"/>
          </w:tcPr>
          <w:p w14:paraId="16721D32">
            <w:pPr>
              <w:pStyle w:val="34"/>
              <w:bidi w:val="0"/>
              <w:jc w:val="center"/>
              <w:rPr>
                <w:rFonts w:hint="eastAsia"/>
                <w:color w:val="auto"/>
                <w:lang w:val="en-US" w:eastAsia="zh-CN"/>
              </w:rPr>
            </w:pPr>
          </w:p>
        </w:tc>
      </w:tr>
      <w:tr w14:paraId="1722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4DAB7397">
            <w:pPr>
              <w:pStyle w:val="34"/>
              <w:bidi w:val="0"/>
              <w:jc w:val="center"/>
              <w:rPr>
                <w:rFonts w:hint="eastAsia"/>
                <w:color w:val="auto"/>
                <w:lang w:val="en-US" w:eastAsia="zh-CN"/>
              </w:rPr>
            </w:pPr>
          </w:p>
        </w:tc>
        <w:tc>
          <w:tcPr>
            <w:tcW w:w="1770" w:type="dxa"/>
            <w:vMerge w:val="continue"/>
            <w:tcBorders>
              <w:right w:val="single" w:color="000000" w:sz="4" w:space="0"/>
            </w:tcBorders>
            <w:vAlign w:val="center"/>
          </w:tcPr>
          <w:p w14:paraId="6960B07E">
            <w:pPr>
              <w:pStyle w:val="34"/>
              <w:bidi w:val="0"/>
              <w:jc w:val="center"/>
              <w:rPr>
                <w:rFonts w:hint="eastAsia"/>
                <w:color w:val="auto"/>
                <w:lang w:val="en-US" w:eastAsia="zh-CN"/>
              </w:rPr>
            </w:pPr>
          </w:p>
        </w:tc>
        <w:tc>
          <w:tcPr>
            <w:tcW w:w="1920" w:type="dxa"/>
            <w:vMerge w:val="continue"/>
            <w:tcBorders>
              <w:left w:val="single" w:color="000000" w:sz="4" w:space="0"/>
            </w:tcBorders>
            <w:vAlign w:val="center"/>
          </w:tcPr>
          <w:p w14:paraId="5D8C6082">
            <w:pPr>
              <w:pStyle w:val="34"/>
              <w:bidi w:val="0"/>
              <w:jc w:val="center"/>
              <w:rPr>
                <w:rFonts w:hint="eastAsia"/>
                <w:color w:val="auto"/>
                <w:lang w:val="en-US" w:eastAsia="zh-CN"/>
              </w:rPr>
            </w:pPr>
          </w:p>
        </w:tc>
        <w:tc>
          <w:tcPr>
            <w:tcW w:w="2030" w:type="dxa"/>
            <w:vAlign w:val="center"/>
          </w:tcPr>
          <w:p w14:paraId="75DD7EBB">
            <w:pPr>
              <w:pStyle w:val="34"/>
              <w:bidi w:val="0"/>
              <w:jc w:val="center"/>
              <w:rPr>
                <w:rFonts w:hint="default"/>
                <w:color w:val="auto"/>
                <w:lang w:val="en-US" w:eastAsia="zh-CN"/>
              </w:rPr>
            </w:pPr>
            <w:r>
              <w:rPr>
                <w:rFonts w:hint="eastAsia"/>
                <w:color w:val="auto"/>
                <w:lang w:val="en-US" w:eastAsia="zh-CN"/>
              </w:rPr>
              <w:t>北侧4#</w:t>
            </w:r>
          </w:p>
        </w:tc>
        <w:tc>
          <w:tcPr>
            <w:tcW w:w="2131" w:type="dxa"/>
            <w:vMerge w:val="continue"/>
            <w:vAlign w:val="center"/>
          </w:tcPr>
          <w:p w14:paraId="76CE1BE8">
            <w:pPr>
              <w:pStyle w:val="34"/>
              <w:bidi w:val="0"/>
              <w:jc w:val="center"/>
              <w:rPr>
                <w:rFonts w:hint="eastAsia"/>
                <w:color w:val="auto"/>
                <w:lang w:val="en-US" w:eastAsia="zh-CN"/>
              </w:rPr>
            </w:pPr>
          </w:p>
        </w:tc>
      </w:tr>
    </w:tbl>
    <w:p w14:paraId="5759C459">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③本次跟踪监测方案</w:t>
      </w:r>
    </w:p>
    <w:p w14:paraId="1E5C2F73">
      <w:pPr>
        <w:pStyle w:val="11"/>
        <w:bidi w:val="0"/>
        <w:rPr>
          <w:rFonts w:hint="eastAsia" w:ascii="Times New Roman" w:hAnsi="Times New Roman" w:eastAsia="宋体"/>
          <w:color w:val="auto"/>
          <w:lang w:eastAsia="zh-CN"/>
        </w:rPr>
      </w:pPr>
      <w:r>
        <w:rPr>
          <w:rFonts w:hint="eastAsia" w:ascii="Times New Roman" w:hAnsi="Times New Roman" w:eastAsia="宋体"/>
          <w:color w:val="auto"/>
        </w:rPr>
        <w:t>根据《环境影响评价技术导则 陆地石油天然气开发建设项目》（HJ349-2023）中12.3.4：“重点对</w:t>
      </w:r>
      <w:r>
        <w:rPr>
          <w:rFonts w:hint="eastAsia" w:ascii="Times New Roman" w:hAnsi="Times New Roman" w:eastAsia="宋体"/>
          <w:color w:val="auto"/>
          <w:lang w:val="en-US" w:eastAsia="zh-CN"/>
        </w:rPr>
        <w:t>运营</w:t>
      </w:r>
      <w:r>
        <w:rPr>
          <w:rFonts w:hint="eastAsia" w:ascii="Times New Roman" w:hAnsi="Times New Roman" w:eastAsia="宋体"/>
          <w:color w:val="auto"/>
        </w:rPr>
        <w:t>期的站场废水池、固体废物贮存场与退役期的油气井井口周边地下水环境开展跟踪监测”，本工程</w:t>
      </w:r>
      <w:r>
        <w:rPr>
          <w:rFonts w:hint="eastAsia" w:ascii="Times New Roman" w:hAnsi="Times New Roman" w:eastAsia="宋体"/>
          <w:color w:val="auto"/>
          <w:lang w:val="en-US" w:eastAsia="zh-CN"/>
        </w:rPr>
        <w:t>不新建站场，依托站场</w:t>
      </w:r>
      <w:r>
        <w:rPr>
          <w:rFonts w:hint="eastAsia" w:ascii="Times New Roman" w:hAnsi="Times New Roman" w:eastAsia="宋体"/>
          <w:color w:val="auto"/>
        </w:rPr>
        <w:t>及固废贮存场</w:t>
      </w:r>
      <w:r>
        <w:rPr>
          <w:rFonts w:hint="eastAsia" w:ascii="Times New Roman" w:hAnsi="Times New Roman" w:eastAsia="宋体"/>
          <w:color w:val="auto"/>
          <w:lang w:val="en-US" w:eastAsia="zh-CN"/>
        </w:rPr>
        <w:t>已</w:t>
      </w:r>
      <w:r>
        <w:rPr>
          <w:rFonts w:hint="eastAsia" w:ascii="Times New Roman" w:hAnsi="Times New Roman" w:eastAsia="宋体"/>
          <w:color w:val="auto"/>
        </w:rPr>
        <w:t>纳入现有井场/站场例行监测计划内</w:t>
      </w:r>
      <w:r>
        <w:rPr>
          <w:rFonts w:hint="eastAsia" w:ascii="Times New Roman" w:hAnsi="Times New Roman" w:eastAsia="宋体"/>
          <w:color w:val="auto"/>
          <w:lang w:eastAsia="zh-CN"/>
        </w:rPr>
        <w:t>。</w:t>
      </w:r>
      <w:r>
        <w:rPr>
          <w:rFonts w:hint="eastAsia" w:ascii="Times New Roman" w:hAnsi="Times New Roman" w:eastAsia="宋体"/>
          <w:color w:val="auto"/>
        </w:rPr>
        <w:t>本工程无新增废水池，无新增固废贮存场，因此未布设站内</w:t>
      </w:r>
      <w:r>
        <w:rPr>
          <w:rFonts w:hint="eastAsia" w:ascii="Times New Roman" w:hAnsi="Times New Roman" w:eastAsia="宋体"/>
          <w:color w:val="auto"/>
          <w:lang w:val="en-US" w:eastAsia="zh-CN"/>
        </w:rPr>
        <w:t>污染源附近</w:t>
      </w:r>
      <w:r>
        <w:rPr>
          <w:rFonts w:hint="eastAsia" w:ascii="Times New Roman" w:hAnsi="Times New Roman" w:eastAsia="宋体"/>
          <w:color w:val="auto"/>
        </w:rPr>
        <w:t>地下水监测</w:t>
      </w:r>
      <w:r>
        <w:rPr>
          <w:rFonts w:hint="eastAsia" w:ascii="Times New Roman" w:hAnsi="Times New Roman" w:eastAsia="宋体"/>
          <w:color w:val="auto"/>
          <w:lang w:val="en-US" w:eastAsia="zh-CN"/>
        </w:rPr>
        <w:t>井</w:t>
      </w:r>
      <w:r>
        <w:rPr>
          <w:rFonts w:hint="eastAsia" w:ascii="Times New Roman" w:hAnsi="Times New Roman" w:eastAsia="宋体"/>
          <w:color w:val="auto"/>
          <w:lang w:eastAsia="zh-CN"/>
        </w:rPr>
        <w:t>。退役期应对退役油井周边地下水环境开展跟踪监测，监测点位应根据具体退役井的位置进行布设，主要位于井口周边。</w:t>
      </w:r>
    </w:p>
    <w:p w14:paraId="330234D4">
      <w:pPr>
        <w:pStyle w:val="33"/>
        <w:bidi w:val="0"/>
        <w:rPr>
          <w:rFonts w:hint="default"/>
          <w:color w:val="auto"/>
          <w:lang w:val="en-US" w:eastAsia="zh-CN"/>
        </w:rPr>
      </w:pPr>
      <w:r>
        <w:rPr>
          <w:rFonts w:hint="eastAsia"/>
          <w:color w:val="auto"/>
          <w:lang w:val="en-US" w:eastAsia="zh-CN"/>
        </w:rPr>
        <w:t>a.监测点位</w:t>
      </w:r>
    </w:p>
    <w:p w14:paraId="339A0F15">
      <w:pPr>
        <w:pStyle w:val="33"/>
        <w:bidi w:val="0"/>
        <w:rPr>
          <w:rFonts w:hint="eastAsia"/>
          <w:color w:val="auto"/>
          <w:lang w:val="en-US" w:eastAsia="zh-CN"/>
        </w:rPr>
      </w:pPr>
      <w:r>
        <w:rPr>
          <w:rFonts w:hint="eastAsia"/>
          <w:color w:val="auto"/>
          <w:lang w:val="en-US" w:eastAsia="zh-CN"/>
        </w:rPr>
        <w:t>本次产能建设项目主要针对布置在开发区块井场较集中的下游地区，共布设3个地下水跟踪监测点位，依托区块周边已有水井，不需要新增地下水打井，地下水污染跟踪监测情况见</w:t>
      </w:r>
      <w:r>
        <w:rPr>
          <w:rFonts w:hint="eastAsia"/>
          <w:color w:val="auto"/>
          <w:lang w:val="en-US" w:eastAsia="zh-CN"/>
        </w:rPr>
        <w:fldChar w:fldCharType="begin"/>
      </w:r>
      <w:r>
        <w:rPr>
          <w:rFonts w:hint="eastAsia"/>
          <w:color w:val="auto"/>
          <w:lang w:val="en-US" w:eastAsia="zh-CN"/>
        </w:rPr>
        <w:instrText xml:space="preserve"> REF _Ref20518 \h </w:instrText>
      </w:r>
      <w:r>
        <w:rPr>
          <w:rFonts w:hint="eastAsia"/>
          <w:color w:val="auto"/>
          <w:lang w:val="en-US" w:eastAsia="zh-CN"/>
        </w:rPr>
        <w:fldChar w:fldCharType="separate"/>
      </w:r>
      <w:r>
        <w:rPr>
          <w:rFonts w:hint="eastAsia"/>
          <w:color w:val="auto"/>
          <w:lang w:val="en-US" w:eastAsia="zh-CN"/>
        </w:rPr>
        <w:t>表6.2</w:t>
      </w:r>
      <w:r>
        <w:rPr>
          <w:rFonts w:hint="eastAsia"/>
          <w:color w:val="auto"/>
          <w:lang w:val="en-US" w:eastAsia="zh-CN"/>
        </w:rPr>
        <w:noBreakHyphen/>
      </w:r>
      <w:r>
        <w:rPr>
          <w:rFonts w:hint="eastAsia"/>
          <w:color w:val="auto"/>
          <w:lang w:val="en-US" w:eastAsia="zh-CN"/>
        </w:rPr>
        <w:t>3</w:t>
      </w:r>
      <w:r>
        <w:rPr>
          <w:rFonts w:hint="eastAsia"/>
          <w:color w:val="auto"/>
          <w:lang w:val="en-US" w:eastAsia="zh-CN"/>
        </w:rPr>
        <w:fldChar w:fldCharType="end"/>
      </w:r>
      <w:r>
        <w:rPr>
          <w:rFonts w:hint="eastAsia"/>
          <w:color w:val="auto"/>
          <w:lang w:val="en-US" w:eastAsia="zh-CN"/>
        </w:rPr>
        <w:t>。</w:t>
      </w:r>
    </w:p>
    <w:p w14:paraId="7EC1889F">
      <w:pPr>
        <w:pStyle w:val="43"/>
        <w:bidi w:val="0"/>
        <w:rPr>
          <w:color w:val="auto"/>
        </w:rPr>
      </w:pPr>
      <w:bookmarkStart w:id="287" w:name="_Ref20518"/>
      <w:r>
        <w:rPr>
          <w:color w:val="auto"/>
        </w:rPr>
        <w:t>表</w:t>
      </w:r>
      <w:r>
        <w:rPr>
          <w:rFonts w:hint="eastAsia"/>
          <w:color w:val="auto"/>
          <w:lang w:val="en-US" w:eastAsia="zh-CN"/>
        </w:rPr>
        <w:t>6.2-</w:t>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bookmarkEnd w:id="287"/>
      <w:r>
        <w:rPr>
          <w:color w:val="auto"/>
        </w:rPr>
        <w:t xml:space="preserve">  地下水跟踪监测计划</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737"/>
        <w:gridCol w:w="1801"/>
        <w:gridCol w:w="3480"/>
        <w:gridCol w:w="1334"/>
        <w:gridCol w:w="1053"/>
      </w:tblGrid>
      <w:tr w14:paraId="3914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jc w:val="center"/>
        </w:trPr>
        <w:tc>
          <w:tcPr>
            <w:tcW w:w="438" w:type="pct"/>
            <w:shd w:val="clear" w:color="auto" w:fill="auto"/>
            <w:vAlign w:val="center"/>
          </w:tcPr>
          <w:p w14:paraId="1E7622B7">
            <w:pPr>
              <w:pStyle w:val="34"/>
              <w:bidi w:val="0"/>
              <w:rPr>
                <w:rFonts w:hint="default" w:ascii="Times New Roman" w:hAnsi="Times New Roman" w:cs="Times New Roman"/>
                <w:b/>
                <w:bCs/>
                <w:color w:val="auto"/>
              </w:rPr>
            </w:pPr>
            <w:r>
              <w:rPr>
                <w:rFonts w:hint="default" w:ascii="Times New Roman" w:hAnsi="Times New Roman" w:cs="Times New Roman"/>
                <w:b/>
                <w:bCs/>
                <w:color w:val="auto"/>
              </w:rPr>
              <w:t>编号</w:t>
            </w:r>
          </w:p>
        </w:tc>
        <w:tc>
          <w:tcPr>
            <w:tcW w:w="1071" w:type="pct"/>
            <w:shd w:val="clear" w:color="auto" w:fill="auto"/>
            <w:vAlign w:val="center"/>
          </w:tcPr>
          <w:p w14:paraId="0735CB21">
            <w:pPr>
              <w:pStyle w:val="34"/>
              <w:bidi w:val="0"/>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2069" w:type="pct"/>
            <w:shd w:val="clear" w:color="auto" w:fill="auto"/>
            <w:vAlign w:val="center"/>
          </w:tcPr>
          <w:p w14:paraId="785AE762">
            <w:pPr>
              <w:pStyle w:val="34"/>
              <w:bidi w:val="0"/>
              <w:rPr>
                <w:rFonts w:hint="default" w:ascii="Times New Roman" w:hAnsi="Times New Roman" w:cs="Times New Roman"/>
                <w:b/>
                <w:bCs/>
                <w:color w:val="auto"/>
              </w:rPr>
            </w:pPr>
            <w:r>
              <w:rPr>
                <w:rFonts w:hint="default" w:ascii="Times New Roman" w:hAnsi="Times New Roman" w:cs="Times New Roman"/>
                <w:b/>
                <w:bCs/>
                <w:color w:val="auto"/>
              </w:rPr>
              <w:t>坐标</w:t>
            </w:r>
          </w:p>
        </w:tc>
        <w:tc>
          <w:tcPr>
            <w:tcW w:w="793" w:type="pct"/>
            <w:shd w:val="clear" w:color="auto" w:fill="auto"/>
            <w:vAlign w:val="center"/>
          </w:tcPr>
          <w:p w14:paraId="4B75661A">
            <w:pPr>
              <w:pStyle w:val="34"/>
              <w:bidi w:val="0"/>
              <w:rPr>
                <w:rFonts w:hint="default" w:ascii="Times New Roman" w:hAnsi="Times New Roman" w:cs="Times New Roman"/>
                <w:b/>
                <w:bCs/>
                <w:color w:val="auto"/>
              </w:rPr>
            </w:pPr>
            <w:r>
              <w:rPr>
                <w:rFonts w:hint="default" w:ascii="Times New Roman" w:hAnsi="Times New Roman" w:cs="Times New Roman"/>
                <w:b/>
                <w:bCs/>
                <w:color w:val="auto"/>
              </w:rPr>
              <w:t>监测内容</w:t>
            </w:r>
          </w:p>
        </w:tc>
        <w:tc>
          <w:tcPr>
            <w:tcW w:w="626" w:type="pct"/>
            <w:shd w:val="clear" w:color="auto" w:fill="auto"/>
            <w:vAlign w:val="center"/>
          </w:tcPr>
          <w:p w14:paraId="2C44E27C">
            <w:pPr>
              <w:pStyle w:val="34"/>
              <w:bidi w:val="0"/>
              <w:rPr>
                <w:rFonts w:hint="default" w:ascii="Times New Roman" w:hAnsi="Times New Roman" w:cs="Times New Roman"/>
                <w:b/>
                <w:bCs/>
                <w:color w:val="auto"/>
              </w:rPr>
            </w:pPr>
            <w:r>
              <w:rPr>
                <w:rFonts w:hint="default" w:ascii="Times New Roman" w:hAnsi="Times New Roman" w:cs="Times New Roman"/>
                <w:b/>
                <w:bCs/>
                <w:color w:val="auto"/>
              </w:rPr>
              <w:t>监测层位</w:t>
            </w:r>
          </w:p>
        </w:tc>
      </w:tr>
      <w:tr w14:paraId="6DCE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8" w:type="pct"/>
            <w:shd w:val="clear" w:color="auto" w:fill="auto"/>
            <w:vAlign w:val="center"/>
          </w:tcPr>
          <w:p w14:paraId="61FC909D">
            <w:pPr>
              <w:pStyle w:val="34"/>
              <w:bidi w:val="0"/>
              <w:rPr>
                <w:rFonts w:hint="default" w:ascii="Times New Roman" w:hAnsi="Times New Roman" w:cs="Times New Roman"/>
                <w:color w:val="auto"/>
              </w:rPr>
            </w:pPr>
            <w:r>
              <w:rPr>
                <w:rFonts w:hint="default" w:ascii="Times New Roman" w:hAnsi="Times New Roman" w:cs="Times New Roman"/>
                <w:color w:val="auto"/>
              </w:rPr>
              <w:t>1#</w:t>
            </w:r>
          </w:p>
        </w:tc>
        <w:tc>
          <w:tcPr>
            <w:tcW w:w="1071" w:type="pct"/>
            <w:shd w:val="clear" w:color="auto" w:fill="auto"/>
            <w:vAlign w:val="center"/>
          </w:tcPr>
          <w:p w14:paraId="5E13ADFC">
            <w:pPr>
              <w:pStyle w:val="3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玛水15井</w:t>
            </w:r>
          </w:p>
        </w:tc>
        <w:tc>
          <w:tcPr>
            <w:tcW w:w="2069" w:type="pct"/>
            <w:shd w:val="clear" w:color="auto" w:fill="auto"/>
            <w:vAlign w:val="center"/>
          </w:tcPr>
          <w:p w14:paraId="53FA3207">
            <w:pPr>
              <w:pStyle w:val="34"/>
              <w:bidi w:val="0"/>
              <w:rPr>
                <w:rFonts w:hint="default" w:ascii="Times New Roman" w:hAnsi="Times New Roman" w:cs="Times New Roman"/>
                <w:color w:val="auto"/>
                <w:lang w:val="en-US"/>
              </w:rPr>
            </w:pPr>
            <w:r>
              <w:rPr>
                <w:rFonts w:hint="eastAsia" w:cs="Times New Roman"/>
                <w:color w:val="auto"/>
                <w:lang w:val="en-US" w:eastAsia="zh-CN"/>
              </w:rPr>
              <w:t>*****</w:t>
            </w:r>
          </w:p>
        </w:tc>
        <w:tc>
          <w:tcPr>
            <w:tcW w:w="793" w:type="pct"/>
            <w:shd w:val="clear" w:color="auto" w:fill="auto"/>
            <w:vAlign w:val="center"/>
          </w:tcPr>
          <w:p w14:paraId="71B1C4C7">
            <w:pPr>
              <w:pStyle w:val="34"/>
              <w:bidi w:val="0"/>
              <w:rPr>
                <w:rFonts w:hint="default" w:ascii="Times New Roman" w:hAnsi="Times New Roman" w:cs="Times New Roman"/>
                <w:color w:val="auto"/>
              </w:rPr>
            </w:pPr>
            <w:r>
              <w:rPr>
                <w:rFonts w:hint="default" w:ascii="Times New Roman" w:hAnsi="Times New Roman" w:cs="Times New Roman"/>
                <w:color w:val="auto"/>
              </w:rPr>
              <w:t>水质、水位</w:t>
            </w:r>
          </w:p>
        </w:tc>
        <w:tc>
          <w:tcPr>
            <w:tcW w:w="626" w:type="pct"/>
            <w:vMerge w:val="restart"/>
            <w:shd w:val="clear" w:color="auto" w:fill="auto"/>
            <w:vAlign w:val="center"/>
          </w:tcPr>
          <w:p w14:paraId="180C7DCA">
            <w:pPr>
              <w:pStyle w:val="34"/>
              <w:bidi w:val="0"/>
              <w:rPr>
                <w:rFonts w:hint="default" w:ascii="Times New Roman" w:hAnsi="Times New Roman" w:cs="Times New Roman"/>
                <w:color w:val="auto"/>
              </w:rPr>
            </w:pPr>
            <w:r>
              <w:rPr>
                <w:rFonts w:hint="default" w:ascii="Times New Roman" w:hAnsi="Times New Roman" w:cs="Times New Roman"/>
                <w:color w:val="auto"/>
              </w:rPr>
              <w:t>潜水含水层</w:t>
            </w:r>
          </w:p>
        </w:tc>
      </w:tr>
      <w:tr w14:paraId="3489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8" w:type="pct"/>
            <w:shd w:val="clear" w:color="auto" w:fill="auto"/>
            <w:vAlign w:val="center"/>
          </w:tcPr>
          <w:p w14:paraId="7540AD3D">
            <w:pPr>
              <w:pStyle w:val="34"/>
              <w:bidi w:val="0"/>
              <w:rPr>
                <w:rFonts w:hint="default" w:ascii="Times New Roman" w:hAnsi="Times New Roman" w:cs="Times New Roman"/>
                <w:color w:val="auto"/>
              </w:rPr>
            </w:pPr>
            <w:r>
              <w:rPr>
                <w:rFonts w:hint="default" w:ascii="Times New Roman" w:hAnsi="Times New Roman" w:cs="Times New Roman"/>
                <w:color w:val="auto"/>
              </w:rPr>
              <w:t>2#</w:t>
            </w:r>
          </w:p>
        </w:tc>
        <w:tc>
          <w:tcPr>
            <w:tcW w:w="1071" w:type="pct"/>
            <w:shd w:val="clear" w:color="auto" w:fill="auto"/>
            <w:vAlign w:val="center"/>
          </w:tcPr>
          <w:p w14:paraId="16A843DF">
            <w:pPr>
              <w:pStyle w:val="34"/>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夏水19井</w:t>
            </w:r>
          </w:p>
        </w:tc>
        <w:tc>
          <w:tcPr>
            <w:tcW w:w="2069" w:type="pct"/>
            <w:shd w:val="clear" w:color="auto" w:fill="auto"/>
            <w:vAlign w:val="center"/>
          </w:tcPr>
          <w:p w14:paraId="610E7E9E">
            <w:pPr>
              <w:pStyle w:val="34"/>
              <w:bidi w:val="0"/>
              <w:rPr>
                <w:rFonts w:hint="default" w:ascii="Times New Roman" w:hAnsi="Times New Roman" w:cs="Times New Roman"/>
                <w:color w:val="auto"/>
              </w:rPr>
            </w:pPr>
            <w:r>
              <w:rPr>
                <w:rFonts w:hint="eastAsia" w:cs="Times New Roman"/>
                <w:color w:val="auto"/>
                <w:lang w:val="en-US" w:eastAsia="zh-CN"/>
              </w:rPr>
              <w:t>*****</w:t>
            </w:r>
          </w:p>
        </w:tc>
        <w:tc>
          <w:tcPr>
            <w:tcW w:w="793" w:type="pct"/>
            <w:shd w:val="clear" w:color="auto" w:fill="auto"/>
            <w:vAlign w:val="center"/>
          </w:tcPr>
          <w:p w14:paraId="153CC118">
            <w:pPr>
              <w:pStyle w:val="34"/>
              <w:bidi w:val="0"/>
              <w:rPr>
                <w:rFonts w:hint="default" w:ascii="Times New Roman" w:hAnsi="Times New Roman" w:cs="Times New Roman"/>
                <w:color w:val="auto"/>
              </w:rPr>
            </w:pPr>
            <w:r>
              <w:rPr>
                <w:rFonts w:hint="default" w:ascii="Times New Roman" w:hAnsi="Times New Roman" w:cs="Times New Roman"/>
                <w:color w:val="auto"/>
              </w:rPr>
              <w:t>水质、水位</w:t>
            </w:r>
          </w:p>
        </w:tc>
        <w:tc>
          <w:tcPr>
            <w:tcW w:w="626" w:type="pct"/>
            <w:vMerge w:val="continue"/>
            <w:shd w:val="clear" w:color="auto" w:fill="auto"/>
            <w:vAlign w:val="center"/>
          </w:tcPr>
          <w:p w14:paraId="5F0E6B9E">
            <w:pPr>
              <w:pStyle w:val="34"/>
              <w:bidi w:val="0"/>
              <w:rPr>
                <w:rFonts w:hint="default" w:ascii="Times New Roman" w:hAnsi="Times New Roman" w:cs="Times New Roman"/>
                <w:color w:val="auto"/>
              </w:rPr>
            </w:pPr>
          </w:p>
        </w:tc>
      </w:tr>
      <w:tr w14:paraId="640F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38" w:type="pct"/>
            <w:shd w:val="clear" w:color="auto" w:fill="auto"/>
            <w:vAlign w:val="center"/>
          </w:tcPr>
          <w:p w14:paraId="5E92C065">
            <w:pPr>
              <w:pStyle w:val="34"/>
              <w:bidi w:val="0"/>
              <w:rPr>
                <w:rFonts w:hint="default" w:ascii="Times New Roman" w:hAnsi="Times New Roman" w:cs="Times New Roman"/>
                <w:color w:val="auto"/>
                <w:lang w:eastAsia="zh"/>
              </w:rPr>
            </w:pPr>
            <w:r>
              <w:rPr>
                <w:rFonts w:hint="default" w:ascii="Times New Roman" w:hAnsi="Times New Roman" w:cs="Times New Roman"/>
                <w:color w:val="auto"/>
                <w:lang w:eastAsia="zh"/>
              </w:rPr>
              <w:t>3#</w:t>
            </w:r>
          </w:p>
        </w:tc>
        <w:tc>
          <w:tcPr>
            <w:tcW w:w="1071" w:type="pct"/>
            <w:shd w:val="clear" w:color="auto" w:fill="auto"/>
            <w:vAlign w:val="center"/>
          </w:tcPr>
          <w:p w14:paraId="5AA3AFFB">
            <w:pPr>
              <w:pStyle w:val="3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玛北41井</w:t>
            </w:r>
          </w:p>
        </w:tc>
        <w:tc>
          <w:tcPr>
            <w:tcW w:w="2069" w:type="pct"/>
            <w:shd w:val="clear" w:color="auto" w:fill="auto"/>
            <w:vAlign w:val="center"/>
          </w:tcPr>
          <w:p w14:paraId="1CD0B5F9">
            <w:pPr>
              <w:pStyle w:val="34"/>
              <w:bidi w:val="0"/>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793" w:type="pct"/>
            <w:shd w:val="clear" w:color="auto" w:fill="auto"/>
            <w:vAlign w:val="center"/>
          </w:tcPr>
          <w:p w14:paraId="77EDA6A8">
            <w:pPr>
              <w:pStyle w:val="34"/>
              <w:bidi w:val="0"/>
              <w:rPr>
                <w:rFonts w:hint="default" w:ascii="Times New Roman" w:hAnsi="Times New Roman" w:cs="Times New Roman"/>
                <w:color w:val="auto"/>
                <w:lang w:val="en-US" w:eastAsia="zh-CN"/>
              </w:rPr>
            </w:pPr>
            <w:r>
              <w:rPr>
                <w:rFonts w:hint="default" w:ascii="Times New Roman" w:hAnsi="Times New Roman" w:cs="Times New Roman"/>
                <w:color w:val="auto"/>
              </w:rPr>
              <w:t>水质、水位</w:t>
            </w:r>
          </w:p>
        </w:tc>
        <w:tc>
          <w:tcPr>
            <w:tcW w:w="626" w:type="pct"/>
            <w:vMerge w:val="continue"/>
            <w:shd w:val="clear" w:color="auto" w:fill="auto"/>
            <w:vAlign w:val="center"/>
          </w:tcPr>
          <w:p w14:paraId="790D8D85">
            <w:pPr>
              <w:pStyle w:val="34"/>
              <w:bidi w:val="0"/>
              <w:rPr>
                <w:rFonts w:hint="default" w:ascii="Times New Roman" w:hAnsi="Times New Roman" w:cs="Times New Roman"/>
                <w:color w:val="auto"/>
              </w:rPr>
            </w:pPr>
          </w:p>
        </w:tc>
      </w:tr>
    </w:tbl>
    <w:p w14:paraId="6BFB6376">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b.监测因子及频率</w:t>
      </w:r>
    </w:p>
    <w:p w14:paraId="740E948E">
      <w:pPr>
        <w:pStyle w:val="1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初次监测：GB/T14848表1常规指标（微生物指标、放射性指标除外）+石油类、石油烃（C</w:t>
      </w:r>
      <w:r>
        <w:rPr>
          <w:rFonts w:hint="default" w:ascii="Times New Roman" w:hAnsi="Times New Roman" w:eastAsia="宋体"/>
          <w:color w:val="auto"/>
          <w:vertAlign w:val="subscript"/>
          <w:lang w:val="en-US" w:eastAsia="zh-CN"/>
        </w:rPr>
        <w:t>6</w:t>
      </w:r>
      <w:r>
        <w:rPr>
          <w:rFonts w:hint="default" w:ascii="Times New Roman" w:hAnsi="Times New Roman" w:eastAsia="宋体"/>
          <w:color w:val="auto"/>
          <w:lang w:val="en-US" w:eastAsia="zh-CN"/>
        </w:rPr>
        <w:t>~C</w:t>
      </w:r>
      <w:r>
        <w:rPr>
          <w:rFonts w:hint="default" w:ascii="Times New Roman" w:hAnsi="Times New Roman" w:eastAsia="宋体"/>
          <w:color w:val="auto"/>
          <w:vertAlign w:val="subscript"/>
          <w:lang w:val="en-US" w:eastAsia="zh-CN"/>
        </w:rPr>
        <w:t>9</w:t>
      </w:r>
      <w:r>
        <w:rPr>
          <w:rFonts w:hint="default" w:ascii="Times New Roman" w:hAnsi="Times New Roman" w:eastAsia="宋体"/>
          <w:color w:val="auto"/>
          <w:lang w:val="en-US" w:eastAsia="zh-CN"/>
        </w:rPr>
        <w:t>）、石油烃（C</w:t>
      </w:r>
      <w:r>
        <w:rPr>
          <w:rFonts w:hint="default" w:ascii="Times New Roman" w:hAnsi="Times New Roman" w:eastAsia="宋体"/>
          <w:color w:val="auto"/>
          <w:vertAlign w:val="subscript"/>
          <w:lang w:val="en-US" w:eastAsia="zh-CN"/>
        </w:rPr>
        <w:t>10</w:t>
      </w:r>
      <w:r>
        <w:rPr>
          <w:rFonts w:hint="default" w:ascii="Times New Roman" w:hAnsi="Times New Roman" w:eastAsia="宋体"/>
          <w:color w:val="auto"/>
          <w:lang w:val="en-US" w:eastAsia="zh-CN"/>
        </w:rPr>
        <w:t>~C</w:t>
      </w:r>
      <w:r>
        <w:rPr>
          <w:rFonts w:hint="default" w:ascii="Times New Roman" w:hAnsi="Times New Roman" w:eastAsia="宋体"/>
          <w:color w:val="auto"/>
          <w:vertAlign w:val="subscript"/>
          <w:lang w:val="en-US" w:eastAsia="zh-CN"/>
        </w:rPr>
        <w:t>40</w:t>
      </w:r>
      <w:r>
        <w:rPr>
          <w:rFonts w:hint="default" w:ascii="Times New Roman" w:hAnsi="Times New Roman" w:eastAsia="宋体"/>
          <w:color w:val="auto"/>
          <w:lang w:val="en-US" w:eastAsia="zh-CN"/>
        </w:rPr>
        <w:t>）、钡；</w:t>
      </w:r>
    </w:p>
    <w:p w14:paraId="03270ACD">
      <w:pPr>
        <w:pStyle w:val="1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后续监测：在前期监测中曾超标的污染物+pH、总硬度、溶解性总固体、硫酸盐、氯化物、氟化物、锰、挥发性酚类、耗氧量、硫化物、石油类、石油烃（C</w:t>
      </w:r>
      <w:r>
        <w:rPr>
          <w:rFonts w:hint="default" w:ascii="Times New Roman" w:hAnsi="Times New Roman" w:eastAsia="宋体"/>
          <w:color w:val="auto"/>
          <w:vertAlign w:val="subscript"/>
          <w:lang w:val="en-US" w:eastAsia="zh-CN"/>
        </w:rPr>
        <w:t>6</w:t>
      </w:r>
      <w:r>
        <w:rPr>
          <w:rFonts w:hint="default" w:ascii="Times New Roman" w:hAnsi="Times New Roman" w:eastAsia="宋体"/>
          <w:color w:val="auto"/>
          <w:lang w:val="en-US" w:eastAsia="zh-CN"/>
        </w:rPr>
        <w:t>~C</w:t>
      </w:r>
      <w:r>
        <w:rPr>
          <w:rFonts w:hint="default" w:ascii="Times New Roman" w:hAnsi="Times New Roman" w:eastAsia="宋体"/>
          <w:color w:val="auto"/>
          <w:vertAlign w:val="subscript"/>
          <w:lang w:val="en-US" w:eastAsia="zh-CN"/>
        </w:rPr>
        <w:t>9</w:t>
      </w:r>
      <w:r>
        <w:rPr>
          <w:rFonts w:hint="default" w:ascii="Times New Roman" w:hAnsi="Times New Roman" w:eastAsia="宋体"/>
          <w:color w:val="auto"/>
          <w:lang w:val="en-US" w:eastAsia="zh-CN"/>
        </w:rPr>
        <w:t>）、石油烃（C</w:t>
      </w:r>
      <w:r>
        <w:rPr>
          <w:rFonts w:hint="default" w:ascii="Times New Roman" w:hAnsi="Times New Roman" w:eastAsia="宋体"/>
          <w:color w:val="auto"/>
          <w:vertAlign w:val="subscript"/>
          <w:lang w:val="en-US" w:eastAsia="zh-CN"/>
        </w:rPr>
        <w:t>10</w:t>
      </w:r>
      <w:r>
        <w:rPr>
          <w:rFonts w:hint="default" w:ascii="Times New Roman" w:hAnsi="Times New Roman" w:eastAsia="宋体"/>
          <w:color w:val="auto"/>
          <w:lang w:val="en-US" w:eastAsia="zh-CN"/>
        </w:rPr>
        <w:t>~C</w:t>
      </w:r>
      <w:r>
        <w:rPr>
          <w:rFonts w:hint="default" w:ascii="Times New Roman" w:hAnsi="Times New Roman" w:eastAsia="宋体"/>
          <w:color w:val="auto"/>
          <w:vertAlign w:val="subscript"/>
          <w:lang w:val="en-US" w:eastAsia="zh-CN"/>
        </w:rPr>
        <w:t>40</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w:t>
      </w:r>
      <w:r>
        <w:rPr>
          <w:rFonts w:hint="default" w:ascii="Times New Roman" w:hAnsi="Times New Roman" w:eastAsia="宋体"/>
          <w:color w:val="auto"/>
          <w:lang w:val="en-US" w:eastAsia="zh-CN"/>
        </w:rPr>
        <w:t>氨氮、钡、汞、砷、六价铬</w:t>
      </w:r>
      <w:r>
        <w:rPr>
          <w:rFonts w:hint="eastAsia" w:ascii="Times New Roman" w:hAnsi="Times New Roman" w:eastAsia="宋体"/>
          <w:color w:val="auto"/>
          <w:lang w:val="en-US" w:eastAsia="zh-CN"/>
        </w:rPr>
        <w:t>。</w:t>
      </w:r>
    </w:p>
    <w:p w14:paraId="494A3DFE">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监测频率：</w:t>
      </w:r>
      <w:r>
        <w:rPr>
          <w:rFonts w:hint="default" w:ascii="Times New Roman" w:hAnsi="Times New Roman" w:eastAsia="宋体"/>
          <w:color w:val="auto"/>
          <w:lang w:val="en-US" w:eastAsia="zh-CN"/>
        </w:rPr>
        <w:t>污染监控井的监测频率每</w:t>
      </w:r>
      <w:r>
        <w:rPr>
          <w:rFonts w:hint="eastAsia" w:ascii="Times New Roman" w:hAnsi="Times New Roman" w:eastAsia="宋体"/>
          <w:color w:val="auto"/>
          <w:lang w:val="en-US" w:eastAsia="zh-CN"/>
        </w:rPr>
        <w:t>半年（枯水期、丰水期）</w:t>
      </w:r>
      <w:r>
        <w:rPr>
          <w:rFonts w:hint="default" w:ascii="Times New Roman" w:hAnsi="Times New Roman" w:eastAsia="宋体"/>
          <w:color w:val="auto"/>
          <w:lang w:val="en-US" w:eastAsia="zh-CN"/>
        </w:rPr>
        <w:t>一次，当监测指标出现异常时，应按照HJ164的附录F中石油和天然气开采业特征项目开展监测。这里异常具体包括三种情况：一是检出组分或常规组分浓度明显升高或超标；二是未检出组分连续检出；三是污染组分出现超标情况，如石油类、氨氮等。</w:t>
      </w:r>
    </w:p>
    <w:p w14:paraId="4E7CE619">
      <w:pPr>
        <w:pStyle w:val="11"/>
        <w:bidi w:val="0"/>
        <w:rPr>
          <w:rFonts w:hint="eastAsia" w:ascii="Times New Roman" w:hAnsi="Times New Roman" w:eastAsia="宋体"/>
          <w:color w:val="auto"/>
        </w:rPr>
      </w:pPr>
      <w:r>
        <w:rPr>
          <w:rFonts w:hint="eastAsia" w:ascii="Times New Roman" w:hAnsi="Times New Roman" w:eastAsia="宋体"/>
          <w:color w:val="auto"/>
          <w:lang w:val="en-US" w:eastAsia="zh-CN"/>
        </w:rPr>
        <w:t>c.</w:t>
      </w:r>
      <w:r>
        <w:rPr>
          <w:rFonts w:hint="eastAsia" w:ascii="Times New Roman" w:hAnsi="Times New Roman" w:eastAsia="宋体"/>
          <w:color w:val="auto"/>
        </w:rPr>
        <w:t>监测要求</w:t>
      </w:r>
    </w:p>
    <w:p w14:paraId="77F31791">
      <w:pPr>
        <w:pStyle w:val="11"/>
        <w:bidi w:val="0"/>
        <w:rPr>
          <w:rFonts w:hint="eastAsia" w:ascii="Times New Roman" w:hAnsi="Times New Roman" w:eastAsia="宋体"/>
          <w:color w:val="auto"/>
        </w:rPr>
      </w:pPr>
      <w:r>
        <w:rPr>
          <w:rFonts w:hint="eastAsia" w:ascii="Times New Roman" w:hAnsi="Times New Roman" w:eastAsia="宋体"/>
          <w:color w:val="auto"/>
        </w:rPr>
        <w:t>委托有资质的监测单位定期进行地下水水质监测，并公布监测结果。</w:t>
      </w:r>
    </w:p>
    <w:p w14:paraId="7495C9EC">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（4）应急响应</w:t>
      </w:r>
    </w:p>
    <w:p w14:paraId="7BB15506">
      <w:pPr>
        <w:pStyle w:val="11"/>
        <w:bidi w:val="0"/>
        <w:rPr>
          <w:rFonts w:ascii="Times New Roman" w:hAnsi="Times New Roman" w:eastAsia="宋体"/>
          <w:color w:val="auto"/>
        </w:rPr>
      </w:pPr>
      <w:r>
        <w:rPr>
          <w:rFonts w:ascii="Times New Roman" w:hAnsi="Times New Roman" w:eastAsia="宋体"/>
          <w:color w:val="auto"/>
        </w:rPr>
        <w:t>为了应对事故状况下可能会发生污染地下水的事故，应该制定地下水污染应急响应预案，明确污染状况下应采取的控制污染源、切断污染途径等措施，以防止受污染的地下水扩散。</w:t>
      </w:r>
    </w:p>
    <w:p w14:paraId="6A8E88C2">
      <w:pPr>
        <w:pStyle w:val="11"/>
        <w:bidi w:val="0"/>
        <w:rPr>
          <w:rFonts w:ascii="Times New Roman" w:hAnsi="Times New Roman" w:eastAsia="宋体"/>
          <w:color w:val="auto"/>
        </w:rPr>
      </w:pPr>
      <w:r>
        <w:rPr>
          <w:rFonts w:hint="eastAsia" w:ascii="Times New Roman" w:hAnsi="Times New Roman" w:eastAsia="宋体"/>
          <w:color w:val="auto"/>
          <w:lang w:val="en-US" w:eastAsia="zh-CN"/>
        </w:rPr>
        <w:t>①</w:t>
      </w:r>
      <w:r>
        <w:rPr>
          <w:rFonts w:ascii="Times New Roman" w:hAnsi="Times New Roman" w:eastAsia="宋体"/>
          <w:color w:val="auto"/>
        </w:rPr>
        <w:t>应急响应预案</w:t>
      </w:r>
    </w:p>
    <w:p w14:paraId="77906509">
      <w:pPr>
        <w:pStyle w:val="11"/>
        <w:bidi w:val="0"/>
        <w:rPr>
          <w:rFonts w:ascii="Times New Roman" w:hAnsi="Times New Roman" w:eastAsia="宋体"/>
          <w:color w:val="auto"/>
        </w:rPr>
      </w:pPr>
      <w:r>
        <w:rPr>
          <w:rFonts w:ascii="Times New Roman" w:hAnsi="Times New Roman" w:eastAsia="宋体"/>
          <w:color w:val="auto"/>
        </w:rPr>
        <w:t>制定风险事故应急预案的</w:t>
      </w:r>
      <w:r>
        <w:rPr>
          <w:rFonts w:hint="eastAsia"/>
          <w:color w:val="auto"/>
          <w:lang w:eastAsia="zh-CN"/>
        </w:rPr>
        <w:t>目的是</w:t>
      </w:r>
      <w:r>
        <w:rPr>
          <w:rFonts w:ascii="Times New Roman" w:hAnsi="Times New Roman" w:eastAsia="宋体"/>
          <w:color w:val="auto"/>
        </w:rPr>
        <w:t>在发生风险事故时，能以最快的速度发挥最大的效能，有序</w:t>
      </w:r>
      <w:r>
        <w:rPr>
          <w:rFonts w:hint="eastAsia"/>
          <w:color w:val="auto"/>
          <w:lang w:eastAsia="zh-CN"/>
        </w:rPr>
        <w:t>地</w:t>
      </w:r>
      <w:r>
        <w:rPr>
          <w:rFonts w:ascii="Times New Roman" w:hAnsi="Times New Roman" w:eastAsia="宋体"/>
          <w:color w:val="auto"/>
        </w:rPr>
        <w:t>实施救援，尽快控制事态的发展，降低事故对潜水含水层的污染。针对应急工作需要，参照相关技术导则，结合地下水污染治理的技术特点，制定地下水污染应急治理程序见</w:t>
      </w:r>
      <w:r>
        <w:rPr>
          <w:rFonts w:ascii="Times New Roman" w:hAnsi="Times New Roman" w:eastAsia="宋体"/>
          <w:color w:val="auto"/>
        </w:rPr>
        <w:fldChar w:fldCharType="begin"/>
      </w:r>
      <w:r>
        <w:rPr>
          <w:rFonts w:ascii="Times New Roman" w:hAnsi="Times New Roman" w:eastAsia="宋体"/>
          <w:color w:val="auto"/>
        </w:rPr>
        <w:instrText xml:space="preserve"> REF _Ref92140886 \h  \* MERGEFORMAT </w:instrText>
      </w:r>
      <w:r>
        <w:rPr>
          <w:rFonts w:ascii="Times New Roman" w:hAnsi="Times New Roman" w:eastAsia="宋体"/>
          <w:color w:val="auto"/>
        </w:rPr>
        <w:fldChar w:fldCharType="separate"/>
      </w:r>
      <w:r>
        <w:rPr>
          <w:rFonts w:ascii="Times New Roman" w:hAnsi="Times New Roman" w:eastAsia="宋体"/>
          <w:color w:val="auto"/>
        </w:rPr>
        <w:t>图</w:t>
      </w:r>
      <w:r>
        <w:rPr>
          <w:rFonts w:hint="eastAsia" w:ascii="Times New Roman" w:hAnsi="Times New Roman" w:eastAsia="宋体"/>
          <w:color w:val="auto"/>
          <w:lang w:val="en-US" w:eastAsia="zh-CN"/>
        </w:rPr>
        <w:t>6</w:t>
      </w:r>
      <w:r>
        <w:rPr>
          <w:rFonts w:ascii="Times New Roman" w:hAnsi="Times New Roman" w:eastAsia="宋体"/>
          <w:color w:val="auto"/>
        </w:rPr>
        <w:fldChar w:fldCharType="end"/>
      </w:r>
      <w:r>
        <w:rPr>
          <w:rFonts w:hint="eastAsia" w:ascii="Times New Roman" w:hAnsi="Times New Roman" w:eastAsia="宋体"/>
          <w:color w:val="auto"/>
          <w:lang w:val="en-US" w:eastAsia="zh-CN"/>
        </w:rPr>
        <w:t>.2-2</w:t>
      </w:r>
      <w:r>
        <w:rPr>
          <w:rFonts w:ascii="Times New Roman" w:hAnsi="Times New Roman" w:eastAsia="宋体"/>
          <w:color w:val="auto"/>
        </w:rPr>
        <w:t>。</w:t>
      </w:r>
    </w:p>
    <w:p w14:paraId="5EBF7204">
      <w:pPr>
        <w:pStyle w:val="4"/>
        <w:rPr>
          <w:color w:val="auto"/>
        </w:rPr>
      </w:pPr>
      <w:r>
        <w:rPr>
          <w:color w:val="auto"/>
        </w:rPr>
        <w:drawing>
          <wp:inline distT="0" distB="0" distL="0" distR="0">
            <wp:extent cx="4519295" cy="4140200"/>
            <wp:effectExtent l="0" t="0" r="14605" b="1270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519295" cy="4140200"/>
                    </a:xfrm>
                    <a:prstGeom prst="rect">
                      <a:avLst/>
                    </a:prstGeom>
                    <a:noFill/>
                    <a:ln>
                      <a:noFill/>
                    </a:ln>
                  </pic:spPr>
                </pic:pic>
              </a:graphicData>
            </a:graphic>
          </wp:inline>
        </w:drawing>
      </w:r>
    </w:p>
    <w:p w14:paraId="25B240B3">
      <w:pPr>
        <w:pStyle w:val="71"/>
        <w:spacing w:after="120"/>
        <w:rPr>
          <w:rFonts w:cs="Times New Roman"/>
          <w:color w:val="auto"/>
        </w:rPr>
      </w:pPr>
      <w:bookmarkStart w:id="288" w:name="_Ref92140886"/>
      <w:r>
        <w:rPr>
          <w:rFonts w:cs="Times New Roman"/>
          <w:color w:val="auto"/>
        </w:rPr>
        <w:t>图</w:t>
      </w:r>
      <w:bookmarkEnd w:id="288"/>
      <w:r>
        <w:rPr>
          <w:rFonts w:hint="eastAsia" w:cs="Times New Roman"/>
          <w:color w:val="auto"/>
          <w:lang w:val="en-US" w:eastAsia="zh-CN"/>
        </w:rPr>
        <w:t>6.2-2</w:t>
      </w:r>
      <w:r>
        <w:rPr>
          <w:rFonts w:cs="Times New Roman"/>
          <w:color w:val="auto"/>
        </w:rPr>
        <w:t xml:space="preserve">  地下水污染应急治理程序框图</w:t>
      </w:r>
    </w:p>
    <w:p w14:paraId="1A702C3C">
      <w:pPr>
        <w:pStyle w:val="11"/>
        <w:bidi w:val="0"/>
        <w:rPr>
          <w:rFonts w:ascii="Times New Roman" w:hAnsi="Times New Roman" w:eastAsia="宋体"/>
          <w:color w:val="auto"/>
        </w:rPr>
      </w:pPr>
      <w:r>
        <w:rPr>
          <w:rFonts w:hint="eastAsia" w:ascii="Times New Roman" w:hAnsi="Times New Roman" w:eastAsia="宋体"/>
          <w:color w:val="auto"/>
          <w:lang w:val="en-US" w:eastAsia="zh-CN"/>
        </w:rPr>
        <w:t>②</w:t>
      </w:r>
      <w:r>
        <w:rPr>
          <w:rFonts w:ascii="Times New Roman" w:hAnsi="Times New Roman" w:eastAsia="宋体"/>
          <w:color w:val="auto"/>
        </w:rPr>
        <w:t>预防治理措施</w:t>
      </w:r>
    </w:p>
    <w:p w14:paraId="0E877AA2">
      <w:pPr>
        <w:pStyle w:val="11"/>
        <w:bidi w:val="0"/>
        <w:rPr>
          <w:rFonts w:ascii="Times New Roman" w:hAnsi="Times New Roman" w:eastAsia="宋体"/>
          <w:color w:val="auto"/>
        </w:rPr>
      </w:pPr>
      <w:r>
        <w:rPr>
          <w:rFonts w:hint="eastAsia" w:ascii="Times New Roman" w:hAnsi="Times New Roman" w:eastAsia="宋体"/>
          <w:color w:val="auto"/>
          <w:lang w:val="en-US" w:eastAsia="zh-CN"/>
        </w:rPr>
        <w:t>a.</w:t>
      </w:r>
      <w:r>
        <w:rPr>
          <w:rFonts w:ascii="Times New Roman" w:hAnsi="Times New Roman" w:eastAsia="宋体"/>
          <w:color w:val="auto"/>
        </w:rPr>
        <w:t>一旦发生地下水污染事故，应立即启动应急预案；</w:t>
      </w:r>
    </w:p>
    <w:p w14:paraId="500064FC">
      <w:pPr>
        <w:pStyle w:val="11"/>
        <w:bidi w:val="0"/>
        <w:rPr>
          <w:rFonts w:ascii="Times New Roman" w:hAnsi="Times New Roman" w:eastAsia="宋体"/>
          <w:color w:val="auto"/>
        </w:rPr>
      </w:pPr>
      <w:r>
        <w:rPr>
          <w:rFonts w:hint="eastAsia" w:ascii="Times New Roman" w:hAnsi="Times New Roman" w:eastAsia="宋体"/>
          <w:color w:val="auto"/>
          <w:lang w:val="en-US" w:eastAsia="zh-CN"/>
        </w:rPr>
        <w:t>b.</w:t>
      </w:r>
      <w:r>
        <w:rPr>
          <w:rFonts w:ascii="Times New Roman" w:hAnsi="Times New Roman" w:eastAsia="宋体"/>
          <w:color w:val="auto"/>
        </w:rPr>
        <w:t>查明并切断污染源；</w:t>
      </w:r>
    </w:p>
    <w:p w14:paraId="3E69C1D9">
      <w:pPr>
        <w:pStyle w:val="11"/>
        <w:bidi w:val="0"/>
        <w:rPr>
          <w:rFonts w:ascii="Times New Roman" w:hAnsi="Times New Roman" w:eastAsia="宋体"/>
          <w:color w:val="auto"/>
        </w:rPr>
      </w:pPr>
      <w:r>
        <w:rPr>
          <w:rFonts w:hint="eastAsia" w:ascii="Times New Roman" w:hAnsi="Times New Roman" w:eastAsia="宋体"/>
          <w:color w:val="auto"/>
          <w:lang w:val="en-US" w:eastAsia="zh-CN"/>
        </w:rPr>
        <w:t>c.</w:t>
      </w:r>
      <w:r>
        <w:rPr>
          <w:rFonts w:ascii="Times New Roman" w:hAnsi="Times New Roman" w:eastAsia="宋体"/>
          <w:color w:val="auto"/>
        </w:rPr>
        <w:t>探明地下水污染深度、范围和污染程度；</w:t>
      </w:r>
    </w:p>
    <w:p w14:paraId="129EF14A">
      <w:pPr>
        <w:pStyle w:val="11"/>
        <w:bidi w:val="0"/>
        <w:rPr>
          <w:rFonts w:ascii="Times New Roman" w:hAnsi="Times New Roman" w:eastAsia="宋体"/>
          <w:color w:val="auto"/>
        </w:rPr>
      </w:pPr>
      <w:r>
        <w:rPr>
          <w:rFonts w:hint="eastAsia" w:ascii="Times New Roman" w:hAnsi="Times New Roman" w:eastAsia="宋体"/>
          <w:color w:val="auto"/>
          <w:lang w:val="en-US" w:eastAsia="zh-CN"/>
        </w:rPr>
        <w:t>d.</w:t>
      </w:r>
      <w:r>
        <w:rPr>
          <w:rFonts w:ascii="Times New Roman" w:hAnsi="Times New Roman" w:eastAsia="宋体"/>
          <w:color w:val="auto"/>
        </w:rPr>
        <w:t>依据探明的地下水污染情况，合理布置截留井，并进行试抽工作；</w:t>
      </w:r>
    </w:p>
    <w:p w14:paraId="266A437B">
      <w:pPr>
        <w:pStyle w:val="11"/>
        <w:bidi w:val="0"/>
        <w:rPr>
          <w:rFonts w:ascii="Times New Roman" w:hAnsi="Times New Roman" w:eastAsia="宋体"/>
          <w:color w:val="auto"/>
        </w:rPr>
      </w:pPr>
      <w:r>
        <w:rPr>
          <w:rFonts w:hint="eastAsia" w:ascii="Times New Roman" w:hAnsi="Times New Roman" w:eastAsia="宋体"/>
          <w:color w:val="auto"/>
          <w:lang w:val="en-US" w:eastAsia="zh-CN"/>
        </w:rPr>
        <w:t>e.</w:t>
      </w:r>
      <w:r>
        <w:rPr>
          <w:rFonts w:ascii="Times New Roman" w:hAnsi="Times New Roman" w:eastAsia="宋体"/>
          <w:color w:val="auto"/>
        </w:rPr>
        <w:t>依据抽水设计方案进行施工，抽取被污染的地下水体，并依据各井孔出水情况进行调整；</w:t>
      </w:r>
    </w:p>
    <w:p w14:paraId="63CD6A60">
      <w:pPr>
        <w:pStyle w:val="11"/>
        <w:bidi w:val="0"/>
        <w:rPr>
          <w:rFonts w:ascii="Times New Roman" w:hAnsi="Times New Roman" w:eastAsia="宋体"/>
          <w:color w:val="auto"/>
        </w:rPr>
      </w:pPr>
      <w:r>
        <w:rPr>
          <w:rFonts w:hint="eastAsia" w:ascii="Times New Roman" w:hAnsi="Times New Roman" w:eastAsia="宋体"/>
          <w:color w:val="auto"/>
          <w:lang w:val="en-US" w:eastAsia="zh-CN"/>
        </w:rPr>
        <w:t>f.</w:t>
      </w:r>
      <w:r>
        <w:rPr>
          <w:rFonts w:ascii="Times New Roman" w:hAnsi="Times New Roman" w:eastAsia="宋体"/>
          <w:color w:val="auto"/>
        </w:rPr>
        <w:t>将抽取的地下水进行集中收集处理，并送实验室进行化验分析；</w:t>
      </w:r>
    </w:p>
    <w:p w14:paraId="1DF5DBBB">
      <w:pPr>
        <w:pStyle w:val="11"/>
        <w:bidi w:val="0"/>
        <w:rPr>
          <w:rFonts w:ascii="Times New Roman" w:hAnsi="Times New Roman" w:eastAsia="宋体"/>
          <w:color w:val="auto"/>
        </w:rPr>
      </w:pPr>
      <w:r>
        <w:rPr>
          <w:rFonts w:hint="eastAsia" w:ascii="Times New Roman" w:hAnsi="Times New Roman" w:eastAsia="宋体"/>
          <w:color w:val="auto"/>
          <w:lang w:val="en-US" w:eastAsia="zh-CN"/>
        </w:rPr>
        <w:t>g.</w:t>
      </w:r>
      <w:r>
        <w:rPr>
          <w:rFonts w:ascii="Times New Roman" w:hAnsi="Times New Roman" w:eastAsia="宋体"/>
          <w:color w:val="auto"/>
        </w:rPr>
        <w:t>当地下水中的特征污染物浓度满足地下水功能区划的标准后，逐步停止抽水，并进行土壤修复治理工作。</w:t>
      </w:r>
    </w:p>
    <w:p w14:paraId="6E77A7E0">
      <w:pPr>
        <w:pStyle w:val="11"/>
        <w:bidi w:val="0"/>
        <w:rPr>
          <w:rFonts w:ascii="Times New Roman" w:hAnsi="Times New Roman" w:eastAsia="宋体"/>
          <w:color w:val="auto"/>
        </w:rPr>
      </w:pPr>
      <w:r>
        <w:rPr>
          <w:rFonts w:hint="eastAsia" w:ascii="Times New Roman" w:hAnsi="Times New Roman" w:eastAsia="宋体"/>
          <w:color w:val="auto"/>
          <w:lang w:val="en-US" w:eastAsia="zh-CN"/>
        </w:rPr>
        <w:t>③</w:t>
      </w:r>
      <w:r>
        <w:rPr>
          <w:rFonts w:ascii="Times New Roman" w:hAnsi="Times New Roman" w:eastAsia="宋体"/>
          <w:color w:val="auto"/>
        </w:rPr>
        <w:t>相关建议</w:t>
      </w:r>
    </w:p>
    <w:p w14:paraId="2EE02F15">
      <w:pPr>
        <w:pStyle w:val="11"/>
        <w:bidi w:val="0"/>
        <w:rPr>
          <w:rFonts w:ascii="Times New Roman" w:hAnsi="Times New Roman" w:eastAsia="宋体"/>
          <w:color w:val="auto"/>
        </w:rPr>
      </w:pPr>
      <w:r>
        <w:rPr>
          <w:rFonts w:hint="eastAsia" w:ascii="Times New Roman" w:hAnsi="Times New Roman" w:eastAsia="宋体"/>
          <w:color w:val="auto"/>
          <w:lang w:val="en-US" w:eastAsia="zh-CN"/>
        </w:rPr>
        <w:t>a.</w:t>
      </w:r>
      <w:r>
        <w:rPr>
          <w:rFonts w:ascii="Times New Roman" w:hAnsi="Times New Roman" w:eastAsia="宋体"/>
          <w:color w:val="auto"/>
        </w:rPr>
        <w:t>地下水污染具有不易发现和一旦污染很难治理的特点，因此，防止地下水污染应遵循源头控制、防止渗漏、污染监测及事故应急处理的主动及被动防渗相结合的原则。</w:t>
      </w:r>
    </w:p>
    <w:p w14:paraId="122DAFE3">
      <w:pPr>
        <w:pStyle w:val="11"/>
        <w:bidi w:val="0"/>
        <w:rPr>
          <w:rFonts w:ascii="Times New Roman" w:hAnsi="Times New Roman" w:eastAsia="宋体"/>
          <w:color w:val="auto"/>
        </w:rPr>
      </w:pPr>
      <w:r>
        <w:rPr>
          <w:rFonts w:hint="eastAsia" w:ascii="Times New Roman" w:hAnsi="Times New Roman" w:eastAsia="宋体"/>
          <w:color w:val="auto"/>
          <w:lang w:val="en-US" w:eastAsia="zh-CN"/>
        </w:rPr>
        <w:t>b.</w:t>
      </w:r>
      <w:r>
        <w:rPr>
          <w:rFonts w:ascii="Times New Roman" w:hAnsi="Times New Roman" w:eastAsia="宋体"/>
          <w:color w:val="auto"/>
        </w:rPr>
        <w:t>地下水污染情况勘察是一项专业性很强的工作，一旦发生污染事故，应委托具有水文地质勘察资质的单位查明地下水污染情况。</w:t>
      </w:r>
    </w:p>
    <w:p w14:paraId="4140F0C9">
      <w:pPr>
        <w:pStyle w:val="11"/>
        <w:bidi w:val="0"/>
        <w:rPr>
          <w:rFonts w:ascii="Times New Roman" w:hAnsi="Times New Roman" w:eastAsia="宋体"/>
          <w:color w:val="auto"/>
        </w:rPr>
      </w:pPr>
      <w:r>
        <w:rPr>
          <w:rFonts w:hint="eastAsia" w:ascii="Times New Roman" w:hAnsi="Times New Roman" w:eastAsia="宋体"/>
          <w:color w:val="auto"/>
          <w:lang w:val="en-US" w:eastAsia="zh-CN"/>
        </w:rPr>
        <w:t>c.</w:t>
      </w:r>
      <w:r>
        <w:rPr>
          <w:rFonts w:ascii="Times New Roman" w:hAnsi="Times New Roman" w:eastAsia="宋体"/>
          <w:color w:val="auto"/>
        </w:rPr>
        <w:t>当污染事故发生后，污染物首先渗透到包气带，然后依据污染物的特性、土壤结构以及场地状况等因素，污染物可能渗透至含水层，而污染地下水。为了预防意外泄漏，应该建立完善的监控体系以及应急预案，避免地下水水质污染。</w:t>
      </w:r>
    </w:p>
    <w:p w14:paraId="2CE5CBAA">
      <w:pPr>
        <w:pStyle w:val="5"/>
        <w:bidi w:val="0"/>
        <w:rPr>
          <w:rFonts w:hint="default"/>
          <w:color w:val="auto"/>
          <w:lang w:val="en-US" w:eastAsia="zh-CN"/>
        </w:rPr>
      </w:pPr>
      <w:r>
        <w:rPr>
          <w:rFonts w:hint="eastAsia"/>
          <w:color w:val="auto"/>
          <w:lang w:val="en-US" w:eastAsia="zh-CN"/>
        </w:rPr>
        <w:t>6.2.3运营期噪声污染防治措施</w:t>
      </w:r>
    </w:p>
    <w:p w14:paraId="36026F14">
      <w:pPr>
        <w:pStyle w:val="11"/>
        <w:bidi w:val="0"/>
        <w:rPr>
          <w:rFonts w:ascii="Times New Roman" w:hAnsi="Times New Roman" w:eastAsia="宋体"/>
          <w:color w:val="auto"/>
        </w:rPr>
      </w:pPr>
      <w:r>
        <w:rPr>
          <w:rFonts w:ascii="Times New Roman" w:hAnsi="Times New Roman" w:eastAsia="宋体"/>
          <w:color w:val="auto"/>
        </w:rPr>
        <w:t>由于油田噪声源分布非常分散，数量多，噪声污染防治主要是采取经济合理的噪声源控制措施。</w:t>
      </w:r>
    </w:p>
    <w:p w14:paraId="4A0118E8">
      <w:pPr>
        <w:pStyle w:val="11"/>
        <w:bidi w:val="0"/>
        <w:rPr>
          <w:rFonts w:hint="default" w:ascii="Times New Roman" w:hAnsi="Times New Roman" w:eastAsia="宋体"/>
          <w:color w:val="auto"/>
        </w:rPr>
      </w:pPr>
      <w:r>
        <w:rPr>
          <w:rFonts w:hint="default" w:ascii="Times New Roman" w:hAnsi="Times New Roman" w:eastAsia="宋体"/>
          <w:color w:val="auto"/>
        </w:rPr>
        <w:t>（1）尽量</w:t>
      </w:r>
      <w:bookmarkStart w:id="289" w:name="_Hlk42265575"/>
      <w:r>
        <w:rPr>
          <w:rFonts w:hint="default" w:ascii="Times New Roman" w:hAnsi="Times New Roman" w:eastAsia="宋体"/>
          <w:color w:val="auto"/>
        </w:rPr>
        <w:t>选用低噪声设备</w:t>
      </w:r>
      <w:bookmarkEnd w:id="289"/>
      <w:r>
        <w:rPr>
          <w:rFonts w:hint="default" w:ascii="Times New Roman" w:hAnsi="Times New Roman" w:eastAsia="宋体"/>
          <w:color w:val="auto"/>
        </w:rPr>
        <w:t>。</w:t>
      </w:r>
    </w:p>
    <w:p w14:paraId="3943A045">
      <w:pPr>
        <w:pStyle w:val="11"/>
        <w:bidi w:val="0"/>
        <w:rPr>
          <w:rFonts w:hint="default" w:ascii="Times New Roman" w:hAnsi="Times New Roman" w:eastAsia="宋体"/>
          <w:color w:val="auto"/>
        </w:rPr>
      </w:pPr>
      <w:r>
        <w:rPr>
          <w:rFonts w:hint="default" w:ascii="Times New Roman" w:hAnsi="Times New Roman" w:eastAsia="宋体"/>
          <w:color w:val="auto"/>
        </w:rPr>
        <w:t>（2）对噪声强度较大的设备进行减噪处理，根据各种设备类型所产生噪声的特性，采用不同的控制手段，如设置消音设施、隔声设备、加润滑油和减振垫等。</w:t>
      </w:r>
    </w:p>
    <w:p w14:paraId="1A13B18C">
      <w:pPr>
        <w:pStyle w:val="11"/>
        <w:bidi w:val="0"/>
        <w:rPr>
          <w:rFonts w:hint="default" w:ascii="Times New Roman" w:hAnsi="Times New Roman" w:eastAsia="宋体"/>
          <w:color w:val="auto"/>
        </w:rPr>
      </w:pPr>
      <w:r>
        <w:rPr>
          <w:rFonts w:hint="default" w:ascii="Times New Roman" w:hAnsi="Times New Roman" w:eastAsia="宋体"/>
          <w:color w:val="auto"/>
        </w:rPr>
        <w:t>（3）对于噪声强度大的作业（例如压裂作业），要合理安排作业时间，避免夜间作业。</w:t>
      </w:r>
    </w:p>
    <w:p w14:paraId="340A6090">
      <w:pPr>
        <w:pStyle w:val="11"/>
        <w:bidi w:val="0"/>
        <w:rPr>
          <w:rFonts w:hint="default" w:ascii="Times New Roman" w:hAnsi="Times New Roman" w:eastAsia="宋体"/>
          <w:color w:val="auto"/>
        </w:rPr>
      </w:pPr>
      <w:r>
        <w:rPr>
          <w:rFonts w:hint="default" w:ascii="Times New Roman" w:hAnsi="Times New Roman" w:eastAsia="宋体"/>
          <w:color w:val="auto"/>
        </w:rPr>
        <w:t>（4）尽量</w:t>
      </w:r>
      <w:bookmarkStart w:id="290" w:name="_Hlk42265585"/>
      <w:r>
        <w:rPr>
          <w:rFonts w:hint="default" w:ascii="Times New Roman" w:hAnsi="Times New Roman" w:eastAsia="宋体"/>
          <w:color w:val="auto"/>
        </w:rPr>
        <w:t>将发声源集中统一布置</w:t>
      </w:r>
      <w:bookmarkEnd w:id="290"/>
      <w:r>
        <w:rPr>
          <w:rFonts w:hint="default" w:ascii="Times New Roman" w:hAnsi="Times New Roman" w:eastAsia="宋体"/>
          <w:color w:val="auto"/>
        </w:rPr>
        <w:t>。</w:t>
      </w:r>
    </w:p>
    <w:p w14:paraId="3CE32F31">
      <w:pPr>
        <w:pStyle w:val="11"/>
        <w:bidi w:val="0"/>
        <w:rPr>
          <w:rFonts w:hint="default" w:ascii="Times New Roman" w:hAnsi="Times New Roman" w:eastAsia="宋体"/>
          <w:color w:val="auto"/>
        </w:rPr>
      </w:pPr>
      <w:bookmarkStart w:id="291" w:name="_Toc406490776"/>
      <w:bookmarkStart w:id="292" w:name="_Toc21761"/>
      <w:r>
        <w:rPr>
          <w:rFonts w:hint="default" w:ascii="Times New Roman" w:hAnsi="Times New Roman" w:eastAsia="宋体"/>
          <w:color w:val="auto"/>
        </w:rPr>
        <w:t>（5）切合实际</w:t>
      </w:r>
      <w:r>
        <w:rPr>
          <w:rFonts w:hint="eastAsia"/>
          <w:color w:val="auto"/>
          <w:lang w:eastAsia="zh-CN"/>
        </w:rPr>
        <w:t>地</w:t>
      </w:r>
      <w:r>
        <w:rPr>
          <w:rFonts w:hint="default" w:ascii="Times New Roman" w:hAnsi="Times New Roman" w:eastAsia="宋体"/>
          <w:color w:val="auto"/>
        </w:rPr>
        <w:t>提高工艺过程自动化水平，尽量减少人员与噪声的接触时间。</w:t>
      </w:r>
      <w:bookmarkEnd w:id="291"/>
      <w:bookmarkEnd w:id="292"/>
    </w:p>
    <w:p w14:paraId="4BA43C33">
      <w:pPr>
        <w:pStyle w:val="11"/>
        <w:bidi w:val="0"/>
        <w:rPr>
          <w:rFonts w:hint="default" w:ascii="Times New Roman" w:hAnsi="Times New Roman" w:eastAsia="宋体"/>
          <w:color w:val="auto"/>
        </w:rPr>
      </w:pPr>
      <w:r>
        <w:rPr>
          <w:rFonts w:hint="default" w:ascii="Times New Roman" w:hAnsi="Times New Roman" w:eastAsia="宋体"/>
          <w:color w:val="auto"/>
        </w:rPr>
        <w:t>（6）实行工人巡检制，减少操作工人在该岗位停留时间，同时提供一定劳动保护。</w:t>
      </w:r>
    </w:p>
    <w:p w14:paraId="6C8EF7AF">
      <w:pPr>
        <w:pStyle w:val="11"/>
        <w:bidi w:val="0"/>
        <w:rPr>
          <w:rFonts w:hint="default" w:ascii="Times New Roman" w:hAnsi="Times New Roman" w:eastAsia="宋体"/>
          <w:color w:val="auto"/>
        </w:rPr>
      </w:pPr>
      <w:r>
        <w:rPr>
          <w:rFonts w:hint="default" w:ascii="Times New Roman" w:hAnsi="Times New Roman" w:eastAsia="宋体"/>
          <w:color w:val="auto"/>
        </w:rPr>
        <w:t>（7）定时保养设备，避免设备转动部件在无润滑条件下运转。</w:t>
      </w:r>
    </w:p>
    <w:p w14:paraId="43C76100">
      <w:pPr>
        <w:pStyle w:val="11"/>
        <w:bidi w:val="0"/>
        <w:rPr>
          <w:rFonts w:hint="eastAsia" w:ascii="Times New Roman" w:hAnsi="Times New Roman" w:eastAsia="宋体"/>
          <w:color w:val="auto"/>
          <w:lang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8</w:t>
      </w:r>
      <w:r>
        <w:rPr>
          <w:rFonts w:hint="eastAsia" w:ascii="Times New Roman" w:hAnsi="Times New Roman" w:eastAsia="宋体"/>
          <w:color w:val="auto"/>
          <w:lang w:eastAsia="zh-CN"/>
        </w:rPr>
        <w:t>）</w:t>
      </w:r>
      <w:r>
        <w:rPr>
          <w:rFonts w:ascii="Times New Roman" w:hAnsi="Times New Roman" w:eastAsia="宋体"/>
          <w:color w:val="auto"/>
        </w:rPr>
        <w:t>严格限制车速、加强巡查，树立文明驾驶的习惯和安全意识</w:t>
      </w:r>
      <w:r>
        <w:rPr>
          <w:rFonts w:hint="eastAsia" w:ascii="Times New Roman" w:hAnsi="Times New Roman" w:eastAsia="宋体"/>
          <w:color w:val="auto"/>
          <w:lang w:eastAsia="zh-CN"/>
        </w:rPr>
        <w:t>。</w:t>
      </w:r>
    </w:p>
    <w:p w14:paraId="65D45A60">
      <w:pPr>
        <w:pStyle w:val="11"/>
        <w:bidi w:val="0"/>
        <w:rPr>
          <w:rFonts w:hint="eastAsia" w:ascii="Times New Roman" w:hAnsi="Times New Roman" w:eastAsia="宋体"/>
          <w:color w:val="auto"/>
          <w:lang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9</w:t>
      </w:r>
      <w:r>
        <w:rPr>
          <w:rFonts w:hint="eastAsia" w:ascii="Times New Roman" w:hAnsi="Times New Roman" w:eastAsia="宋体"/>
          <w:color w:val="auto"/>
          <w:lang w:eastAsia="zh-CN"/>
        </w:rPr>
        <w:t>）</w:t>
      </w:r>
      <w:r>
        <w:rPr>
          <w:rFonts w:ascii="Times New Roman" w:hAnsi="Times New Roman" w:eastAsia="宋体"/>
          <w:color w:val="auto"/>
        </w:rPr>
        <w:t>做好运输车辆的维护和保养，有效降低机械设备运转及车辆行驶的噪声</w:t>
      </w:r>
      <w:r>
        <w:rPr>
          <w:rFonts w:hint="eastAsia" w:ascii="Times New Roman" w:hAnsi="Times New Roman" w:eastAsia="宋体"/>
          <w:color w:val="auto"/>
          <w:lang w:eastAsia="zh-CN"/>
        </w:rPr>
        <w:t>。</w:t>
      </w:r>
    </w:p>
    <w:p w14:paraId="6F6A8C51">
      <w:pPr>
        <w:pStyle w:val="5"/>
        <w:bidi w:val="0"/>
        <w:rPr>
          <w:rFonts w:hint="default"/>
          <w:color w:val="auto"/>
          <w:lang w:val="en-US" w:eastAsia="zh-CN"/>
        </w:rPr>
      </w:pPr>
      <w:r>
        <w:rPr>
          <w:rFonts w:hint="eastAsia"/>
          <w:color w:val="auto"/>
          <w:lang w:val="en-US" w:eastAsia="zh-CN"/>
        </w:rPr>
        <w:t>6.2.4运营期固体废物污染防治措施</w:t>
      </w:r>
    </w:p>
    <w:p w14:paraId="1643FFBE">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1</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落地油污染防治措施</w:t>
      </w:r>
    </w:p>
    <w:p w14:paraId="52D5EB40">
      <w:pPr>
        <w:pStyle w:val="11"/>
        <w:bidi w:val="0"/>
        <w:rPr>
          <w:rFonts w:ascii="Times New Roman" w:hAnsi="Times New Roman" w:eastAsia="宋体"/>
          <w:color w:val="auto"/>
          <w:lang w:eastAsia="zh"/>
        </w:rPr>
      </w:pPr>
      <w:r>
        <w:rPr>
          <w:rFonts w:hint="eastAsia" w:ascii="Times New Roman" w:hAnsi="Times New Roman" w:eastAsia="宋体"/>
          <w:color w:val="auto"/>
          <w:lang w:eastAsia="zh-CN"/>
        </w:rPr>
        <w:t>运营</w:t>
      </w:r>
      <w:r>
        <w:rPr>
          <w:rFonts w:ascii="Times New Roman" w:hAnsi="Times New Roman" w:eastAsia="宋体"/>
          <w:color w:val="auto"/>
        </w:rPr>
        <w:t>期在修井作业中往往会有部分原油散落在井场周围成为落地油。因此必须对井场落地油采取有效的措施进行防治和控制，必须按照清洁生产的原则，从源头上加以控制，使之尽</w:t>
      </w:r>
      <w:r>
        <w:rPr>
          <w:rFonts w:hint="eastAsia" w:ascii="宋体" w:hAnsi="宋体" w:eastAsia="宋体" w:cs="宋体"/>
          <w:color w:val="auto"/>
        </w:rPr>
        <w:t>量“不落地”</w:t>
      </w:r>
      <w:r>
        <w:rPr>
          <w:rFonts w:ascii="Times New Roman" w:hAnsi="Times New Roman" w:eastAsia="宋体"/>
          <w:color w:val="auto"/>
        </w:rPr>
        <w:t>。</w:t>
      </w:r>
      <w:r>
        <w:rPr>
          <w:rFonts w:ascii="Times New Roman" w:hAnsi="Times New Roman" w:eastAsia="宋体"/>
          <w:color w:val="auto"/>
          <w:lang w:eastAsia="zh"/>
        </w:rPr>
        <w:t>具体如下：</w:t>
      </w:r>
    </w:p>
    <w:p w14:paraId="5F3F5DED">
      <w:pPr>
        <w:pStyle w:val="11"/>
        <w:bidi w:val="0"/>
        <w:rPr>
          <w:rFonts w:ascii="Times New Roman" w:hAnsi="Times New Roman" w:eastAsia="宋体"/>
          <w:color w:val="auto"/>
        </w:rPr>
      </w:pPr>
      <w:r>
        <w:rPr>
          <w:rFonts w:ascii="Times New Roman" w:hAnsi="Times New Roman" w:eastAsia="宋体"/>
          <w:color w:val="auto"/>
        </w:rPr>
        <w:t>①井口油回收</w:t>
      </w:r>
    </w:p>
    <w:p w14:paraId="3008B1F0">
      <w:pPr>
        <w:pStyle w:val="11"/>
        <w:bidi w:val="0"/>
        <w:rPr>
          <w:rFonts w:ascii="Times New Roman" w:hAnsi="Times New Roman" w:eastAsia="宋体"/>
          <w:color w:val="auto"/>
        </w:rPr>
      </w:pPr>
      <w:r>
        <w:rPr>
          <w:rFonts w:ascii="Times New Roman" w:hAnsi="Times New Roman" w:eastAsia="宋体"/>
          <w:color w:val="auto"/>
        </w:rPr>
        <w:t>根据标准化井场设计，井口设置集油</w:t>
      </w:r>
      <w:r>
        <w:rPr>
          <w:rFonts w:hint="eastAsia" w:ascii="Times New Roman" w:hAnsi="Times New Roman" w:eastAsia="宋体"/>
          <w:color w:val="auto"/>
          <w:lang w:val="en-US" w:eastAsia="zh-CN"/>
        </w:rPr>
        <w:t>盒</w:t>
      </w:r>
      <w:r>
        <w:rPr>
          <w:rFonts w:ascii="Times New Roman" w:hAnsi="Times New Roman" w:eastAsia="宋体"/>
          <w:color w:val="auto"/>
        </w:rPr>
        <w:t>，并铺设防渗布，井口产生污油全部装袋运往依托的危险废物</w:t>
      </w:r>
      <w:r>
        <w:rPr>
          <w:rFonts w:hint="eastAsia" w:ascii="Times New Roman" w:hAnsi="Times New Roman" w:eastAsia="宋体"/>
          <w:color w:val="auto"/>
          <w:lang w:val="en-US" w:eastAsia="zh-CN"/>
        </w:rPr>
        <w:t>储</w:t>
      </w:r>
      <w:r>
        <w:rPr>
          <w:rFonts w:ascii="Times New Roman" w:hAnsi="Times New Roman" w:eastAsia="宋体"/>
          <w:color w:val="auto"/>
        </w:rPr>
        <w:t>存点</w:t>
      </w:r>
      <w:r>
        <w:rPr>
          <w:rFonts w:ascii="Times New Roman" w:hAnsi="Times New Roman" w:eastAsia="宋体"/>
          <w:color w:val="auto"/>
          <w:lang w:eastAsia="zh"/>
        </w:rPr>
        <w:t>，定期交有资质单位合理处置</w:t>
      </w:r>
      <w:r>
        <w:rPr>
          <w:rFonts w:ascii="Times New Roman" w:hAnsi="Times New Roman" w:eastAsia="宋体"/>
          <w:color w:val="auto"/>
        </w:rPr>
        <w:t>。</w:t>
      </w:r>
    </w:p>
    <w:p w14:paraId="07A2A812">
      <w:pPr>
        <w:pStyle w:val="11"/>
        <w:bidi w:val="0"/>
        <w:rPr>
          <w:rFonts w:ascii="Times New Roman" w:hAnsi="Times New Roman" w:eastAsia="宋体"/>
          <w:color w:val="auto"/>
        </w:rPr>
      </w:pPr>
      <w:r>
        <w:rPr>
          <w:rFonts w:ascii="Times New Roman" w:hAnsi="Times New Roman" w:eastAsia="宋体"/>
          <w:color w:val="auto"/>
        </w:rPr>
        <w:t>②井下作业</w:t>
      </w:r>
    </w:p>
    <w:p w14:paraId="72275626">
      <w:pPr>
        <w:pStyle w:val="11"/>
        <w:bidi w:val="0"/>
        <w:rPr>
          <w:rFonts w:hint="eastAsia" w:ascii="宋体" w:hAnsi="宋体" w:eastAsia="宋体" w:cs="宋体"/>
          <w:color w:val="auto"/>
        </w:rPr>
      </w:pPr>
      <w:r>
        <w:rPr>
          <w:rFonts w:hint="eastAsia" w:ascii="宋体" w:hAnsi="宋体" w:eastAsia="宋体" w:cs="宋体"/>
          <w:color w:val="auto"/>
        </w:rPr>
        <w:t>井下作业时采用“密闭清洗，钢制箱体平台，高分子轻体钻等清洁生产工艺”，并采用“铺设作业、带罐上岗”的模式，实现“井液不出井筒，落地原油全部回收”。</w:t>
      </w:r>
    </w:p>
    <w:p w14:paraId="4D909710">
      <w:pPr>
        <w:pStyle w:val="11"/>
        <w:bidi w:val="0"/>
        <w:rPr>
          <w:rFonts w:ascii="Times New Roman" w:hAnsi="Times New Roman" w:eastAsia="宋体"/>
          <w:color w:val="auto"/>
        </w:rPr>
      </w:pPr>
      <w:r>
        <w:rPr>
          <w:rFonts w:ascii="Times New Roman" w:hAnsi="Times New Roman" w:eastAsia="宋体"/>
          <w:color w:val="auto"/>
        </w:rPr>
        <w:t>③加强管理，对井口装置、集油管线等易发生泄漏的部位进行巡回检查，减少或杜绝油井跑、冒、滴、漏，以及原油泄漏事件的发生。</w:t>
      </w:r>
    </w:p>
    <w:p w14:paraId="2059A347">
      <w:pPr>
        <w:pStyle w:val="11"/>
        <w:bidi w:val="0"/>
        <w:rPr>
          <w:rFonts w:ascii="Times New Roman" w:hAnsi="Times New Roman" w:eastAsia="宋体"/>
          <w:color w:val="auto"/>
        </w:rPr>
      </w:pPr>
      <w:r>
        <w:rPr>
          <w:rFonts w:ascii="Times New Roman" w:hAnsi="Times New Roman" w:eastAsia="宋体"/>
          <w:color w:val="auto"/>
        </w:rPr>
        <w:t>在采取以上措施后，落地油产生量大大减少，污染控制措施可行。</w:t>
      </w:r>
    </w:p>
    <w:p w14:paraId="369B1BB1">
      <w:pPr>
        <w:pStyle w:val="1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含油污泥处置措施</w:t>
      </w:r>
    </w:p>
    <w:p w14:paraId="4A684A77">
      <w:pPr>
        <w:pStyle w:val="11"/>
        <w:bidi w:val="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运营期</w:t>
      </w:r>
      <w:r>
        <w:rPr>
          <w:rFonts w:hint="default" w:ascii="Times New Roman" w:hAnsi="Times New Roman" w:eastAsia="宋体" w:cs="Times New Roman"/>
          <w:color w:val="auto"/>
        </w:rPr>
        <w:t>含油污泥主要来自原油储罐清罐、采出水处理系统排泥。</w:t>
      </w:r>
    </w:p>
    <w:p w14:paraId="2C20BB80">
      <w:pPr>
        <w:pStyle w:val="11"/>
        <w:bidi w:val="0"/>
        <w:rPr>
          <w:rFonts w:hint="default" w:ascii="Times New Roman" w:hAnsi="Times New Roman" w:eastAsia="宋体" w:cs="Times New Roman"/>
          <w:color w:val="auto"/>
        </w:rPr>
      </w:pPr>
      <w:r>
        <w:rPr>
          <w:rFonts w:hint="default" w:ascii="Times New Roman" w:hAnsi="Times New Roman" w:eastAsia="宋体" w:cs="Times New Roman"/>
          <w:color w:val="auto"/>
        </w:rPr>
        <w:t>根据《国家危险废物名录（202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年版）</w:t>
      </w:r>
      <w:r>
        <w:rPr>
          <w:rFonts w:hint="eastAsia" w:cs="Times New Roman"/>
          <w:color w:val="auto"/>
          <w:lang w:eastAsia="zh-CN"/>
        </w:rPr>
        <w:t>》《</w:t>
      </w:r>
      <w:r>
        <w:rPr>
          <w:rFonts w:hint="default" w:ascii="Times New Roman" w:hAnsi="Times New Roman" w:eastAsia="宋体" w:cs="Times New Roman"/>
          <w:color w:val="auto"/>
        </w:rPr>
        <w:t>危险废物环境管理指南 陆上石油天然气开采》，含油污泥属于危险废物，危废类别为HW08废矿物油与含矿物油废物，危废代码为071-001-08。油泥清出装置后交有资质单位清运。</w:t>
      </w:r>
    </w:p>
    <w:p w14:paraId="6AFB6546">
      <w:pPr>
        <w:pStyle w:val="1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沾油废物处置措施</w:t>
      </w:r>
    </w:p>
    <w:p w14:paraId="08CDD718">
      <w:pPr>
        <w:pStyle w:val="11"/>
        <w:bidi w:val="0"/>
        <w:rPr>
          <w:rFonts w:ascii="Times New Roman" w:hAnsi="Times New Roman" w:eastAsia="宋体"/>
          <w:color w:val="auto"/>
        </w:rPr>
      </w:pPr>
      <w:r>
        <w:rPr>
          <w:rFonts w:hint="eastAsia"/>
          <w:color w:val="auto"/>
          <w:lang w:val="en-US" w:eastAsia="zh-CN" w:bidi="ar"/>
        </w:rPr>
        <w:t>运营期</w:t>
      </w:r>
      <w:r>
        <w:rPr>
          <w:rFonts w:hint="eastAsia"/>
          <w:color w:val="auto"/>
          <w:lang w:bidi="ar"/>
        </w:rPr>
        <w:t>主要为设备维护及修井作业产生的</w:t>
      </w:r>
      <w:r>
        <w:rPr>
          <w:rFonts w:hint="eastAsia"/>
          <w:color w:val="auto"/>
          <w:lang w:val="en-US" w:eastAsia="zh-CN" w:bidi="ar"/>
        </w:rPr>
        <w:t>沾油废物</w:t>
      </w:r>
      <w:r>
        <w:rPr>
          <w:rFonts w:hint="eastAsia"/>
          <w:color w:val="auto"/>
          <w:lang w:bidi="ar"/>
        </w:rPr>
        <w:t>，属于《国家危险废物名录（202</w:t>
      </w:r>
      <w:r>
        <w:rPr>
          <w:rFonts w:hint="eastAsia"/>
          <w:color w:val="auto"/>
          <w:lang w:val="en-US" w:eastAsia="zh-CN" w:bidi="ar"/>
        </w:rPr>
        <w:t>5</w:t>
      </w:r>
      <w:r>
        <w:rPr>
          <w:rFonts w:hint="eastAsia"/>
          <w:color w:val="auto"/>
          <w:lang w:bidi="ar"/>
        </w:rPr>
        <w:t>年版）》中HW08废矿物油与含矿物油废物，危废代码900-249-08</w:t>
      </w:r>
      <w:r>
        <w:rPr>
          <w:rFonts w:hint="eastAsia"/>
          <w:color w:val="auto"/>
          <w:lang w:eastAsia="zh-CN" w:bidi="ar"/>
        </w:rPr>
        <w:t>，</w:t>
      </w:r>
      <w:r>
        <w:rPr>
          <w:rFonts w:hint="eastAsia"/>
          <w:color w:val="auto"/>
          <w:lang w:bidi="ar"/>
        </w:rPr>
        <w:t>收集后送至现有危废</w:t>
      </w:r>
      <w:r>
        <w:rPr>
          <w:rFonts w:hint="eastAsia"/>
          <w:color w:val="auto"/>
          <w:lang w:val="en-US" w:eastAsia="zh-CN" w:bidi="ar"/>
        </w:rPr>
        <w:t>储</w:t>
      </w:r>
      <w:r>
        <w:rPr>
          <w:rFonts w:hint="eastAsia"/>
          <w:color w:val="auto"/>
          <w:lang w:bidi="ar"/>
        </w:rPr>
        <w:t>存点单独暂存，定期交有资质单位处置，防治措施可行。</w:t>
      </w:r>
    </w:p>
    <w:p w14:paraId="02DE5997">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4</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危险废物管理要求</w:t>
      </w:r>
    </w:p>
    <w:p w14:paraId="664A1F4F">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w:t>
      </w:r>
      <w:r>
        <w:rPr>
          <w:rFonts w:hint="eastAsia" w:cs="Times New Roman"/>
          <w:color w:val="auto"/>
          <w:sz w:val="24"/>
          <w:szCs w:val="24"/>
          <w:lang w:eastAsia="zh-CN"/>
        </w:rPr>
        <w:t>位在</w:t>
      </w:r>
      <w:r>
        <w:rPr>
          <w:rFonts w:hint="default" w:ascii="Times New Roman" w:hAnsi="Times New Roman" w:cs="Times New Roman"/>
          <w:color w:val="auto"/>
          <w:sz w:val="24"/>
          <w:szCs w:val="24"/>
        </w:rPr>
        <w:t>运营过程中应该对本项目的危险废物从收集、运输、利用、处置各环节进行</w:t>
      </w:r>
      <w:r>
        <w:rPr>
          <w:rFonts w:hint="eastAsia" w:cs="Times New Roman"/>
          <w:color w:val="auto"/>
          <w:sz w:val="24"/>
          <w:szCs w:val="24"/>
          <w:lang w:eastAsia="zh-CN"/>
        </w:rPr>
        <w:t>全过</w:t>
      </w:r>
      <w:r>
        <w:rPr>
          <w:rFonts w:hint="default" w:ascii="Times New Roman" w:hAnsi="Times New Roman" w:cs="Times New Roman"/>
          <w:color w:val="auto"/>
          <w:sz w:val="24"/>
          <w:szCs w:val="24"/>
        </w:rPr>
        <w:t>程的监督，各环节管理严格执行《中华人民共和国固体废物污染环境防治法》《危险废物贮存污染控制标准》（GB18597-2023）、《危险废物环境管理指南 陆上石油天然气开采》《危险废物管理计划和管理台账制定技术导则》（HJ 1259-2022）、</w:t>
      </w:r>
      <w:bookmarkStart w:id="293" w:name="_Hlk43050152"/>
      <w:r>
        <w:rPr>
          <w:rFonts w:hint="default" w:ascii="Times New Roman" w:hAnsi="Times New Roman" w:cs="Times New Roman"/>
          <w:color w:val="auto"/>
          <w:sz w:val="24"/>
          <w:szCs w:val="24"/>
        </w:rPr>
        <w:t>《陆上石油天然气开采含油污泥处理处置及污染控制技术规范》（SY/T7300-2016）</w:t>
      </w:r>
      <w:bookmarkEnd w:id="293"/>
      <w:r>
        <w:rPr>
          <w:rFonts w:hint="default" w:ascii="Times New Roman" w:hAnsi="Times New Roman" w:cs="Times New Roman"/>
          <w:color w:val="auto"/>
          <w:sz w:val="24"/>
          <w:szCs w:val="24"/>
        </w:rPr>
        <w:t>的相关要求。具体危险废物环境管理要求如下：</w:t>
      </w:r>
    </w:p>
    <w:p w14:paraId="50C955CE">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落实污染环境防治责任制度，建立健全工业危险废物产生、收集、贮存、运输、利用、处置全过程的污染环境防治责任制度。</w:t>
      </w:r>
    </w:p>
    <w:p w14:paraId="1C40711F">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落实危险废物识别标志制度，按照《环境保护图形标志固体废物贮存（处置）场》（GB15562.2）等有关规定，对危险废物的容器和包装物以及收集、贮存、运输、利用、处置危险废物的设施、场所设置危险废物识别标志。</w:t>
      </w:r>
    </w:p>
    <w:p w14:paraId="3F0CC1D3">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落实危险废物管理计划制度，按照《危险废物产生单位管理计划制定指南》等有关要求制定危险废物管理计划，并报所在地生态环境主管部门备案。</w:t>
      </w:r>
    </w:p>
    <w:p w14:paraId="3ABBF5C7">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落实危险废物管理台账及申报制度，建立危险废物管理台账，如实记录有关信息，并通过国家危险废物信息管理系统向所在地生态环境主管部门申报危险废物的种类、产生量、流向、贮存、处置等有关资料。</w:t>
      </w:r>
    </w:p>
    <w:p w14:paraId="3145C790">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落实危险废物经营许可证制度，禁止将危险废物提供或委托给无危险废物经营许可证的单位或者其他生产经营者从事收集、贮存、利用、处置活动。</w:t>
      </w:r>
    </w:p>
    <w:p w14:paraId="19365A01">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⑥</w:t>
      </w:r>
      <w:r>
        <w:rPr>
          <w:rFonts w:hint="default" w:ascii="Times New Roman" w:hAnsi="Times New Roman" w:cs="Times New Roman"/>
          <w:color w:val="auto"/>
          <w:sz w:val="24"/>
          <w:szCs w:val="24"/>
        </w:rPr>
        <w:t>落实危险废物转移联单制度，转移危险废物的，应当按照《危险废物转移管理办法》的有关规定填写、运行危险废物转移联单。</w:t>
      </w:r>
    </w:p>
    <w:p w14:paraId="6EFC0847">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⑦</w:t>
      </w:r>
      <w:r>
        <w:rPr>
          <w:rFonts w:hint="default" w:ascii="Times New Roman" w:hAnsi="Times New Roman" w:cs="Times New Roman"/>
          <w:color w:val="auto"/>
          <w:sz w:val="24"/>
          <w:szCs w:val="24"/>
        </w:rPr>
        <w:t>产生工业危险废物的单位应当落实排污许可制度；已经取得排污许可证的，执行排污许可管理制度的规定。</w:t>
      </w:r>
    </w:p>
    <w:p w14:paraId="25F9C252">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⑧</w:t>
      </w:r>
      <w:r>
        <w:rPr>
          <w:rFonts w:hint="default" w:ascii="Times New Roman" w:hAnsi="Times New Roman" w:cs="Times New Roman"/>
          <w:color w:val="auto"/>
          <w:sz w:val="24"/>
          <w:szCs w:val="24"/>
        </w:rPr>
        <w:t>落实环境保护标准制度，按照国家有关规定和环境保护标准要求贮存、利用、处置危险废物，不得将其擅自倾倒处置；禁止混合收集、贮存、运输、处置性质不相容或未经安全性处置的危险废物。</w:t>
      </w:r>
    </w:p>
    <w:p w14:paraId="418BDBBA">
      <w:pPr>
        <w:pStyle w:val="5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危险废物收集、贮存应当按照其特性分类进行；禁止将危险废物混入非危险废物中贮存。危险废物收集、贮存和运输过程的污染控制执行《危险废物贮存污染控制标准》（GB18597-2023</w:t>
      </w:r>
      <w:r>
        <w:rPr>
          <w:rFonts w:hint="eastAsia" w:cs="Times New Roman"/>
          <w:color w:val="auto"/>
          <w:sz w:val="24"/>
          <w:szCs w:val="24"/>
          <w:lang w:eastAsia="zh-CN"/>
        </w:rPr>
        <w:t>）和</w:t>
      </w:r>
      <w:r>
        <w:rPr>
          <w:rFonts w:hint="default" w:ascii="Times New Roman" w:hAnsi="Times New Roman" w:cs="Times New Roman"/>
          <w:color w:val="auto"/>
          <w:sz w:val="24"/>
          <w:szCs w:val="24"/>
        </w:rPr>
        <w:t>《危险废物收集贮存运输技术规范》（HJ2025-2012）等有关规定。</w:t>
      </w:r>
    </w:p>
    <w:p w14:paraId="7D95EE20">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⑨</w:t>
      </w:r>
      <w:r>
        <w:rPr>
          <w:rFonts w:hint="default" w:ascii="Times New Roman" w:hAnsi="Times New Roman" w:cs="Times New Roman"/>
          <w:color w:val="auto"/>
          <w:sz w:val="24"/>
          <w:szCs w:val="24"/>
        </w:rPr>
        <w:t>落实环境影响评价制度及环境保护三同时制度，需要配套建设的危险废物贮存、利用和处置设施应当与主体工程同时设计、同时施工、同时投入使用。</w:t>
      </w:r>
    </w:p>
    <w:p w14:paraId="74BFD5F9">
      <w:pPr>
        <w:pStyle w:val="50"/>
        <w:spacing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⑩</w:t>
      </w:r>
      <w:r>
        <w:rPr>
          <w:rFonts w:hint="default" w:ascii="Times New Roman" w:hAnsi="Times New Roman" w:cs="Times New Roman"/>
          <w:color w:val="auto"/>
          <w:sz w:val="24"/>
          <w:szCs w:val="24"/>
        </w:rPr>
        <w:t>落实环境应急预案制度，参考《危险废物经营单位编制应急预案指南</w:t>
      </w:r>
      <w:r>
        <w:rPr>
          <w:rFonts w:hint="eastAsia" w:cs="Times New Roman"/>
          <w:color w:val="auto"/>
          <w:sz w:val="24"/>
          <w:szCs w:val="24"/>
          <w:lang w:eastAsia="zh-CN"/>
        </w:rPr>
        <w:t>》等</w:t>
      </w:r>
      <w:r>
        <w:rPr>
          <w:rFonts w:hint="default" w:ascii="Times New Roman" w:hAnsi="Times New Roman" w:cs="Times New Roman"/>
          <w:color w:val="auto"/>
          <w:sz w:val="24"/>
          <w:szCs w:val="24"/>
        </w:rPr>
        <w:t>有关规定制定意外事故的防范措施和环境应急预案，并向所在地生态环境主管部门和其他负有固体废物污染环境防治监督管理职责的部门备案。</w:t>
      </w:r>
    </w:p>
    <w:p w14:paraId="200498BE">
      <w:pPr>
        <w:pStyle w:val="11"/>
        <w:bidi w:val="0"/>
        <w:rPr>
          <w:rFonts w:ascii="Times New Roman" w:hAnsi="Times New Roman" w:eastAsia="宋体"/>
          <w:color w:val="auto"/>
        </w:rPr>
      </w:pPr>
      <w:r>
        <w:rPr>
          <w:rFonts w:hint="eastAsia" w:ascii="微软雅黑" w:hAnsi="微软雅黑" w:eastAsia="微软雅黑" w:cs="微软雅黑"/>
          <w:color w:val="auto"/>
          <w:sz w:val="24"/>
          <w:szCs w:val="24"/>
        </w:rPr>
        <w:t>⑪</w:t>
      </w:r>
      <w:r>
        <w:rPr>
          <w:rFonts w:hint="default" w:ascii="Times New Roman" w:hAnsi="Times New Roman" w:cs="Times New Roman"/>
          <w:color w:val="auto"/>
          <w:sz w:val="24"/>
          <w:szCs w:val="24"/>
        </w:rPr>
        <w:t>建设单位应加强危险废物规范化环境管理，按照《危险废物规范化环境管理评估指标》有关要求，提升危险废物规范化环境管理水平。</w:t>
      </w:r>
    </w:p>
    <w:p w14:paraId="5F499227">
      <w:pPr>
        <w:pStyle w:val="5"/>
        <w:bidi w:val="0"/>
        <w:rPr>
          <w:rFonts w:hint="default"/>
          <w:color w:val="auto"/>
          <w:lang w:val="en-US" w:eastAsia="zh-CN"/>
        </w:rPr>
      </w:pPr>
      <w:r>
        <w:rPr>
          <w:rFonts w:hint="eastAsia"/>
          <w:color w:val="auto"/>
          <w:lang w:val="en-US" w:eastAsia="zh-CN"/>
        </w:rPr>
        <w:t>6.2.5运营期土壤污染防治措施</w:t>
      </w:r>
    </w:p>
    <w:p w14:paraId="3BFA2378">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结合本</w:t>
      </w:r>
      <w:r>
        <w:rPr>
          <w:rFonts w:hint="eastAsia" w:ascii="Times New Roman" w:hAnsi="Times New Roman" w:eastAsia="宋体" w:cs="Times New Roman"/>
          <w:color w:val="auto"/>
          <w:sz w:val="24"/>
          <w:lang w:val="en-US" w:eastAsia="zh-CN"/>
        </w:rPr>
        <w:t>工程</w:t>
      </w:r>
      <w:r>
        <w:rPr>
          <w:rFonts w:hint="default" w:ascii="Times New Roman" w:hAnsi="Times New Roman" w:eastAsia="宋体" w:cs="Times New Roman"/>
          <w:color w:val="auto"/>
          <w:sz w:val="24"/>
        </w:rPr>
        <w:t>特点与调查评价范围内的土壤环境质量现状，在分析土壤污染途径的基础上，根据环境影响预测与评价结</w:t>
      </w:r>
      <w:r>
        <w:rPr>
          <w:rFonts w:hint="eastAsia" w:ascii="宋体" w:hAnsi="宋体" w:eastAsia="宋体" w:cs="宋体"/>
          <w:color w:val="auto"/>
          <w:sz w:val="24"/>
        </w:rPr>
        <w:t>果，按照“源头控制、过程防控、跟踪监测、应急响应”相结合</w:t>
      </w:r>
      <w:r>
        <w:rPr>
          <w:rFonts w:hint="default" w:ascii="Times New Roman" w:hAnsi="Times New Roman" w:eastAsia="宋体" w:cs="Times New Roman"/>
          <w:color w:val="auto"/>
          <w:sz w:val="24"/>
        </w:rPr>
        <w:t>的原则，提出合理、可行、操作性强的土壤环境影响防控措施。</w:t>
      </w:r>
    </w:p>
    <w:p w14:paraId="633FCC24">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1、源头控制措施</w:t>
      </w:r>
    </w:p>
    <w:p w14:paraId="1C747FC9">
      <w:pPr>
        <w:pStyle w:val="11"/>
        <w:bidi w:val="0"/>
        <w:rPr>
          <w:rFonts w:hint="eastAsia" w:ascii="Times New Roman" w:hAnsi="Times New Roman" w:eastAsia="宋体"/>
          <w:color w:val="auto"/>
          <w:lang w:eastAsia="zh-CN"/>
        </w:rPr>
      </w:pPr>
      <w:r>
        <w:rPr>
          <w:rFonts w:hint="eastAsia" w:ascii="Times New Roman" w:hAnsi="Times New Roman" w:eastAsia="宋体"/>
          <w:color w:val="auto"/>
        </w:rPr>
        <w:t>①采出水及</w:t>
      </w:r>
      <w:r>
        <w:rPr>
          <w:rFonts w:hint="eastAsia" w:ascii="Times New Roman" w:hAnsi="Times New Roman" w:eastAsia="宋体"/>
          <w:color w:val="auto"/>
          <w:lang w:val="en-US" w:eastAsia="zh-CN"/>
        </w:rPr>
        <w:t>井下作业废水</w:t>
      </w:r>
      <w:r>
        <w:rPr>
          <w:rFonts w:hint="eastAsia" w:ascii="Times New Roman" w:hAnsi="Times New Roman" w:eastAsia="宋体"/>
          <w:color w:val="auto"/>
        </w:rPr>
        <w:t>全部收集进入</w:t>
      </w:r>
      <w:r>
        <w:rPr>
          <w:rFonts w:hint="eastAsia" w:ascii="Times New Roman" w:hAnsi="Times New Roman" w:eastAsia="宋体"/>
          <w:color w:val="auto"/>
          <w:lang w:val="en-US" w:eastAsia="zh-CN"/>
        </w:rPr>
        <w:t>采出</w:t>
      </w:r>
      <w:r>
        <w:rPr>
          <w:rFonts w:hint="eastAsia" w:ascii="Times New Roman" w:hAnsi="Times New Roman" w:eastAsia="宋体"/>
          <w:color w:val="auto"/>
        </w:rPr>
        <w:t>水处理系统，达标后回注地层，不外排</w:t>
      </w:r>
      <w:r>
        <w:rPr>
          <w:rFonts w:hint="eastAsia" w:ascii="Times New Roman" w:hAnsi="Times New Roman" w:eastAsia="宋体"/>
          <w:color w:val="auto"/>
          <w:lang w:eastAsia="zh-CN"/>
        </w:rPr>
        <w:t>。</w:t>
      </w:r>
    </w:p>
    <w:p w14:paraId="5F8B784A">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w:t>
      </w:r>
      <w:r>
        <w:rPr>
          <w:rFonts w:hint="eastAsia"/>
          <w:color w:val="auto"/>
        </w:rPr>
        <w:t>井下作业过程“敷设作业、带罐上岗”，及时回收落地原油和含油污泥</w:t>
      </w:r>
      <w:r>
        <w:rPr>
          <w:rFonts w:hint="eastAsia"/>
          <w:color w:val="auto"/>
          <w:lang w:eastAsia="zh-CN"/>
        </w:rPr>
        <w:t>。</w:t>
      </w:r>
    </w:p>
    <w:p w14:paraId="3D530858">
      <w:pPr>
        <w:pStyle w:val="11"/>
        <w:bidi w:val="0"/>
        <w:rPr>
          <w:rFonts w:ascii="Times New Roman" w:hAnsi="Times New Roman" w:eastAsia="宋体"/>
          <w:color w:val="auto"/>
        </w:rPr>
      </w:pPr>
      <w:r>
        <w:rPr>
          <w:rFonts w:hint="eastAsia"/>
          <w:color w:val="auto"/>
          <w:lang w:val="en-US" w:eastAsia="zh-CN"/>
        </w:rPr>
        <w:t>③</w:t>
      </w:r>
      <w:r>
        <w:rPr>
          <w:rFonts w:hint="eastAsia"/>
          <w:color w:val="auto"/>
        </w:rPr>
        <w:t>切实做好废气</w:t>
      </w:r>
      <w:r>
        <w:rPr>
          <w:rFonts w:hint="eastAsia"/>
          <w:color w:val="auto"/>
          <w:lang w:eastAsia="zh-CN"/>
        </w:rPr>
        <w:t>污染监测</w:t>
      </w:r>
      <w:r>
        <w:rPr>
          <w:rFonts w:hint="eastAsia"/>
          <w:color w:val="auto"/>
        </w:rPr>
        <w:t>、防治等工作，尽可能</w:t>
      </w:r>
      <w:r>
        <w:rPr>
          <w:rFonts w:hint="eastAsia"/>
          <w:color w:val="auto"/>
          <w:lang w:eastAsia="zh-CN"/>
        </w:rPr>
        <w:t>地</w:t>
      </w:r>
      <w:r>
        <w:rPr>
          <w:rFonts w:hint="eastAsia"/>
          <w:color w:val="auto"/>
        </w:rPr>
        <w:t>从源头消除土壤污染源，同时还应加强</w:t>
      </w:r>
      <w:r>
        <w:rPr>
          <w:rFonts w:hint="eastAsia"/>
          <w:color w:val="auto"/>
          <w:lang w:eastAsia="zh-CN"/>
        </w:rPr>
        <w:t>运营</w:t>
      </w:r>
      <w:r>
        <w:rPr>
          <w:rFonts w:hint="eastAsia"/>
          <w:color w:val="auto"/>
        </w:rPr>
        <w:t>期的监测和管理</w:t>
      </w:r>
    </w:p>
    <w:p w14:paraId="6E0A330C">
      <w:pPr>
        <w:pStyle w:val="1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2、过程防控措施</w:t>
      </w:r>
    </w:p>
    <w:p w14:paraId="18CF99C2">
      <w:pPr>
        <w:pStyle w:val="1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根据本</w:t>
      </w:r>
      <w:r>
        <w:rPr>
          <w:rFonts w:hint="eastAsia" w:ascii="Times New Roman" w:hAnsi="Times New Roman" w:eastAsia="宋体"/>
          <w:color w:val="auto"/>
          <w:lang w:val="en-US" w:eastAsia="zh-CN"/>
        </w:rPr>
        <w:t>工程</w:t>
      </w:r>
      <w:r>
        <w:rPr>
          <w:rFonts w:hint="default" w:ascii="Times New Roman" w:hAnsi="Times New Roman" w:eastAsia="宋体"/>
          <w:color w:val="auto"/>
          <w:lang w:val="en-US" w:eastAsia="zh-CN"/>
        </w:rPr>
        <w:t>特点，从垂直入渗途径，采取过程阻断、污染物削减和分区防控措施保护土壤环境。</w:t>
      </w:r>
    </w:p>
    <w:p w14:paraId="5AF7ED50">
      <w:pPr>
        <w:pStyle w:val="1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对项目采取的各类设备设施加强日常维护，发生故障时及时发现及时进行维修，以防止污染下风向土壤。同时土壤中的污染物可通过生物降解或植物吸收而被净化，企业也可以在厂区空地区域进行人工栽植适应评价区环境的灌木、草地等植被，以减少污染物通过大气沉降的途径对周边土壤环境的影响。</w:t>
      </w:r>
    </w:p>
    <w:p w14:paraId="158EA021">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3、跟踪监测</w:t>
      </w:r>
    </w:p>
    <w:p w14:paraId="70D6593B">
      <w:pPr>
        <w:pStyle w:val="33"/>
        <w:bidi w:val="0"/>
        <w:rPr>
          <w:rFonts w:ascii="Times New Roman" w:hAnsi="Times New Roman" w:eastAsia="宋体" w:cs="Times New Roman"/>
          <w:color w:val="auto"/>
        </w:rPr>
      </w:pPr>
      <w:r>
        <w:rPr>
          <w:rFonts w:ascii="Times New Roman" w:hAnsi="Times New Roman" w:eastAsia="宋体" w:cs="Times New Roman"/>
          <w:color w:val="auto"/>
        </w:rPr>
        <w:t>本次评价给出土壤跟踪监测计划，目的在于保护项目场地及周围土壤资源，对评价区内的土壤污染及时预警，并采取合理的补救措施。因此，为了及时准确</w:t>
      </w:r>
      <w:r>
        <w:rPr>
          <w:rFonts w:hint="eastAsia" w:cs="Times New Roman"/>
          <w:color w:val="auto"/>
          <w:lang w:eastAsia="zh-CN"/>
        </w:rPr>
        <w:t>地</w:t>
      </w:r>
      <w:r>
        <w:rPr>
          <w:rFonts w:ascii="Times New Roman" w:hAnsi="Times New Roman" w:eastAsia="宋体" w:cs="Times New Roman"/>
          <w:color w:val="auto"/>
        </w:rPr>
        <w:t>掌握土壤的变化情况，评价建议建立评价区的区域土壤监控体系。</w:t>
      </w:r>
    </w:p>
    <w:p w14:paraId="67E18716">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由于项目井场较多，全部列入监测计划</w:t>
      </w:r>
      <w:r>
        <w:rPr>
          <w:rFonts w:hint="eastAsia" w:ascii="Times New Roman" w:hAnsi="Times New Roman" w:eastAsia="宋体" w:cs="Times New Roman"/>
          <w:color w:val="auto"/>
        </w:rPr>
        <w:t>不太可行</w:t>
      </w:r>
      <w:r>
        <w:rPr>
          <w:rFonts w:hint="eastAsia" w:ascii="Times New Roman" w:hAnsi="Times New Roman" w:eastAsia="宋体" w:cs="Times New Roman"/>
          <w:color w:val="auto"/>
          <w:lang w:val="en-US" w:eastAsia="zh-CN"/>
        </w:rPr>
        <w:t>，本次评价分别选取不同区域的作为典型井场纳入监测计划。同时在后续采油过程</w:t>
      </w:r>
      <w:r>
        <w:rPr>
          <w:rFonts w:ascii="Times New Roman" w:hAnsi="Times New Roman" w:eastAsia="宋体" w:cs="Times New Roman"/>
          <w:color w:val="auto"/>
          <w:lang w:eastAsia="zh"/>
        </w:rPr>
        <w:t>发生漏油事故的井场附近</w:t>
      </w:r>
      <w:r>
        <w:rPr>
          <w:rFonts w:hint="eastAsia" w:ascii="Times New Roman" w:hAnsi="Times New Roman" w:eastAsia="宋体" w:cs="Times New Roman"/>
          <w:color w:val="auto"/>
          <w:lang w:val="en-US" w:eastAsia="zh-CN"/>
        </w:rPr>
        <w:t>增设土壤监测点。</w:t>
      </w:r>
    </w:p>
    <w:p w14:paraId="41EA6C41">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①监测点位</w:t>
      </w:r>
    </w:p>
    <w:p w14:paraId="683FA38F">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根据《环境影响评价技术导则 陆地石油天然气开发建设项目》（HJ349-2023）中12.3.6：“重点对运营期的站场废水池、固体废物贮存场与退役期的油井井口周边土壤环境开展跟踪监测”，</w:t>
      </w:r>
      <w:r>
        <w:rPr>
          <w:rFonts w:hint="eastAsia" w:ascii="Times New Roman" w:hAnsi="Times New Roman" w:eastAsia="宋体" w:cs="Times New Roman"/>
          <w:color w:val="auto"/>
        </w:rPr>
        <w:t>本工程</w:t>
      </w:r>
      <w:r>
        <w:rPr>
          <w:rFonts w:hint="eastAsia" w:ascii="Times New Roman" w:hAnsi="Times New Roman" w:eastAsia="宋体" w:cs="Times New Roman"/>
          <w:color w:val="auto"/>
          <w:lang w:val="en-US" w:eastAsia="zh-CN"/>
        </w:rPr>
        <w:t>不新建站场，原有废水池及固废贮存场应纳入现有监测计划内，本次无新增废水池和固废贮存场；退役期应对退役油井周边土壤环境开展跟踪监测，监测点位应根据具体退役井的位置进行布设，主要位于井口周边。</w:t>
      </w:r>
    </w:p>
    <w:p w14:paraId="5B75A189">
      <w:pPr>
        <w:pStyle w:val="33"/>
        <w:bidi w:val="0"/>
        <w:rPr>
          <w:rFonts w:hint="eastAsia"/>
          <w:color w:val="auto"/>
          <w:lang w:val="en-US" w:eastAsia="zh-CN"/>
        </w:rPr>
      </w:pPr>
      <w:r>
        <w:rPr>
          <w:rFonts w:hint="eastAsia"/>
          <w:color w:val="auto"/>
          <w:lang w:val="en-US" w:eastAsia="zh-CN"/>
        </w:rPr>
        <w:t>土壤环境质量跟踪监测布点信息见</w:t>
      </w:r>
      <w:r>
        <w:rPr>
          <w:rFonts w:hint="eastAsia"/>
          <w:color w:val="auto"/>
          <w:lang w:val="en-US" w:eastAsia="zh-CN"/>
        </w:rPr>
        <w:fldChar w:fldCharType="begin"/>
      </w:r>
      <w:r>
        <w:rPr>
          <w:rFonts w:hint="eastAsia"/>
          <w:color w:val="auto"/>
          <w:lang w:val="en-US" w:eastAsia="zh-CN"/>
        </w:rPr>
        <w:instrText xml:space="preserve"> REF _Ref119766533 \h </w:instrText>
      </w:r>
      <w:r>
        <w:rPr>
          <w:rFonts w:hint="eastAsia"/>
          <w:color w:val="auto"/>
          <w:lang w:val="en-US" w:eastAsia="zh-CN"/>
        </w:rPr>
        <w:fldChar w:fldCharType="separate"/>
      </w:r>
      <w:r>
        <w:rPr>
          <w:color w:val="auto"/>
        </w:rPr>
        <w:t>表</w:t>
      </w:r>
      <w:r>
        <w:rPr>
          <w:rFonts w:hint="eastAsia"/>
          <w:color w:val="auto"/>
          <w:lang w:val="en-US" w:eastAsia="zh-CN"/>
        </w:rPr>
        <w:t>6</w:t>
      </w:r>
      <w:r>
        <w:rPr>
          <w:rFonts w:hint="eastAsia"/>
          <w:color w:val="auto"/>
          <w:lang w:val="en-US" w:eastAsia="zh-CN"/>
        </w:rPr>
        <w:fldChar w:fldCharType="end"/>
      </w:r>
      <w:r>
        <w:rPr>
          <w:rFonts w:hint="eastAsia"/>
          <w:color w:val="auto"/>
          <w:lang w:val="en-US" w:eastAsia="zh-CN"/>
        </w:rPr>
        <w:t>.2-4。</w:t>
      </w:r>
    </w:p>
    <w:p w14:paraId="3B5B290D">
      <w:pPr>
        <w:pStyle w:val="43"/>
        <w:bidi w:val="0"/>
        <w:rPr>
          <w:color w:val="auto"/>
        </w:rPr>
      </w:pPr>
      <w:bookmarkStart w:id="294" w:name="_Ref119766533"/>
      <w:r>
        <w:rPr>
          <w:color w:val="auto"/>
        </w:rPr>
        <w:t>表</w:t>
      </w:r>
      <w:bookmarkEnd w:id="294"/>
      <w:r>
        <w:rPr>
          <w:rFonts w:hint="eastAsia"/>
          <w:color w:val="auto"/>
          <w:lang w:val="en-US" w:eastAsia="zh-CN"/>
        </w:rPr>
        <w:t>6.2-4</w:t>
      </w:r>
      <w:r>
        <w:rPr>
          <w:color w:val="auto"/>
        </w:rPr>
        <w:t xml:space="preserve">  土壤跟踪监测点位信息表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2650"/>
        <w:gridCol w:w="1546"/>
        <w:gridCol w:w="1529"/>
        <w:gridCol w:w="1495"/>
        <w:gridCol w:w="1195"/>
      </w:tblGrid>
      <w:tr w14:paraId="1FD9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9" w:hRule="atLeast"/>
        </w:trPr>
        <w:tc>
          <w:tcPr>
            <w:tcW w:w="1574" w:type="pct"/>
            <w:tcBorders>
              <w:top w:val="single" w:color="auto" w:sz="4" w:space="0"/>
              <w:left w:val="single" w:color="auto" w:sz="4" w:space="0"/>
              <w:bottom w:val="single" w:color="auto" w:sz="4" w:space="0"/>
              <w:right w:val="single" w:color="auto" w:sz="4" w:space="0"/>
            </w:tcBorders>
            <w:shd w:val="clear" w:color="auto" w:fill="auto"/>
            <w:vAlign w:val="center"/>
          </w:tcPr>
          <w:p w14:paraId="6EACF3A6">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b/>
                <w:bCs/>
                <w:color w:val="auto"/>
                <w:sz w:val="21"/>
                <w:szCs w:val="21"/>
              </w:rPr>
            </w:pPr>
            <w:r>
              <w:rPr>
                <w:b/>
                <w:bCs/>
                <w:color w:val="auto"/>
                <w:sz w:val="21"/>
                <w:szCs w:val="21"/>
              </w:rPr>
              <w:t>监测点位</w:t>
            </w:r>
          </w:p>
        </w:tc>
        <w:tc>
          <w:tcPr>
            <w:tcW w:w="918" w:type="pct"/>
            <w:tcBorders>
              <w:top w:val="single" w:color="auto" w:sz="4" w:space="0"/>
              <w:left w:val="nil"/>
              <w:bottom w:val="single" w:color="auto" w:sz="4" w:space="0"/>
              <w:right w:val="single" w:color="auto" w:sz="4" w:space="0"/>
            </w:tcBorders>
            <w:shd w:val="clear" w:color="auto" w:fill="auto"/>
            <w:vAlign w:val="center"/>
          </w:tcPr>
          <w:p w14:paraId="5F9A650E">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rFonts w:hint="default" w:eastAsia="宋体"/>
                <w:b/>
                <w:bCs/>
                <w:color w:val="auto"/>
                <w:sz w:val="21"/>
                <w:szCs w:val="21"/>
                <w:lang w:val="en-US" w:eastAsia="zh-CN"/>
              </w:rPr>
            </w:pPr>
            <w:r>
              <w:rPr>
                <w:rFonts w:hint="eastAsia"/>
                <w:b/>
                <w:bCs/>
                <w:color w:val="auto"/>
                <w:sz w:val="21"/>
                <w:szCs w:val="21"/>
                <w:lang w:val="en-US" w:eastAsia="zh-CN"/>
              </w:rPr>
              <w:t>井场性质</w:t>
            </w:r>
          </w:p>
        </w:tc>
        <w:tc>
          <w:tcPr>
            <w:tcW w:w="908" w:type="pct"/>
            <w:tcBorders>
              <w:top w:val="single" w:color="auto" w:sz="4" w:space="0"/>
              <w:left w:val="nil"/>
              <w:bottom w:val="single" w:color="auto" w:sz="4" w:space="0"/>
              <w:right w:val="single" w:color="auto" w:sz="4" w:space="0"/>
            </w:tcBorders>
            <w:shd w:val="clear" w:color="auto" w:fill="auto"/>
            <w:vAlign w:val="center"/>
          </w:tcPr>
          <w:p w14:paraId="1475DE08">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rFonts w:hint="default"/>
                <w:b/>
                <w:bCs/>
                <w:color w:val="auto"/>
                <w:sz w:val="21"/>
                <w:szCs w:val="21"/>
                <w:lang w:val="en-US" w:eastAsia="zh-CN"/>
              </w:rPr>
            </w:pPr>
            <w:r>
              <w:rPr>
                <w:rFonts w:hint="eastAsia"/>
                <w:b/>
                <w:bCs/>
                <w:color w:val="auto"/>
                <w:sz w:val="21"/>
                <w:szCs w:val="21"/>
                <w:lang w:val="en-US" w:eastAsia="zh-CN"/>
              </w:rPr>
              <w:t>土壤类型</w:t>
            </w:r>
          </w:p>
        </w:tc>
        <w:tc>
          <w:tcPr>
            <w:tcW w:w="888" w:type="pct"/>
            <w:tcBorders>
              <w:top w:val="single" w:color="auto" w:sz="4" w:space="0"/>
              <w:left w:val="nil"/>
              <w:bottom w:val="single" w:color="auto" w:sz="4" w:space="0"/>
              <w:right w:val="single" w:color="auto" w:sz="4" w:space="0"/>
            </w:tcBorders>
            <w:shd w:val="clear" w:color="auto" w:fill="auto"/>
            <w:vAlign w:val="center"/>
          </w:tcPr>
          <w:p w14:paraId="07815633">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b/>
                <w:bCs/>
                <w:color w:val="auto"/>
                <w:sz w:val="21"/>
                <w:szCs w:val="21"/>
              </w:rPr>
            </w:pPr>
            <w:r>
              <w:rPr>
                <w:b/>
                <w:bCs/>
                <w:color w:val="auto"/>
                <w:sz w:val="21"/>
                <w:szCs w:val="21"/>
              </w:rPr>
              <w:t>点位类型</w:t>
            </w:r>
          </w:p>
        </w:tc>
        <w:tc>
          <w:tcPr>
            <w:tcW w:w="710" w:type="pct"/>
            <w:tcBorders>
              <w:top w:val="single" w:color="auto" w:sz="4" w:space="0"/>
              <w:left w:val="nil"/>
              <w:bottom w:val="single" w:color="auto" w:sz="4" w:space="0"/>
              <w:right w:val="single" w:color="auto" w:sz="4" w:space="0"/>
            </w:tcBorders>
            <w:shd w:val="clear" w:color="auto" w:fill="auto"/>
            <w:vAlign w:val="center"/>
          </w:tcPr>
          <w:p w14:paraId="044059E4">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b/>
                <w:bCs/>
                <w:color w:val="auto"/>
                <w:sz w:val="21"/>
                <w:szCs w:val="21"/>
              </w:rPr>
            </w:pPr>
            <w:r>
              <w:rPr>
                <w:b/>
                <w:bCs/>
                <w:color w:val="auto"/>
                <w:sz w:val="21"/>
                <w:szCs w:val="21"/>
              </w:rPr>
              <w:t>监测频率</w:t>
            </w:r>
          </w:p>
        </w:tc>
      </w:tr>
      <w:tr w14:paraId="3C4E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574" w:type="pct"/>
            <w:tcBorders>
              <w:top w:val="single" w:color="auto" w:sz="4" w:space="0"/>
              <w:left w:val="single" w:color="auto" w:sz="4" w:space="0"/>
              <w:bottom w:val="single" w:color="auto" w:sz="4" w:space="0"/>
              <w:right w:val="single" w:color="auto" w:sz="4" w:space="0"/>
            </w:tcBorders>
            <w:shd w:val="clear" w:color="auto" w:fill="auto"/>
            <w:vAlign w:val="center"/>
          </w:tcPr>
          <w:p w14:paraId="2317C805">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百791井场油井井口附近</w:t>
            </w:r>
          </w:p>
        </w:tc>
        <w:tc>
          <w:tcPr>
            <w:tcW w:w="918" w:type="pct"/>
            <w:tcBorders>
              <w:top w:val="single" w:color="auto" w:sz="4" w:space="0"/>
              <w:left w:val="nil"/>
              <w:bottom w:val="single" w:color="auto" w:sz="4" w:space="0"/>
              <w:right w:val="single" w:color="auto" w:sz="4" w:space="0"/>
            </w:tcBorders>
            <w:shd w:val="clear" w:color="auto" w:fill="auto"/>
            <w:vAlign w:val="center"/>
          </w:tcPr>
          <w:p w14:paraId="59CF7E32">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rFonts w:hint="default"/>
                <w:color w:val="auto"/>
                <w:sz w:val="21"/>
                <w:szCs w:val="21"/>
                <w:lang w:val="en-US" w:eastAsia="zh-CN"/>
              </w:rPr>
            </w:pPr>
            <w:r>
              <w:rPr>
                <w:rFonts w:hint="eastAsia"/>
                <w:color w:val="auto"/>
                <w:sz w:val="21"/>
                <w:szCs w:val="21"/>
                <w:lang w:val="en-US" w:eastAsia="zh-CN"/>
              </w:rPr>
              <w:t>新建</w:t>
            </w:r>
          </w:p>
        </w:tc>
        <w:tc>
          <w:tcPr>
            <w:tcW w:w="908" w:type="pct"/>
            <w:tcBorders>
              <w:top w:val="single" w:color="auto" w:sz="4" w:space="0"/>
              <w:left w:val="nil"/>
              <w:bottom w:val="single" w:color="auto" w:sz="4" w:space="0"/>
              <w:right w:val="single" w:color="auto" w:sz="4" w:space="0"/>
            </w:tcBorders>
            <w:shd w:val="clear" w:color="auto" w:fill="auto"/>
            <w:vAlign w:val="center"/>
          </w:tcPr>
          <w:p w14:paraId="6C9BA525">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rFonts w:hint="default"/>
                <w:color w:val="auto"/>
                <w:sz w:val="21"/>
                <w:szCs w:val="21"/>
                <w:lang w:val="en-US" w:eastAsia="zh-CN"/>
              </w:rPr>
            </w:pPr>
            <w:r>
              <w:rPr>
                <w:rFonts w:hint="eastAsia"/>
                <w:color w:val="auto"/>
                <w:sz w:val="21"/>
                <w:szCs w:val="21"/>
                <w:lang w:val="en-US" w:eastAsia="zh-CN"/>
              </w:rPr>
              <w:t>石膏灰粽漠土</w:t>
            </w:r>
          </w:p>
        </w:tc>
        <w:tc>
          <w:tcPr>
            <w:tcW w:w="888" w:type="pct"/>
            <w:vMerge w:val="restart"/>
            <w:tcBorders>
              <w:top w:val="single" w:color="auto" w:sz="4" w:space="0"/>
              <w:left w:val="nil"/>
              <w:right w:val="single" w:color="auto" w:sz="4" w:space="0"/>
            </w:tcBorders>
            <w:shd w:val="clear" w:color="auto" w:fill="auto"/>
            <w:vAlign w:val="center"/>
          </w:tcPr>
          <w:p w14:paraId="6306FA0A">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color w:val="auto"/>
                <w:sz w:val="21"/>
                <w:szCs w:val="21"/>
              </w:rPr>
            </w:pPr>
            <w:r>
              <w:rPr>
                <w:color w:val="auto"/>
                <w:sz w:val="21"/>
                <w:szCs w:val="21"/>
              </w:rPr>
              <w:t>表层土壤（0～0.</w:t>
            </w:r>
            <w:r>
              <w:rPr>
                <w:rFonts w:hint="eastAsia"/>
                <w:color w:val="auto"/>
                <w:sz w:val="21"/>
                <w:szCs w:val="21"/>
                <w:lang w:val="en-US" w:eastAsia="zh-CN"/>
              </w:rPr>
              <w:t>2</w:t>
            </w:r>
            <w:r>
              <w:rPr>
                <w:color w:val="auto"/>
                <w:sz w:val="21"/>
                <w:szCs w:val="21"/>
              </w:rPr>
              <w:t>m）1个；深层土壤1个</w:t>
            </w:r>
          </w:p>
        </w:tc>
        <w:tc>
          <w:tcPr>
            <w:tcW w:w="710" w:type="pct"/>
            <w:vMerge w:val="restart"/>
            <w:tcBorders>
              <w:top w:val="single" w:color="auto" w:sz="4" w:space="0"/>
              <w:left w:val="nil"/>
              <w:right w:val="single" w:color="auto" w:sz="4" w:space="0"/>
            </w:tcBorders>
            <w:shd w:val="clear" w:color="auto" w:fill="auto"/>
            <w:vAlign w:val="center"/>
          </w:tcPr>
          <w:p w14:paraId="5D313C0E">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color w:val="auto"/>
                <w:sz w:val="21"/>
                <w:szCs w:val="21"/>
              </w:rPr>
            </w:pPr>
            <w:r>
              <w:rPr>
                <w:color w:val="auto"/>
                <w:sz w:val="21"/>
                <w:szCs w:val="21"/>
              </w:rPr>
              <w:t>表层土每年一次，深层土3年一次</w:t>
            </w:r>
          </w:p>
        </w:tc>
      </w:tr>
      <w:tr w14:paraId="6BDE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574" w:type="pct"/>
            <w:tcBorders>
              <w:top w:val="single" w:color="auto" w:sz="4" w:space="0"/>
              <w:left w:val="single" w:color="auto" w:sz="4" w:space="0"/>
              <w:bottom w:val="single" w:color="auto" w:sz="4" w:space="0"/>
              <w:right w:val="single" w:color="auto" w:sz="4" w:space="0"/>
            </w:tcBorders>
            <w:shd w:val="clear" w:color="auto" w:fill="auto"/>
            <w:vAlign w:val="center"/>
          </w:tcPr>
          <w:p w14:paraId="21AE3116">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rFonts w:hint="default"/>
                <w:color w:val="auto"/>
                <w:sz w:val="21"/>
                <w:szCs w:val="21"/>
                <w:lang w:val="en-US" w:eastAsia="zh-CN"/>
              </w:rPr>
            </w:pPr>
            <w:r>
              <w:rPr>
                <w:rFonts w:hint="eastAsia"/>
                <w:color w:val="auto"/>
                <w:sz w:val="21"/>
                <w:szCs w:val="21"/>
                <w:lang w:val="en-US" w:eastAsia="zh-CN"/>
              </w:rPr>
              <w:t>玛62井场油井井口附近</w:t>
            </w:r>
          </w:p>
        </w:tc>
        <w:tc>
          <w:tcPr>
            <w:tcW w:w="918" w:type="pct"/>
            <w:tcBorders>
              <w:top w:val="single" w:color="auto" w:sz="4" w:space="0"/>
              <w:left w:val="nil"/>
              <w:bottom w:val="single" w:color="auto" w:sz="4" w:space="0"/>
              <w:right w:val="single" w:color="auto" w:sz="4" w:space="0"/>
            </w:tcBorders>
            <w:shd w:val="clear" w:color="auto" w:fill="auto"/>
            <w:vAlign w:val="center"/>
          </w:tcPr>
          <w:p w14:paraId="13EB7314">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rFonts w:hint="default"/>
                <w:color w:val="auto"/>
                <w:sz w:val="21"/>
                <w:szCs w:val="21"/>
                <w:lang w:val="en-US" w:eastAsia="zh-CN"/>
              </w:rPr>
            </w:pPr>
            <w:r>
              <w:rPr>
                <w:rFonts w:hint="eastAsia"/>
                <w:color w:val="auto"/>
                <w:sz w:val="21"/>
                <w:szCs w:val="21"/>
                <w:lang w:val="en-US" w:eastAsia="zh-CN"/>
              </w:rPr>
              <w:t>新建</w:t>
            </w:r>
          </w:p>
        </w:tc>
        <w:tc>
          <w:tcPr>
            <w:tcW w:w="908" w:type="pct"/>
            <w:tcBorders>
              <w:top w:val="single" w:color="auto" w:sz="4" w:space="0"/>
              <w:left w:val="nil"/>
              <w:bottom w:val="single" w:color="auto" w:sz="4" w:space="0"/>
              <w:right w:val="single" w:color="auto" w:sz="4" w:space="0"/>
            </w:tcBorders>
            <w:shd w:val="clear" w:color="auto" w:fill="auto"/>
            <w:vAlign w:val="center"/>
          </w:tcPr>
          <w:p w14:paraId="6DA60932">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rFonts w:hint="eastAsia"/>
                <w:color w:val="auto"/>
                <w:sz w:val="21"/>
                <w:szCs w:val="21"/>
                <w:lang w:val="en-US" w:eastAsia="zh-CN"/>
              </w:rPr>
            </w:pPr>
            <w:r>
              <w:rPr>
                <w:rFonts w:hint="eastAsia"/>
                <w:color w:val="auto"/>
                <w:sz w:val="21"/>
                <w:szCs w:val="21"/>
                <w:lang w:val="en-US" w:eastAsia="zh-CN"/>
              </w:rPr>
              <w:t>灰粽漠土</w:t>
            </w:r>
          </w:p>
        </w:tc>
        <w:tc>
          <w:tcPr>
            <w:tcW w:w="888" w:type="pct"/>
            <w:vMerge w:val="continue"/>
            <w:tcBorders>
              <w:left w:val="nil"/>
              <w:right w:val="single" w:color="auto" w:sz="4" w:space="0"/>
            </w:tcBorders>
            <w:shd w:val="clear" w:color="auto" w:fill="auto"/>
            <w:vAlign w:val="center"/>
          </w:tcPr>
          <w:p w14:paraId="1093BD09">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color w:val="auto"/>
                <w:sz w:val="21"/>
                <w:szCs w:val="21"/>
              </w:rPr>
            </w:pPr>
          </w:p>
        </w:tc>
        <w:tc>
          <w:tcPr>
            <w:tcW w:w="710" w:type="pct"/>
            <w:vMerge w:val="continue"/>
            <w:tcBorders>
              <w:left w:val="nil"/>
              <w:right w:val="single" w:color="auto" w:sz="4" w:space="0"/>
            </w:tcBorders>
            <w:shd w:val="clear" w:color="auto" w:fill="auto"/>
            <w:vAlign w:val="center"/>
          </w:tcPr>
          <w:p w14:paraId="7A6874BC">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color w:val="auto"/>
                <w:sz w:val="21"/>
                <w:szCs w:val="21"/>
              </w:rPr>
            </w:pPr>
          </w:p>
        </w:tc>
      </w:tr>
      <w:tr w14:paraId="16D0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574" w:type="pct"/>
            <w:tcBorders>
              <w:top w:val="single" w:color="auto" w:sz="4" w:space="0"/>
              <w:left w:val="single" w:color="auto" w:sz="4" w:space="0"/>
              <w:bottom w:val="single" w:color="auto" w:sz="4" w:space="0"/>
              <w:right w:val="single" w:color="auto" w:sz="4" w:space="0"/>
            </w:tcBorders>
            <w:shd w:val="clear" w:color="auto" w:fill="auto"/>
            <w:vAlign w:val="center"/>
          </w:tcPr>
          <w:p w14:paraId="48CA3D2F">
            <w:pPr>
              <w:pStyle w:val="42"/>
              <w:keepNext w:val="0"/>
              <w:keepLines w:val="0"/>
              <w:pageBreakBefore w:val="0"/>
              <w:widowControl/>
              <w:kinsoku/>
              <w:wordWrap/>
              <w:overflowPunct/>
              <w:topLinePunct w:val="0"/>
              <w:autoSpaceDE w:val="0"/>
              <w:autoSpaceDN w:val="0"/>
              <w:bidi w:val="0"/>
              <w:adjustRightInd w:val="0"/>
              <w:snapToGri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bidi="ar-SA"/>
              </w:rPr>
            </w:pPr>
            <w:r>
              <w:rPr>
                <w:color w:val="auto"/>
                <w:sz w:val="21"/>
                <w:szCs w:val="21"/>
              </w:rPr>
              <w:t>发生漏油事故的井场附近</w:t>
            </w:r>
          </w:p>
        </w:tc>
        <w:tc>
          <w:tcPr>
            <w:tcW w:w="918" w:type="pct"/>
            <w:tcBorders>
              <w:top w:val="single" w:color="auto" w:sz="4" w:space="0"/>
              <w:left w:val="nil"/>
              <w:bottom w:val="single" w:color="auto" w:sz="4" w:space="0"/>
              <w:right w:val="single" w:color="auto" w:sz="4" w:space="0"/>
            </w:tcBorders>
            <w:shd w:val="clear" w:color="auto" w:fill="auto"/>
            <w:vAlign w:val="center"/>
          </w:tcPr>
          <w:p w14:paraId="7748CCD7">
            <w:pPr>
              <w:pStyle w:val="42"/>
              <w:keepNext w:val="0"/>
              <w:keepLines w:val="0"/>
              <w:pageBreakBefore w:val="0"/>
              <w:widowControl/>
              <w:kinsoku/>
              <w:wordWrap/>
              <w:overflowPunct/>
              <w:topLinePunct w:val="0"/>
              <w:autoSpaceDE w:val="0"/>
              <w:autoSpaceDN w:val="0"/>
              <w:bidi w:val="0"/>
              <w:adjustRightInd w:val="0"/>
              <w:snapToGri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c>
          <w:tcPr>
            <w:tcW w:w="908" w:type="pct"/>
            <w:tcBorders>
              <w:top w:val="single" w:color="auto" w:sz="4" w:space="0"/>
              <w:left w:val="nil"/>
              <w:bottom w:val="single" w:color="auto" w:sz="4" w:space="0"/>
              <w:right w:val="single" w:color="auto" w:sz="4" w:space="0"/>
            </w:tcBorders>
            <w:shd w:val="clear" w:color="auto" w:fill="auto"/>
            <w:vAlign w:val="center"/>
          </w:tcPr>
          <w:p w14:paraId="4D62D2C3">
            <w:pPr>
              <w:pStyle w:val="42"/>
              <w:keepNext w:val="0"/>
              <w:keepLines w:val="0"/>
              <w:pageBreakBefore w:val="0"/>
              <w:widowControl/>
              <w:kinsoku/>
              <w:wordWrap/>
              <w:overflowPunct/>
              <w:topLinePunct w:val="0"/>
              <w:autoSpaceDE w:val="0"/>
              <w:autoSpaceDN w:val="0"/>
              <w:bidi w:val="0"/>
              <w:adjustRightInd w:val="0"/>
              <w:snapToGri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c>
          <w:tcPr>
            <w:tcW w:w="888" w:type="pct"/>
            <w:vMerge w:val="continue"/>
            <w:tcBorders>
              <w:left w:val="nil"/>
              <w:right w:val="single" w:color="auto" w:sz="4" w:space="0"/>
            </w:tcBorders>
            <w:shd w:val="clear" w:color="auto" w:fill="auto"/>
            <w:vAlign w:val="center"/>
          </w:tcPr>
          <w:p w14:paraId="08400127">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color w:val="auto"/>
                <w:sz w:val="21"/>
                <w:szCs w:val="21"/>
              </w:rPr>
            </w:pPr>
          </w:p>
        </w:tc>
        <w:tc>
          <w:tcPr>
            <w:tcW w:w="710" w:type="pct"/>
            <w:vMerge w:val="continue"/>
            <w:tcBorders>
              <w:left w:val="nil"/>
              <w:right w:val="single" w:color="auto" w:sz="4" w:space="0"/>
            </w:tcBorders>
            <w:shd w:val="clear" w:color="auto" w:fill="auto"/>
            <w:vAlign w:val="center"/>
          </w:tcPr>
          <w:p w14:paraId="123E3161">
            <w:pPr>
              <w:pStyle w:val="42"/>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center"/>
              <w:rPr>
                <w:color w:val="auto"/>
                <w:sz w:val="21"/>
                <w:szCs w:val="21"/>
              </w:rPr>
            </w:pPr>
          </w:p>
        </w:tc>
      </w:tr>
    </w:tbl>
    <w:p w14:paraId="62209B10">
      <w:pPr>
        <w:pStyle w:val="33"/>
        <w:bidi w:val="0"/>
        <w:rPr>
          <w:rFonts w:hint="default"/>
          <w:color w:val="auto"/>
          <w:lang w:val="en-US" w:eastAsia="zh-CN"/>
        </w:rPr>
      </w:pPr>
      <w:r>
        <w:rPr>
          <w:rFonts w:hint="eastAsia"/>
          <w:color w:val="auto"/>
          <w:lang w:val="en-US" w:eastAsia="zh-CN"/>
        </w:rPr>
        <w:t>②监测因子及频率</w:t>
      </w:r>
    </w:p>
    <w:p w14:paraId="3D421FC7">
      <w:pPr>
        <w:pStyle w:val="33"/>
        <w:bidi w:val="0"/>
        <w:rPr>
          <w:rFonts w:hint="eastAsia"/>
          <w:color w:val="auto"/>
          <w:lang w:val="en-US" w:eastAsia="zh-CN"/>
        </w:rPr>
      </w:pPr>
      <w:r>
        <w:rPr>
          <w:rFonts w:hint="eastAsia"/>
          <w:color w:val="auto"/>
          <w:lang w:val="en-US" w:eastAsia="zh"/>
        </w:rPr>
        <w:t>初次监测：</w:t>
      </w:r>
      <w:r>
        <w:rPr>
          <w:rFonts w:hint="eastAsia"/>
          <w:color w:val="auto"/>
          <w:lang w:val="en-US" w:eastAsia="zh-CN"/>
        </w:rPr>
        <w:t>GB36600表1基本项目+石油类、石油烃</w:t>
      </w:r>
      <w:r>
        <w:rPr>
          <w:rFonts w:hint="eastAsia"/>
          <w:color w:val="auto"/>
          <w:lang w:val="en-US" w:eastAsia="zh"/>
        </w:rPr>
        <w:t>（</w:t>
      </w:r>
      <w:r>
        <w:rPr>
          <w:rFonts w:hint="eastAsia"/>
          <w:color w:val="auto"/>
          <w:lang w:val="en-US" w:eastAsia="zh-CN"/>
        </w:rPr>
        <w:t>C</w:t>
      </w:r>
      <w:r>
        <w:rPr>
          <w:rFonts w:hint="eastAsia"/>
          <w:color w:val="auto"/>
          <w:vertAlign w:val="subscript"/>
          <w:lang w:val="en-US" w:eastAsia="zh-CN"/>
        </w:rPr>
        <w:t>6</w:t>
      </w:r>
      <w:r>
        <w:rPr>
          <w:rFonts w:hint="eastAsia"/>
          <w:color w:val="auto"/>
          <w:lang w:val="en-US" w:eastAsia="zh-CN"/>
        </w:rPr>
        <w:t>~C</w:t>
      </w:r>
      <w:r>
        <w:rPr>
          <w:rFonts w:hint="eastAsia"/>
          <w:color w:val="auto"/>
          <w:vertAlign w:val="subscript"/>
          <w:lang w:val="en-US" w:eastAsia="zh-CN"/>
        </w:rPr>
        <w:t>9</w:t>
      </w:r>
      <w:r>
        <w:rPr>
          <w:rFonts w:hint="eastAsia"/>
          <w:color w:val="auto"/>
          <w:lang w:val="en-US" w:eastAsia="zh-CN"/>
        </w:rPr>
        <w:t>）、石油烃（C</w:t>
      </w:r>
      <w:r>
        <w:rPr>
          <w:rFonts w:hint="eastAsia"/>
          <w:color w:val="auto"/>
          <w:vertAlign w:val="subscript"/>
          <w:lang w:val="en-US" w:eastAsia="zh-CN"/>
        </w:rPr>
        <w:t>10</w:t>
      </w:r>
      <w:r>
        <w:rPr>
          <w:rFonts w:hint="eastAsia"/>
          <w:color w:val="auto"/>
          <w:lang w:val="en-US" w:eastAsia="zh-CN"/>
        </w:rPr>
        <w:t>~C</w:t>
      </w:r>
      <w:r>
        <w:rPr>
          <w:rFonts w:hint="eastAsia"/>
          <w:color w:val="auto"/>
          <w:vertAlign w:val="subscript"/>
          <w:lang w:val="en-US" w:eastAsia="zh-CN"/>
        </w:rPr>
        <w:t>40</w:t>
      </w:r>
      <w:r>
        <w:rPr>
          <w:rFonts w:hint="eastAsia"/>
          <w:color w:val="auto"/>
          <w:lang w:val="en-US" w:eastAsia="zh-CN"/>
        </w:rPr>
        <w:t>）；</w:t>
      </w:r>
    </w:p>
    <w:p w14:paraId="25875B24">
      <w:pPr>
        <w:pStyle w:val="33"/>
        <w:bidi w:val="0"/>
        <w:rPr>
          <w:rFonts w:hint="eastAsia"/>
          <w:color w:val="auto"/>
          <w:lang w:val="en-US" w:eastAsia="zh-CN"/>
        </w:rPr>
      </w:pPr>
      <w:r>
        <w:rPr>
          <w:rFonts w:hint="eastAsia"/>
          <w:color w:val="auto"/>
          <w:lang w:val="en-US" w:eastAsia="zh-CN"/>
        </w:rPr>
        <w:t>后续监测：在前期监测中曾超标的污染物+石油类、石油烃（C</w:t>
      </w:r>
      <w:r>
        <w:rPr>
          <w:rFonts w:hint="eastAsia"/>
          <w:color w:val="auto"/>
          <w:vertAlign w:val="subscript"/>
          <w:lang w:val="en-US" w:eastAsia="zh-CN"/>
        </w:rPr>
        <w:t>6</w:t>
      </w:r>
      <w:r>
        <w:rPr>
          <w:rFonts w:hint="eastAsia"/>
          <w:color w:val="auto"/>
          <w:lang w:val="en-US" w:eastAsia="zh-CN"/>
        </w:rPr>
        <w:t>~C</w:t>
      </w:r>
      <w:r>
        <w:rPr>
          <w:rFonts w:hint="eastAsia"/>
          <w:color w:val="auto"/>
          <w:vertAlign w:val="subscript"/>
          <w:lang w:val="en-US" w:eastAsia="zh-CN"/>
        </w:rPr>
        <w:t>9</w:t>
      </w:r>
      <w:r>
        <w:rPr>
          <w:rFonts w:hint="eastAsia"/>
          <w:color w:val="auto"/>
          <w:lang w:val="en-US" w:eastAsia="zh-CN"/>
        </w:rPr>
        <w:t>）、石油烃</w:t>
      </w:r>
      <w:r>
        <w:rPr>
          <w:rFonts w:hint="eastAsia"/>
          <w:color w:val="auto"/>
          <w:lang w:val="en-US" w:eastAsia="zh"/>
        </w:rPr>
        <w:t>（</w:t>
      </w:r>
      <w:r>
        <w:rPr>
          <w:rFonts w:hint="eastAsia"/>
          <w:color w:val="auto"/>
          <w:lang w:val="en-US" w:eastAsia="zh-CN"/>
        </w:rPr>
        <w:t>C</w:t>
      </w:r>
      <w:r>
        <w:rPr>
          <w:rFonts w:hint="eastAsia"/>
          <w:color w:val="auto"/>
          <w:vertAlign w:val="subscript"/>
          <w:lang w:val="en-US" w:eastAsia="zh-CN"/>
        </w:rPr>
        <w:t>10</w:t>
      </w:r>
      <w:r>
        <w:rPr>
          <w:rFonts w:hint="eastAsia"/>
          <w:color w:val="auto"/>
          <w:lang w:val="en-US" w:eastAsia="zh-CN"/>
        </w:rPr>
        <w:t>~C</w:t>
      </w:r>
      <w:r>
        <w:rPr>
          <w:rFonts w:hint="eastAsia"/>
          <w:color w:val="auto"/>
          <w:vertAlign w:val="subscript"/>
          <w:lang w:val="en-US" w:eastAsia="zh-CN"/>
        </w:rPr>
        <w:t>40</w:t>
      </w:r>
      <w:r>
        <w:rPr>
          <w:rFonts w:hint="eastAsia"/>
          <w:color w:val="auto"/>
          <w:lang w:val="en-US" w:eastAsia="zh-CN"/>
        </w:rPr>
        <w:t>）、砷、六价铬。</w:t>
      </w:r>
    </w:p>
    <w:p w14:paraId="2727107E">
      <w:pPr>
        <w:pStyle w:val="33"/>
        <w:bidi w:val="0"/>
        <w:rPr>
          <w:rFonts w:hint="eastAsia"/>
          <w:color w:val="auto"/>
          <w:lang w:val="en-US" w:eastAsia="zh-CN"/>
        </w:rPr>
      </w:pPr>
      <w:r>
        <w:rPr>
          <w:rFonts w:hint="eastAsia"/>
          <w:color w:val="auto"/>
          <w:lang w:val="en-US" w:eastAsia="zh-CN"/>
        </w:rPr>
        <w:t>监测频率</w:t>
      </w:r>
      <w:r>
        <w:rPr>
          <w:rFonts w:hint="eastAsia"/>
          <w:color w:val="auto"/>
          <w:lang w:val="en-US" w:eastAsia="zh"/>
        </w:rPr>
        <w:t>为</w:t>
      </w:r>
      <w:r>
        <w:rPr>
          <w:rFonts w:hint="eastAsia"/>
          <w:color w:val="auto"/>
          <w:lang w:val="en-US" w:eastAsia="zh-CN"/>
        </w:rPr>
        <w:t>表层土每年一次，深层土3年一次。</w:t>
      </w:r>
    </w:p>
    <w:p w14:paraId="73B2E017">
      <w:pPr>
        <w:pStyle w:val="33"/>
        <w:bidi w:val="0"/>
        <w:rPr>
          <w:rFonts w:hint="eastAsia"/>
          <w:color w:val="auto"/>
          <w:lang w:val="en-US" w:eastAsia="zh-CN"/>
        </w:rPr>
      </w:pPr>
      <w:r>
        <w:rPr>
          <w:rFonts w:hint="eastAsia"/>
          <w:color w:val="auto"/>
          <w:lang w:val="en-US" w:eastAsia="zh-CN"/>
        </w:rPr>
        <w:t>③控制标准</w:t>
      </w:r>
    </w:p>
    <w:p w14:paraId="6C4DBE41">
      <w:pPr>
        <w:pStyle w:val="33"/>
        <w:bidi w:val="0"/>
        <w:rPr>
          <w:rFonts w:hint="default"/>
          <w:color w:val="auto"/>
          <w:lang w:val="en-US" w:eastAsia="zh-CN"/>
        </w:rPr>
      </w:pPr>
      <w:r>
        <w:rPr>
          <w:rFonts w:hint="default"/>
          <w:color w:val="auto"/>
          <w:lang w:val="en-US" w:eastAsia="zh-CN"/>
        </w:rPr>
        <w:t>建设用地执行《土壤环境质量</w:t>
      </w:r>
      <w:r>
        <w:rPr>
          <w:rFonts w:hint="eastAsia"/>
          <w:color w:val="auto"/>
          <w:lang w:val="en-US" w:eastAsia="zh-CN"/>
        </w:rPr>
        <w:t xml:space="preserve"> </w:t>
      </w:r>
      <w:r>
        <w:rPr>
          <w:rFonts w:hint="default"/>
          <w:color w:val="auto"/>
          <w:lang w:val="en-US" w:eastAsia="zh-CN"/>
        </w:rPr>
        <w:t>建设用地土壤污染风险管控标准（试行）》</w:t>
      </w:r>
      <w:r>
        <w:rPr>
          <w:rFonts w:hint="eastAsia"/>
          <w:color w:val="auto"/>
          <w:lang w:val="en-US" w:eastAsia="zh-CN"/>
        </w:rPr>
        <w:t>（GB36600-2018）</w:t>
      </w:r>
      <w:r>
        <w:rPr>
          <w:rFonts w:hint="eastAsia" w:ascii="宋体" w:hAnsi="宋体" w:eastAsia="宋体" w:cs="宋体"/>
          <w:color w:val="auto"/>
          <w:lang w:val="en-US" w:eastAsia="zh-CN"/>
        </w:rPr>
        <w:t>“第二类用地”筛选标准，</w:t>
      </w:r>
      <w:r>
        <w:rPr>
          <w:rFonts w:hint="default"/>
          <w:color w:val="auto"/>
          <w:lang w:val="en-US" w:eastAsia="zh-CN"/>
        </w:rPr>
        <w:t>其他执行《土壤环境质量</w:t>
      </w:r>
      <w:r>
        <w:rPr>
          <w:rFonts w:hint="eastAsia"/>
          <w:color w:val="auto"/>
          <w:lang w:val="en-US" w:eastAsia="zh-CN"/>
        </w:rPr>
        <w:t xml:space="preserve"> </w:t>
      </w:r>
      <w:r>
        <w:rPr>
          <w:rFonts w:hint="default"/>
          <w:color w:val="auto"/>
          <w:lang w:val="en-US" w:eastAsia="zh-CN"/>
        </w:rPr>
        <w:t>农用地土壤污染风险管控标准（试行）》</w:t>
      </w:r>
      <w:r>
        <w:rPr>
          <w:rFonts w:hint="eastAsia"/>
          <w:color w:val="auto"/>
          <w:lang w:val="en-US" w:eastAsia="zh-CN"/>
        </w:rPr>
        <w:t>（GB15618-2018）</w:t>
      </w:r>
      <w:r>
        <w:rPr>
          <w:rFonts w:hint="eastAsia" w:ascii="宋体" w:hAnsi="宋体" w:eastAsia="宋体" w:cs="宋体"/>
          <w:color w:val="auto"/>
          <w:lang w:val="en-US" w:eastAsia="zh-CN"/>
        </w:rPr>
        <w:t>“其他”土</w:t>
      </w:r>
      <w:r>
        <w:rPr>
          <w:rFonts w:hint="default"/>
          <w:color w:val="auto"/>
          <w:lang w:val="en-US" w:eastAsia="zh-CN"/>
        </w:rPr>
        <w:t>壤污染风险筛选值</w:t>
      </w:r>
      <w:r>
        <w:rPr>
          <w:rFonts w:hint="eastAsia"/>
          <w:color w:val="auto"/>
          <w:lang w:val="en-US" w:eastAsia="zh-CN"/>
        </w:rPr>
        <w:t>。</w:t>
      </w:r>
    </w:p>
    <w:p w14:paraId="1FA06852">
      <w:pPr>
        <w:pStyle w:val="33"/>
        <w:bidi w:val="0"/>
        <w:rPr>
          <w:rFonts w:hint="default"/>
          <w:color w:val="auto"/>
          <w:lang w:val="en-US" w:eastAsia="zh-CN"/>
        </w:rPr>
      </w:pPr>
      <w:r>
        <w:rPr>
          <w:rFonts w:hint="eastAsia"/>
          <w:color w:val="auto"/>
          <w:lang w:val="en-US" w:eastAsia="zh-CN"/>
        </w:rPr>
        <w:t>④监测要求</w:t>
      </w:r>
    </w:p>
    <w:p w14:paraId="35365EE5">
      <w:pPr>
        <w:pStyle w:val="33"/>
        <w:bidi w:val="0"/>
        <w:rPr>
          <w:rFonts w:hint="eastAsia"/>
          <w:color w:val="auto"/>
          <w:lang w:val="en-US" w:eastAsia="zh-CN"/>
        </w:rPr>
      </w:pPr>
      <w:r>
        <w:rPr>
          <w:rFonts w:hint="eastAsia"/>
          <w:color w:val="auto"/>
          <w:lang w:val="en-US" w:eastAsia="zh-CN"/>
        </w:rPr>
        <w:t>监测结果应及时建立档案，并定期向厂安全环保部门汇报，对于常规监测数据应该进行公开，如发现异常或者发生事故，应加密监测频次，改为每天监测一次，并分析污染原因，及时采取应对措施。</w:t>
      </w:r>
    </w:p>
    <w:p w14:paraId="74879A18">
      <w:pPr>
        <w:pStyle w:val="5"/>
        <w:bidi w:val="0"/>
        <w:rPr>
          <w:rFonts w:hint="default"/>
          <w:color w:val="auto"/>
          <w:lang w:val="en-US" w:eastAsia="zh-CN"/>
        </w:rPr>
      </w:pPr>
      <w:r>
        <w:rPr>
          <w:rFonts w:hint="eastAsia"/>
          <w:color w:val="auto"/>
          <w:lang w:val="en-US" w:eastAsia="zh-CN"/>
        </w:rPr>
        <w:t>6.2.6运营期生态环境保护措施</w:t>
      </w:r>
    </w:p>
    <w:p w14:paraId="0E725A2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bookmarkStart w:id="295" w:name="_Toc14944"/>
      <w:r>
        <w:rPr>
          <w:rFonts w:hint="eastAsia" w:ascii="Times New Roman" w:hAnsi="Times New Roman" w:eastAsia="宋体" w:cs="Times New Roman"/>
          <w:color w:val="auto"/>
          <w:sz w:val="24"/>
          <w:szCs w:val="24"/>
          <w:lang w:val="en-US" w:eastAsia="zh-CN"/>
        </w:rPr>
        <w:t>（1）井场生态保护措施</w:t>
      </w:r>
      <w:bookmarkEnd w:id="295"/>
    </w:p>
    <w:p w14:paraId="267B895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①</w:t>
      </w:r>
      <w:r>
        <w:rPr>
          <w:rFonts w:hint="default"/>
          <w:color w:val="auto"/>
          <w:sz w:val="24"/>
          <w:szCs w:val="28"/>
          <w:lang w:val="en-US" w:eastAsia="zh-CN"/>
        </w:rPr>
        <w:t>及时回收井下作业过程中产生的落地油，将落地油的污染限制在井场范围内。对各种设备、管线、阀门定期进行检查，防止跑、冒、滴、漏，一旦发生事故应及时采取相应的补救措施，</w:t>
      </w:r>
      <w:r>
        <w:rPr>
          <w:rFonts w:hint="eastAsia"/>
          <w:color w:val="auto"/>
          <w:sz w:val="24"/>
          <w:szCs w:val="28"/>
          <w:lang w:val="en-US" w:eastAsia="zh-CN"/>
        </w:rPr>
        <w:t>尽量减少</w:t>
      </w:r>
      <w:r>
        <w:rPr>
          <w:rFonts w:hint="default"/>
          <w:color w:val="auto"/>
          <w:sz w:val="24"/>
          <w:szCs w:val="28"/>
          <w:lang w:val="en-US" w:eastAsia="zh-CN"/>
        </w:rPr>
        <w:t>影响和损失。</w:t>
      </w:r>
    </w:p>
    <w:p w14:paraId="6BDC1A3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②</w:t>
      </w:r>
      <w:r>
        <w:rPr>
          <w:rFonts w:hint="default"/>
          <w:color w:val="auto"/>
          <w:sz w:val="24"/>
          <w:szCs w:val="28"/>
          <w:lang w:val="en-US" w:eastAsia="zh-CN"/>
        </w:rPr>
        <w:t>事故条件下将对生态环境造成较大的影响，因此须对事故风险严加防范和控制。发生油气泄漏等突发性</w:t>
      </w:r>
      <w:r>
        <w:rPr>
          <w:rFonts w:hint="eastAsia"/>
          <w:color w:val="auto"/>
          <w:sz w:val="24"/>
          <w:szCs w:val="28"/>
          <w:lang w:val="en-US" w:eastAsia="zh-CN"/>
        </w:rPr>
        <w:t>事件</w:t>
      </w:r>
      <w:r>
        <w:rPr>
          <w:rFonts w:hint="default"/>
          <w:color w:val="auto"/>
          <w:sz w:val="24"/>
          <w:szCs w:val="28"/>
          <w:lang w:val="en-US" w:eastAsia="zh-CN"/>
        </w:rPr>
        <w:t>，应当采取紧急措施，防止污染面积扩大；落地污油等应当尽快予以清除，并对受污染的土壤进行处理。</w:t>
      </w:r>
    </w:p>
    <w:p w14:paraId="7560E59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296" w:name="_Toc22816"/>
      <w:r>
        <w:rPr>
          <w:rFonts w:hint="eastAsia" w:ascii="Times New Roman" w:hAnsi="Times New Roman" w:eastAsia="宋体" w:cs="Times New Roman"/>
          <w:color w:val="auto"/>
          <w:sz w:val="24"/>
          <w:szCs w:val="24"/>
          <w:lang w:val="en-US" w:eastAsia="zh-CN"/>
        </w:rPr>
        <w:t>（2）管线及线路工程生态保护措施</w:t>
      </w:r>
      <w:bookmarkEnd w:id="296"/>
    </w:p>
    <w:p w14:paraId="31BE17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在对管道的日常巡线检查过程中，应将管道上覆土壤中会对管道构成破坏的深根系植被进行及时清理，以确保管道的安全运行；管道维修二次开挖回填时，应尽量按原有</w:t>
      </w:r>
      <w:r>
        <w:rPr>
          <w:rFonts w:hint="default" w:ascii="Times New Roman" w:hAnsi="Times New Roman" w:eastAsia="宋体" w:cs="Times New Roman"/>
          <w:color w:val="auto"/>
          <w:sz w:val="24"/>
          <w:szCs w:val="24"/>
        </w:rPr>
        <w:t>土层进行回填，以使植被得到有效恢复、减轻对</w:t>
      </w:r>
      <w:r>
        <w:rPr>
          <w:rFonts w:hint="eastAsia" w:cs="Times New Roman"/>
          <w:color w:val="auto"/>
          <w:sz w:val="24"/>
          <w:szCs w:val="24"/>
          <w:lang w:val="en-US" w:eastAsia="zh-CN"/>
        </w:rPr>
        <w:t>植</w:t>
      </w:r>
      <w:r>
        <w:rPr>
          <w:rFonts w:hint="default" w:ascii="Times New Roman" w:hAnsi="Times New Roman" w:eastAsia="宋体" w:cs="Times New Roman"/>
          <w:color w:val="auto"/>
          <w:sz w:val="24"/>
          <w:szCs w:val="24"/>
        </w:rPr>
        <w:t>物生长的影响。</w:t>
      </w:r>
    </w:p>
    <w:p w14:paraId="7EB1AE5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②</w:t>
      </w:r>
      <w:r>
        <w:rPr>
          <w:rFonts w:hint="default" w:ascii="Times New Roman" w:hAnsi="Times New Roman" w:eastAsia="宋体" w:cs="Times New Roman"/>
          <w:color w:val="auto"/>
          <w:sz w:val="24"/>
          <w:szCs w:val="24"/>
        </w:rPr>
        <w:t>加强各种防护工程的维护、保养与管理，保证防护工程的防护功能；加强对管线沿线生态环境的监测与评估，及时对发现滑坡、坍塌、泥石流等隐患工点提前采取</w:t>
      </w:r>
      <w:r>
        <w:rPr>
          <w:rFonts w:hint="eastAsia" w:ascii="Times New Roman" w:hAnsi="Times New Roman" w:eastAsia="宋体" w:cs="Times New Roman"/>
          <w:color w:val="auto"/>
          <w:sz w:val="24"/>
          <w:szCs w:val="24"/>
          <w:lang w:val="en-US" w:eastAsia="zh-CN"/>
        </w:rPr>
        <w:t>防治措施。</w:t>
      </w:r>
    </w:p>
    <w:p w14:paraId="3174822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③</w:t>
      </w:r>
      <w:r>
        <w:rPr>
          <w:rFonts w:hint="default" w:ascii="Times New Roman" w:hAnsi="Times New Roman" w:eastAsia="宋体" w:cs="Times New Roman"/>
          <w:color w:val="auto"/>
          <w:sz w:val="24"/>
          <w:szCs w:val="24"/>
        </w:rPr>
        <w:t>加强宣传教育，提高</w:t>
      </w:r>
      <w:r>
        <w:rPr>
          <w:rFonts w:hint="eastAsia" w:ascii="Times New Roman" w:hAnsi="Times New Roman" w:eastAsia="宋体" w:cs="Times New Roman"/>
          <w:color w:val="auto"/>
          <w:sz w:val="24"/>
          <w:szCs w:val="24"/>
          <w:lang w:val="en-US" w:eastAsia="zh-CN"/>
        </w:rPr>
        <w:t>工作人员</w:t>
      </w:r>
      <w:r>
        <w:rPr>
          <w:rFonts w:hint="default" w:ascii="Times New Roman" w:hAnsi="Times New Roman" w:eastAsia="宋体" w:cs="Times New Roman"/>
          <w:color w:val="auto"/>
          <w:sz w:val="24"/>
          <w:szCs w:val="24"/>
        </w:rPr>
        <w:t>的环境保护意识，加强对绿化工程的管理与抚育；禁止在管线沿线附近取土，以避免造成管线破坏、导致污染事件。</w:t>
      </w:r>
    </w:p>
    <w:p w14:paraId="6C17076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④</w:t>
      </w:r>
      <w:r>
        <w:rPr>
          <w:rFonts w:hint="default"/>
          <w:color w:val="auto"/>
          <w:sz w:val="24"/>
          <w:szCs w:val="28"/>
          <w:lang w:val="en-US" w:eastAsia="zh-CN"/>
        </w:rPr>
        <w:t>加强巡线频次，防止因偷油造成的人为原油污染事故。</w:t>
      </w:r>
    </w:p>
    <w:p w14:paraId="5FDE262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297" w:name="_Toc26706"/>
      <w:r>
        <w:rPr>
          <w:rFonts w:hint="eastAsia" w:ascii="Times New Roman" w:hAnsi="Times New Roman" w:eastAsia="宋体" w:cs="Times New Roman"/>
          <w:color w:val="auto"/>
          <w:sz w:val="24"/>
          <w:szCs w:val="24"/>
          <w:lang w:val="en-US" w:eastAsia="zh-CN"/>
        </w:rPr>
        <w:t>（3）生态修复措施</w:t>
      </w:r>
      <w:bookmarkEnd w:id="297"/>
    </w:p>
    <w:p w14:paraId="3C9286D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①加强污染源及环境保护设施管理，保证达标排放。</w:t>
      </w:r>
    </w:p>
    <w:p w14:paraId="0CFEAA5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②加强管线巡检力度，对腐蚀、老化的管线及时更换；采取先进的自动报警系统，加强事故防范及应急处理措施，避免集输管道发生破裂泄漏事故，对周围环境带来的危害。</w:t>
      </w:r>
    </w:p>
    <w:p w14:paraId="67788548">
      <w:pPr>
        <w:pStyle w:val="2"/>
        <w:bidi w:val="0"/>
        <w:rPr>
          <w:rFonts w:hint="default"/>
          <w:color w:val="auto"/>
          <w:lang w:val="en-US" w:eastAsia="zh-CN"/>
        </w:rPr>
      </w:pPr>
      <w:bookmarkStart w:id="298" w:name="_Toc21168"/>
      <w:r>
        <w:rPr>
          <w:rFonts w:hint="eastAsia"/>
          <w:color w:val="auto"/>
          <w:lang w:val="en-US" w:eastAsia="zh-CN"/>
        </w:rPr>
        <w:t>6.3温室气体管控措施</w:t>
      </w:r>
      <w:bookmarkEnd w:id="298"/>
    </w:p>
    <w:p w14:paraId="1B832E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（1）根据项目用电性质、用电容量等选择合理的供电电压和供电方式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有效减少电能损耗。</w:t>
      </w:r>
    </w:p>
    <w:p w14:paraId="75F04D6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eastAsia" w:cs="Times New Roman"/>
          <w:color w:val="auto"/>
          <w:sz w:val="24"/>
          <w:szCs w:val="24"/>
          <w:lang w:eastAsia="zh-CN"/>
        </w:rPr>
        <w:t>）</w:t>
      </w:r>
      <w:r>
        <w:rPr>
          <w:rFonts w:hint="eastAsia" w:cs="Times New Roman"/>
          <w:color w:val="auto"/>
          <w:sz w:val="24"/>
          <w:szCs w:val="24"/>
          <w:lang w:val="en-US" w:eastAsia="zh-CN"/>
        </w:rPr>
        <w:t>推广清洁替代工作，</w:t>
      </w:r>
      <w:r>
        <w:rPr>
          <w:rFonts w:ascii="宋体" w:hAnsi="宋体" w:eastAsia="宋体" w:cs="宋体"/>
          <w:color w:val="auto"/>
          <w:sz w:val="24"/>
          <w:szCs w:val="24"/>
        </w:rPr>
        <w:t>用太阳能、风能、余热等清洁能源资源对油田用热、用电进行合理性替代。</w:t>
      </w:r>
    </w:p>
    <w:p w14:paraId="006E2B7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r>
        <w:rPr>
          <w:rFonts w:hint="eastAsia"/>
          <w:color w:val="auto"/>
          <w:sz w:val="24"/>
          <w:szCs w:val="28"/>
          <w:lang w:val="en-US" w:eastAsia="zh-CN"/>
        </w:rPr>
        <w:t>（3）开展源头控制措施，优先选择绿色节能产品，降低燃料的消耗。</w:t>
      </w:r>
    </w:p>
    <w:p w14:paraId="3D38BBA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lang w:val="en-US" w:eastAsia="zh-CN"/>
        </w:rPr>
        <w:t>（4）加强企业管理，减少甲烷逸散损耗，定期开展碳排放管理培训，提升管理水平。</w:t>
      </w:r>
    </w:p>
    <w:p w14:paraId="3032850D">
      <w:pPr>
        <w:pStyle w:val="2"/>
        <w:bidi w:val="0"/>
        <w:rPr>
          <w:rFonts w:hint="default"/>
          <w:color w:val="auto"/>
          <w:lang w:val="en-US" w:eastAsia="zh-CN"/>
        </w:rPr>
      </w:pPr>
      <w:bookmarkStart w:id="299" w:name="_Toc32441"/>
      <w:r>
        <w:rPr>
          <w:rFonts w:hint="eastAsia"/>
          <w:color w:val="auto"/>
          <w:lang w:val="en-US" w:eastAsia="zh-CN"/>
        </w:rPr>
        <w:t>6.4环境风险防范措施</w:t>
      </w:r>
      <w:bookmarkEnd w:id="299"/>
    </w:p>
    <w:p w14:paraId="2BC356E1">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color w:val="auto"/>
          <w:sz w:val="24"/>
          <w:szCs w:val="24"/>
        </w:rPr>
      </w:pPr>
      <w:r>
        <w:rPr>
          <w:color w:val="auto"/>
          <w:sz w:val="24"/>
          <w:szCs w:val="24"/>
        </w:rPr>
        <w:t>由于环境风险事故会对局部环境造成严重危害，因此必须采取必要的预防措施，避免事故发生或最大程度地降低事故造成的危害。对于人为因素引起的事故，可以通过提高作业人员技术素质、加强责任心教育以及采取技术手段和管理手段加以避免；而对于自然因素导致的事故，主要靠采取各种措施，配备必要设备来预防。</w:t>
      </w:r>
    </w:p>
    <w:p w14:paraId="6881B548">
      <w:pPr>
        <w:pStyle w:val="5"/>
        <w:bidi w:val="0"/>
        <w:rPr>
          <w:rFonts w:hint="default"/>
          <w:color w:val="auto"/>
          <w:lang w:val="en-US" w:eastAsia="zh-CN"/>
        </w:rPr>
      </w:pPr>
      <w:r>
        <w:rPr>
          <w:rFonts w:hint="eastAsia"/>
          <w:color w:val="auto"/>
          <w:lang w:val="en-US" w:eastAsia="zh-CN"/>
        </w:rPr>
        <w:t>6.4.1企业现有风险防范措施</w:t>
      </w:r>
    </w:p>
    <w:p w14:paraId="5C69FC1F">
      <w:pPr>
        <w:pStyle w:val="33"/>
        <w:bidi w:val="0"/>
        <w:rPr>
          <w:rFonts w:hint="eastAsia"/>
          <w:color w:val="auto"/>
          <w:lang w:val="en-US" w:eastAsia="zh-CN"/>
        </w:rPr>
      </w:pPr>
      <w:r>
        <w:rPr>
          <w:rFonts w:hint="eastAsia" w:ascii="Times New Roman" w:hAnsi="Times New Roman" w:eastAsia="宋体" w:cs="Times New Roman"/>
          <w:color w:val="auto"/>
          <w:lang w:val="en-US" w:eastAsia="zh-CN"/>
        </w:rPr>
        <w:t>根据调查现有</w:t>
      </w:r>
      <w:r>
        <w:rPr>
          <w:rFonts w:hint="eastAsia"/>
          <w:color w:val="auto"/>
          <w:lang w:val="en-US" w:eastAsia="zh-CN"/>
        </w:rPr>
        <w:t>工程采取的环境风险防范措施主要包括井场环境风险防范措施、场站环境风险防范措施、管线环境风险防范措施，并制定了环境风险应急预案。对于人为因素引起的事故，通过提高作业人员技术素质、加强责任心教育以及采取技术手段和管理手段加以避免；对于自然因素导致的事故，百口泉采油厂已配备各种风险防范措施进行预防。百口泉采油厂为了及时、有效、安全地处置各类突发环境事件，建立健全了企业应急机制，提高了企业预防和有效应对突发环境污染事件的能力，保障企业职工与社会公众生命健康和财产安全，保护环境。</w:t>
      </w:r>
    </w:p>
    <w:p w14:paraId="65C04AEB">
      <w:pPr>
        <w:pStyle w:val="33"/>
        <w:bidi w:val="0"/>
        <w:rPr>
          <w:rFonts w:hint="eastAsia"/>
          <w:color w:val="auto"/>
          <w:lang w:val="en-US" w:eastAsia="zh-CN"/>
        </w:rPr>
      </w:pPr>
      <w:r>
        <w:rPr>
          <w:rFonts w:hint="eastAsia"/>
          <w:color w:val="auto"/>
          <w:lang w:val="en-US" w:eastAsia="zh-CN"/>
        </w:rPr>
        <w:t>百口泉采油厂制定了突发事件应急预案，并按规定报生态环境主管部门备案。定期组织应急处置措施演练一次，以提高防范和处置突发性环境污染事故的技能，增强实战能力。</w:t>
      </w:r>
    </w:p>
    <w:p w14:paraId="24C5AFB2">
      <w:pPr>
        <w:pStyle w:val="6"/>
        <w:bidi w:val="0"/>
        <w:rPr>
          <w:rFonts w:hint="default"/>
          <w:color w:val="auto"/>
          <w:lang w:val="en-US" w:eastAsia="zh-CN"/>
        </w:rPr>
      </w:pPr>
      <w:r>
        <w:rPr>
          <w:rFonts w:hint="eastAsia"/>
          <w:color w:val="auto"/>
          <w:lang w:val="en-US" w:eastAsia="zh-CN"/>
        </w:rPr>
        <w:t>6.4.1.1依托工程环境风险防范措施</w:t>
      </w:r>
    </w:p>
    <w:p w14:paraId="6C10A717">
      <w:pPr>
        <w:pStyle w:val="33"/>
        <w:bidi w:val="0"/>
        <w:rPr>
          <w:rFonts w:hint="eastAsia" w:ascii="Times New Roman" w:hAnsi="Times New Roman" w:eastAsia="宋体" w:cs="Times New Roman"/>
          <w:color w:val="auto"/>
          <w:sz w:val="24"/>
          <w:szCs w:val="28"/>
          <w:lang w:val="en-US" w:eastAsia="zh-CN" w:bidi="ar-SA"/>
        </w:rPr>
      </w:pPr>
      <w:r>
        <w:rPr>
          <w:color w:val="auto"/>
        </w:rPr>
        <w:t>根据</w:t>
      </w:r>
      <w:r>
        <w:rPr>
          <w:rFonts w:hint="eastAsia"/>
          <w:color w:val="auto"/>
          <w:lang w:val="en-US" w:eastAsia="zh-CN"/>
        </w:rPr>
        <w:t>百口泉</w:t>
      </w:r>
      <w:r>
        <w:rPr>
          <w:color w:val="auto"/>
        </w:rPr>
        <w:t>采油厂应急预案，同时结合现场踏勘情况，本项目依托及区域内其他现有工程已采取的风险防范措施见</w:t>
      </w:r>
      <w:r>
        <w:rPr>
          <w:color w:val="auto"/>
        </w:rPr>
        <w:fldChar w:fldCharType="begin"/>
      </w:r>
      <w:r>
        <w:rPr>
          <w:color w:val="auto"/>
        </w:rPr>
        <w:instrText xml:space="preserve"> REF _Ref114157106 \h  \* MERGEFORMAT </w:instrText>
      </w:r>
      <w:r>
        <w:rPr>
          <w:color w:val="auto"/>
        </w:rPr>
        <w:fldChar w:fldCharType="separate"/>
      </w:r>
      <w:r>
        <w:rPr>
          <w:color w:val="auto"/>
        </w:rPr>
        <w:t>表</w:t>
      </w:r>
      <w:r>
        <w:rPr>
          <w:rFonts w:hint="eastAsia"/>
          <w:color w:val="auto"/>
          <w:lang w:val="en-US" w:eastAsia="zh-CN"/>
        </w:rPr>
        <w:t>6.4</w:t>
      </w:r>
      <w:r>
        <w:rPr>
          <w:color w:val="auto"/>
        </w:rPr>
        <w:noBreakHyphen/>
      </w:r>
      <w:r>
        <w:rPr>
          <w:color w:val="auto"/>
        </w:rPr>
        <w:t>1</w:t>
      </w:r>
      <w:r>
        <w:rPr>
          <w:color w:val="auto"/>
        </w:rPr>
        <w:fldChar w:fldCharType="end"/>
      </w:r>
      <w:r>
        <w:rPr>
          <w:color w:val="auto"/>
        </w:rPr>
        <w:t>。根据企业现有工程的</w:t>
      </w:r>
      <w:r>
        <w:rPr>
          <w:rFonts w:hint="eastAsia"/>
          <w:color w:val="auto"/>
          <w:lang w:eastAsia="zh-CN"/>
        </w:rPr>
        <w:t>运营</w:t>
      </w:r>
      <w:r>
        <w:rPr>
          <w:color w:val="auto"/>
        </w:rPr>
        <w:t>情况，</w:t>
      </w:r>
      <w:r>
        <w:rPr>
          <w:rFonts w:hint="eastAsia"/>
          <w:color w:val="auto"/>
          <w:lang w:val="en-US" w:eastAsia="zh-CN"/>
        </w:rPr>
        <w:t>百口泉</w:t>
      </w:r>
      <w:r>
        <w:rPr>
          <w:color w:val="auto"/>
        </w:rPr>
        <w:t>采油厂已采取的风险防范措施总体有效，本次工程依托现有部分风险防范措施可行。本工程建成</w:t>
      </w:r>
      <w:r>
        <w:rPr>
          <w:rFonts w:hint="eastAsia"/>
          <w:color w:val="auto"/>
          <w:lang w:eastAsia="zh-CN"/>
        </w:rPr>
        <w:t>运营</w:t>
      </w:r>
      <w:r>
        <w:rPr>
          <w:color w:val="auto"/>
        </w:rPr>
        <w:t>后应将现有工程纳入上述风险管控体系中进行管理</w:t>
      </w:r>
      <w:r>
        <w:rPr>
          <w:color w:val="auto"/>
          <w:lang w:eastAsia="zh"/>
        </w:rPr>
        <w:t>。</w:t>
      </w:r>
    </w:p>
    <w:p w14:paraId="6564DCEA">
      <w:pPr>
        <w:pStyle w:val="32"/>
        <w:bidi w:val="0"/>
        <w:rPr>
          <w:rFonts w:hint="default"/>
          <w:color w:val="auto"/>
          <w:lang w:val="en-US" w:eastAsia="zh-CN"/>
        </w:rPr>
      </w:pPr>
      <w:r>
        <w:rPr>
          <w:rFonts w:hint="eastAsia"/>
          <w:color w:val="auto"/>
          <w:lang w:val="en-US" w:eastAsia="zh-CN"/>
        </w:rPr>
        <w:t>表6.4-1  依托工程已采取的风险防范措施一览表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720"/>
        <w:gridCol w:w="7163"/>
      </w:tblGrid>
      <w:tr w14:paraId="4D3E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2D265D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720" w:type="dxa"/>
            <w:vAlign w:val="center"/>
          </w:tcPr>
          <w:p w14:paraId="7DB800C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7163" w:type="dxa"/>
            <w:vAlign w:val="center"/>
          </w:tcPr>
          <w:p w14:paraId="41F5B4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已采取措施</w:t>
            </w:r>
          </w:p>
        </w:tc>
      </w:tr>
      <w:tr w14:paraId="292E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187246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720" w:type="dxa"/>
            <w:vAlign w:val="center"/>
          </w:tcPr>
          <w:p w14:paraId="1B0514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井场</w:t>
            </w:r>
          </w:p>
        </w:tc>
        <w:tc>
          <w:tcPr>
            <w:tcW w:w="7163" w:type="dxa"/>
            <w:vAlign w:val="center"/>
          </w:tcPr>
          <w:p w14:paraId="1F611144">
            <w:pPr>
              <w:bidi w:val="0"/>
              <w:rPr>
                <w:color w:val="auto"/>
              </w:rPr>
            </w:pPr>
            <w:r>
              <w:rPr>
                <w:rFonts w:hint="eastAsia"/>
                <w:color w:val="auto"/>
              </w:rPr>
              <w:t>（1）新井投产前调整大小适宜的油嘴，防止生产压差过</w:t>
            </w:r>
            <w:r>
              <w:rPr>
                <w:rFonts w:hint="eastAsia"/>
                <w:color w:val="auto"/>
                <w:lang w:eastAsia="zh-CN"/>
              </w:rPr>
              <w:t>大导</w:t>
            </w:r>
            <w:r>
              <w:rPr>
                <w:rFonts w:hint="eastAsia"/>
                <w:color w:val="auto"/>
              </w:rPr>
              <w:t>致井口、管线连接处刺漏。</w:t>
            </w:r>
          </w:p>
          <w:p w14:paraId="1F611145">
            <w:pPr>
              <w:bidi w:val="0"/>
              <w:rPr>
                <w:color w:val="auto"/>
              </w:rPr>
            </w:pPr>
            <w:r>
              <w:rPr>
                <w:rFonts w:hint="eastAsia"/>
                <w:color w:val="auto"/>
              </w:rPr>
              <w:t>（2）按时巡检，确保井口设备设施完好、井口无跑冒渗漏现象，重点井（地下水源区域）加强巡检次数。</w:t>
            </w:r>
          </w:p>
          <w:p w14:paraId="1F611146">
            <w:pPr>
              <w:bidi w:val="0"/>
              <w:rPr>
                <w:color w:val="auto"/>
              </w:rPr>
            </w:pPr>
            <w:r>
              <w:rPr>
                <w:rFonts w:hint="eastAsia"/>
                <w:color w:val="auto"/>
              </w:rPr>
              <w:t>（3）定期保养井口设备设施。</w:t>
            </w:r>
          </w:p>
          <w:p w14:paraId="1F611147">
            <w:pPr>
              <w:bidi w:val="0"/>
              <w:rPr>
                <w:color w:val="auto"/>
              </w:rPr>
            </w:pPr>
            <w:r>
              <w:rPr>
                <w:rFonts w:hint="eastAsia"/>
                <w:color w:val="auto"/>
              </w:rPr>
              <w:t>（4）井场实施带罐作业，修井作业推行井下清洁作业工艺，减少含油污泥和含油防渗布等危险固废的产生。</w:t>
            </w:r>
          </w:p>
          <w:p w14:paraId="2EE28A27">
            <w:pPr>
              <w:bidi w:val="0"/>
              <w:rPr>
                <w:rFonts w:hint="eastAsia" w:ascii="Times New Roman" w:hAnsi="Times New Roman" w:eastAsia="宋体" w:cs="Times New Roman"/>
                <w:b w:val="0"/>
                <w:bCs w:val="0"/>
                <w:color w:val="auto"/>
                <w:szCs w:val="21"/>
                <w:vertAlign w:val="baseline"/>
                <w:lang w:val="en-US" w:eastAsia="zh-CN"/>
              </w:rPr>
            </w:pPr>
            <w:r>
              <w:rPr>
                <w:rFonts w:hint="eastAsia"/>
                <w:color w:val="auto"/>
              </w:rPr>
              <w:t>（5）安装井下放气阀，禁止套管气露天排放。</w:t>
            </w:r>
          </w:p>
        </w:tc>
      </w:tr>
      <w:tr w14:paraId="1327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34D910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720" w:type="dxa"/>
            <w:vAlign w:val="center"/>
          </w:tcPr>
          <w:p w14:paraId="6B6135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场站</w:t>
            </w:r>
          </w:p>
        </w:tc>
        <w:tc>
          <w:tcPr>
            <w:tcW w:w="7163" w:type="dxa"/>
            <w:vAlign w:val="center"/>
          </w:tcPr>
          <w:p w14:paraId="1F61114A">
            <w:pPr>
              <w:bidi w:val="0"/>
              <w:rPr>
                <w:color w:val="auto"/>
              </w:rPr>
            </w:pPr>
            <w:r>
              <w:rPr>
                <w:rFonts w:hint="eastAsia"/>
                <w:color w:val="auto"/>
              </w:rPr>
              <w:t>（1）承压设备设安全泄放装置、紧急停车及远程控制系统。</w:t>
            </w:r>
          </w:p>
          <w:p w14:paraId="1F61114B">
            <w:pPr>
              <w:bidi w:val="0"/>
              <w:rPr>
                <w:color w:val="auto"/>
              </w:rPr>
            </w:pPr>
            <w:r>
              <w:rPr>
                <w:rFonts w:hint="eastAsia"/>
                <w:color w:val="auto"/>
              </w:rPr>
              <w:t>（2）加热炉、气液分离器等设自动点火和熄火保护装置及超温、超压报警急停装置；泵房、管汇间等场所设可燃气体报警器，重点部位设火灾报警系统或监视视频。</w:t>
            </w:r>
          </w:p>
          <w:p w14:paraId="1F61114C">
            <w:pPr>
              <w:bidi w:val="0"/>
              <w:rPr>
                <w:color w:val="auto"/>
              </w:rPr>
            </w:pPr>
            <w:r>
              <w:rPr>
                <w:rFonts w:hint="eastAsia"/>
                <w:color w:val="auto"/>
              </w:rPr>
              <w:t>（3）罐区</w:t>
            </w:r>
            <w:r>
              <w:rPr>
                <w:rFonts w:hint="eastAsia"/>
                <w:color w:val="auto"/>
                <w:lang w:eastAsia="zh-CN"/>
              </w:rPr>
              <w:t>配备</w:t>
            </w:r>
            <w:r>
              <w:rPr>
                <w:rFonts w:hint="eastAsia"/>
                <w:color w:val="auto"/>
              </w:rPr>
              <w:t>温度、压力、液位等监测系统、可燃及有毒有害气体泄漏检测报警装置。</w:t>
            </w:r>
          </w:p>
          <w:p w14:paraId="1F61114D">
            <w:pPr>
              <w:bidi w:val="0"/>
              <w:rPr>
                <w:color w:val="auto"/>
              </w:rPr>
            </w:pPr>
            <w:r>
              <w:rPr>
                <w:rFonts w:hint="eastAsia"/>
                <w:color w:val="auto"/>
              </w:rPr>
              <w:t>（4）定期检验仪器仪表监控设施、消防系统、防雷防静电系统、可燃气体报警等设施。</w:t>
            </w:r>
          </w:p>
          <w:p w14:paraId="1F61114E">
            <w:pPr>
              <w:bidi w:val="0"/>
              <w:rPr>
                <w:color w:val="auto"/>
              </w:rPr>
            </w:pPr>
            <w:r>
              <w:rPr>
                <w:rFonts w:hint="eastAsia"/>
                <w:color w:val="auto"/>
              </w:rPr>
              <w:t>（5）严格遵守操作规程，合理控制工艺流程及参数。</w:t>
            </w:r>
          </w:p>
          <w:p w14:paraId="1F61114F">
            <w:pPr>
              <w:bidi w:val="0"/>
              <w:rPr>
                <w:color w:val="auto"/>
              </w:rPr>
            </w:pPr>
            <w:r>
              <w:rPr>
                <w:rFonts w:hint="eastAsia"/>
                <w:color w:val="auto"/>
              </w:rPr>
              <w:t>（6）定期开展场站完整性检测，做好储罐、工艺管道完整性检测。</w:t>
            </w:r>
          </w:p>
          <w:p w14:paraId="1F611150">
            <w:pPr>
              <w:bidi w:val="0"/>
              <w:rPr>
                <w:color w:val="auto"/>
              </w:rPr>
            </w:pPr>
            <w:r>
              <w:rPr>
                <w:rFonts w:hint="eastAsia"/>
                <w:color w:val="auto"/>
              </w:rPr>
              <w:t>（7）按时做好日常巡检，定期开展隐患排查。</w:t>
            </w:r>
          </w:p>
          <w:p w14:paraId="466C5F1D">
            <w:pPr>
              <w:bidi w:val="0"/>
              <w:rPr>
                <w:rFonts w:hint="eastAsia"/>
                <w:color w:val="auto"/>
              </w:rPr>
            </w:pPr>
            <w:r>
              <w:rPr>
                <w:rFonts w:hint="eastAsia"/>
                <w:color w:val="auto"/>
              </w:rPr>
              <w:t>（8）建立应急预案体系，定期演练及评估，及时修订管理制度及应急预案。</w:t>
            </w:r>
          </w:p>
        </w:tc>
      </w:tr>
      <w:tr w14:paraId="1852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5252501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c>
          <w:tcPr>
            <w:tcW w:w="720" w:type="dxa"/>
            <w:vAlign w:val="center"/>
          </w:tcPr>
          <w:p w14:paraId="063D0B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管线</w:t>
            </w:r>
          </w:p>
        </w:tc>
        <w:tc>
          <w:tcPr>
            <w:tcW w:w="7163" w:type="dxa"/>
            <w:vAlign w:val="center"/>
          </w:tcPr>
          <w:p w14:paraId="1F611153">
            <w:pPr>
              <w:bidi w:val="0"/>
              <w:rPr>
                <w:color w:val="auto"/>
              </w:rPr>
            </w:pPr>
            <w:r>
              <w:rPr>
                <w:rFonts w:hint="eastAsia"/>
                <w:color w:val="auto"/>
              </w:rPr>
              <w:t>（1）按时做好日常巡检，定期开展隐患排查。</w:t>
            </w:r>
          </w:p>
          <w:p w14:paraId="1F611154">
            <w:pPr>
              <w:bidi w:val="0"/>
              <w:rPr>
                <w:color w:val="auto"/>
              </w:rPr>
            </w:pPr>
            <w:r>
              <w:rPr>
                <w:rFonts w:hint="eastAsia"/>
                <w:color w:val="auto"/>
              </w:rPr>
              <w:t>（2）管线施工现场专人监督，管道穿越严格按照规范要求。</w:t>
            </w:r>
          </w:p>
          <w:p w14:paraId="1F611155">
            <w:pPr>
              <w:bidi w:val="0"/>
              <w:rPr>
                <w:color w:val="auto"/>
              </w:rPr>
            </w:pPr>
            <w:r>
              <w:rPr>
                <w:rFonts w:hint="eastAsia"/>
                <w:color w:val="auto"/>
              </w:rPr>
              <w:t>（3）管线合理设置截断阀，减少事故时泄漏量。</w:t>
            </w:r>
          </w:p>
          <w:p w14:paraId="1F611156">
            <w:pPr>
              <w:bidi w:val="0"/>
              <w:rPr>
                <w:color w:val="auto"/>
              </w:rPr>
            </w:pPr>
            <w:r>
              <w:rPr>
                <w:rFonts w:hint="eastAsia"/>
                <w:color w:val="auto"/>
              </w:rPr>
              <w:t>（4）合理控制管线运行压力、参数。</w:t>
            </w:r>
          </w:p>
          <w:p w14:paraId="1F611157">
            <w:pPr>
              <w:bidi w:val="0"/>
              <w:rPr>
                <w:color w:val="auto"/>
              </w:rPr>
            </w:pPr>
            <w:r>
              <w:rPr>
                <w:rFonts w:hint="eastAsia"/>
                <w:color w:val="auto"/>
              </w:rPr>
              <w:t>（5）管道沿线应设置里程桩、转角桩、标志桩、警示牌。凡与地下构筑物交叉处，穿越公路的两侧，通过活动断裂带等均设置标志桩。管道通过人群聚集场所、工业建设地段等需加强管道安全保护的地方设警示牌。</w:t>
            </w:r>
          </w:p>
          <w:p w14:paraId="6E8CC39F">
            <w:pPr>
              <w:bidi w:val="0"/>
              <w:rPr>
                <w:rFonts w:hint="eastAsia"/>
                <w:color w:val="auto"/>
              </w:rPr>
            </w:pPr>
            <w:r>
              <w:rPr>
                <w:rFonts w:hint="eastAsia"/>
                <w:color w:val="auto"/>
              </w:rPr>
              <w:t>（6）持续开展管道完整性评价，对管道破裂情况进行统计，针对完整性评价存在问题和管道破裂频繁的老旧管线予以更换。</w:t>
            </w:r>
          </w:p>
        </w:tc>
      </w:tr>
      <w:tr w14:paraId="2328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050F89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tc>
        <w:tc>
          <w:tcPr>
            <w:tcW w:w="720" w:type="dxa"/>
            <w:vAlign w:val="center"/>
          </w:tcPr>
          <w:p w14:paraId="274304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隐患治理</w:t>
            </w:r>
          </w:p>
        </w:tc>
        <w:tc>
          <w:tcPr>
            <w:tcW w:w="7163" w:type="dxa"/>
            <w:vAlign w:val="center"/>
          </w:tcPr>
          <w:p w14:paraId="4BDB9D88">
            <w:pPr>
              <w:bidi w:val="0"/>
              <w:jc w:val="center"/>
              <w:rPr>
                <w:rFonts w:hint="eastAsia"/>
                <w:color w:val="auto"/>
              </w:rPr>
            </w:pPr>
            <w:r>
              <w:rPr>
                <w:color w:val="auto"/>
              </w:rPr>
              <w:t>开展年度隐患治理工程</w:t>
            </w:r>
          </w:p>
        </w:tc>
      </w:tr>
    </w:tbl>
    <w:p w14:paraId="387D6460">
      <w:pPr>
        <w:pStyle w:val="6"/>
        <w:bidi w:val="0"/>
        <w:rPr>
          <w:rFonts w:hint="default"/>
          <w:color w:val="auto"/>
          <w:lang w:val="en-US" w:eastAsia="zh-CN"/>
        </w:rPr>
      </w:pPr>
      <w:r>
        <w:rPr>
          <w:rFonts w:hint="eastAsia"/>
          <w:color w:val="auto"/>
          <w:lang w:val="en-US" w:eastAsia="zh-CN"/>
        </w:rPr>
        <w:t>6.4.1.2井喷事件风险防范与应急处置措施</w:t>
      </w:r>
    </w:p>
    <w:p w14:paraId="55210B6F">
      <w:pPr>
        <w:pStyle w:val="33"/>
        <w:bidi w:val="0"/>
        <w:rPr>
          <w:color w:val="auto"/>
        </w:rPr>
      </w:pPr>
      <w:r>
        <w:rPr>
          <w:color w:val="auto"/>
        </w:rPr>
        <w:t>（1）对于含超标有毒有害气体的油（气）井井喷失控或着火，应当立即告知附近人员并会同当地政府迅速组织周边群众撤离至安全地带。</w:t>
      </w:r>
    </w:p>
    <w:p w14:paraId="519916B6">
      <w:pPr>
        <w:pStyle w:val="33"/>
        <w:bidi w:val="0"/>
        <w:rPr>
          <w:color w:val="auto"/>
        </w:rPr>
      </w:pPr>
      <w:r>
        <w:rPr>
          <w:color w:val="auto"/>
        </w:rPr>
        <w:t>（2）划定危险区域，设立警戒线，设置警示标志，封锁事故现场，实行交通管制。对事故现场和周边地区进行气体监测，严格烟火管制，实施有毒气体分析、掌握大气环境和气象预报信息，向上级和周边人员持续发出警报。</w:t>
      </w:r>
    </w:p>
    <w:p w14:paraId="31DDE29C">
      <w:pPr>
        <w:pStyle w:val="33"/>
        <w:bidi w:val="0"/>
        <w:rPr>
          <w:color w:val="auto"/>
        </w:rPr>
      </w:pPr>
      <w:r>
        <w:rPr>
          <w:color w:val="auto"/>
        </w:rPr>
        <w:t>（3）在邻近湿地、环境敏感区以及交通干线（铁路、高速公路、国道、省道）等地区，要在进行处置井喷事故的同时，评估井喷事故可能引发的环境污染次生事故的风险，制定并采取有效保护措施，防止事态扩大，避免或减小对环境造成污染和生态破坏。</w:t>
      </w:r>
    </w:p>
    <w:p w14:paraId="1BE72623">
      <w:pPr>
        <w:pStyle w:val="33"/>
        <w:bidi w:val="0"/>
        <w:rPr>
          <w:color w:val="auto"/>
        </w:rPr>
      </w:pPr>
      <w:r>
        <w:rPr>
          <w:color w:val="auto"/>
        </w:rPr>
        <w:t>（4）在事故处理结束后，应及时对作业现场及其周边环境污染进行监测和治理，在确保安全的情况下，通知当地政府相关部门，恢复正常生产生活秩序。</w:t>
      </w:r>
    </w:p>
    <w:p w14:paraId="35C8A8DC">
      <w:pPr>
        <w:pStyle w:val="6"/>
        <w:bidi w:val="0"/>
        <w:rPr>
          <w:rFonts w:hint="default"/>
          <w:color w:val="auto"/>
          <w:lang w:val="en-US" w:eastAsia="zh-CN"/>
        </w:rPr>
      </w:pPr>
      <w:r>
        <w:rPr>
          <w:rFonts w:hint="eastAsia"/>
          <w:color w:val="auto"/>
          <w:lang w:val="en-US" w:eastAsia="zh-CN"/>
        </w:rPr>
        <w:t>6.4.1.3储罐原油/轻烃泄漏事件风险防范与应急处置措施</w:t>
      </w:r>
    </w:p>
    <w:p w14:paraId="07166E89">
      <w:pPr>
        <w:pStyle w:val="33"/>
        <w:bidi w:val="0"/>
        <w:rPr>
          <w:color w:val="auto"/>
        </w:rPr>
      </w:pPr>
      <w:r>
        <w:rPr>
          <w:color w:val="auto"/>
        </w:rPr>
        <w:t xml:space="preserve">（1）发现储罐泄漏后，立即采取有效措施切断污染源； </w:t>
      </w:r>
    </w:p>
    <w:p w14:paraId="0E18CC2F">
      <w:pPr>
        <w:pStyle w:val="33"/>
        <w:bidi w:val="0"/>
        <w:rPr>
          <w:color w:val="auto"/>
        </w:rPr>
      </w:pPr>
      <w:r>
        <w:rPr>
          <w:color w:val="auto"/>
        </w:rPr>
        <w:t>（2）设置警示标识，禁止任何人员靠近，建立围堰防止污染区域扩大；</w:t>
      </w:r>
    </w:p>
    <w:p w14:paraId="52C12599">
      <w:pPr>
        <w:pStyle w:val="33"/>
        <w:bidi w:val="0"/>
        <w:rPr>
          <w:color w:val="auto"/>
        </w:rPr>
      </w:pPr>
      <w:r>
        <w:rPr>
          <w:color w:val="auto"/>
        </w:rPr>
        <w:t>（3）禁止无关人员靠近污染物回收作业，彻底清除事发点的污染物，危险废物交由有资质的第三方进行清理拉运；</w:t>
      </w:r>
    </w:p>
    <w:p w14:paraId="51EB1782">
      <w:pPr>
        <w:pStyle w:val="33"/>
        <w:bidi w:val="0"/>
        <w:rPr>
          <w:color w:val="auto"/>
        </w:rPr>
      </w:pPr>
      <w:r>
        <w:rPr>
          <w:color w:val="auto"/>
        </w:rPr>
        <w:t>（4）污染物全部清理干净后，恢复地貌。</w:t>
      </w:r>
    </w:p>
    <w:p w14:paraId="6CDBB620">
      <w:pPr>
        <w:pStyle w:val="6"/>
        <w:bidi w:val="0"/>
        <w:rPr>
          <w:rFonts w:hint="default"/>
          <w:color w:val="auto"/>
          <w:lang w:val="en-US" w:eastAsia="zh-CN"/>
        </w:rPr>
      </w:pPr>
      <w:r>
        <w:rPr>
          <w:rFonts w:hint="eastAsia"/>
          <w:color w:val="auto"/>
          <w:lang w:val="en-US" w:eastAsia="zh-CN"/>
        </w:rPr>
        <w:t>6.4.1.4原油管道发生泄漏事件风险防范与应急处置措施</w:t>
      </w:r>
    </w:p>
    <w:p w14:paraId="16BD1451">
      <w:pPr>
        <w:pStyle w:val="33"/>
        <w:bidi w:val="0"/>
        <w:rPr>
          <w:color w:val="auto"/>
        </w:rPr>
      </w:pPr>
      <w:r>
        <w:rPr>
          <w:color w:val="auto"/>
        </w:rPr>
        <w:t>（1）立即切断闸阀，控制溢油源，防止事态进一步扩大。</w:t>
      </w:r>
    </w:p>
    <w:p w14:paraId="1BB9A9B4">
      <w:pPr>
        <w:pStyle w:val="33"/>
        <w:bidi w:val="0"/>
        <w:rPr>
          <w:color w:val="auto"/>
        </w:rPr>
      </w:pPr>
      <w:r>
        <w:rPr>
          <w:color w:val="auto"/>
        </w:rPr>
        <w:t>（2）及时采取有效封堵、围堰等措施，防止事故扩大。</w:t>
      </w:r>
    </w:p>
    <w:p w14:paraId="4E6A9EED">
      <w:pPr>
        <w:pStyle w:val="33"/>
        <w:bidi w:val="0"/>
        <w:rPr>
          <w:color w:val="auto"/>
        </w:rPr>
      </w:pPr>
      <w:r>
        <w:rPr>
          <w:color w:val="auto"/>
        </w:rPr>
        <w:t>（3）如果泄漏原油和气体易燃易爆，应立即采取警戒措施，实施烟火管制；如泄漏气体有毒有害，应立即安排实施监测，划定危险区域，设立警戒线，设置警示标志，封锁事故现场，实行烟火和交通管制。对有毒气体分析、掌握大气环境和气象预报信息，向周边人员持续发出警报。</w:t>
      </w:r>
    </w:p>
    <w:p w14:paraId="71F765F1">
      <w:pPr>
        <w:pStyle w:val="33"/>
        <w:bidi w:val="0"/>
        <w:rPr>
          <w:color w:val="auto"/>
        </w:rPr>
      </w:pPr>
      <w:r>
        <w:rPr>
          <w:color w:val="auto"/>
        </w:rPr>
        <w:t>（4）布点监测，确定污染物种类、浓度、扩散范围等数据。</w:t>
      </w:r>
    </w:p>
    <w:p w14:paraId="085D9E08">
      <w:pPr>
        <w:pStyle w:val="33"/>
        <w:bidi w:val="0"/>
        <w:rPr>
          <w:color w:val="auto"/>
        </w:rPr>
      </w:pPr>
      <w:r>
        <w:rPr>
          <w:color w:val="auto"/>
        </w:rPr>
        <w:t>（5）立即开展可能受污染人群的疏散及中毒人员的救治工作。</w:t>
      </w:r>
    </w:p>
    <w:p w14:paraId="54459D2B">
      <w:pPr>
        <w:pStyle w:val="33"/>
        <w:bidi w:val="0"/>
        <w:rPr>
          <w:color w:val="auto"/>
        </w:rPr>
      </w:pPr>
      <w:r>
        <w:rPr>
          <w:color w:val="auto"/>
        </w:rPr>
        <w:t>（6）在事故处理结束后，应及时对作业现场及其周边环境污染进行监测和治理，在确保安全的情况下，通知当地政府相关部门，恢复正常生产生活秩序。</w:t>
      </w:r>
    </w:p>
    <w:p w14:paraId="52FC4ADA">
      <w:pPr>
        <w:pStyle w:val="6"/>
        <w:bidi w:val="0"/>
        <w:rPr>
          <w:rFonts w:hint="default"/>
          <w:color w:val="auto"/>
          <w:lang w:val="en-US" w:eastAsia="zh-CN"/>
        </w:rPr>
      </w:pPr>
      <w:r>
        <w:rPr>
          <w:rFonts w:hint="eastAsia"/>
          <w:color w:val="auto"/>
          <w:lang w:val="en-US" w:eastAsia="zh-CN"/>
        </w:rPr>
        <w:t>6.4.1.5天然气管道泄漏事件风险防范与应急处置措施</w:t>
      </w:r>
    </w:p>
    <w:p w14:paraId="23C3B2B3">
      <w:pPr>
        <w:pStyle w:val="33"/>
        <w:bidi w:val="0"/>
        <w:rPr>
          <w:color w:val="auto"/>
        </w:rPr>
      </w:pPr>
      <w:r>
        <w:rPr>
          <w:color w:val="auto"/>
        </w:rPr>
        <w:t>（1）发现工艺设备设施泄漏时，指示现场立即切断泄漏源的工艺流程。</w:t>
      </w:r>
    </w:p>
    <w:p w14:paraId="73A05E5B">
      <w:pPr>
        <w:pStyle w:val="33"/>
        <w:bidi w:val="0"/>
        <w:rPr>
          <w:color w:val="auto"/>
        </w:rPr>
      </w:pPr>
      <w:r>
        <w:rPr>
          <w:color w:val="auto"/>
        </w:rPr>
        <w:t>（2）划定危险区域，设立警戒线，设置警示标志，封锁事故现场，实行交通管制。</w:t>
      </w:r>
    </w:p>
    <w:p w14:paraId="76DFC481">
      <w:pPr>
        <w:pStyle w:val="33"/>
        <w:bidi w:val="0"/>
        <w:rPr>
          <w:color w:val="auto"/>
        </w:rPr>
      </w:pPr>
      <w:r>
        <w:rPr>
          <w:color w:val="auto"/>
        </w:rPr>
        <w:t>（3）迅速了解事发地地形地貌、气象条件、重要保护目标及其分布等情况；</w:t>
      </w:r>
    </w:p>
    <w:p w14:paraId="0AAC2C2B">
      <w:pPr>
        <w:pStyle w:val="33"/>
        <w:bidi w:val="0"/>
        <w:rPr>
          <w:color w:val="auto"/>
        </w:rPr>
      </w:pPr>
      <w:r>
        <w:rPr>
          <w:color w:val="auto"/>
        </w:rPr>
        <w:t>（4）迅速布点监测，确定污染物种类、浓度，以及现场空气动力学数据(气温、气压、风向、风力等)，采取有效措施保护敏感环境目标；对有毒气体分析、掌握大气环境和气象预报信息，必要时</w:t>
      </w:r>
      <w:r>
        <w:rPr>
          <w:rFonts w:hint="eastAsia"/>
          <w:color w:val="auto"/>
          <w:lang w:eastAsia="zh-CN"/>
        </w:rPr>
        <w:t>应</w:t>
      </w:r>
      <w:r>
        <w:rPr>
          <w:color w:val="auto"/>
        </w:rPr>
        <w:t>会同当地政府迅速组织周边群众撤离至安全地带。</w:t>
      </w:r>
    </w:p>
    <w:p w14:paraId="0CC9B8C4">
      <w:pPr>
        <w:pStyle w:val="33"/>
        <w:bidi w:val="0"/>
        <w:rPr>
          <w:color w:val="auto"/>
        </w:rPr>
      </w:pPr>
      <w:r>
        <w:rPr>
          <w:color w:val="auto"/>
        </w:rPr>
        <w:t>（5）做好可能受污染人群的疏散及中毒人员的救治工作；</w:t>
      </w:r>
    </w:p>
    <w:p w14:paraId="03A45E58">
      <w:pPr>
        <w:pStyle w:val="33"/>
        <w:bidi w:val="0"/>
        <w:rPr>
          <w:color w:val="auto"/>
        </w:rPr>
      </w:pPr>
      <w:r>
        <w:rPr>
          <w:color w:val="auto"/>
        </w:rPr>
        <w:t>（6）对污染状况进行跟踪监测，预测污染扩散强度、速度和影响范围，及时调整对策。</w:t>
      </w:r>
    </w:p>
    <w:p w14:paraId="2D3DA483">
      <w:pPr>
        <w:pStyle w:val="6"/>
        <w:bidi w:val="0"/>
        <w:rPr>
          <w:rFonts w:hint="default"/>
          <w:color w:val="auto"/>
          <w:lang w:val="en-US" w:eastAsia="zh-CN"/>
        </w:rPr>
      </w:pPr>
      <w:r>
        <w:rPr>
          <w:rFonts w:hint="eastAsia"/>
          <w:color w:val="auto"/>
          <w:lang w:val="en-US" w:eastAsia="zh-CN"/>
        </w:rPr>
        <w:t>6.4.1.6风险管理措施</w:t>
      </w:r>
    </w:p>
    <w:p w14:paraId="2F2CB524">
      <w:pPr>
        <w:pStyle w:val="33"/>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严格执行国家的安全卫生标准规范及相关的法律法规，在油田地面开发建设的同时，对安全、防火、防爆、劳动保护等方面综合考虑</w:t>
      </w:r>
      <w:r>
        <w:rPr>
          <w:rFonts w:hint="eastAsia" w:ascii="Times New Roman" w:hAnsi="Times New Roman" w:eastAsia="宋体" w:cs="Times New Roman"/>
          <w:color w:val="auto"/>
          <w:lang w:eastAsia="zh-CN"/>
        </w:rPr>
        <w:t>。</w:t>
      </w:r>
    </w:p>
    <w:p w14:paraId="7B6F1EB0">
      <w:pPr>
        <w:pStyle w:val="33"/>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制定安全生产方针、政策、计划和各种规范，完善安全管理制度和安全操作规程，建立健全环境管理体系和监测体系，完善各种规章制度标准</w:t>
      </w:r>
      <w:r>
        <w:rPr>
          <w:rFonts w:hint="eastAsia" w:ascii="Times New Roman" w:hAnsi="Times New Roman" w:eastAsia="宋体" w:cs="Times New Roman"/>
          <w:color w:val="auto"/>
          <w:lang w:eastAsia="zh-CN"/>
        </w:rPr>
        <w:t>。</w:t>
      </w:r>
    </w:p>
    <w:p w14:paraId="5F340629">
      <w:pPr>
        <w:pStyle w:val="33"/>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对施工单位及个人定期进行环保安全教育，增强职工的环保意识和安全意识</w:t>
      </w:r>
      <w:r>
        <w:rPr>
          <w:rFonts w:hint="eastAsia" w:ascii="Times New Roman" w:hAnsi="Times New Roman" w:eastAsia="宋体" w:cs="Times New Roman"/>
          <w:color w:val="auto"/>
          <w:lang w:eastAsia="zh-CN"/>
        </w:rPr>
        <w:t>。</w:t>
      </w:r>
    </w:p>
    <w:p w14:paraId="100BFFB4">
      <w:pPr>
        <w:pStyle w:val="33"/>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在施工过程、选材等环节严守质量关，加强技术工人的培训，提高操作水平</w:t>
      </w:r>
      <w:r>
        <w:rPr>
          <w:rFonts w:hint="eastAsia" w:ascii="Times New Roman" w:hAnsi="Times New Roman" w:eastAsia="宋体" w:cs="Times New Roman"/>
          <w:color w:val="auto"/>
          <w:lang w:eastAsia="zh-CN"/>
        </w:rPr>
        <w:t>。</w:t>
      </w:r>
    </w:p>
    <w:p w14:paraId="07C9B9D7">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在作业前根据现场情况进行隐患分析评估，制定切实可行的措施计划，在作业过程中严格监督检查，定期考核，从源头上解决安全隐患问题；</w:t>
      </w:r>
    </w:p>
    <w:p w14:paraId="0AC22956">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风险管理是一个动态的、循环的过程，应对不断变化的风险进行评价，并对相应安全维护措施做出调整。风险管理过程见</w:t>
      </w:r>
      <w:r>
        <w:rPr>
          <w:rFonts w:hint="eastAsia" w:ascii="Times New Roman" w:hAnsi="Times New Roman" w:eastAsia="宋体" w:cs="Times New Roman"/>
          <w:color w:val="auto"/>
          <w:lang w:eastAsia="zh-CN"/>
        </w:rPr>
        <w:fldChar w:fldCharType="begin"/>
      </w:r>
      <w:r>
        <w:rPr>
          <w:rFonts w:hint="eastAsia" w:ascii="Times New Roman" w:hAnsi="Times New Roman" w:eastAsia="宋体" w:cs="Times New Roman"/>
          <w:color w:val="auto"/>
          <w:lang w:eastAsia="zh-CN"/>
        </w:rPr>
        <w:instrText xml:space="preserve"> REF _Ref17591 \h </w:instrText>
      </w:r>
      <w:r>
        <w:rPr>
          <w:rFonts w:hint="eastAsia" w:ascii="Times New Roman" w:hAnsi="Times New Roman" w:eastAsia="宋体" w:cs="Times New Roman"/>
          <w:color w:val="auto"/>
          <w:lang w:eastAsia="zh-CN"/>
        </w:rPr>
        <w:fldChar w:fldCharType="separate"/>
      </w:r>
      <w:r>
        <w:rPr>
          <w:rFonts w:ascii="Times New Roman" w:hAnsi="Times New Roman" w:eastAsia="宋体" w:cs="Times New Roman"/>
          <w:color w:val="auto"/>
        </w:rPr>
        <w:t>图</w:t>
      </w:r>
      <w:r>
        <w:rPr>
          <w:rFonts w:hint="eastAsia" w:ascii="Times New Roman" w:hAnsi="Times New Roman" w:eastAsia="宋体" w:cs="Times New Roman"/>
          <w:color w:val="auto"/>
          <w:lang w:val="en-US" w:eastAsia="zh-CN"/>
        </w:rPr>
        <w:t>6.4</w:t>
      </w:r>
      <w:r>
        <w:rPr>
          <w:rFonts w:ascii="Times New Roman" w:hAnsi="Times New Roman" w:eastAsia="宋体" w:cs="Times New Roman"/>
          <w:color w:val="auto"/>
        </w:rPr>
        <w:noBreakHyphen/>
      </w:r>
      <w:r>
        <w:rPr>
          <w:rFonts w:ascii="Times New Roman" w:hAnsi="Times New Roman" w:eastAsia="宋体" w:cs="Times New Roman"/>
          <w:color w:val="auto"/>
        </w:rPr>
        <w:t>1</w:t>
      </w:r>
      <w:r>
        <w:rPr>
          <w:rFonts w:hint="eastAsia" w:ascii="Times New Roman" w:hAnsi="Times New Roman" w:eastAsia="宋体" w:cs="Times New Roman"/>
          <w:color w:val="auto"/>
          <w:lang w:eastAsia="zh-CN"/>
        </w:rPr>
        <w:fldChar w:fldCharType="end"/>
      </w:r>
      <w:r>
        <w:rPr>
          <w:rFonts w:hint="eastAsia" w:ascii="Times New Roman" w:hAnsi="Times New Roman" w:eastAsia="宋体" w:cs="Times New Roman"/>
          <w:color w:val="auto"/>
        </w:rPr>
        <w:t>。</w:t>
      </w:r>
    </w:p>
    <w:tbl>
      <w:tblPr>
        <w:tblStyle w:val="2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522"/>
      </w:tblGrid>
      <w:tr w14:paraId="488C69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tcPr>
          <w:p w14:paraId="7F434B98">
            <w:pPr>
              <w:keepNext w:val="0"/>
              <w:keepLines w:val="0"/>
              <w:pageBreakBefore w:val="0"/>
              <w:widowControl w:val="0"/>
              <w:tabs>
                <w:tab w:val="center" w:pos="4775"/>
              </w:tabs>
              <w:kinsoku/>
              <w:wordWrap/>
              <w:overflowPunct/>
              <w:topLinePunct/>
              <w:autoSpaceDE/>
              <w:autoSpaceDN/>
              <w:bidi w:val="0"/>
              <w:adjustRightInd/>
              <w:snapToGrid/>
              <w:spacing w:line="240" w:lineRule="auto"/>
              <w:jc w:val="center"/>
              <w:textAlignment w:val="auto"/>
              <w:rPr>
                <w:rFonts w:hint="eastAsia"/>
                <w:color w:val="auto"/>
                <w:lang w:val="en-US" w:eastAsia="zh-CN"/>
              </w:rPr>
            </w:pPr>
            <w:r>
              <w:rPr>
                <w:rFonts w:hint="eastAsia" w:ascii="宋体" w:hAnsi="宋体" w:eastAsia="宋体" w:cs="宋体"/>
                <w:color w:val="auto"/>
                <w:kern w:val="0"/>
                <w:szCs w:val="20"/>
              </w:rPr>
              <w:drawing>
                <wp:inline distT="0" distB="0" distL="0" distR="0">
                  <wp:extent cx="5296535" cy="2777490"/>
                  <wp:effectExtent l="0" t="0" r="0" b="3810"/>
                  <wp:docPr id="2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96535" cy="2777490"/>
                          </a:xfrm>
                          <a:prstGeom prst="rect">
                            <a:avLst/>
                          </a:prstGeom>
                          <a:noFill/>
                          <a:ln>
                            <a:noFill/>
                          </a:ln>
                        </pic:spPr>
                      </pic:pic>
                    </a:graphicData>
                  </a:graphic>
                </wp:inline>
              </w:drawing>
            </w:r>
          </w:p>
        </w:tc>
      </w:tr>
      <w:tr w14:paraId="534748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8522" w:type="dxa"/>
            <w:tcBorders>
              <w:tl2br w:val="nil"/>
              <w:tr2bl w:val="nil"/>
            </w:tcBorders>
          </w:tcPr>
          <w:p w14:paraId="27E3C53A">
            <w:pPr>
              <w:pStyle w:val="34"/>
              <w:bidi w:val="0"/>
              <w:rPr>
                <w:rFonts w:hint="eastAsia"/>
                <w:color w:val="auto"/>
                <w:lang w:val="en-US" w:eastAsia="zh-CN"/>
              </w:rPr>
            </w:pPr>
            <w:bookmarkStart w:id="300" w:name="_Ref17591"/>
            <w:r>
              <w:rPr>
                <w:b/>
                <w:bCs/>
                <w:color w:val="auto"/>
              </w:rPr>
              <w:t>图</w:t>
            </w:r>
            <w:r>
              <w:rPr>
                <w:rFonts w:hint="eastAsia"/>
                <w:b/>
                <w:bCs/>
                <w:color w:val="auto"/>
                <w:lang w:val="en-US" w:eastAsia="zh-CN"/>
              </w:rPr>
              <w:t>6.4</w:t>
            </w:r>
            <w:r>
              <w:rPr>
                <w:b/>
                <w:bCs/>
                <w:color w:val="auto"/>
              </w:rPr>
              <w:noBreakHyphen/>
            </w:r>
            <w:r>
              <w:rPr>
                <w:b/>
                <w:bCs/>
                <w:color w:val="auto"/>
              </w:rPr>
              <w:fldChar w:fldCharType="begin"/>
            </w:r>
            <w:r>
              <w:rPr>
                <w:b/>
                <w:bCs/>
                <w:color w:val="auto"/>
              </w:rPr>
              <w:instrText xml:space="preserve"> SEQ 图 \* ARABIC \s 2 </w:instrText>
            </w:r>
            <w:r>
              <w:rPr>
                <w:b/>
                <w:bCs/>
                <w:color w:val="auto"/>
              </w:rPr>
              <w:fldChar w:fldCharType="separate"/>
            </w:r>
            <w:r>
              <w:rPr>
                <w:b/>
                <w:bCs/>
                <w:color w:val="auto"/>
              </w:rPr>
              <w:t>1</w:t>
            </w:r>
            <w:r>
              <w:rPr>
                <w:b/>
                <w:bCs/>
                <w:color w:val="auto"/>
              </w:rPr>
              <w:fldChar w:fldCharType="end"/>
            </w:r>
            <w:bookmarkEnd w:id="300"/>
            <w:r>
              <w:rPr>
                <w:b/>
                <w:bCs/>
                <w:color w:val="auto"/>
              </w:rPr>
              <w:t xml:space="preserve">  风险管理过程示意图</w:t>
            </w:r>
          </w:p>
        </w:tc>
      </w:tr>
    </w:tbl>
    <w:p w14:paraId="2315A71C">
      <w:pPr>
        <w:pStyle w:val="5"/>
        <w:bidi w:val="0"/>
        <w:rPr>
          <w:rFonts w:hint="default"/>
          <w:color w:val="auto"/>
          <w:lang w:val="en-US" w:eastAsia="zh-CN"/>
        </w:rPr>
      </w:pPr>
      <w:r>
        <w:rPr>
          <w:rFonts w:hint="eastAsia"/>
          <w:color w:val="auto"/>
          <w:lang w:val="en-US" w:eastAsia="zh-CN"/>
        </w:rPr>
        <w:t>6.4.2环评补充及强调的风险防范措施</w:t>
      </w:r>
    </w:p>
    <w:p w14:paraId="0DBB2AFC">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现有工程针对可能出现的环境风险制定了相应的防范措施，对油田的安全生产和环境保护发挥了积极的作用。由于油田开发是一个系统工程，包括的站场、井场、管线类型比较多，本评价</w:t>
      </w:r>
      <w:bookmarkStart w:id="301" w:name="_Hlk71551861"/>
      <w:r>
        <w:rPr>
          <w:rFonts w:hint="eastAsia" w:ascii="Times New Roman" w:hAnsi="Times New Roman" w:eastAsia="宋体" w:cs="Times New Roman"/>
          <w:color w:val="auto"/>
          <w:lang w:val="en-US" w:eastAsia="zh-CN"/>
        </w:rPr>
        <w:t>在现有工程已采取风险防范措施的基础上，针对本项目实施的具体工程对风险防范措施提出了相应的补充和强调。</w:t>
      </w:r>
      <w:bookmarkEnd w:id="301"/>
    </w:p>
    <w:p w14:paraId="3E34014D">
      <w:pPr>
        <w:pStyle w:val="6"/>
        <w:bidi w:val="0"/>
        <w:rPr>
          <w:rFonts w:hint="default"/>
          <w:color w:val="auto"/>
          <w:lang w:val="en-US" w:eastAsia="zh-CN"/>
        </w:rPr>
      </w:pPr>
      <w:r>
        <w:rPr>
          <w:rFonts w:hint="eastAsia"/>
          <w:color w:val="auto"/>
          <w:lang w:val="en-US" w:eastAsia="zh-CN"/>
        </w:rPr>
        <w:t>6.4.2.1井喷的风险防范措施</w:t>
      </w:r>
    </w:p>
    <w:p w14:paraId="0E5EC05A">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（1）修井时，在井口上安装防喷器和控制装置，防止井喷事故发生。</w:t>
      </w:r>
    </w:p>
    <w:p w14:paraId="4E43A58F">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（2）如果在关井期间压力超过极限时，应该通过全密闭闸板防喷器下面的紧急压井管线和紧急阻流管线在采用最大许可阻流器压力下进行循环。</w:t>
      </w:r>
    </w:p>
    <w:p w14:paraId="6190F8E9">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（3）在油井周围预设土堤以防止井喷发生时原油任意流淌，并采取措施回收原油。</w:t>
      </w:r>
    </w:p>
    <w:p w14:paraId="2C147A44">
      <w:pPr>
        <w:pStyle w:val="6"/>
        <w:bidi w:val="0"/>
        <w:rPr>
          <w:rFonts w:hint="default"/>
          <w:color w:val="auto"/>
          <w:lang w:val="en-US" w:eastAsia="zh-CN"/>
        </w:rPr>
      </w:pPr>
      <w:r>
        <w:rPr>
          <w:rFonts w:hint="eastAsia"/>
          <w:color w:val="auto"/>
          <w:lang w:val="en-US" w:eastAsia="zh-CN"/>
        </w:rPr>
        <w:t>6.4.2.2井场的风险防范措施</w:t>
      </w:r>
    </w:p>
    <w:p w14:paraId="34BCC834">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在井架上、井场路口等处设置风向标，以便发生事故时人员能迅速向上风向疏散。</w:t>
      </w:r>
    </w:p>
    <w:p w14:paraId="2A0EA324">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（2）井场设置视频监控系统和可燃气体报警监测装置，对井场实时情况进行在线观测。</w:t>
      </w:r>
    </w:p>
    <w:p w14:paraId="7DADA4FB">
      <w:pPr>
        <w:pStyle w:val="6"/>
        <w:bidi w:val="0"/>
        <w:rPr>
          <w:rFonts w:hint="default"/>
          <w:color w:val="auto"/>
          <w:lang w:val="en-US" w:eastAsia="zh-CN"/>
        </w:rPr>
      </w:pPr>
      <w:r>
        <w:rPr>
          <w:rFonts w:hint="eastAsia"/>
          <w:color w:val="auto"/>
          <w:lang w:val="en-US" w:eastAsia="zh-CN"/>
        </w:rPr>
        <w:t>6.4.2.3管线泄漏的风险防范措施</w:t>
      </w:r>
    </w:p>
    <w:p w14:paraId="27E1B401">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1、施工期风险防范措施</w:t>
      </w:r>
    </w:p>
    <w:p w14:paraId="297E96E0">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（1）严格按照《输油管线工程设计规范》（GB50253-2014）的要求进行设计。</w:t>
      </w:r>
    </w:p>
    <w:p w14:paraId="518BC3D0">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（2）集油管线敷设前，加强对管材和焊接质量的检查，严禁使用不合格管材。穿跨越道路段管线应加厚管壁，提高管线强度，防止因质量缺陷造成泄漏事故的发生。</w:t>
      </w:r>
    </w:p>
    <w:p w14:paraId="7465F311">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（3）管线尽可能沿道路布设，以便于维护和事故处理。管线敷设深度应在冻土层以下。</w:t>
      </w:r>
    </w:p>
    <w:p w14:paraId="052D4E34">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（4）当管线经过坡地、</w:t>
      </w:r>
      <w:r>
        <w:rPr>
          <w:rFonts w:hint="eastAsia" w:cs="Times New Roman"/>
          <w:color w:val="auto"/>
          <w:lang w:val="en-US" w:eastAsia="zh-CN"/>
        </w:rPr>
        <w:t>陡坡</w:t>
      </w:r>
      <w:r>
        <w:rPr>
          <w:rFonts w:hint="eastAsia" w:ascii="Times New Roman" w:hAnsi="Times New Roman" w:eastAsia="宋体" w:cs="Times New Roman"/>
          <w:color w:val="auto"/>
          <w:lang w:val="en-US" w:eastAsia="zh-CN"/>
        </w:rPr>
        <w:t>、易坍塌、易冲刷等不良地段时，为了保护管线的安全和环境，应采取挡土墙、坡面防护、滑坡错落整治、拦石网工程等相应的环保及</w:t>
      </w:r>
      <w:r>
        <w:rPr>
          <w:rFonts w:hint="eastAsia" w:cs="Times New Roman"/>
          <w:color w:val="auto"/>
          <w:lang w:val="en-US" w:eastAsia="zh-CN"/>
        </w:rPr>
        <w:t>水土保持措施</w:t>
      </w:r>
      <w:r>
        <w:rPr>
          <w:rFonts w:hint="eastAsia" w:ascii="Times New Roman" w:hAnsi="Times New Roman" w:eastAsia="宋体" w:cs="Times New Roman"/>
          <w:color w:val="auto"/>
          <w:lang w:val="en-US" w:eastAsia="zh-CN"/>
        </w:rPr>
        <w:t>。</w:t>
      </w:r>
    </w:p>
    <w:p w14:paraId="12AFB595">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（5）管线穿越活动断裂带时，应确定断层走向，使管线与断层保持合理交角，使埋地管线在断层错位作用下单纯受拉，增加管线抵抗断层位移和保持管身结构完整的能力。</w:t>
      </w:r>
    </w:p>
    <w:p w14:paraId="34818191">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（6）建立施工质量保证体系，提高施工检验人员的水平，确保施工质量。在施工过程中加强监理，发现缺陷及时正确修补并做好记录。</w:t>
      </w:r>
    </w:p>
    <w:p w14:paraId="4EC0AEDA">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（7）贯彻《</w:t>
      </w:r>
      <w:r>
        <w:rPr>
          <w:rFonts w:hint="eastAsia" w:cs="Times New Roman"/>
          <w:color w:val="auto"/>
          <w:lang w:val="en-US" w:eastAsia="zh-CN"/>
        </w:rPr>
        <w:t>中华人民共和国石油天然气管道保护法</w:t>
      </w:r>
      <w:r>
        <w:rPr>
          <w:rFonts w:hint="eastAsia" w:ascii="Times New Roman" w:hAnsi="Times New Roman" w:eastAsia="宋体" w:cs="Times New Roman"/>
          <w:color w:val="auto"/>
          <w:lang w:val="en-US" w:eastAsia="zh-CN"/>
        </w:rPr>
        <w:t>》，在管线敷设线路上设置永久性标志，包括</w:t>
      </w:r>
      <w:r>
        <w:rPr>
          <w:rFonts w:hint="eastAsia" w:cs="Times New Roman"/>
          <w:color w:val="auto"/>
          <w:lang w:val="en-US" w:eastAsia="zh-CN"/>
        </w:rPr>
        <w:t>里程</w:t>
      </w:r>
      <w:r>
        <w:rPr>
          <w:rFonts w:hint="eastAsia" w:ascii="Times New Roman" w:hAnsi="Times New Roman" w:eastAsia="宋体" w:cs="Times New Roman"/>
          <w:color w:val="auto"/>
          <w:lang w:val="en-US" w:eastAsia="zh-CN"/>
        </w:rPr>
        <w:t>桩、</w:t>
      </w:r>
      <w:r>
        <w:rPr>
          <w:rFonts w:hint="eastAsia" w:cs="Times New Roman"/>
          <w:color w:val="auto"/>
          <w:lang w:val="en-US" w:eastAsia="zh-CN"/>
        </w:rPr>
        <w:t>转角桩</w:t>
      </w:r>
      <w:r>
        <w:rPr>
          <w:rFonts w:hint="eastAsia" w:ascii="Times New Roman" w:hAnsi="Times New Roman" w:eastAsia="宋体" w:cs="Times New Roman"/>
          <w:color w:val="auto"/>
          <w:lang w:val="en-US" w:eastAsia="zh-CN"/>
        </w:rPr>
        <w:t>、交叉标志和警示牌等，提醒人们不要在管线两侧20～50m范围内活动。</w:t>
      </w:r>
    </w:p>
    <w:p w14:paraId="4F6C6170">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2、运营期风险防范措施</w:t>
      </w:r>
    </w:p>
    <w:p w14:paraId="3FB93A30">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（1）在集输过程中，严格控制输送油气的性质，定期清管，排除管内的积水和污物，以减轻管线内的腐蚀。</w:t>
      </w:r>
    </w:p>
    <w:p w14:paraId="7E93341C">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（2）定期测量管线的内外腐蚀情况，对管壁严重减薄段，及时更换，避免发生管线泄漏事故。</w:t>
      </w:r>
    </w:p>
    <w:p w14:paraId="1E415584">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（3）在有条件的地方安装自动控制装置，时刻检测管线的压力变化情况，对管线泄漏事故及时发现，及时处理。</w:t>
      </w:r>
    </w:p>
    <w:p w14:paraId="5F292694">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（4）定期检查管线安全保护系统（如安全阀等），使管线在超压时能够得到安全处理，将危害影响范围减小到最低程度。</w:t>
      </w:r>
    </w:p>
    <w:p w14:paraId="6960C702">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（5）加大巡线频率，提高巡线的有效性，发现对管线安全有影响的行为，应及时制止、采取相应措施并及时向上级汇报。</w:t>
      </w:r>
    </w:p>
    <w:p w14:paraId="779F22FE">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（6）在穿跨越点的标志不仅清楚、明确，并且其设置应能从不同方向，不同角度均可看清。</w:t>
      </w:r>
    </w:p>
    <w:p w14:paraId="4BF2386A">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在运营期，建设单位应加强与当地相关规划管理的沟通，协助规划部门做好管道、场站周边的规划。按《中华人民共和国石油天然气管道保护法》的要求，在管道线路中心线两侧各五米地域范围内，禁止种植根系深达管道埋设部位可能损坏管道防腐层的深根植物；禁止取土、采石、用火、堆放重物、排放腐蚀性物质、使用机械工具进行挖掘施工；禁止修渠、修晒场、修建水产养殖场、建温室、建家畜棚圈、建房以及修建其他建筑物、构筑物。</w:t>
      </w:r>
    </w:p>
    <w:p w14:paraId="7EFAF609">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3、管理措施</w:t>
      </w:r>
    </w:p>
    <w:p w14:paraId="0D032AB1">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（1）在管线系统投产运营前，应制定出正常、异常或紧急状态下的操作手册和维修手册，并对操作和维修人员进行培训，持证上岗，避免因严重操作失误而造成的事故。</w:t>
      </w:r>
    </w:p>
    <w:p w14:paraId="1CA7A309">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（2）制定应急操作规程，在规程中</w:t>
      </w:r>
      <w:r>
        <w:rPr>
          <w:rFonts w:hint="eastAsia" w:cs="Times New Roman"/>
          <w:color w:val="auto"/>
          <w:lang w:val="en-US" w:eastAsia="zh-CN"/>
        </w:rPr>
        <w:t>说明</w:t>
      </w:r>
      <w:r>
        <w:rPr>
          <w:rFonts w:hint="eastAsia" w:ascii="Times New Roman" w:hAnsi="Times New Roman" w:eastAsia="宋体" w:cs="Times New Roman"/>
          <w:color w:val="auto"/>
          <w:lang w:val="en-US" w:eastAsia="zh-CN"/>
        </w:rPr>
        <w:t>发生管线事故应采取的操作步骤，规定抢修进度，限制事故的影响，另外还应说明与管线操作人员有关的安全问题。</w:t>
      </w:r>
    </w:p>
    <w:p w14:paraId="52FCAC43">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（3）通过定期进行安全活动提高操作人员的安全意识，及时识别事故发生前的异常状态，并采取相应的措施。</w:t>
      </w:r>
    </w:p>
    <w:p w14:paraId="10515421">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（4）加强教育，进一步宣传贯彻、落实《</w:t>
      </w:r>
      <w:r>
        <w:rPr>
          <w:rFonts w:hint="eastAsia" w:cs="Times New Roman"/>
          <w:color w:val="auto"/>
          <w:lang w:val="en-US" w:eastAsia="zh-CN"/>
        </w:rPr>
        <w:t>中华人民共和国石油天然气管道保护法</w:t>
      </w:r>
      <w:r>
        <w:rPr>
          <w:rFonts w:hint="eastAsia" w:ascii="Times New Roman" w:hAnsi="Times New Roman" w:eastAsia="宋体" w:cs="Times New Roman"/>
          <w:color w:val="auto"/>
          <w:lang w:val="en-US" w:eastAsia="zh-CN"/>
        </w:rPr>
        <w:t>》，减少、避免发生第三方破坏的事故。</w:t>
      </w:r>
    </w:p>
    <w:p w14:paraId="2E9FC8B1">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（5）制定事故</w:t>
      </w:r>
      <w:r>
        <w:rPr>
          <w:rFonts w:hint="eastAsia" w:cs="Times New Roman"/>
          <w:color w:val="auto"/>
          <w:lang w:val="en-US" w:eastAsia="zh-CN"/>
        </w:rPr>
        <w:t>应急</w:t>
      </w:r>
      <w:r>
        <w:rPr>
          <w:rFonts w:hint="eastAsia" w:ascii="Times New Roman" w:hAnsi="Times New Roman" w:eastAsia="宋体" w:cs="Times New Roman"/>
          <w:color w:val="auto"/>
          <w:lang w:val="en-US" w:eastAsia="zh-CN"/>
        </w:rPr>
        <w:t>预案，配备适当的管线抢修、灭火及人员抢救设备。</w:t>
      </w:r>
    </w:p>
    <w:p w14:paraId="494BF5C6">
      <w:pPr>
        <w:pStyle w:val="6"/>
        <w:bidi w:val="0"/>
        <w:rPr>
          <w:rFonts w:hint="default"/>
          <w:color w:val="auto"/>
          <w:lang w:val="en-US" w:eastAsia="zh-CN"/>
        </w:rPr>
      </w:pPr>
      <w:r>
        <w:rPr>
          <w:rFonts w:hint="eastAsia"/>
          <w:color w:val="auto"/>
          <w:lang w:val="en-US" w:eastAsia="zh-CN"/>
        </w:rPr>
        <w:t>6.4.2.4管线穿跨越风险防范措施</w:t>
      </w:r>
    </w:p>
    <w:p w14:paraId="2A2901E4">
      <w:pPr>
        <w:pStyle w:val="33"/>
        <w:bidi w:val="0"/>
        <w:rPr>
          <w:color w:val="auto"/>
        </w:rPr>
      </w:pPr>
      <w:r>
        <w:rPr>
          <w:color w:val="auto"/>
        </w:rPr>
        <w:t>为降低管线穿跨越段的环境风险，对穿跨越段管线采取以下风险防范措施，详见</w:t>
      </w:r>
      <w:r>
        <w:rPr>
          <w:rFonts w:hint="default"/>
          <w:color w:val="auto"/>
          <w:lang w:val="en-US"/>
        </w:rPr>
        <w:fldChar w:fldCharType="begin"/>
      </w:r>
      <w:r>
        <w:rPr>
          <w:rFonts w:hint="default"/>
          <w:color w:val="auto"/>
          <w:lang w:val="en-US"/>
        </w:rPr>
        <w:instrText xml:space="preserve"> REF _Ref8256 \h </w:instrText>
      </w:r>
      <w:r>
        <w:rPr>
          <w:rFonts w:hint="default"/>
          <w:color w:val="auto"/>
          <w:lang w:val="en-US"/>
        </w:rPr>
        <w:fldChar w:fldCharType="separate"/>
      </w:r>
      <w:r>
        <w:rPr>
          <w:color w:val="auto"/>
        </w:rPr>
        <w:t>表</w:t>
      </w:r>
      <w:r>
        <w:rPr>
          <w:rFonts w:hint="eastAsia"/>
          <w:color w:val="auto"/>
          <w:lang w:val="en-US" w:eastAsia="zh-CN"/>
        </w:rPr>
        <w:t>6</w:t>
      </w:r>
      <w:r>
        <w:rPr>
          <w:rFonts w:hint="default"/>
          <w:color w:val="auto"/>
          <w:lang w:val="en-US"/>
        </w:rPr>
        <w:fldChar w:fldCharType="end"/>
      </w:r>
      <w:r>
        <w:rPr>
          <w:rFonts w:hint="eastAsia"/>
          <w:color w:val="auto"/>
          <w:lang w:val="en-US" w:eastAsia="zh-CN"/>
        </w:rPr>
        <w:t>.4-2</w:t>
      </w:r>
      <w:r>
        <w:rPr>
          <w:color w:val="auto"/>
        </w:rPr>
        <w:t>。</w:t>
      </w:r>
    </w:p>
    <w:p w14:paraId="5C4378E3">
      <w:pPr>
        <w:pStyle w:val="43"/>
        <w:bidi w:val="0"/>
        <w:rPr>
          <w:color w:val="auto"/>
        </w:rPr>
      </w:pPr>
      <w:bookmarkStart w:id="302" w:name="_Ref8256"/>
      <w:r>
        <w:rPr>
          <w:rFonts w:cs="Times New Roman"/>
          <w:color w:val="auto"/>
        </w:rPr>
        <w:t>表</w:t>
      </w:r>
      <w:bookmarkEnd w:id="302"/>
      <w:r>
        <w:rPr>
          <w:rFonts w:hint="eastAsia" w:cs="Times New Roman"/>
          <w:color w:val="auto"/>
          <w:lang w:val="en-US" w:eastAsia="zh-CN"/>
        </w:rPr>
        <w:t>6.4-2</w:t>
      </w:r>
      <w:r>
        <w:rPr>
          <w:color w:val="auto"/>
        </w:rPr>
        <w:t xml:space="preserve">  穿</w:t>
      </w:r>
      <w:r>
        <w:rPr>
          <w:rFonts w:hint="eastAsia"/>
          <w:color w:val="auto"/>
          <w:lang w:val="en-US" w:eastAsia="zh-CN"/>
        </w:rPr>
        <w:t>跨</w:t>
      </w:r>
      <w:r>
        <w:rPr>
          <w:color w:val="auto"/>
        </w:rPr>
        <w:t>越段管线风险防范措施</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51" w:type="dxa"/>
          <w:bottom w:w="0" w:type="dxa"/>
          <w:right w:w="51" w:type="dxa"/>
        </w:tblCellMar>
      </w:tblPr>
      <w:tblGrid>
        <w:gridCol w:w="646"/>
        <w:gridCol w:w="1079"/>
        <w:gridCol w:w="6683"/>
      </w:tblGrid>
      <w:tr w14:paraId="53064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51" w:type="dxa"/>
            <w:bottom w:w="0" w:type="dxa"/>
            <w:right w:w="51" w:type="dxa"/>
          </w:tblCellMar>
        </w:tblPrEx>
        <w:trPr>
          <w:cantSplit/>
          <w:trHeight w:val="369" w:hRule="atLeast"/>
          <w:jc w:val="center"/>
        </w:trPr>
        <w:tc>
          <w:tcPr>
            <w:tcW w:w="384" w:type="pct"/>
            <w:tcBorders>
              <w:tl2br w:val="nil"/>
              <w:tr2bl w:val="nil"/>
            </w:tcBorders>
            <w:shd w:val="clear" w:color="auto" w:fill="auto"/>
            <w:noWrap/>
            <w:vAlign w:val="center"/>
          </w:tcPr>
          <w:p w14:paraId="64BFB9A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类别</w:t>
            </w:r>
          </w:p>
        </w:tc>
        <w:tc>
          <w:tcPr>
            <w:tcW w:w="641" w:type="pct"/>
            <w:tcBorders>
              <w:tl2br w:val="nil"/>
              <w:tr2bl w:val="nil"/>
            </w:tcBorders>
            <w:shd w:val="clear" w:color="auto" w:fill="auto"/>
            <w:noWrap/>
            <w:vAlign w:val="center"/>
          </w:tcPr>
          <w:p w14:paraId="3C3A783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项目</w:t>
            </w:r>
          </w:p>
        </w:tc>
        <w:tc>
          <w:tcPr>
            <w:tcW w:w="3974" w:type="pct"/>
            <w:tcBorders>
              <w:tl2br w:val="nil"/>
              <w:tr2bl w:val="nil"/>
            </w:tcBorders>
            <w:shd w:val="clear" w:color="auto" w:fill="auto"/>
            <w:noWrap/>
            <w:vAlign w:val="center"/>
          </w:tcPr>
          <w:p w14:paraId="544DEE3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b/>
                <w:bCs/>
                <w:color w:val="auto"/>
              </w:rPr>
            </w:pPr>
            <w:r>
              <w:rPr>
                <w:b/>
                <w:bCs/>
                <w:color w:val="auto"/>
              </w:rPr>
              <w:t>主要防范措施</w:t>
            </w:r>
          </w:p>
        </w:tc>
      </w:tr>
      <w:tr w14:paraId="1F4D0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restart"/>
            <w:tcBorders>
              <w:tl2br w:val="nil"/>
              <w:tr2bl w:val="nil"/>
            </w:tcBorders>
            <w:shd w:val="clear" w:color="auto" w:fill="auto"/>
            <w:noWrap/>
            <w:vAlign w:val="center"/>
          </w:tcPr>
          <w:p w14:paraId="01B9A2B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设计</w:t>
            </w:r>
          </w:p>
        </w:tc>
        <w:tc>
          <w:tcPr>
            <w:tcW w:w="641" w:type="pct"/>
            <w:tcBorders>
              <w:tl2br w:val="nil"/>
              <w:tr2bl w:val="nil"/>
            </w:tcBorders>
            <w:shd w:val="clear" w:color="auto" w:fill="auto"/>
            <w:noWrap/>
            <w:vAlign w:val="center"/>
          </w:tcPr>
          <w:p w14:paraId="54FF1AD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穿越位置选择</w:t>
            </w:r>
          </w:p>
        </w:tc>
        <w:tc>
          <w:tcPr>
            <w:tcW w:w="3974" w:type="pct"/>
            <w:tcBorders>
              <w:tl2br w:val="nil"/>
              <w:tr2bl w:val="nil"/>
            </w:tcBorders>
            <w:shd w:val="clear" w:color="auto" w:fill="auto"/>
            <w:noWrap/>
            <w:vAlign w:val="center"/>
          </w:tcPr>
          <w:p w14:paraId="6C7A6C6B">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综合地质灾害评估等意见，合理选择穿越位置。</w:t>
            </w:r>
          </w:p>
        </w:tc>
      </w:tr>
      <w:tr w14:paraId="6A8B9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16FC3A8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205105F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设计压力</w:t>
            </w:r>
          </w:p>
        </w:tc>
        <w:tc>
          <w:tcPr>
            <w:tcW w:w="3974" w:type="pct"/>
            <w:tcBorders>
              <w:tl2br w:val="nil"/>
              <w:tr2bl w:val="nil"/>
            </w:tcBorders>
            <w:shd w:val="clear" w:color="auto" w:fill="auto"/>
            <w:noWrap/>
            <w:vAlign w:val="center"/>
          </w:tcPr>
          <w:p w14:paraId="4DA29263">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管线设计压力需经过不同输量下不同事故工况下（阀门误操作、设备故障、通信中断、事故掉电等）的动态模拟核算，以确保在管线</w:t>
            </w:r>
            <w:r>
              <w:rPr>
                <w:rFonts w:hint="eastAsia"/>
                <w:color w:val="auto"/>
                <w:lang w:eastAsia="zh-CN"/>
              </w:rPr>
              <w:t>运营</w:t>
            </w:r>
            <w:r>
              <w:rPr>
                <w:color w:val="auto"/>
              </w:rPr>
              <w:t>过程中不因动、静水压力超过而导致管线破裂、泄漏现象的发生。</w:t>
            </w:r>
          </w:p>
        </w:tc>
      </w:tr>
      <w:tr w14:paraId="581F1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5ACCFFB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766607C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管材和壁厚</w:t>
            </w:r>
          </w:p>
        </w:tc>
        <w:tc>
          <w:tcPr>
            <w:tcW w:w="3974" w:type="pct"/>
            <w:tcBorders>
              <w:tl2br w:val="nil"/>
              <w:tr2bl w:val="nil"/>
            </w:tcBorders>
            <w:shd w:val="clear" w:color="auto" w:fill="auto"/>
            <w:noWrap/>
            <w:vAlign w:val="center"/>
          </w:tcPr>
          <w:p w14:paraId="378AB0C4">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根据设计规范选用壁厚和管材等级，核算强度、刚度及稳定性；若不满足要求时，应增加钢管壁厚或提高管材等级。同时，还需进行抗震校核、断裂带安全性校核。</w:t>
            </w:r>
          </w:p>
        </w:tc>
      </w:tr>
      <w:tr w14:paraId="4AF4C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63E253C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78191E7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管线埋深</w:t>
            </w:r>
          </w:p>
        </w:tc>
        <w:tc>
          <w:tcPr>
            <w:tcW w:w="3974" w:type="pct"/>
            <w:tcBorders>
              <w:tl2br w:val="nil"/>
              <w:tr2bl w:val="nil"/>
            </w:tcBorders>
            <w:shd w:val="clear" w:color="auto" w:fill="auto"/>
            <w:noWrap/>
            <w:vAlign w:val="center"/>
          </w:tcPr>
          <w:p w14:paraId="287BD0F3">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穿越管段应埋设在一般冲刷加局部冲刷深度以下的安全深度。</w:t>
            </w:r>
          </w:p>
        </w:tc>
      </w:tr>
      <w:tr w14:paraId="45EA2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6C969F4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45FE6B9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防腐</w:t>
            </w:r>
          </w:p>
        </w:tc>
        <w:tc>
          <w:tcPr>
            <w:tcW w:w="3974" w:type="pct"/>
            <w:tcBorders>
              <w:tl2br w:val="nil"/>
              <w:tr2bl w:val="nil"/>
            </w:tcBorders>
            <w:shd w:val="clear" w:color="auto" w:fill="auto"/>
            <w:noWrap/>
            <w:vAlign w:val="center"/>
          </w:tcPr>
          <w:p w14:paraId="245CD905">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采用加强级三层PE外防腐层，以及牺牲阳极进行保护。</w:t>
            </w:r>
          </w:p>
        </w:tc>
      </w:tr>
      <w:tr w14:paraId="47486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3AEA202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36D0D8E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警示牌、警示带</w:t>
            </w:r>
          </w:p>
        </w:tc>
        <w:tc>
          <w:tcPr>
            <w:tcW w:w="3974" w:type="pct"/>
            <w:tcBorders>
              <w:tl2br w:val="nil"/>
              <w:tr2bl w:val="nil"/>
            </w:tcBorders>
            <w:shd w:val="clear" w:color="auto" w:fill="auto"/>
            <w:noWrap/>
            <w:vAlign w:val="center"/>
          </w:tcPr>
          <w:p w14:paraId="3ADC2AFB">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在开挖穿越段管线上方0.5m处全线设置警示带，以防止管线被无意破坏。</w:t>
            </w:r>
          </w:p>
        </w:tc>
      </w:tr>
      <w:tr w14:paraId="79E7A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restart"/>
            <w:tcBorders>
              <w:tl2br w:val="nil"/>
              <w:tr2bl w:val="nil"/>
            </w:tcBorders>
            <w:shd w:val="clear" w:color="auto" w:fill="auto"/>
            <w:noWrap/>
            <w:vAlign w:val="center"/>
          </w:tcPr>
          <w:p w14:paraId="548B382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施工</w:t>
            </w:r>
          </w:p>
        </w:tc>
        <w:tc>
          <w:tcPr>
            <w:tcW w:w="641" w:type="pct"/>
            <w:tcBorders>
              <w:tl2br w:val="nil"/>
              <w:tr2bl w:val="nil"/>
            </w:tcBorders>
            <w:shd w:val="clear" w:color="auto" w:fill="auto"/>
            <w:noWrap/>
            <w:vAlign w:val="center"/>
          </w:tcPr>
          <w:p w14:paraId="289F2B6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稳管措施</w:t>
            </w:r>
          </w:p>
        </w:tc>
        <w:tc>
          <w:tcPr>
            <w:tcW w:w="3974" w:type="pct"/>
            <w:tcBorders>
              <w:tl2br w:val="nil"/>
              <w:tr2bl w:val="nil"/>
            </w:tcBorders>
            <w:shd w:val="clear" w:color="auto" w:fill="auto"/>
            <w:noWrap/>
            <w:vAlign w:val="center"/>
          </w:tcPr>
          <w:p w14:paraId="04832AB4">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对于可能产生季节性水流的冲沟穿越，采取相应的稳管措施，根据具体水文地质条件而定。</w:t>
            </w:r>
          </w:p>
        </w:tc>
      </w:tr>
      <w:tr w14:paraId="3D056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596F3B6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361FFAB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补口、补伤</w:t>
            </w:r>
          </w:p>
        </w:tc>
        <w:tc>
          <w:tcPr>
            <w:tcW w:w="3974" w:type="pct"/>
            <w:tcBorders>
              <w:tl2br w:val="nil"/>
              <w:tr2bl w:val="nil"/>
            </w:tcBorders>
            <w:shd w:val="clear" w:color="auto" w:fill="auto"/>
            <w:noWrap/>
            <w:vAlign w:val="center"/>
          </w:tcPr>
          <w:p w14:paraId="7BEB5263">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防腐层现场补口采用辐射交联聚乙烯热收缩带补口。损伤处直径≤30mm时，可采用辐射交联聚乙烯补伤片；直径&gt;30mm的损伤，先用补伤片进行补伤，然后采用热收缩带包覆，热收缩带的宽度不小于30cm。</w:t>
            </w:r>
          </w:p>
        </w:tc>
      </w:tr>
      <w:tr w14:paraId="2F28B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13880D6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3713413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探伤检测</w:t>
            </w:r>
          </w:p>
        </w:tc>
        <w:tc>
          <w:tcPr>
            <w:tcW w:w="3974" w:type="pct"/>
            <w:tcBorders>
              <w:tl2br w:val="nil"/>
              <w:tr2bl w:val="nil"/>
            </w:tcBorders>
            <w:shd w:val="clear" w:color="auto" w:fill="auto"/>
            <w:noWrap/>
            <w:vAlign w:val="center"/>
          </w:tcPr>
          <w:p w14:paraId="5D5720F1">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管线焊缝全段100%超声波检验，100%射线照相检验</w:t>
            </w:r>
          </w:p>
        </w:tc>
      </w:tr>
      <w:tr w14:paraId="70D60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4653B32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443909D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试压</w:t>
            </w:r>
          </w:p>
        </w:tc>
        <w:tc>
          <w:tcPr>
            <w:tcW w:w="3974" w:type="pct"/>
            <w:tcBorders>
              <w:tl2br w:val="nil"/>
              <w:tr2bl w:val="nil"/>
            </w:tcBorders>
            <w:shd w:val="clear" w:color="auto" w:fill="auto"/>
            <w:noWrap/>
            <w:vAlign w:val="center"/>
          </w:tcPr>
          <w:p w14:paraId="4F6FC225">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进行单独强度和稳定性试压。</w:t>
            </w:r>
          </w:p>
        </w:tc>
      </w:tr>
      <w:tr w14:paraId="0CF46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restart"/>
            <w:tcBorders>
              <w:tl2br w:val="nil"/>
              <w:tr2bl w:val="nil"/>
            </w:tcBorders>
            <w:shd w:val="clear" w:color="auto" w:fill="auto"/>
            <w:noWrap/>
            <w:vAlign w:val="center"/>
          </w:tcPr>
          <w:p w14:paraId="4B14037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eastAsia="zh-CN"/>
              </w:rPr>
            </w:pPr>
            <w:r>
              <w:rPr>
                <w:rFonts w:hint="eastAsia"/>
                <w:color w:val="auto"/>
                <w:lang w:val="en-US" w:eastAsia="zh-CN"/>
              </w:rPr>
              <w:t>运营</w:t>
            </w:r>
          </w:p>
        </w:tc>
        <w:tc>
          <w:tcPr>
            <w:tcW w:w="641" w:type="pct"/>
            <w:tcBorders>
              <w:tl2br w:val="nil"/>
              <w:tr2bl w:val="nil"/>
            </w:tcBorders>
            <w:shd w:val="clear" w:color="auto" w:fill="auto"/>
            <w:noWrap/>
            <w:vAlign w:val="center"/>
          </w:tcPr>
          <w:p w14:paraId="1E38503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泄漏检测及自动控制</w:t>
            </w:r>
          </w:p>
        </w:tc>
        <w:tc>
          <w:tcPr>
            <w:tcW w:w="3974" w:type="pct"/>
            <w:tcBorders>
              <w:tl2br w:val="nil"/>
              <w:tr2bl w:val="nil"/>
            </w:tcBorders>
            <w:shd w:val="clear" w:color="auto" w:fill="auto"/>
            <w:noWrap/>
            <w:vAlign w:val="center"/>
          </w:tcPr>
          <w:p w14:paraId="05F071AA">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SCADA智能检测（采用调控中心、站控和现场手控三级控制），全线设置泄漏自动检测系统</w:t>
            </w:r>
          </w:p>
        </w:tc>
      </w:tr>
      <w:tr w14:paraId="10731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7CC4D4B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62EDD5D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壁厚检测</w:t>
            </w:r>
          </w:p>
        </w:tc>
        <w:tc>
          <w:tcPr>
            <w:tcW w:w="3974" w:type="pct"/>
            <w:tcBorders>
              <w:tl2br w:val="nil"/>
              <w:tr2bl w:val="nil"/>
            </w:tcBorders>
            <w:shd w:val="clear" w:color="auto" w:fill="auto"/>
            <w:noWrap/>
            <w:vAlign w:val="center"/>
          </w:tcPr>
          <w:p w14:paraId="4B6345CE">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定期进行壁厚检测，对腐蚀严重的管线及时更换。</w:t>
            </w:r>
          </w:p>
        </w:tc>
      </w:tr>
      <w:tr w14:paraId="6B3F8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5FCE412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3E0B1C0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人工巡检</w:t>
            </w:r>
          </w:p>
        </w:tc>
        <w:tc>
          <w:tcPr>
            <w:tcW w:w="3974" w:type="pct"/>
            <w:tcBorders>
              <w:tl2br w:val="nil"/>
              <w:tr2bl w:val="nil"/>
            </w:tcBorders>
            <w:shd w:val="clear" w:color="auto" w:fill="auto"/>
            <w:noWrap/>
            <w:vAlign w:val="center"/>
          </w:tcPr>
          <w:p w14:paraId="680249CF">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加强巡检力度和人员投入。</w:t>
            </w:r>
          </w:p>
        </w:tc>
      </w:tr>
      <w:tr w14:paraId="3CE36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638DA9E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7A38DCE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维抢修</w:t>
            </w:r>
          </w:p>
        </w:tc>
        <w:tc>
          <w:tcPr>
            <w:tcW w:w="3974" w:type="pct"/>
            <w:tcBorders>
              <w:tl2br w:val="nil"/>
              <w:tr2bl w:val="nil"/>
            </w:tcBorders>
            <w:shd w:val="clear" w:color="auto" w:fill="auto"/>
            <w:noWrap/>
            <w:vAlign w:val="center"/>
          </w:tcPr>
          <w:p w14:paraId="44AC451E">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管线全线设置维抢修机构，正常情况下应急响应时间小于0.5h。</w:t>
            </w:r>
          </w:p>
        </w:tc>
      </w:tr>
      <w:tr w14:paraId="5F2E3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cantSplit/>
          <w:trHeight w:val="369" w:hRule="atLeast"/>
          <w:jc w:val="center"/>
        </w:trPr>
        <w:tc>
          <w:tcPr>
            <w:tcW w:w="384" w:type="pct"/>
            <w:vMerge w:val="continue"/>
            <w:tcBorders>
              <w:tl2br w:val="nil"/>
              <w:tr2bl w:val="nil"/>
            </w:tcBorders>
            <w:shd w:val="clear" w:color="auto" w:fill="auto"/>
            <w:noWrap/>
            <w:vAlign w:val="center"/>
          </w:tcPr>
          <w:p w14:paraId="69277E6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641" w:type="pct"/>
            <w:tcBorders>
              <w:tl2br w:val="nil"/>
              <w:tr2bl w:val="nil"/>
            </w:tcBorders>
            <w:shd w:val="clear" w:color="auto" w:fill="auto"/>
            <w:noWrap/>
            <w:vAlign w:val="center"/>
          </w:tcPr>
          <w:p w14:paraId="6255048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安全管理</w:t>
            </w:r>
          </w:p>
        </w:tc>
        <w:tc>
          <w:tcPr>
            <w:tcW w:w="3974" w:type="pct"/>
            <w:tcBorders>
              <w:tl2br w:val="nil"/>
              <w:tr2bl w:val="nil"/>
            </w:tcBorders>
            <w:shd w:val="clear" w:color="auto" w:fill="auto"/>
            <w:noWrap/>
            <w:vAlign w:val="center"/>
          </w:tcPr>
          <w:p w14:paraId="61B5D421">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提高职工安全防范意识，定期进行安全培训。制定岗位操作规程，制定溢油专项应急预案，配置应急物资。</w:t>
            </w:r>
          </w:p>
        </w:tc>
      </w:tr>
    </w:tbl>
    <w:p w14:paraId="19FB42DA">
      <w:pPr>
        <w:pStyle w:val="5"/>
        <w:bidi w:val="0"/>
        <w:rPr>
          <w:rFonts w:hint="default"/>
          <w:color w:val="auto"/>
          <w:lang w:val="en-US" w:eastAsia="zh-CN"/>
        </w:rPr>
      </w:pPr>
      <w:r>
        <w:rPr>
          <w:rFonts w:hint="eastAsia"/>
          <w:color w:val="auto"/>
          <w:lang w:val="en-US" w:eastAsia="zh-CN"/>
        </w:rPr>
        <w:t>6.4.3应急预案及应急措施</w:t>
      </w:r>
    </w:p>
    <w:p w14:paraId="18B5601C">
      <w:pPr>
        <w:pStyle w:val="6"/>
        <w:bidi w:val="0"/>
        <w:rPr>
          <w:rFonts w:hint="default"/>
          <w:color w:val="auto"/>
          <w:lang w:val="en-US" w:eastAsia="zh-CN"/>
        </w:rPr>
      </w:pPr>
      <w:r>
        <w:rPr>
          <w:rFonts w:hint="eastAsia"/>
          <w:color w:val="auto"/>
          <w:lang w:val="en-US" w:eastAsia="zh-CN"/>
        </w:rPr>
        <w:t>6.4.3.1应急预案</w:t>
      </w:r>
    </w:p>
    <w:p w14:paraId="4690C9FC">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中国石油新疆油田分公司百口泉采油厂于2024年6月编制完成了突发环境事件专项应急预案及编制说明、环境风险评估报告、环境应急物资调查报告，并于2024年7月4日在新疆维吾尔自治区克拉玛依市生态环境局乌尔禾区分局和新疆维吾尔自治区塔城地区生态环境局和布克赛尔蒙古自治县分局进行了备案。</w:t>
      </w:r>
    </w:p>
    <w:p w14:paraId="5BEDAC69">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本工程环境风险应急预案纳入现有应急预案管理体系。建设单位应参照《企业事业单位突发环境事件应急预案备案管理办法（试行）》（环发</w:t>
      </w:r>
      <w:r>
        <w:rPr>
          <w:rFonts w:hint="default" w:ascii="Times New Roman" w:hAnsi="Times New Roman" w:eastAsia="宋体" w:cs="Times New Roman"/>
          <w:color w:val="auto"/>
          <w:lang w:val="en-US" w:eastAsia="zh-CN"/>
        </w:rPr>
        <w:t>〔20</w:t>
      </w:r>
      <w:r>
        <w:rPr>
          <w:rFonts w:hint="eastAsia" w:ascii="Times New Roman" w:hAnsi="Times New Roman" w:eastAsia="宋体" w:cs="Times New Roman"/>
          <w:color w:val="auto"/>
          <w:lang w:val="en-US" w:eastAsia="zh-CN"/>
        </w:rPr>
        <w:t>15</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4号）、《新疆维吾尔自治区突发环境事件应急预案（修订稿）》（新政办</w:t>
      </w:r>
      <w:r>
        <w:rPr>
          <w:rFonts w:hint="eastAsia" w:cs="Times New Roman"/>
          <w:color w:val="auto"/>
          <w:lang w:val="en-US" w:eastAsia="zh-CN"/>
        </w:rPr>
        <w:t>发</w:t>
      </w:r>
      <w:r>
        <w:rPr>
          <w:rFonts w:hint="default" w:ascii="Times New Roman" w:hAnsi="Times New Roman" w:eastAsia="宋体" w:cs="Times New Roman"/>
          <w:color w:val="auto"/>
          <w:lang w:val="en-US" w:eastAsia="zh-CN"/>
        </w:rPr>
        <w:t>〔2022〕4号</w:t>
      </w:r>
      <w:r>
        <w:rPr>
          <w:rFonts w:hint="eastAsia" w:ascii="Times New Roman" w:hAnsi="Times New Roman" w:eastAsia="宋体" w:cs="Times New Roman"/>
          <w:color w:val="auto"/>
          <w:lang w:val="en-US" w:eastAsia="zh-CN"/>
        </w:rPr>
        <w:t>），结合本次开发建设内容和周围敏感点分布情况，补充完善并更新现有的应急预案，并经过专家评审，审查合格后报当地环保部门备案后实施运行。</w:t>
      </w:r>
    </w:p>
    <w:p w14:paraId="569D3285">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按照《关于进一步加强环境影响评价管理防范环境风险的通知》（环发〔2012〕77号），企业突发环境事件应急预案应与当地政府和相关部门以及周边企业的应急预案相衔接，加强区域应急物资调配管理，构建区域环境风险联控机制。</w:t>
      </w:r>
    </w:p>
    <w:p w14:paraId="1CB60752">
      <w:pPr>
        <w:pStyle w:val="43"/>
        <w:bidi w:val="0"/>
        <w:rPr>
          <w:rFonts w:hint="eastAsia"/>
          <w:color w:val="auto"/>
        </w:rPr>
      </w:pPr>
      <w:r>
        <w:rPr>
          <w:color w:val="auto"/>
        </w:rPr>
        <w:t>表</w:t>
      </w:r>
      <w:r>
        <w:rPr>
          <w:rFonts w:hint="eastAsia"/>
          <w:color w:val="auto"/>
          <w:lang w:val="en-US" w:eastAsia="zh-CN"/>
        </w:rPr>
        <w:t>6.4-3</w:t>
      </w:r>
      <w:r>
        <w:rPr>
          <w:rFonts w:hint="eastAsia"/>
          <w:color w:val="auto"/>
        </w:rPr>
        <w:t xml:space="preserve">  </w:t>
      </w:r>
      <w:r>
        <w:rPr>
          <w:rFonts w:hint="eastAsia"/>
          <w:color w:val="auto"/>
          <w:lang w:val="en-US" w:eastAsia="zh-CN"/>
        </w:rPr>
        <w:t>百口泉</w:t>
      </w:r>
      <w:r>
        <w:rPr>
          <w:rFonts w:hint="eastAsia"/>
          <w:color w:val="auto"/>
        </w:rPr>
        <w:t>采油厂应急预案主要内容</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637"/>
        <w:gridCol w:w="1054"/>
        <w:gridCol w:w="6712"/>
      </w:tblGrid>
      <w:tr w14:paraId="7F29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jc w:val="center"/>
        </w:trPr>
        <w:tc>
          <w:tcPr>
            <w:tcW w:w="379" w:type="pct"/>
            <w:shd w:val="clear" w:color="auto" w:fill="auto"/>
            <w:vAlign w:val="center"/>
          </w:tcPr>
          <w:p w14:paraId="2E0241A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color w:val="auto"/>
              </w:rPr>
            </w:pPr>
            <w:r>
              <w:rPr>
                <w:rFonts w:hint="eastAsia"/>
                <w:b/>
                <w:bCs/>
                <w:color w:val="auto"/>
              </w:rPr>
              <w:t>序号</w:t>
            </w:r>
          </w:p>
        </w:tc>
        <w:tc>
          <w:tcPr>
            <w:tcW w:w="627" w:type="pct"/>
            <w:shd w:val="clear" w:color="auto" w:fill="auto"/>
            <w:vAlign w:val="center"/>
          </w:tcPr>
          <w:p w14:paraId="5BEAD052">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color w:val="auto"/>
              </w:rPr>
            </w:pPr>
            <w:r>
              <w:rPr>
                <w:rFonts w:hint="eastAsia"/>
                <w:b/>
                <w:bCs/>
                <w:color w:val="auto"/>
              </w:rPr>
              <w:t>项目</w:t>
            </w:r>
          </w:p>
        </w:tc>
        <w:tc>
          <w:tcPr>
            <w:tcW w:w="3993" w:type="pct"/>
            <w:shd w:val="clear" w:color="auto" w:fill="auto"/>
            <w:vAlign w:val="center"/>
          </w:tcPr>
          <w:p w14:paraId="54B5D80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color w:val="auto"/>
              </w:rPr>
            </w:pPr>
            <w:r>
              <w:rPr>
                <w:rFonts w:hint="eastAsia"/>
                <w:b/>
                <w:bCs/>
                <w:color w:val="auto"/>
              </w:rPr>
              <w:t>主要内容</w:t>
            </w:r>
          </w:p>
        </w:tc>
      </w:tr>
      <w:tr w14:paraId="7897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7E408D1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1</w:t>
            </w:r>
          </w:p>
        </w:tc>
        <w:tc>
          <w:tcPr>
            <w:tcW w:w="627" w:type="pct"/>
            <w:shd w:val="clear" w:color="auto" w:fill="auto"/>
            <w:vAlign w:val="center"/>
          </w:tcPr>
          <w:p w14:paraId="496C9B1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总则</w:t>
            </w:r>
          </w:p>
        </w:tc>
        <w:tc>
          <w:tcPr>
            <w:tcW w:w="3993" w:type="pct"/>
            <w:shd w:val="clear" w:color="auto" w:fill="auto"/>
            <w:vAlign w:val="center"/>
          </w:tcPr>
          <w:p w14:paraId="336488CE">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color w:val="auto"/>
              </w:rPr>
            </w:pPr>
            <w:r>
              <w:rPr>
                <w:rFonts w:hint="eastAsia"/>
                <w:color w:val="auto"/>
              </w:rPr>
              <w:t>编制目的、编制依据、适用范围、应急预案体系、</w:t>
            </w:r>
            <w:r>
              <w:rPr>
                <w:rFonts w:hint="eastAsia"/>
                <w:color w:val="auto"/>
                <w:lang w:val="en-US" w:eastAsia="zh-CN"/>
              </w:rPr>
              <w:t>突发环境事件分级、</w:t>
            </w:r>
            <w:r>
              <w:rPr>
                <w:rFonts w:hint="eastAsia"/>
                <w:color w:val="auto"/>
              </w:rPr>
              <w:t>工作原则</w:t>
            </w:r>
          </w:p>
        </w:tc>
      </w:tr>
      <w:tr w14:paraId="67F2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4C8C6BCC">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2</w:t>
            </w:r>
          </w:p>
        </w:tc>
        <w:tc>
          <w:tcPr>
            <w:tcW w:w="627" w:type="pct"/>
            <w:shd w:val="clear" w:color="auto" w:fill="auto"/>
            <w:vAlign w:val="center"/>
          </w:tcPr>
          <w:p w14:paraId="76E46BD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基本情况</w:t>
            </w:r>
          </w:p>
        </w:tc>
        <w:tc>
          <w:tcPr>
            <w:tcW w:w="3993" w:type="pct"/>
            <w:shd w:val="clear" w:color="auto" w:fill="auto"/>
            <w:vAlign w:val="center"/>
          </w:tcPr>
          <w:p w14:paraId="645EC1EB">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color w:val="auto"/>
              </w:rPr>
            </w:pPr>
            <w:r>
              <w:rPr>
                <w:rFonts w:hint="eastAsia"/>
                <w:color w:val="auto"/>
                <w:lang w:val="en-US" w:eastAsia="zh-CN"/>
              </w:rPr>
              <w:t>单位概况</w:t>
            </w:r>
            <w:r>
              <w:rPr>
                <w:rFonts w:hint="eastAsia"/>
                <w:color w:val="auto"/>
              </w:rPr>
              <w:t>、</w:t>
            </w:r>
            <w:r>
              <w:rPr>
                <w:rFonts w:hint="eastAsia"/>
                <w:color w:val="auto"/>
                <w:lang w:val="en-US" w:eastAsia="zh-CN"/>
              </w:rPr>
              <w:t>自然环境概况、主要油气生产站场概况、各站主要设备</w:t>
            </w:r>
          </w:p>
        </w:tc>
      </w:tr>
      <w:tr w14:paraId="7960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133B1979">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val="en-US" w:eastAsia="zh-CN"/>
              </w:rPr>
            </w:pPr>
            <w:r>
              <w:rPr>
                <w:rFonts w:hint="eastAsia"/>
                <w:color w:val="auto"/>
                <w:lang w:val="en-US" w:eastAsia="zh-CN"/>
              </w:rPr>
              <w:t>3</w:t>
            </w:r>
          </w:p>
        </w:tc>
        <w:tc>
          <w:tcPr>
            <w:tcW w:w="627" w:type="pct"/>
            <w:shd w:val="clear" w:color="auto" w:fill="auto"/>
            <w:vAlign w:val="center"/>
          </w:tcPr>
          <w:p w14:paraId="7D66E37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环境风险源与评价</w:t>
            </w:r>
          </w:p>
        </w:tc>
        <w:tc>
          <w:tcPr>
            <w:tcW w:w="3993" w:type="pct"/>
            <w:shd w:val="clear" w:color="auto" w:fill="auto"/>
            <w:vAlign w:val="center"/>
          </w:tcPr>
          <w:p w14:paraId="090BCA0E">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color w:val="auto"/>
                <w:lang w:val="en-US" w:eastAsia="zh-CN"/>
              </w:rPr>
            </w:pPr>
            <w:r>
              <w:rPr>
                <w:rFonts w:hint="eastAsia"/>
                <w:color w:val="auto"/>
                <w:lang w:val="en-US" w:eastAsia="zh-CN"/>
              </w:rPr>
              <w:t>环境风险源分析、环境风险敏感受体、环境风险评估、同类企业生产事故回顾</w:t>
            </w:r>
          </w:p>
        </w:tc>
      </w:tr>
      <w:tr w14:paraId="077D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1F552C3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eastAsia="zh-CN"/>
              </w:rPr>
            </w:pPr>
            <w:r>
              <w:rPr>
                <w:rFonts w:hint="eastAsia"/>
                <w:color w:val="auto"/>
                <w:lang w:val="en-US" w:eastAsia="zh-CN"/>
              </w:rPr>
              <w:t>4</w:t>
            </w:r>
          </w:p>
        </w:tc>
        <w:tc>
          <w:tcPr>
            <w:tcW w:w="627" w:type="pct"/>
            <w:shd w:val="clear" w:color="auto" w:fill="auto"/>
            <w:vAlign w:val="center"/>
          </w:tcPr>
          <w:p w14:paraId="57E27C83">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组织机构与职责</w:t>
            </w:r>
          </w:p>
        </w:tc>
        <w:tc>
          <w:tcPr>
            <w:tcW w:w="3993" w:type="pct"/>
            <w:shd w:val="clear" w:color="auto" w:fill="auto"/>
            <w:vAlign w:val="center"/>
          </w:tcPr>
          <w:p w14:paraId="2D8DB17D">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color w:val="auto"/>
                <w:lang w:val="en-US" w:eastAsia="zh-CN"/>
              </w:rPr>
            </w:pPr>
            <w:r>
              <w:rPr>
                <w:rFonts w:hint="eastAsia"/>
                <w:color w:val="auto"/>
              </w:rPr>
              <w:t>应急组织体系、组织机构职责（应急领导小组职责、应急</w:t>
            </w:r>
            <w:r>
              <w:rPr>
                <w:rFonts w:hint="eastAsia"/>
                <w:color w:val="auto"/>
                <w:lang w:val="en-US" w:eastAsia="zh-CN"/>
              </w:rPr>
              <w:t>办公室</w:t>
            </w:r>
            <w:r>
              <w:rPr>
                <w:rFonts w:hint="eastAsia"/>
                <w:color w:val="auto"/>
              </w:rPr>
              <w:t>、现场应急指挥</w:t>
            </w:r>
            <w:r>
              <w:rPr>
                <w:rFonts w:hint="eastAsia"/>
                <w:color w:val="auto"/>
                <w:lang w:val="en-US" w:eastAsia="zh-CN"/>
              </w:rPr>
              <w:t>部、专家组</w:t>
            </w:r>
            <w:r>
              <w:rPr>
                <w:rFonts w:hint="eastAsia"/>
                <w:color w:val="auto"/>
              </w:rPr>
              <w:t>）</w:t>
            </w:r>
            <w:r>
              <w:rPr>
                <w:rFonts w:hint="eastAsia"/>
                <w:color w:val="auto"/>
                <w:lang w:eastAsia="zh-CN"/>
              </w:rPr>
              <w:t>、</w:t>
            </w:r>
            <w:r>
              <w:rPr>
                <w:rFonts w:hint="eastAsia"/>
                <w:color w:val="auto"/>
                <w:lang w:val="en-US" w:eastAsia="zh-CN"/>
              </w:rPr>
              <w:t>应急队伍</w:t>
            </w:r>
          </w:p>
        </w:tc>
      </w:tr>
      <w:tr w14:paraId="1B84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309EFCA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eastAsia="zh-CN"/>
              </w:rPr>
            </w:pPr>
            <w:r>
              <w:rPr>
                <w:rFonts w:hint="eastAsia"/>
                <w:color w:val="auto"/>
                <w:lang w:val="en-US" w:eastAsia="zh-CN"/>
              </w:rPr>
              <w:t>5</w:t>
            </w:r>
          </w:p>
        </w:tc>
        <w:tc>
          <w:tcPr>
            <w:tcW w:w="627" w:type="pct"/>
            <w:shd w:val="clear" w:color="auto" w:fill="auto"/>
            <w:vAlign w:val="center"/>
          </w:tcPr>
          <w:p w14:paraId="7D7701A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预防与预警</w:t>
            </w:r>
          </w:p>
        </w:tc>
        <w:tc>
          <w:tcPr>
            <w:tcW w:w="3993" w:type="pct"/>
            <w:shd w:val="clear" w:color="auto" w:fill="auto"/>
            <w:vAlign w:val="center"/>
          </w:tcPr>
          <w:p w14:paraId="25BCE97B">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color w:val="auto"/>
                <w:lang w:val="en-US" w:eastAsia="zh-CN"/>
              </w:rPr>
            </w:pPr>
            <w:r>
              <w:rPr>
                <w:rFonts w:hint="eastAsia"/>
                <w:color w:val="auto"/>
                <w:lang w:val="en-US" w:eastAsia="zh-CN"/>
              </w:rPr>
              <w:t>风险监控、预警条件、预警方法、</w:t>
            </w:r>
            <w:r>
              <w:rPr>
                <w:rFonts w:hint="eastAsia"/>
                <w:color w:val="auto"/>
              </w:rPr>
              <w:t>预防</w:t>
            </w:r>
            <w:r>
              <w:rPr>
                <w:rFonts w:hint="eastAsia"/>
                <w:color w:val="auto"/>
                <w:lang w:val="en-US" w:eastAsia="zh-CN"/>
              </w:rPr>
              <w:t>分级及</w:t>
            </w:r>
            <w:r>
              <w:rPr>
                <w:rFonts w:hint="eastAsia"/>
                <w:color w:val="auto"/>
              </w:rPr>
              <w:t>措施</w:t>
            </w:r>
            <w:r>
              <w:rPr>
                <w:rFonts w:hint="eastAsia"/>
                <w:color w:val="auto"/>
                <w:lang w:eastAsia="zh-CN"/>
              </w:rPr>
              <w:t>、</w:t>
            </w:r>
            <w:r>
              <w:rPr>
                <w:rFonts w:hint="eastAsia"/>
                <w:color w:val="auto"/>
                <w:lang w:val="en-US" w:eastAsia="zh-CN"/>
              </w:rPr>
              <w:t>预警后行动</w:t>
            </w:r>
          </w:p>
        </w:tc>
      </w:tr>
      <w:tr w14:paraId="7BC4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0E39BED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color w:val="auto"/>
                <w:lang w:val="en-US" w:eastAsia="zh-CN"/>
              </w:rPr>
            </w:pPr>
            <w:r>
              <w:rPr>
                <w:rFonts w:hint="eastAsia"/>
                <w:color w:val="auto"/>
                <w:lang w:val="en-US" w:eastAsia="zh-CN"/>
              </w:rPr>
              <w:t>6</w:t>
            </w:r>
          </w:p>
        </w:tc>
        <w:tc>
          <w:tcPr>
            <w:tcW w:w="627" w:type="pct"/>
            <w:shd w:val="clear" w:color="auto" w:fill="auto"/>
            <w:vAlign w:val="center"/>
          </w:tcPr>
          <w:p w14:paraId="724DEBD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信息报告</w:t>
            </w:r>
          </w:p>
        </w:tc>
        <w:tc>
          <w:tcPr>
            <w:tcW w:w="3993" w:type="pct"/>
            <w:shd w:val="clear" w:color="auto" w:fill="auto"/>
            <w:vAlign w:val="center"/>
          </w:tcPr>
          <w:p w14:paraId="05AF7782">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color w:val="auto"/>
                <w:lang w:val="en-US" w:eastAsia="zh-CN"/>
              </w:rPr>
            </w:pPr>
            <w:r>
              <w:rPr>
                <w:rFonts w:hint="eastAsia"/>
                <w:color w:val="auto"/>
                <w:lang w:val="en-US" w:eastAsia="zh-CN"/>
              </w:rPr>
              <w:t>报送时限、报送方式、报告程序、信息上报</w:t>
            </w:r>
          </w:p>
        </w:tc>
      </w:tr>
      <w:tr w14:paraId="09D5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5A599AA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eastAsia="zh-CN"/>
              </w:rPr>
            </w:pPr>
            <w:r>
              <w:rPr>
                <w:rFonts w:hint="eastAsia"/>
                <w:color w:val="auto"/>
                <w:lang w:val="en-US" w:eastAsia="zh-CN"/>
              </w:rPr>
              <w:t>7</w:t>
            </w:r>
          </w:p>
        </w:tc>
        <w:tc>
          <w:tcPr>
            <w:tcW w:w="627" w:type="pct"/>
            <w:shd w:val="clear" w:color="auto" w:fill="auto"/>
            <w:vAlign w:val="center"/>
          </w:tcPr>
          <w:p w14:paraId="2DEEA11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应急响应</w:t>
            </w:r>
          </w:p>
        </w:tc>
        <w:tc>
          <w:tcPr>
            <w:tcW w:w="3993" w:type="pct"/>
            <w:shd w:val="clear" w:color="auto" w:fill="auto"/>
            <w:vAlign w:val="center"/>
          </w:tcPr>
          <w:p w14:paraId="20069253">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color w:val="auto"/>
              </w:rPr>
            </w:pPr>
            <w:r>
              <w:rPr>
                <w:rFonts w:hint="eastAsia"/>
                <w:color w:val="auto"/>
                <w:lang w:val="en-US" w:eastAsia="zh-CN"/>
              </w:rPr>
              <w:t>响应条件、响应程序、应急解除</w:t>
            </w:r>
          </w:p>
        </w:tc>
      </w:tr>
      <w:tr w14:paraId="32B0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24CF326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color w:val="auto"/>
                <w:lang w:val="en-US" w:eastAsia="zh-CN"/>
              </w:rPr>
            </w:pPr>
            <w:r>
              <w:rPr>
                <w:rFonts w:hint="eastAsia"/>
                <w:color w:val="auto"/>
                <w:lang w:val="en-US" w:eastAsia="zh-CN"/>
              </w:rPr>
              <w:t>8</w:t>
            </w:r>
          </w:p>
        </w:tc>
        <w:tc>
          <w:tcPr>
            <w:tcW w:w="627" w:type="pct"/>
            <w:shd w:val="clear" w:color="auto" w:fill="auto"/>
            <w:vAlign w:val="center"/>
          </w:tcPr>
          <w:p w14:paraId="0B1ACBE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应急处置措施</w:t>
            </w:r>
          </w:p>
        </w:tc>
        <w:tc>
          <w:tcPr>
            <w:tcW w:w="3993" w:type="pct"/>
            <w:shd w:val="clear" w:color="auto" w:fill="auto"/>
            <w:vAlign w:val="center"/>
          </w:tcPr>
          <w:p w14:paraId="3A5DC63B">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color w:val="auto"/>
                <w:lang w:val="en-US" w:eastAsia="zh-CN"/>
              </w:rPr>
            </w:pPr>
            <w:r>
              <w:rPr>
                <w:rFonts w:hint="eastAsia"/>
                <w:color w:val="auto"/>
                <w:lang w:val="en-US" w:eastAsia="zh-CN"/>
              </w:rPr>
              <w:t>初期处置、指挥协调、隔离处置措施、疏散撤离措施、应急检测监测、专项抢险措施、扩大应急、应急中止</w:t>
            </w:r>
          </w:p>
        </w:tc>
      </w:tr>
      <w:tr w14:paraId="1EE1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0B1E307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eastAsia="zh-CN"/>
              </w:rPr>
            </w:pPr>
            <w:r>
              <w:rPr>
                <w:rFonts w:hint="eastAsia"/>
                <w:color w:val="auto"/>
                <w:lang w:val="en-US" w:eastAsia="zh-CN"/>
              </w:rPr>
              <w:t>9</w:t>
            </w:r>
          </w:p>
        </w:tc>
        <w:tc>
          <w:tcPr>
            <w:tcW w:w="627" w:type="pct"/>
            <w:shd w:val="clear" w:color="auto" w:fill="auto"/>
            <w:vAlign w:val="center"/>
          </w:tcPr>
          <w:p w14:paraId="6FD86B6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后期处置</w:t>
            </w:r>
          </w:p>
        </w:tc>
        <w:tc>
          <w:tcPr>
            <w:tcW w:w="3993" w:type="pct"/>
            <w:shd w:val="clear" w:color="auto" w:fill="auto"/>
            <w:vAlign w:val="center"/>
          </w:tcPr>
          <w:p w14:paraId="3E512E02">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color w:val="auto"/>
                <w:lang w:val="en-US" w:eastAsia="zh-CN"/>
              </w:rPr>
            </w:pPr>
            <w:r>
              <w:rPr>
                <w:rFonts w:hint="eastAsia"/>
                <w:color w:val="auto"/>
              </w:rPr>
              <w:t>善后处置、调查与评估、</w:t>
            </w:r>
            <w:r>
              <w:rPr>
                <w:rFonts w:hint="eastAsia"/>
                <w:color w:val="auto"/>
                <w:lang w:val="en-US" w:eastAsia="zh-CN"/>
              </w:rPr>
              <w:t>总结改进</w:t>
            </w:r>
          </w:p>
        </w:tc>
      </w:tr>
      <w:tr w14:paraId="314F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62C48367">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color w:val="auto"/>
                <w:lang w:val="en-US" w:eastAsia="zh-CN"/>
              </w:rPr>
            </w:pPr>
            <w:r>
              <w:rPr>
                <w:rFonts w:hint="eastAsia"/>
                <w:color w:val="auto"/>
                <w:lang w:val="en-US" w:eastAsia="zh-CN"/>
              </w:rPr>
              <w:t>10</w:t>
            </w:r>
          </w:p>
        </w:tc>
        <w:tc>
          <w:tcPr>
            <w:tcW w:w="627" w:type="pct"/>
            <w:shd w:val="clear" w:color="auto" w:fill="auto"/>
            <w:vAlign w:val="center"/>
          </w:tcPr>
          <w:p w14:paraId="4406D70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lang w:val="en-US" w:eastAsia="zh-CN"/>
              </w:rPr>
            </w:pPr>
            <w:r>
              <w:rPr>
                <w:rFonts w:hint="eastAsia"/>
                <w:color w:val="auto"/>
                <w:lang w:val="en-US" w:eastAsia="zh-CN"/>
              </w:rPr>
              <w:t>监督管理</w:t>
            </w:r>
          </w:p>
        </w:tc>
        <w:tc>
          <w:tcPr>
            <w:tcW w:w="3993" w:type="pct"/>
            <w:shd w:val="clear" w:color="auto" w:fill="auto"/>
            <w:vAlign w:val="center"/>
          </w:tcPr>
          <w:p w14:paraId="4817F42F">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color w:val="auto"/>
                <w:lang w:val="en-US" w:eastAsia="zh-CN"/>
              </w:rPr>
            </w:pPr>
            <w:r>
              <w:rPr>
                <w:rFonts w:hint="eastAsia"/>
                <w:color w:val="auto"/>
                <w:lang w:val="en-US" w:eastAsia="zh-CN"/>
              </w:rPr>
              <w:t>培训、演练</w:t>
            </w:r>
          </w:p>
        </w:tc>
      </w:tr>
      <w:tr w14:paraId="25A9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030C7A9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color w:val="auto"/>
                <w:lang w:val="en-US" w:eastAsia="zh-CN"/>
              </w:rPr>
            </w:pPr>
            <w:r>
              <w:rPr>
                <w:rFonts w:hint="eastAsia"/>
                <w:color w:val="auto"/>
                <w:lang w:val="en-US" w:eastAsia="zh-CN"/>
              </w:rPr>
              <w:t>11</w:t>
            </w:r>
          </w:p>
        </w:tc>
        <w:tc>
          <w:tcPr>
            <w:tcW w:w="627" w:type="pct"/>
            <w:shd w:val="clear" w:color="auto" w:fill="auto"/>
            <w:vAlign w:val="center"/>
          </w:tcPr>
          <w:p w14:paraId="159023A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color w:val="auto"/>
                <w:lang w:val="en-US" w:eastAsia="zh-CN"/>
              </w:rPr>
            </w:pPr>
            <w:r>
              <w:rPr>
                <w:rFonts w:hint="eastAsia"/>
                <w:color w:val="auto"/>
                <w:lang w:val="en-US" w:eastAsia="zh-CN"/>
              </w:rPr>
              <w:t>应急预案评审与发布</w:t>
            </w:r>
          </w:p>
        </w:tc>
        <w:tc>
          <w:tcPr>
            <w:tcW w:w="3993" w:type="pct"/>
            <w:shd w:val="clear" w:color="auto" w:fill="auto"/>
            <w:vAlign w:val="center"/>
          </w:tcPr>
          <w:p w14:paraId="1B4F5D2E">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color w:val="auto"/>
                <w:lang w:val="en-US" w:eastAsia="zh-CN"/>
              </w:rPr>
            </w:pPr>
            <w:r>
              <w:rPr>
                <w:rFonts w:hint="eastAsia"/>
                <w:color w:val="auto"/>
                <w:lang w:val="en-US" w:eastAsia="zh-CN"/>
              </w:rPr>
              <w:t>预案的评审、备案、发布和更新，预案的解释和生效时间</w:t>
            </w:r>
          </w:p>
        </w:tc>
      </w:tr>
      <w:tr w14:paraId="3CC6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379" w:type="pct"/>
            <w:shd w:val="clear" w:color="auto" w:fill="auto"/>
            <w:vAlign w:val="center"/>
          </w:tcPr>
          <w:p w14:paraId="55375CB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宋体"/>
                <w:color w:val="auto"/>
                <w:lang w:eastAsia="zh-CN"/>
              </w:rPr>
            </w:pPr>
            <w:r>
              <w:rPr>
                <w:rFonts w:hint="eastAsia"/>
                <w:color w:val="auto"/>
              </w:rPr>
              <w:t>1</w:t>
            </w:r>
            <w:r>
              <w:rPr>
                <w:rFonts w:hint="eastAsia"/>
                <w:color w:val="auto"/>
                <w:lang w:val="en-US" w:eastAsia="zh-CN"/>
              </w:rPr>
              <w:t>2</w:t>
            </w:r>
          </w:p>
        </w:tc>
        <w:tc>
          <w:tcPr>
            <w:tcW w:w="627" w:type="pct"/>
            <w:shd w:val="clear" w:color="auto" w:fill="auto"/>
            <w:vAlign w:val="center"/>
          </w:tcPr>
          <w:p w14:paraId="2CFC1A1F">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rPr>
            </w:pPr>
            <w:r>
              <w:rPr>
                <w:rFonts w:hint="eastAsia"/>
                <w:color w:val="auto"/>
              </w:rPr>
              <w:t>主要附件</w:t>
            </w:r>
          </w:p>
        </w:tc>
        <w:tc>
          <w:tcPr>
            <w:tcW w:w="3993" w:type="pct"/>
            <w:shd w:val="clear" w:color="auto" w:fill="auto"/>
            <w:vAlign w:val="center"/>
          </w:tcPr>
          <w:p w14:paraId="0502B9DC">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color w:val="auto"/>
                <w:lang w:val="en-US" w:eastAsia="zh-CN"/>
              </w:rPr>
            </w:pPr>
            <w:r>
              <w:rPr>
                <w:rFonts w:hint="eastAsia"/>
                <w:color w:val="auto"/>
              </w:rPr>
              <w:t xml:space="preserve">附件1 </w:t>
            </w:r>
            <w:r>
              <w:rPr>
                <w:rFonts w:hint="eastAsia"/>
                <w:color w:val="auto"/>
                <w:lang w:val="en-US" w:eastAsia="zh-CN"/>
              </w:rPr>
              <w:t>应急救援领导小组成员通讯簿</w:t>
            </w:r>
          </w:p>
          <w:p w14:paraId="0B597648">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color w:val="auto"/>
                <w:lang w:val="en-US" w:eastAsia="zh-CN"/>
              </w:rPr>
            </w:pPr>
            <w:r>
              <w:rPr>
                <w:rFonts w:hint="eastAsia"/>
                <w:color w:val="auto"/>
              </w:rPr>
              <w:t xml:space="preserve">附件2 </w:t>
            </w:r>
            <w:r>
              <w:rPr>
                <w:rFonts w:hint="eastAsia"/>
                <w:color w:val="auto"/>
                <w:lang w:val="en-US" w:eastAsia="zh-CN"/>
              </w:rPr>
              <w:t>外部应急救援系统电话号码表</w:t>
            </w:r>
          </w:p>
          <w:p w14:paraId="4C5814A3">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color w:val="auto"/>
                <w:lang w:val="en-US" w:eastAsia="zh-CN"/>
              </w:rPr>
            </w:pPr>
            <w:r>
              <w:rPr>
                <w:rFonts w:hint="eastAsia"/>
                <w:color w:val="auto"/>
              </w:rPr>
              <w:t xml:space="preserve">附件3 </w:t>
            </w:r>
            <w:r>
              <w:rPr>
                <w:rFonts w:hint="eastAsia"/>
                <w:color w:val="auto"/>
                <w:lang w:val="en-US" w:eastAsia="zh-CN"/>
              </w:rPr>
              <w:t>突发环境事件应急响应流程图</w:t>
            </w:r>
          </w:p>
          <w:p w14:paraId="1B2624A3">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color w:val="auto"/>
                <w:lang w:val="en-US" w:eastAsia="zh-CN"/>
              </w:rPr>
            </w:pPr>
            <w:r>
              <w:rPr>
                <w:rFonts w:hint="eastAsia"/>
                <w:color w:val="auto"/>
              </w:rPr>
              <w:t xml:space="preserve">附件4 </w:t>
            </w:r>
            <w:r>
              <w:rPr>
                <w:rFonts w:hint="eastAsia"/>
                <w:color w:val="auto"/>
                <w:lang w:val="en-US" w:eastAsia="zh-CN"/>
              </w:rPr>
              <w:t>百口泉采油厂应急状态启动令、解除令</w:t>
            </w:r>
          </w:p>
          <w:p w14:paraId="26909CF2">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color w:val="auto"/>
                <w:lang w:val="en-US" w:eastAsia="zh-CN"/>
              </w:rPr>
            </w:pPr>
            <w:r>
              <w:rPr>
                <w:rFonts w:hint="eastAsia"/>
                <w:color w:val="auto"/>
              </w:rPr>
              <w:t>附件5</w:t>
            </w:r>
            <w:r>
              <w:rPr>
                <w:rFonts w:hint="eastAsia"/>
                <w:color w:val="auto"/>
                <w:lang w:val="en-US" w:eastAsia="zh-CN"/>
              </w:rPr>
              <w:t>突发环境事件报告</w:t>
            </w:r>
          </w:p>
          <w:p w14:paraId="4429DA79">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color w:val="auto"/>
              </w:rPr>
            </w:pPr>
            <w:r>
              <w:rPr>
                <w:rFonts w:hint="eastAsia"/>
                <w:color w:val="auto"/>
              </w:rPr>
              <w:t xml:space="preserve">附件6 </w:t>
            </w:r>
            <w:r>
              <w:rPr>
                <w:rFonts w:hint="eastAsia"/>
                <w:color w:val="auto"/>
                <w:lang w:val="en-US" w:eastAsia="zh-CN"/>
              </w:rPr>
              <w:t>环境风险评估结果</w:t>
            </w:r>
          </w:p>
        </w:tc>
      </w:tr>
    </w:tbl>
    <w:p w14:paraId="510F2F7E">
      <w:pPr>
        <w:pStyle w:val="33"/>
        <w:bidi w:val="0"/>
        <w:rPr>
          <w:rFonts w:hint="eastAsia" w:ascii="Times New Roman" w:hAnsi="Times New Roman" w:eastAsia="宋体" w:cs="Times New Roman"/>
          <w:color w:val="auto"/>
          <w:lang w:val="en-US" w:eastAsia="zh-CN"/>
        </w:rPr>
      </w:pPr>
      <w:r>
        <w:rPr>
          <w:color w:val="auto"/>
        </w:rPr>
        <w:t>建设单位已编制《</w:t>
      </w:r>
      <w:r>
        <w:rPr>
          <w:rFonts w:hint="eastAsia"/>
          <w:color w:val="auto"/>
          <w:lang w:val="en-US" w:eastAsia="zh-CN"/>
        </w:rPr>
        <w:t>新疆油田公司百口泉采油厂</w:t>
      </w:r>
      <w:r>
        <w:rPr>
          <w:color w:val="auto"/>
        </w:rPr>
        <w:t>突发环境事件</w:t>
      </w:r>
      <w:r>
        <w:rPr>
          <w:rFonts w:hint="eastAsia"/>
          <w:color w:val="auto"/>
          <w:lang w:val="en-US" w:eastAsia="zh-CN"/>
        </w:rPr>
        <w:t>专项</w:t>
      </w:r>
      <w:r>
        <w:rPr>
          <w:color w:val="auto"/>
        </w:rPr>
        <w:t>应急预案》，并在</w:t>
      </w:r>
      <w:r>
        <w:rPr>
          <w:rFonts w:hint="eastAsia"/>
          <w:color w:val="auto"/>
          <w:lang w:val="en-US" w:eastAsia="zh-CN"/>
        </w:rPr>
        <w:t>克拉玛依</w:t>
      </w:r>
      <w:r>
        <w:rPr>
          <w:color w:val="auto"/>
        </w:rPr>
        <w:t>市生态环境局</w:t>
      </w:r>
      <w:r>
        <w:rPr>
          <w:rFonts w:hint="eastAsia"/>
          <w:color w:val="auto"/>
          <w:lang w:val="en-US" w:eastAsia="zh-CN"/>
        </w:rPr>
        <w:t>乌尔禾区</w:t>
      </w:r>
      <w:r>
        <w:rPr>
          <w:color w:val="auto"/>
        </w:rPr>
        <w:t>分局备案（备案号：</w:t>
      </w:r>
      <w:r>
        <w:rPr>
          <w:rFonts w:hint="eastAsia"/>
          <w:color w:val="auto"/>
          <w:lang w:val="en-US" w:eastAsia="zh-CN"/>
        </w:rPr>
        <w:t>650205-2024-009</w:t>
      </w:r>
      <w:r>
        <w:rPr>
          <w:color w:val="auto"/>
        </w:rPr>
        <w:t>-</w:t>
      </w:r>
      <w:r>
        <w:rPr>
          <w:rFonts w:hint="eastAsia"/>
          <w:color w:val="auto"/>
          <w:lang w:val="en-US" w:eastAsia="zh-CN"/>
        </w:rPr>
        <w:t>L</w:t>
      </w:r>
      <w:r>
        <w:rPr>
          <w:color w:val="auto"/>
        </w:rPr>
        <w:t>）和</w:t>
      </w:r>
      <w:r>
        <w:rPr>
          <w:rFonts w:hint="eastAsia"/>
          <w:color w:val="auto"/>
          <w:lang w:val="en-US" w:eastAsia="zh-CN"/>
        </w:rPr>
        <w:t>塔城地区</w:t>
      </w:r>
      <w:r>
        <w:rPr>
          <w:color w:val="auto"/>
        </w:rPr>
        <w:t>生态环境局</w:t>
      </w:r>
      <w:r>
        <w:rPr>
          <w:rFonts w:hint="eastAsia"/>
          <w:color w:val="auto"/>
          <w:lang w:val="en-US" w:eastAsia="zh-CN"/>
        </w:rPr>
        <w:t>和布克赛尔蒙古自治县</w:t>
      </w:r>
      <w:r>
        <w:rPr>
          <w:color w:val="auto"/>
        </w:rPr>
        <w:t>分局备案（备案号：</w:t>
      </w:r>
      <w:r>
        <w:rPr>
          <w:rFonts w:hint="eastAsia"/>
          <w:color w:val="auto"/>
          <w:lang w:val="en-US" w:eastAsia="zh-CN"/>
        </w:rPr>
        <w:t>654226-2024-005</w:t>
      </w:r>
      <w:r>
        <w:rPr>
          <w:color w:val="auto"/>
        </w:rPr>
        <w:t>-L）。</w:t>
      </w:r>
      <w:r>
        <w:rPr>
          <w:rFonts w:hint="eastAsia"/>
          <w:color w:val="auto"/>
        </w:rPr>
        <w:t>应急预案的内容满足</w:t>
      </w:r>
      <w:bookmarkStart w:id="303" w:name="_Hlk71551979"/>
      <w:r>
        <w:rPr>
          <w:rFonts w:hint="eastAsia"/>
          <w:color w:val="auto"/>
        </w:rPr>
        <w:t>《建设项目环境风险评价技术导则》（HJ169-2018）</w:t>
      </w:r>
      <w:bookmarkEnd w:id="303"/>
      <w:r>
        <w:rPr>
          <w:rFonts w:hint="eastAsia"/>
          <w:color w:val="auto"/>
        </w:rPr>
        <w:t>突发环境事件应急预案编制要求，</w:t>
      </w:r>
      <w:bookmarkStart w:id="304" w:name="_Hlk71552081"/>
      <w:r>
        <w:rPr>
          <w:rFonts w:hint="eastAsia"/>
          <w:color w:val="auto"/>
        </w:rPr>
        <w:t>按照应急预案要求进行了定期演练，</w:t>
      </w:r>
      <w:r>
        <w:rPr>
          <w:rFonts w:hint="eastAsia"/>
          <w:color w:val="auto"/>
          <w:lang w:val="en-US" w:eastAsia="zh-CN"/>
        </w:rPr>
        <w:t>准备了</w:t>
      </w:r>
      <w:r>
        <w:rPr>
          <w:rFonts w:hint="eastAsia"/>
          <w:color w:val="auto"/>
        </w:rPr>
        <w:t>相应的应急物资</w:t>
      </w:r>
      <w:bookmarkEnd w:id="304"/>
      <w:r>
        <w:rPr>
          <w:rFonts w:hint="eastAsia"/>
          <w:color w:val="auto"/>
        </w:rPr>
        <w:t>。</w:t>
      </w:r>
    </w:p>
    <w:p w14:paraId="17ADDA37">
      <w:pPr>
        <w:pStyle w:val="6"/>
        <w:bidi w:val="0"/>
        <w:rPr>
          <w:rFonts w:hint="default"/>
          <w:color w:val="auto"/>
          <w:lang w:val="en-US" w:eastAsia="zh-CN"/>
        </w:rPr>
      </w:pPr>
      <w:r>
        <w:rPr>
          <w:rFonts w:hint="eastAsia"/>
          <w:color w:val="auto"/>
          <w:lang w:val="en-US" w:eastAsia="zh-CN"/>
        </w:rPr>
        <w:t>6.4.3.2突发环境事件应急措施</w:t>
      </w:r>
    </w:p>
    <w:p w14:paraId="7640F558">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1、应急响应</w:t>
      </w:r>
    </w:p>
    <w:p w14:paraId="2D268E34">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任何单位和个人发现公司级突发环境事件时，应立即报告油田公司应急指挥中心，应急指挥中心立即向指挥长报告，同时通知各位副指挥长、成员部门及单位。发生重大突发环境事件后，事件单位在向公司应急指挥中心报告的同时，应立即启动本单位的环境应急预案，组织本单位各种救援队伍和职工采取有效措施控制危害源，进行全面的自救。环境突发事件应急响应流程图见图6.4-2。</w:t>
      </w:r>
    </w:p>
    <w:p w14:paraId="35EC49B6">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2、应急监测</w:t>
      </w:r>
    </w:p>
    <w:p w14:paraId="3951452B">
      <w:pPr>
        <w:pStyle w:val="33"/>
        <w:bidi w:val="0"/>
        <w:rPr>
          <w:rFonts w:hint="eastAsia" w:ascii="Times New Roman" w:hAnsi="Times New Roman" w:eastAsia="宋体" w:cs="Times New Roman"/>
          <w:color w:val="auto"/>
          <w:lang w:val="en-US" w:eastAsia="zh-CN"/>
        </w:rPr>
      </w:pPr>
      <w:bookmarkStart w:id="305" w:name="_Toc174214549"/>
      <w:r>
        <w:rPr>
          <w:rFonts w:hint="eastAsia" w:ascii="Times New Roman" w:hAnsi="Times New Roman" w:eastAsia="宋体" w:cs="Times New Roman"/>
          <w:color w:val="auto"/>
          <w:lang w:val="en-US" w:eastAsia="zh-CN"/>
        </w:rPr>
        <w:t>（1）环境</w:t>
      </w:r>
      <w:r>
        <w:rPr>
          <w:rFonts w:hint="eastAsia" w:cs="Times New Roman"/>
          <w:color w:val="auto"/>
          <w:lang w:val="en-US" w:eastAsia="zh-CN"/>
        </w:rPr>
        <w:t>监测</w:t>
      </w:r>
      <w:r>
        <w:rPr>
          <w:rFonts w:hint="eastAsia" w:ascii="Times New Roman" w:hAnsi="Times New Roman" w:eastAsia="宋体" w:cs="Times New Roman"/>
          <w:color w:val="auto"/>
          <w:lang w:val="en-US" w:eastAsia="zh-CN"/>
        </w:rPr>
        <w:t>人员抵达现场后，立即组织检测监测，检测人员应携带检测仪器对现场进行检测</w:t>
      </w:r>
      <w:bookmarkEnd w:id="305"/>
      <w:bookmarkStart w:id="306" w:name="_Toc174214550"/>
      <w:r>
        <w:rPr>
          <w:rFonts w:hint="eastAsia" w:ascii="Times New Roman" w:hAnsi="Times New Roman" w:eastAsia="宋体" w:cs="Times New Roman"/>
          <w:color w:val="auto"/>
          <w:lang w:val="en-US" w:eastAsia="zh-CN"/>
        </w:rPr>
        <w:t xml:space="preserve">，确定可燃及有毒有害气体的浓度。 </w:t>
      </w:r>
    </w:p>
    <w:p w14:paraId="7864719D">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（2）在进入现场前，确认事故现场检测合格后，应急救援人员方可进入现场。</w:t>
      </w:r>
      <w:bookmarkEnd w:id="306"/>
    </w:p>
    <w:p w14:paraId="40C2B8A7">
      <w:pPr>
        <w:pStyle w:val="33"/>
        <w:bidi w:val="0"/>
        <w:rPr>
          <w:rFonts w:hint="eastAsia" w:ascii="Times New Roman" w:hAnsi="Times New Roman" w:eastAsia="宋体" w:cs="Times New Roman"/>
          <w:color w:val="auto"/>
          <w:lang w:val="en-US" w:eastAsia="zh-CN"/>
        </w:rPr>
      </w:pPr>
      <w:bookmarkStart w:id="307" w:name="_Toc174214556"/>
      <w:r>
        <w:rPr>
          <w:rFonts w:hint="eastAsia" w:ascii="Times New Roman" w:hAnsi="Times New Roman" w:eastAsia="宋体" w:cs="Times New Roman"/>
          <w:color w:val="auto"/>
          <w:lang w:val="en-US" w:eastAsia="zh-CN"/>
        </w:rPr>
        <w:t>（3）现场监测过程中，监测人员一旦发现异常情况，应立即向现场人员发出警告，同时报告</w:t>
      </w:r>
      <w:bookmarkEnd w:id="307"/>
      <w:r>
        <w:rPr>
          <w:rFonts w:hint="eastAsia" w:ascii="Times New Roman" w:hAnsi="Times New Roman" w:eastAsia="宋体" w:cs="Times New Roman"/>
          <w:color w:val="auto"/>
          <w:lang w:val="en-US" w:eastAsia="zh-CN"/>
        </w:rPr>
        <w:t>现场应急指挥部。</w:t>
      </w:r>
    </w:p>
    <w:p w14:paraId="7F3AB910">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3、应急处置措施</w:t>
      </w:r>
    </w:p>
    <w:p w14:paraId="6541EFEF">
      <w:pPr>
        <w:pStyle w:val="33"/>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）原油、</w:t>
      </w:r>
      <w:r>
        <w:rPr>
          <w:rFonts w:hint="eastAsia" w:ascii="Times New Roman" w:hAnsi="Times New Roman" w:eastAsia="宋体" w:cs="Times New Roman"/>
          <w:color w:val="auto"/>
          <w:lang w:val="en-US" w:eastAsia="zh-CN"/>
        </w:rPr>
        <w:t>伴生气</w:t>
      </w:r>
      <w:r>
        <w:rPr>
          <w:rFonts w:hint="eastAsia" w:ascii="Times New Roman" w:hAnsi="Times New Roman" w:eastAsia="宋体" w:cs="Times New Roman"/>
          <w:color w:val="auto"/>
          <w:lang w:eastAsia="zh-CN"/>
        </w:rPr>
        <w:t>事故应急处置措施见</w:t>
      </w:r>
      <w:r>
        <w:rPr>
          <w:rFonts w:hint="eastAsia" w:ascii="Times New Roman" w:hAnsi="Times New Roman" w:eastAsia="宋体" w:cs="Times New Roman"/>
          <w:color w:val="auto"/>
          <w:lang w:eastAsia="zh-CN"/>
        </w:rPr>
        <w:fldChar w:fldCharType="begin"/>
      </w:r>
      <w:r>
        <w:rPr>
          <w:rFonts w:hint="eastAsia" w:ascii="Times New Roman" w:hAnsi="Times New Roman" w:eastAsia="宋体" w:cs="Times New Roman"/>
          <w:color w:val="auto"/>
          <w:lang w:eastAsia="zh-CN"/>
        </w:rPr>
        <w:instrText xml:space="preserve"> REF _Ref30751 \h </w:instrText>
      </w:r>
      <w:r>
        <w:rPr>
          <w:rFonts w:hint="eastAsia" w:ascii="Times New Roman" w:hAnsi="Times New Roman" w:eastAsia="宋体" w:cs="Times New Roman"/>
          <w:color w:val="auto"/>
          <w:lang w:eastAsia="zh-CN"/>
        </w:rPr>
        <w:fldChar w:fldCharType="separate"/>
      </w:r>
      <w:r>
        <w:rPr>
          <w:rFonts w:hint="eastAsia" w:ascii="Times New Roman" w:hAnsi="Times New Roman" w:eastAsia="宋体" w:cs="Times New Roman"/>
          <w:color w:val="auto"/>
          <w:lang w:eastAsia="zh-CN"/>
        </w:rPr>
        <w:t>表</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lang w:eastAsia="zh-CN"/>
        </w:rPr>
        <w:fldChar w:fldCharType="end"/>
      </w:r>
      <w:r>
        <w:rPr>
          <w:rFonts w:hint="eastAsia" w:ascii="Times New Roman" w:hAnsi="Times New Roman" w:eastAsia="宋体" w:cs="Times New Roman"/>
          <w:color w:val="auto"/>
          <w:lang w:val="en-US" w:eastAsia="zh-CN"/>
        </w:rPr>
        <w:t>.4-4</w:t>
      </w:r>
      <w:r>
        <w:rPr>
          <w:rFonts w:hint="eastAsia" w:ascii="Times New Roman" w:hAnsi="Times New Roman" w:eastAsia="宋体" w:cs="Times New Roman"/>
          <w:color w:val="auto"/>
          <w:lang w:eastAsia="zh-CN"/>
        </w:rPr>
        <w:t>。</w:t>
      </w:r>
    </w:p>
    <w:p w14:paraId="6FF97B51">
      <w:pPr>
        <w:pStyle w:val="43"/>
        <w:bidi w:val="0"/>
        <w:rPr>
          <w:rFonts w:hint="eastAsia"/>
          <w:color w:val="auto"/>
        </w:rPr>
      </w:pPr>
      <w:bookmarkStart w:id="308" w:name="_Ref30751"/>
      <w:r>
        <w:rPr>
          <w:color w:val="auto"/>
        </w:rPr>
        <w:t>表</w:t>
      </w:r>
      <w:bookmarkEnd w:id="308"/>
      <w:r>
        <w:rPr>
          <w:rFonts w:hint="eastAsia"/>
          <w:color w:val="auto"/>
          <w:lang w:val="en-US" w:eastAsia="zh-CN"/>
        </w:rPr>
        <w:t>6.4-4</w:t>
      </w:r>
      <w:r>
        <w:rPr>
          <w:rFonts w:hint="eastAsia"/>
          <w:color w:val="auto"/>
        </w:rPr>
        <w:t xml:space="preserve">  原油、伴生气应急处置措施</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67"/>
        <w:gridCol w:w="7641"/>
      </w:tblGrid>
      <w:tr w14:paraId="34EC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blHeader/>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0DB0F12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原油应急处置措施</w:t>
            </w:r>
          </w:p>
        </w:tc>
      </w:tr>
      <w:tr w14:paraId="33B4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6" w:type="pct"/>
            <w:vMerge w:val="restart"/>
            <w:tcBorders>
              <w:top w:val="single" w:color="auto" w:sz="4" w:space="0"/>
              <w:left w:val="single" w:color="auto" w:sz="4" w:space="0"/>
              <w:bottom w:val="single" w:color="auto" w:sz="4" w:space="0"/>
              <w:right w:val="single" w:color="auto" w:sz="4" w:space="0"/>
            </w:tcBorders>
            <w:vAlign w:val="center"/>
          </w:tcPr>
          <w:p w14:paraId="1BAEF2CA">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急救</w:t>
            </w:r>
          </w:p>
        </w:tc>
        <w:tc>
          <w:tcPr>
            <w:tcW w:w="4544" w:type="pct"/>
            <w:tcBorders>
              <w:top w:val="single" w:color="auto" w:sz="4" w:space="0"/>
              <w:left w:val="single" w:color="auto" w:sz="4" w:space="0"/>
              <w:bottom w:val="single" w:color="auto" w:sz="4" w:space="0"/>
              <w:right w:val="single" w:color="auto" w:sz="4" w:space="0"/>
            </w:tcBorders>
            <w:vAlign w:val="center"/>
          </w:tcPr>
          <w:p w14:paraId="228D33B0">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吸入：迅速脱离现场至空气新鲜处。注意保暖，呼吸困难时输氧。呼吸停止时，立即进行人工呼吸。</w:t>
            </w:r>
          </w:p>
          <w:p w14:paraId="3EE1EC2C">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误服：误服者应充分漱口、饮水。</w:t>
            </w:r>
          </w:p>
        </w:tc>
      </w:tr>
      <w:tr w14:paraId="7309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6" w:type="pct"/>
            <w:vMerge w:val="continue"/>
            <w:tcBorders>
              <w:top w:val="single" w:color="auto" w:sz="4" w:space="0"/>
              <w:left w:val="single" w:color="auto" w:sz="4" w:space="0"/>
              <w:bottom w:val="single" w:color="auto" w:sz="4" w:space="0"/>
              <w:right w:val="single" w:color="auto" w:sz="4" w:space="0"/>
            </w:tcBorders>
            <w:vAlign w:val="center"/>
          </w:tcPr>
          <w:p w14:paraId="052F03C0">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4544" w:type="pct"/>
            <w:tcBorders>
              <w:top w:val="single" w:color="auto" w:sz="4" w:space="0"/>
              <w:left w:val="single" w:color="auto" w:sz="4" w:space="0"/>
              <w:bottom w:val="single" w:color="auto" w:sz="4" w:space="0"/>
              <w:right w:val="single" w:color="auto" w:sz="4" w:space="0"/>
            </w:tcBorders>
            <w:vAlign w:val="center"/>
          </w:tcPr>
          <w:p w14:paraId="77BA871F">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皮肤接触：脱去污染的衣着，用肥皂水及清水彻底冲洗。</w:t>
            </w:r>
          </w:p>
          <w:p w14:paraId="2745A12D">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眼睛接触：立即提起眼睑，用流动清水冲洗。</w:t>
            </w:r>
          </w:p>
        </w:tc>
      </w:tr>
      <w:tr w14:paraId="67D6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vAlign w:val="center"/>
          </w:tcPr>
          <w:p w14:paraId="03C76C76">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泄漏</w:t>
            </w:r>
          </w:p>
          <w:p w14:paraId="050DFC9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处理</w:t>
            </w:r>
          </w:p>
        </w:tc>
        <w:tc>
          <w:tcPr>
            <w:tcW w:w="4544" w:type="pct"/>
            <w:tcBorders>
              <w:top w:val="single" w:color="auto" w:sz="4" w:space="0"/>
              <w:left w:val="single" w:color="auto" w:sz="4" w:space="0"/>
              <w:bottom w:val="single" w:color="auto" w:sz="4" w:space="0"/>
              <w:right w:val="single" w:color="auto" w:sz="4" w:space="0"/>
            </w:tcBorders>
            <w:vAlign w:val="center"/>
          </w:tcPr>
          <w:p w14:paraId="484F1849">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疏散泄漏污染区人员至安全区，禁止无关人员进入污染区，切断污染区的火源。应急处理人员戴自给式呼吸器，穿一般消防防护服。在确保安全情况下堵漏。喷水雾会减少蒸发，但不能降低泄漏物在受限空间内的易燃性。用砂土或其它惰性材料吸收，然后收集运至空旷的地方掩埋、蒸发或焚烧。如大量泄漏，应利用围堤收容，然后收集、转移、回收或无害处理后废弃。</w:t>
            </w:r>
          </w:p>
        </w:tc>
      </w:tr>
      <w:tr w14:paraId="57BA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vAlign w:val="center"/>
          </w:tcPr>
          <w:p w14:paraId="2CC3FB4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储运</w:t>
            </w:r>
          </w:p>
        </w:tc>
        <w:tc>
          <w:tcPr>
            <w:tcW w:w="4544" w:type="pct"/>
            <w:tcBorders>
              <w:top w:val="single" w:color="auto" w:sz="4" w:space="0"/>
              <w:left w:val="single" w:color="auto" w:sz="4" w:space="0"/>
              <w:bottom w:val="single" w:color="auto" w:sz="4" w:space="0"/>
              <w:right w:val="single" w:color="auto" w:sz="4" w:space="0"/>
            </w:tcBorders>
            <w:vAlign w:val="center"/>
          </w:tcPr>
          <w:p w14:paraId="1AFCE44F">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储存于阴凉、通风的仓间内。远离火种、热源。仓间温度不宜超过30℃。保持容器密闭。应与氧化剂、酸类物质分开存放。储存间内的照明、通风等设施应采用防爆型。配备相应品种和数量的消防器材。罐储，要有防火防爆技术措施。禁止使用产生火花的机械设备和工具。灌装时，注意流速不超过3m/s，且有接地装置，防止静电积聚。搬运时，要轻装轻卸，防止包装及容器损坏。</w:t>
            </w:r>
          </w:p>
        </w:tc>
      </w:tr>
      <w:tr w14:paraId="2714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1196B84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伴生气应急处置措施</w:t>
            </w:r>
          </w:p>
        </w:tc>
      </w:tr>
      <w:tr w14:paraId="6935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6" w:type="pct"/>
            <w:vMerge w:val="restart"/>
            <w:tcBorders>
              <w:top w:val="single" w:color="auto" w:sz="4" w:space="0"/>
              <w:left w:val="single" w:color="auto" w:sz="4" w:space="0"/>
              <w:bottom w:val="single" w:color="auto" w:sz="4" w:space="0"/>
              <w:right w:val="single" w:color="auto" w:sz="4" w:space="0"/>
            </w:tcBorders>
            <w:vAlign w:val="center"/>
          </w:tcPr>
          <w:p w14:paraId="59F2DAA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急救</w:t>
            </w:r>
          </w:p>
        </w:tc>
        <w:tc>
          <w:tcPr>
            <w:tcW w:w="4544" w:type="pct"/>
            <w:tcBorders>
              <w:top w:val="single" w:color="auto" w:sz="4" w:space="0"/>
              <w:left w:val="single" w:color="auto" w:sz="4" w:space="0"/>
              <w:bottom w:val="single" w:color="auto" w:sz="4" w:space="0"/>
              <w:right w:val="single" w:color="auto" w:sz="4" w:space="0"/>
            </w:tcBorders>
            <w:vAlign w:val="center"/>
          </w:tcPr>
          <w:p w14:paraId="4537CB87">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吸入：迅速脱离现场至空气新鲜处。保持呼吸道通畅。如呼吸困难，给输氧。如呼吸停止，立即进行人工呼吸。就医。</w:t>
            </w:r>
          </w:p>
        </w:tc>
      </w:tr>
      <w:tr w14:paraId="5A01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6" w:type="pct"/>
            <w:vMerge w:val="continue"/>
            <w:tcBorders>
              <w:top w:val="single" w:color="auto" w:sz="4" w:space="0"/>
              <w:left w:val="single" w:color="auto" w:sz="4" w:space="0"/>
              <w:bottom w:val="single" w:color="auto" w:sz="4" w:space="0"/>
              <w:right w:val="single" w:color="auto" w:sz="4" w:space="0"/>
            </w:tcBorders>
            <w:vAlign w:val="center"/>
          </w:tcPr>
          <w:p w14:paraId="1E818EC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p>
        </w:tc>
        <w:tc>
          <w:tcPr>
            <w:tcW w:w="4544" w:type="pct"/>
            <w:tcBorders>
              <w:top w:val="single" w:color="auto" w:sz="4" w:space="0"/>
              <w:left w:val="single" w:color="auto" w:sz="4" w:space="0"/>
              <w:bottom w:val="single" w:color="auto" w:sz="4" w:space="0"/>
              <w:right w:val="single" w:color="auto" w:sz="4" w:space="0"/>
            </w:tcBorders>
            <w:vAlign w:val="center"/>
          </w:tcPr>
          <w:p w14:paraId="25809BB5">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皮肤接触：若有冻伤，就医治疗。</w:t>
            </w:r>
          </w:p>
        </w:tc>
      </w:tr>
      <w:tr w14:paraId="6643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vAlign w:val="center"/>
          </w:tcPr>
          <w:p w14:paraId="00A81A14">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泄漏</w:t>
            </w:r>
          </w:p>
          <w:p w14:paraId="081AA258">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处理</w:t>
            </w:r>
          </w:p>
        </w:tc>
        <w:tc>
          <w:tcPr>
            <w:tcW w:w="4544" w:type="pct"/>
            <w:tcBorders>
              <w:top w:val="single" w:color="auto" w:sz="4" w:space="0"/>
              <w:left w:val="single" w:color="auto" w:sz="4" w:space="0"/>
              <w:bottom w:val="single" w:color="auto" w:sz="4" w:space="0"/>
              <w:right w:val="single" w:color="auto" w:sz="4" w:space="0"/>
            </w:tcBorders>
            <w:vAlign w:val="center"/>
          </w:tcPr>
          <w:p w14:paraId="60121356">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迅速撤离泄漏污染区人员至上风处，并进行隔离，严格限制出入。切断火源。建议应急处理人员戴自给正压式呼吸器，穿防寒服。不要直接接触泄漏物。尽可能切断泄漏源。用工业覆盖层或吸附/吸收剂盖住泄漏点附近的下水道等地方，防止气体进入。合理通风，加速扩散。喷雾状水稀释。漏气容器要妥善处理，修复、检验后再用。</w:t>
            </w:r>
          </w:p>
        </w:tc>
      </w:tr>
      <w:tr w14:paraId="1F02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vAlign w:val="center"/>
          </w:tcPr>
          <w:p w14:paraId="5E3CAFCB">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color w:val="auto"/>
              </w:rPr>
              <w:t>储运</w:t>
            </w:r>
          </w:p>
        </w:tc>
        <w:tc>
          <w:tcPr>
            <w:tcW w:w="4544" w:type="pct"/>
            <w:tcBorders>
              <w:top w:val="single" w:color="auto" w:sz="4" w:space="0"/>
              <w:left w:val="single" w:color="auto" w:sz="4" w:space="0"/>
              <w:bottom w:val="single" w:color="auto" w:sz="4" w:space="0"/>
              <w:right w:val="single" w:color="auto" w:sz="4" w:space="0"/>
            </w:tcBorders>
            <w:vAlign w:val="center"/>
          </w:tcPr>
          <w:p w14:paraId="781EF2A4">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color w:val="auto"/>
              </w:rPr>
            </w:pPr>
            <w:r>
              <w:rPr>
                <w:color w:val="auto"/>
              </w:rPr>
              <w:t>储存于阴凉、通风仓库内，室内温度小于30℃；远离火种、热源；应与氧化剂、卤素分开存放切忌混储。储存间内的照明、通风等设施应采用防爆型。禁止使用易产生火花的机械设备和工具，储区应备有泄漏应急处理设备。</w:t>
            </w:r>
          </w:p>
        </w:tc>
      </w:tr>
    </w:tbl>
    <w:p w14:paraId="35FC6FF7">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输油管线风险事故应急措施</w:t>
      </w:r>
    </w:p>
    <w:p w14:paraId="273F8B54">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①正确分析判断</w:t>
      </w:r>
      <w:r>
        <w:rPr>
          <w:rFonts w:hint="eastAsia" w:cs="Times New Roman"/>
          <w:color w:val="auto"/>
          <w:lang w:eastAsia="zh-CN"/>
        </w:rPr>
        <w:t>突发</w:t>
      </w:r>
      <w:r>
        <w:rPr>
          <w:rFonts w:hint="eastAsia" w:ascii="Times New Roman" w:hAnsi="Times New Roman" w:eastAsia="宋体" w:cs="Times New Roman"/>
          <w:color w:val="auto"/>
        </w:rPr>
        <w:t>事故发生管段的位置，用最快的办法切断管段上、下游的截断阀，同时组织人力对原油泄漏危险区进行警戒。</w:t>
      </w:r>
    </w:p>
    <w:p w14:paraId="393089F0">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②立即将事故简要报告上级主管领导、生产指挥系统，通知当地主管部门加强防范措施。</w:t>
      </w:r>
    </w:p>
    <w:p w14:paraId="5955F596">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③组织抢修队伍迅速奔赴现场。在现场领导小组的统一组织指挥下，按照制定的抢修方案和安全措施，周密组织，分工负责，在确保安全的前提下进行抢修。</w:t>
      </w:r>
    </w:p>
    <w:p w14:paraId="6D504B5C">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④组织抢修队伍人工开挖集油池，并用砂土、水泥等及时围堵或导流，防止泄漏物向周边流散。</w:t>
      </w:r>
    </w:p>
    <w:p w14:paraId="433576B1">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⑤险情排除后迅速清理应急现场，回收原油，对少量无法回收的油泥，应在当地环保局的批准下妥善处理，最大限度</w:t>
      </w:r>
      <w:r>
        <w:rPr>
          <w:rFonts w:hint="eastAsia" w:cs="Times New Roman"/>
          <w:color w:val="auto"/>
          <w:lang w:eastAsia="zh-CN"/>
        </w:rPr>
        <w:t>地</w:t>
      </w:r>
      <w:r>
        <w:rPr>
          <w:rFonts w:hint="eastAsia" w:ascii="Times New Roman" w:hAnsi="Times New Roman" w:eastAsia="宋体" w:cs="Times New Roman"/>
          <w:color w:val="auto"/>
        </w:rPr>
        <w:t>消除危害。</w:t>
      </w:r>
    </w:p>
    <w:p w14:paraId="7485110D">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管线堵塞的处理</w:t>
      </w:r>
    </w:p>
    <w:p w14:paraId="4C40DFD5">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引起管线堵塞的原因</w:t>
      </w:r>
      <w:r>
        <w:rPr>
          <w:rFonts w:hint="eastAsia" w:cs="Times New Roman"/>
          <w:color w:val="auto"/>
          <w:lang w:eastAsia="zh-CN"/>
        </w:rPr>
        <w:t>如下</w:t>
      </w:r>
      <w:r>
        <w:rPr>
          <w:rFonts w:hint="eastAsia" w:ascii="Times New Roman" w:hAnsi="Times New Roman" w:eastAsia="宋体" w:cs="Times New Roman"/>
          <w:color w:val="auto"/>
        </w:rPr>
        <w:t>：因污物过多或管线发生较大变形，使清管被卡；应根据运行情况判断堵塞点的位置、分析堵塞原因，分别采取相应措施。</w:t>
      </w:r>
    </w:p>
    <w:p w14:paraId="7C9A3B5E">
      <w:pPr>
        <w:pStyle w:val="33"/>
        <w:bidi w:val="0"/>
        <w:rPr>
          <w:rFonts w:hint="eastAsia" w:ascii="Times New Roman" w:hAnsi="Times New Roman" w:eastAsia="宋体" w:cs="Times New Roman"/>
          <w:color w:val="auto"/>
        </w:rPr>
      </w:pPr>
      <w:bookmarkStart w:id="309" w:name="_Toc8631041"/>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通讯系统事故的处理</w:t>
      </w:r>
      <w:bookmarkEnd w:id="309"/>
    </w:p>
    <w:p w14:paraId="40E38F0E">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当站间通讯中断或与控制中心的联络中断时，此时现场操作人员要提高警惕、谨慎操作，密切注意运行参数的变化，及时调整，判断输油系统的工作是否正常并安排维修人员应立即对通讯系统进行检查维修。</w:t>
      </w:r>
    </w:p>
    <w:p w14:paraId="0A51DAE8">
      <w:pPr>
        <w:pStyle w:val="2"/>
        <w:bidi w:val="0"/>
        <w:rPr>
          <w:rFonts w:hint="default"/>
          <w:color w:val="auto"/>
          <w:lang w:val="en-US" w:eastAsia="zh-CN"/>
        </w:rPr>
      </w:pPr>
      <w:bookmarkStart w:id="310" w:name="_Toc4077"/>
      <w:r>
        <w:rPr>
          <w:rFonts w:hint="eastAsia"/>
          <w:color w:val="auto"/>
          <w:lang w:val="en-US" w:eastAsia="zh-CN"/>
        </w:rPr>
        <w:t>6.5退役期环境保护措施</w:t>
      </w:r>
      <w:bookmarkEnd w:id="310"/>
    </w:p>
    <w:p w14:paraId="6853D8AC">
      <w:pPr>
        <w:pStyle w:val="5"/>
        <w:bidi w:val="0"/>
        <w:rPr>
          <w:rFonts w:hint="default"/>
          <w:color w:val="auto"/>
          <w:lang w:val="en-US" w:eastAsia="zh-CN"/>
        </w:rPr>
      </w:pPr>
      <w:r>
        <w:rPr>
          <w:rFonts w:hint="eastAsia"/>
          <w:color w:val="auto"/>
          <w:lang w:val="en-US" w:eastAsia="zh-CN"/>
        </w:rPr>
        <w:t>6.5.1退役期污染防治措施</w:t>
      </w:r>
    </w:p>
    <w:p w14:paraId="58E0D7D5">
      <w:pPr>
        <w:pStyle w:val="33"/>
        <w:bidi w:val="0"/>
        <w:rPr>
          <w:rFonts w:ascii="Times New Roman" w:hAnsi="Times New Roman" w:eastAsia="宋体" w:cs="Times New Roman"/>
          <w:color w:val="auto"/>
        </w:rPr>
      </w:pPr>
      <w:r>
        <w:rPr>
          <w:rFonts w:ascii="Times New Roman" w:hAnsi="Times New Roman" w:eastAsia="宋体" w:cs="Times New Roman"/>
          <w:color w:val="auto"/>
        </w:rPr>
        <w:t>退役期主要污染源是井场设备拆除、井场清理产生的扬尘和固体废物以及管线封堵产生的废物等，主要污染防治措施如下：</w:t>
      </w:r>
    </w:p>
    <w:p w14:paraId="3D5F4991">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油井退役后，对废弃井架、井台进行拆除，对出油管线进行清扫和封堵，对废弃井的井眼进行封堵。</w:t>
      </w:r>
    </w:p>
    <w:p w14:paraId="53D3D574">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井口拆除和管线清扫封堵作业过程中产生的固体废物应按要求妥善处置，彻底清理回收井场内的落地油及输油管线内残余的原油，避免对土壤和浅层地下水造成污染。属于危险废物的，应送有资质的单位进行处置，废弃设备、管线经清洗后作为废旧物资回收，按规定进行处置，建筑垃圾外运至指定填埋场填埋处置。</w:t>
      </w:r>
    </w:p>
    <w:p w14:paraId="077005E7">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对井场永久占地范围内的水泥平台或砂砾石铺垫进行清理，并及时进行植被恢复。对报废井、套损井、服役期满井采取彻底的水泥封井措施，在表层套管（或技术套管）内注200m以上的水泥塞封弃井。</w:t>
      </w:r>
    </w:p>
    <w:p w14:paraId="17F57E27">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退役期作业车辆应固定线路和作业范围，禁止随意开路、停放，践踏和破坏植被，应尽量减少占用和破坏植被，将影响严格控制在征地范围内。</w:t>
      </w:r>
    </w:p>
    <w:p w14:paraId="31EBA9B2">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井场封堵完成后建立封井档案，封堵完成后，及时将相关资料上报环保部门备案。在保留各类绿化、生态保护设施的基础上，恢复井场或原管线敷设带的原有地貌，使其与区域整体生态景观保持和谐一致。</w:t>
      </w:r>
    </w:p>
    <w:p w14:paraId="2F835844">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退役后，应按照污染地块土壤环境管理的有关规定，开展土壤和地下水环境调查，并按照相关管理规定对污染地块采取治理与修复措施。</w:t>
      </w:r>
    </w:p>
    <w:p w14:paraId="4150299D">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油井报废或退役后，应按照《陆上石油天然气生产环境保护推荐作法》（SY/T6628-2005）、《废弃井及长停井处置指南》（SY/T6646-2017）和《废弃井封井回填技术指南（试行〉》的相关要求执行。应对退役油井井口周边地下水和土壤环境开展跟踪监测。</w:t>
      </w:r>
    </w:p>
    <w:p w14:paraId="0E7DA8C2">
      <w:pPr>
        <w:pStyle w:val="33"/>
        <w:bidi w:val="0"/>
        <w:rPr>
          <w:rFonts w:ascii="Times New Roman" w:hAnsi="Times New Roman" w:eastAsia="宋体" w:cs="Times New Roman"/>
          <w:color w:val="auto"/>
        </w:rPr>
      </w:pPr>
      <w:r>
        <w:rPr>
          <w:rFonts w:ascii="Times New Roman" w:hAnsi="Times New Roman" w:eastAsia="宋体" w:cs="Times New Roman"/>
          <w:color w:val="auto"/>
        </w:rPr>
        <w:t>评价认为，在采取了上述退役期污染防治措施后，可减缓退役期对环境的影响。</w:t>
      </w:r>
    </w:p>
    <w:p w14:paraId="1D6597E6">
      <w:pPr>
        <w:pStyle w:val="5"/>
        <w:bidi w:val="0"/>
        <w:rPr>
          <w:rFonts w:hint="default"/>
          <w:color w:val="auto"/>
          <w:lang w:val="en-US" w:eastAsia="zh-CN"/>
        </w:rPr>
      </w:pPr>
      <w:r>
        <w:rPr>
          <w:rFonts w:hint="eastAsia"/>
          <w:color w:val="auto"/>
          <w:lang w:val="en-US" w:eastAsia="zh-CN"/>
        </w:rPr>
        <w:t>6.5.2封井的质控措施和要求</w:t>
      </w:r>
    </w:p>
    <w:p w14:paraId="28BEB538">
      <w:pPr>
        <w:pStyle w:val="33"/>
        <w:bidi w:val="0"/>
        <w:rPr>
          <w:rFonts w:ascii="Times New Roman" w:hAnsi="Times New Roman" w:eastAsia="宋体" w:cs="Times New Roman"/>
          <w:color w:val="auto"/>
        </w:rPr>
      </w:pPr>
      <w:r>
        <w:rPr>
          <w:rFonts w:ascii="Times New Roman" w:hAnsi="Times New Roman" w:eastAsia="宋体" w:cs="Times New Roman"/>
          <w:color w:val="auto"/>
        </w:rPr>
        <w:t>工艺原理：封井主要是在井内适当层段注入水泥塞，以防止井筒内形成流体串通通道，保护含水层免受地层流体或地表水窜入的污染，隔离开注采井段与未开采利用井段，保护地表土壤和地面水不受地层流体污染，隔离污水的层段，将地面土地使用冲突降低到</w:t>
      </w:r>
      <w:r>
        <w:rPr>
          <w:rFonts w:hint="eastAsia" w:cs="Times New Roman"/>
          <w:color w:val="auto"/>
          <w:lang w:eastAsia="zh-CN"/>
        </w:rPr>
        <w:t>最低程度</w:t>
      </w:r>
      <w:r>
        <w:rPr>
          <w:rFonts w:ascii="Times New Roman" w:hAnsi="Times New Roman" w:eastAsia="宋体" w:cs="Times New Roman"/>
          <w:color w:val="auto"/>
        </w:rPr>
        <w:t>。</w:t>
      </w:r>
    </w:p>
    <w:p w14:paraId="652D08C0">
      <w:pPr>
        <w:pStyle w:val="33"/>
        <w:bidi w:val="0"/>
        <w:rPr>
          <w:rFonts w:ascii="Times New Roman" w:hAnsi="Times New Roman" w:eastAsia="宋体" w:cs="Times New Roman"/>
          <w:color w:val="auto"/>
        </w:rPr>
      </w:pPr>
      <w:r>
        <w:rPr>
          <w:rFonts w:ascii="Times New Roman" w:hAnsi="Times New Roman" w:eastAsia="宋体" w:cs="Times New Roman"/>
          <w:color w:val="auto"/>
        </w:rPr>
        <w:t>封井质量要求：油水井不出现套返现象。</w:t>
      </w:r>
    </w:p>
    <w:p w14:paraId="4BAF754E">
      <w:pPr>
        <w:pStyle w:val="33"/>
        <w:bidi w:val="0"/>
        <w:rPr>
          <w:rFonts w:ascii="Times New Roman" w:hAnsi="Times New Roman" w:eastAsia="宋体" w:cs="Times New Roman"/>
          <w:color w:val="auto"/>
        </w:rPr>
      </w:pPr>
      <w:r>
        <w:rPr>
          <w:rFonts w:ascii="Times New Roman" w:hAnsi="Times New Roman" w:eastAsia="宋体" w:cs="Times New Roman"/>
          <w:color w:val="auto"/>
        </w:rPr>
        <w:t>封井质量控制：封井的作业程序包括，井口处理、套内处理、套外处理和封后井口处理几个过程，每</w:t>
      </w:r>
      <w:r>
        <w:rPr>
          <w:rFonts w:hint="eastAsia" w:cs="Times New Roman"/>
          <w:color w:val="auto"/>
          <w:lang w:eastAsia="zh-CN"/>
        </w:rPr>
        <w:t>一道</w:t>
      </w:r>
      <w:r>
        <w:rPr>
          <w:rFonts w:ascii="Times New Roman" w:hAnsi="Times New Roman" w:eastAsia="宋体" w:cs="Times New Roman"/>
          <w:color w:val="auto"/>
        </w:rPr>
        <w:t>工序都应当确保施工质量，确保封井质量。</w:t>
      </w:r>
    </w:p>
    <w:p w14:paraId="3B464A9D">
      <w:pPr>
        <w:pStyle w:val="33"/>
        <w:bidi w:val="0"/>
        <w:rPr>
          <w:rFonts w:ascii="Times New Roman" w:hAnsi="Times New Roman" w:eastAsia="宋体" w:cs="Times New Roman"/>
          <w:color w:val="auto"/>
        </w:rPr>
      </w:pPr>
      <w:r>
        <w:rPr>
          <w:rFonts w:ascii="Times New Roman" w:hAnsi="Times New Roman" w:eastAsia="宋体" w:cs="Times New Roman"/>
          <w:color w:val="auto"/>
        </w:rPr>
        <w:t>封井质量委托中国石油测井公司进行测量，采用声波技术对油井的封堵质量进行测量，绘制水泥胶结评价图，得出封井质量结果。</w:t>
      </w:r>
    </w:p>
    <w:p w14:paraId="3B00BE6E">
      <w:pPr>
        <w:pStyle w:val="5"/>
        <w:bidi w:val="0"/>
        <w:rPr>
          <w:rFonts w:hint="default"/>
          <w:color w:val="auto"/>
          <w:lang w:val="en-US" w:eastAsia="zh-CN"/>
        </w:rPr>
      </w:pPr>
      <w:r>
        <w:rPr>
          <w:rFonts w:hint="eastAsia"/>
          <w:color w:val="auto"/>
          <w:lang w:val="en-US" w:eastAsia="zh-CN"/>
        </w:rPr>
        <w:t>6.5.3退役期生态修复措施</w:t>
      </w:r>
    </w:p>
    <w:p w14:paraId="17AAF266">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（1）井场生态修复与重建措施</w:t>
      </w:r>
    </w:p>
    <w:p w14:paraId="6E20E03A">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①退役期油井退役后，应立即将油井的气层和井口封闭；并拆除井场采油设备，挖松夯实和固化的地面，并对井场土地进行平整、覆土、植被恢复。</w:t>
      </w:r>
    </w:p>
    <w:p w14:paraId="7A106A60">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②根据立地条件和因地制宜原则，对生态环境进行恢复和重建。井场植被恢复初期可撒播草籽，后期可种植</w:t>
      </w:r>
      <w:r>
        <w:rPr>
          <w:rFonts w:hint="eastAsia" w:ascii="Times New Roman" w:hAnsi="Times New Roman" w:eastAsia="宋体" w:cs="Times New Roman"/>
          <w:color w:val="auto"/>
          <w:lang w:val="en-US" w:eastAsia="zh-CN"/>
        </w:rPr>
        <w:t>梭梭</w:t>
      </w:r>
      <w:r>
        <w:rPr>
          <w:rFonts w:hint="eastAsia" w:ascii="Times New Roman" w:hAnsi="Times New Roman" w:eastAsia="宋体" w:cs="Times New Roman"/>
          <w:color w:val="auto"/>
        </w:rPr>
        <w:t>等灌木。</w:t>
      </w:r>
    </w:p>
    <w:p w14:paraId="4EEB24DE">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③保留各类绿化、生态保护设施，使油田开发区生态环境功能不变，生态环境质量不低于</w:t>
      </w:r>
      <w:r>
        <w:rPr>
          <w:rFonts w:hint="eastAsia" w:cs="Times New Roman"/>
          <w:color w:val="auto"/>
          <w:lang w:eastAsia="zh-CN"/>
        </w:rPr>
        <w:t>现状</w:t>
      </w:r>
      <w:r>
        <w:rPr>
          <w:rFonts w:hint="eastAsia" w:ascii="Times New Roman" w:hAnsi="Times New Roman" w:eastAsia="宋体" w:cs="Times New Roman"/>
          <w:color w:val="auto"/>
        </w:rPr>
        <w:t>。</w:t>
      </w:r>
    </w:p>
    <w:p w14:paraId="064C0DFA">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④在采油设备拆除过程中产生的落地油，应统一运往指定地点回收、处置，防止污染周围土壤环境。</w:t>
      </w:r>
    </w:p>
    <w:p w14:paraId="44772D7E">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⑤退役期站场应在退役期后12个月内予以拆除，同时挖松固化地面，并对站场土地进行平整、覆土和植被恢复，18个月内达到土地使用功能。</w:t>
      </w:r>
    </w:p>
    <w:p w14:paraId="6614061B">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（2）道路、管线生态修复与重建措施</w:t>
      </w:r>
    </w:p>
    <w:p w14:paraId="5B7AF9F6">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①对井场道路的永久占地要进行生态恢复，要及时恢复原有植被和生态景观，使油田开发区与区域生态景观和谐一致。</w:t>
      </w:r>
    </w:p>
    <w:p w14:paraId="4A88AA96">
      <w:pPr>
        <w:pStyle w:val="33"/>
        <w:bidi w:val="0"/>
        <w:rPr>
          <w:rFonts w:hint="eastAsia" w:ascii="Times New Roman" w:hAnsi="Times New Roman" w:eastAsia="宋体" w:cs="Times New Roman"/>
          <w:color w:val="auto"/>
        </w:rPr>
      </w:pPr>
      <w:r>
        <w:rPr>
          <w:rFonts w:hint="eastAsia" w:ascii="Times New Roman" w:hAnsi="Times New Roman" w:eastAsia="宋体" w:cs="Times New Roman"/>
          <w:color w:val="auto"/>
        </w:rPr>
        <w:t>②部分道路可以作为当地交通用地，不必恢复；其余道路应恢复为草地等原土地利用类型。</w:t>
      </w:r>
    </w:p>
    <w:p w14:paraId="044A2821">
      <w:pPr>
        <w:pStyle w:val="33"/>
        <w:bidi w:val="0"/>
        <w:rPr>
          <w:rFonts w:ascii="Times New Roman" w:hAnsi="Times New Roman" w:eastAsia="宋体" w:cs="Times New Roman"/>
          <w:color w:val="auto"/>
        </w:rPr>
      </w:pPr>
      <w:r>
        <w:rPr>
          <w:rFonts w:hint="eastAsia" w:ascii="Times New Roman" w:hAnsi="Times New Roman" w:eastAsia="宋体" w:cs="Times New Roman"/>
          <w:color w:val="auto"/>
        </w:rPr>
        <w:t>③加强对输油管线沿线的环境保护教育，提高其环保意识，禁止挖掘废弃的原油管道，以避免对地表产生破坏和干扰，加速水土流失和土地沙漠化。</w:t>
      </w:r>
    </w:p>
    <w:p w14:paraId="35C93631">
      <w:pPr>
        <w:pStyle w:val="5"/>
        <w:bidi w:val="0"/>
        <w:rPr>
          <w:rFonts w:hint="default"/>
          <w:color w:val="auto"/>
          <w:lang w:val="en-US" w:eastAsia="zh-CN"/>
        </w:rPr>
      </w:pPr>
      <w:r>
        <w:rPr>
          <w:rFonts w:hint="eastAsia"/>
          <w:color w:val="auto"/>
          <w:lang w:val="en-US" w:eastAsia="zh-CN"/>
        </w:rPr>
        <w:t>6.5.4闭井期土壤修复要求</w:t>
      </w:r>
    </w:p>
    <w:p w14:paraId="488C87C7">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rPr>
        <w:t>项目闭井期采油设施、部分输油管线的拆除过程会产生落地油，可能会对土壤环境造成影响。</w:t>
      </w:r>
    </w:p>
    <w:p w14:paraId="7C8C8A52">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rPr>
        <w:t>评价要求井口和管线拆除作业过程中产生的固体废物应按要求妥善处置，彻底清理回收井场内的落地油及输油管线内残余的原油，避免对土壤和浅层地下水造成污染。闭井后，应按照《污染地块土壤环境管理办法》</w:t>
      </w:r>
      <w:r>
        <w:rPr>
          <w:rFonts w:hint="eastAsia" w:ascii="Times New Roman" w:hAnsi="Times New Roman" w:eastAsia="宋体" w:cs="Times New Roman"/>
          <w:color w:val="auto"/>
          <w:lang w:val="en-US" w:eastAsia="zh-CN"/>
        </w:rPr>
        <w:t>（环境保护部令第42号）</w:t>
      </w:r>
      <w:r>
        <w:rPr>
          <w:rFonts w:hint="eastAsia" w:ascii="Times New Roman" w:hAnsi="Times New Roman" w:eastAsia="宋体" w:cs="Times New Roman"/>
          <w:color w:val="auto"/>
          <w:lang w:val="en-US"/>
        </w:rPr>
        <w:t>的有关规定，开展土壤环境调查及风险评估，并按照相关管理规定对污染地块采取治理与修复措施。</w:t>
      </w:r>
    </w:p>
    <w:p w14:paraId="465D845E">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rPr>
        <w:t>对永久停用、拆除或弃置的废弃井（站）场、道路等设施，经土壤污染状况调查，经风险评估确认地块污染风险</w:t>
      </w:r>
      <w:r>
        <w:rPr>
          <w:rFonts w:hint="eastAsia" w:ascii="Times New Roman" w:hAnsi="Times New Roman" w:eastAsia="宋体" w:cs="Times New Roman"/>
          <w:color w:val="auto"/>
          <w:lang w:val="en-US" w:eastAsia="zh-CN"/>
        </w:rPr>
        <w:t>为</w:t>
      </w:r>
      <w:r>
        <w:rPr>
          <w:rFonts w:hint="eastAsia" w:ascii="Times New Roman" w:hAnsi="Times New Roman" w:eastAsia="宋体" w:cs="Times New Roman"/>
          <w:color w:val="auto"/>
          <w:lang w:val="en-US"/>
        </w:rPr>
        <w:t>可接受水平</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lang w:val="en-US"/>
        </w:rPr>
        <w:t>确保无土壤环境污染遗留问题后，开展复垦复绿、改良等工作，并依法进行分类管理。经风险评估确认地块污染风险超过可接受水平，且暂不开发利用或者现阶段不具备治理与修复条件的污染地块，应制定风险管控方案，移除或者清理污染源，采取污染隔离、阻断等措施，防止污染扩散。经风险评估确认地块污染风险超过可接受水平，且需要开发利用的污染地块，应开展治理与修复，并达到相应规划用地土壤环境质量要求</w:t>
      </w:r>
      <w:r>
        <w:rPr>
          <w:rFonts w:hint="eastAsia" w:ascii="Times New Roman" w:hAnsi="Times New Roman" w:eastAsia="宋体" w:cs="Times New Roman"/>
          <w:color w:val="auto"/>
          <w:lang w:val="en-US" w:eastAsia="zh-CN"/>
        </w:rPr>
        <w:t>方可进行</w:t>
      </w:r>
      <w:r>
        <w:rPr>
          <w:rFonts w:hint="eastAsia" w:ascii="Times New Roman" w:hAnsi="Times New Roman" w:eastAsia="宋体" w:cs="Times New Roman"/>
          <w:color w:val="auto"/>
          <w:lang w:val="en-US"/>
        </w:rPr>
        <w:t>开发利用。</w:t>
      </w:r>
    </w:p>
    <w:p w14:paraId="530B9CDE">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val="en-US"/>
        </w:rPr>
        <w:t>污染地块治理与修复期间，施工单位应当采取措施，防止对地块及周边环境造成二次污染，治理与修复过程中产生的废水、废气和固体废物，应当依照国家有关规定进行处理处置，并达到国家或者地方规定的环境保护标准。治理与修复过程中清理或者产生的固体废物以及拆除的生产经营设备设施、构筑物等属于危险废物的，应当按照国家有关危险废物的规定进行处理处置。</w:t>
      </w:r>
    </w:p>
    <w:p w14:paraId="56342F90">
      <w:pPr>
        <w:pStyle w:val="2"/>
        <w:bidi w:val="0"/>
        <w:rPr>
          <w:rFonts w:hint="default"/>
          <w:color w:val="auto"/>
          <w:lang w:val="en-US" w:eastAsia="zh-CN"/>
        </w:rPr>
      </w:pPr>
      <w:bookmarkStart w:id="311" w:name="_Toc215"/>
      <w:r>
        <w:rPr>
          <w:rFonts w:hint="eastAsia"/>
          <w:color w:val="auto"/>
          <w:lang w:val="en-US" w:eastAsia="zh-CN"/>
        </w:rPr>
        <w:t>6.6环境保护措施清单</w:t>
      </w:r>
      <w:bookmarkEnd w:id="311"/>
    </w:p>
    <w:p w14:paraId="7EAA6EF3">
      <w:pPr>
        <w:pStyle w:val="33"/>
        <w:bidi w:val="0"/>
        <w:rPr>
          <w:color w:val="auto"/>
        </w:rPr>
      </w:pPr>
      <w:r>
        <w:rPr>
          <w:color w:val="auto"/>
        </w:rPr>
        <w:t>项目施工期、</w:t>
      </w:r>
      <w:r>
        <w:rPr>
          <w:rFonts w:hint="eastAsia"/>
          <w:color w:val="auto"/>
          <w:lang w:val="en-US" w:eastAsia="zh-CN"/>
        </w:rPr>
        <w:t>运营</w:t>
      </w:r>
      <w:r>
        <w:rPr>
          <w:color w:val="auto"/>
        </w:rPr>
        <w:t>期</w:t>
      </w:r>
      <w:r>
        <w:rPr>
          <w:rFonts w:hint="eastAsia"/>
          <w:color w:val="auto"/>
          <w:lang w:eastAsia="zh-CN"/>
        </w:rPr>
        <w:t>、</w:t>
      </w:r>
      <w:r>
        <w:rPr>
          <w:rFonts w:hint="eastAsia"/>
          <w:color w:val="auto"/>
          <w:lang w:val="en-US" w:eastAsia="zh-CN"/>
        </w:rPr>
        <w:t>退役期</w:t>
      </w:r>
      <w:r>
        <w:rPr>
          <w:color w:val="auto"/>
        </w:rPr>
        <w:t>主要污染防治措施见</w:t>
      </w:r>
      <w:r>
        <w:rPr>
          <w:color w:val="auto"/>
        </w:rPr>
        <w:fldChar w:fldCharType="begin"/>
      </w:r>
      <w:r>
        <w:rPr>
          <w:color w:val="auto"/>
        </w:rPr>
        <w:instrText xml:space="preserve"> REF _Ref109662005 \h  \* MERGEFORMAT </w:instrText>
      </w:r>
      <w:r>
        <w:rPr>
          <w:color w:val="auto"/>
        </w:rPr>
        <w:fldChar w:fldCharType="separate"/>
      </w:r>
      <w:r>
        <w:rPr>
          <w:color w:val="auto"/>
        </w:rPr>
        <w:t>表</w:t>
      </w:r>
      <w:r>
        <w:rPr>
          <w:rFonts w:hint="eastAsia"/>
          <w:color w:val="auto"/>
          <w:lang w:val="en-US" w:eastAsia="zh-CN"/>
        </w:rPr>
        <w:t>6.6</w:t>
      </w:r>
      <w:r>
        <w:rPr>
          <w:color w:val="auto"/>
        </w:rPr>
        <w:noBreakHyphen/>
      </w:r>
      <w:r>
        <w:rPr>
          <w:color w:val="auto"/>
        </w:rPr>
        <w:t>1</w:t>
      </w:r>
      <w:r>
        <w:rPr>
          <w:color w:val="auto"/>
        </w:rPr>
        <w:fldChar w:fldCharType="end"/>
      </w:r>
      <w:r>
        <w:rPr>
          <w:color w:val="auto"/>
        </w:rPr>
        <w:t>。</w:t>
      </w:r>
    </w:p>
    <w:p w14:paraId="52F86862">
      <w:pPr>
        <w:pStyle w:val="43"/>
        <w:bidi w:val="0"/>
        <w:rPr>
          <w:rFonts w:cs="Times New Roman"/>
          <w:color w:val="auto"/>
        </w:rPr>
      </w:pPr>
      <w:bookmarkStart w:id="312" w:name="_Ref109662005"/>
      <w:bookmarkStart w:id="313" w:name="_Ref92961927"/>
      <w:r>
        <w:rPr>
          <w:rFonts w:cs="Times New Roman"/>
          <w:color w:val="auto"/>
        </w:rPr>
        <w:t>表</w:t>
      </w:r>
      <w:r>
        <w:rPr>
          <w:rFonts w:hint="eastAsia" w:cs="Times New Roman"/>
          <w:color w:val="auto"/>
          <w:lang w:val="en-US" w:eastAsia="zh-CN"/>
        </w:rPr>
        <w:t>6.6</w:t>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312"/>
      <w:bookmarkEnd w:id="313"/>
      <w:r>
        <w:rPr>
          <w:rFonts w:cs="Times New Roman"/>
          <w:color w:val="auto"/>
        </w:rPr>
        <w:t xml:space="preserve">  项目环保措施清单</w:t>
      </w:r>
    </w:p>
    <w:tbl>
      <w:tblPr>
        <w:tblStyle w:val="7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392"/>
        <w:gridCol w:w="523"/>
        <w:gridCol w:w="1312"/>
        <w:gridCol w:w="6181"/>
      </w:tblGrid>
      <w:tr w14:paraId="7E31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tblHeader/>
        </w:trPr>
        <w:tc>
          <w:tcPr>
            <w:tcW w:w="544" w:type="pct"/>
            <w:gridSpan w:val="2"/>
            <w:shd w:val="clear" w:color="auto" w:fill="auto"/>
            <w:vAlign w:val="center"/>
          </w:tcPr>
          <w:p w14:paraId="08FFFDE1">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b/>
                <w:bCs/>
                <w:color w:val="auto"/>
                <w:sz w:val="21"/>
                <w:szCs w:val="21"/>
              </w:rPr>
            </w:pPr>
            <w:r>
              <w:rPr>
                <w:rFonts w:eastAsia="Times New Roman"/>
                <w:b/>
                <w:bCs/>
                <w:color w:val="auto"/>
                <w:sz w:val="21"/>
                <w:szCs w:val="21"/>
              </w:rPr>
              <w:t>类别</w:t>
            </w:r>
          </w:p>
        </w:tc>
        <w:tc>
          <w:tcPr>
            <w:tcW w:w="780" w:type="pct"/>
            <w:shd w:val="clear" w:color="auto" w:fill="auto"/>
            <w:vAlign w:val="center"/>
          </w:tcPr>
          <w:p w14:paraId="2A6C086F">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b/>
                <w:bCs/>
                <w:color w:val="auto"/>
                <w:sz w:val="21"/>
                <w:szCs w:val="21"/>
              </w:rPr>
            </w:pPr>
            <w:r>
              <w:rPr>
                <w:rFonts w:eastAsia="Times New Roman"/>
                <w:b/>
                <w:bCs/>
                <w:color w:val="auto"/>
                <w:sz w:val="21"/>
                <w:szCs w:val="21"/>
              </w:rPr>
              <w:t>污染源</w:t>
            </w:r>
          </w:p>
        </w:tc>
        <w:tc>
          <w:tcPr>
            <w:tcW w:w="3675" w:type="pct"/>
            <w:shd w:val="clear" w:color="auto" w:fill="auto"/>
            <w:vAlign w:val="center"/>
          </w:tcPr>
          <w:p w14:paraId="45F5DFB1">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b/>
                <w:bCs/>
                <w:color w:val="auto"/>
                <w:sz w:val="21"/>
                <w:szCs w:val="21"/>
              </w:rPr>
            </w:pPr>
            <w:r>
              <w:rPr>
                <w:rFonts w:eastAsia="Times New Roman"/>
                <w:b/>
                <w:bCs/>
                <w:color w:val="auto"/>
                <w:sz w:val="21"/>
                <w:szCs w:val="21"/>
              </w:rPr>
              <w:t>治理措施</w:t>
            </w:r>
          </w:p>
        </w:tc>
      </w:tr>
      <w:tr w14:paraId="6C4C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restart"/>
            <w:shd w:val="clear" w:color="auto" w:fill="auto"/>
            <w:vAlign w:val="center"/>
          </w:tcPr>
          <w:p w14:paraId="6F3353F2">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r>
              <w:rPr>
                <w:rFonts w:eastAsia="Times New Roman"/>
                <w:color w:val="auto"/>
                <w:sz w:val="21"/>
                <w:szCs w:val="21"/>
              </w:rPr>
              <w:t>施工期</w:t>
            </w:r>
          </w:p>
        </w:tc>
        <w:tc>
          <w:tcPr>
            <w:tcW w:w="311" w:type="pct"/>
            <w:vMerge w:val="restart"/>
            <w:shd w:val="clear" w:color="auto" w:fill="auto"/>
            <w:vAlign w:val="center"/>
          </w:tcPr>
          <w:p w14:paraId="0F184062">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废气</w:t>
            </w:r>
          </w:p>
        </w:tc>
        <w:tc>
          <w:tcPr>
            <w:tcW w:w="780" w:type="pct"/>
            <w:shd w:val="clear" w:color="auto" w:fill="auto"/>
            <w:vAlign w:val="center"/>
          </w:tcPr>
          <w:p w14:paraId="0F1C52E0">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施工扬尘</w:t>
            </w:r>
          </w:p>
        </w:tc>
        <w:tc>
          <w:tcPr>
            <w:tcW w:w="3675" w:type="pct"/>
            <w:shd w:val="clear" w:color="auto" w:fill="auto"/>
            <w:vAlign w:val="center"/>
          </w:tcPr>
          <w:p w14:paraId="6EA3310D">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rPr>
              <w:t>合理规划运输路线，控制车速，运输车辆加盖篷布；洒水降尘，文明装卸；管线施工及时开挖，及时回填</w:t>
            </w:r>
            <w:r>
              <w:rPr>
                <w:rFonts w:hint="eastAsia" w:eastAsia="宋体"/>
                <w:color w:val="auto"/>
                <w:lang w:eastAsia="zh-CN"/>
              </w:rPr>
              <w:t>，</w:t>
            </w:r>
            <w:r>
              <w:rPr>
                <w:rFonts w:hint="eastAsia" w:eastAsia="宋体"/>
                <w:color w:val="auto"/>
                <w:lang w:val="en-US" w:eastAsia="zh-CN"/>
              </w:rPr>
              <w:t>控制施工作业带宽度；遇大风天停止土方施工等</w:t>
            </w:r>
          </w:p>
        </w:tc>
      </w:tr>
      <w:tr w14:paraId="275D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02A5B9D7">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311" w:type="pct"/>
            <w:vMerge w:val="continue"/>
            <w:shd w:val="clear" w:color="auto" w:fill="auto"/>
            <w:vAlign w:val="center"/>
          </w:tcPr>
          <w:p w14:paraId="56EF3DA1">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780" w:type="pct"/>
            <w:shd w:val="clear" w:color="auto" w:fill="auto"/>
            <w:vAlign w:val="center"/>
          </w:tcPr>
          <w:p w14:paraId="1BE4C3BE">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施工机械、车辆尾气</w:t>
            </w:r>
          </w:p>
        </w:tc>
        <w:tc>
          <w:tcPr>
            <w:tcW w:w="3675" w:type="pct"/>
            <w:shd w:val="clear" w:color="auto" w:fill="auto"/>
            <w:vAlign w:val="center"/>
          </w:tcPr>
          <w:p w14:paraId="68059C19">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选择符合国家标准且低含硫量的优质柴油</w:t>
            </w:r>
          </w:p>
        </w:tc>
      </w:tr>
      <w:tr w14:paraId="118E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32BAC4CE">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311" w:type="pct"/>
            <w:vMerge w:val="continue"/>
            <w:shd w:val="clear" w:color="auto" w:fill="auto"/>
            <w:vAlign w:val="center"/>
          </w:tcPr>
          <w:p w14:paraId="26C380B0">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780" w:type="pct"/>
            <w:shd w:val="clear" w:color="auto" w:fill="auto"/>
            <w:vAlign w:val="center"/>
          </w:tcPr>
          <w:p w14:paraId="3431F4DD">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hint="eastAsia" w:eastAsia="宋体"/>
                <w:color w:val="auto"/>
                <w:sz w:val="21"/>
                <w:szCs w:val="21"/>
                <w:lang w:val="en-US" w:eastAsia="zh-CN"/>
              </w:rPr>
              <w:t>焊接、防腐</w:t>
            </w:r>
            <w:r>
              <w:rPr>
                <w:rFonts w:eastAsia="Times New Roman"/>
                <w:color w:val="auto"/>
                <w:sz w:val="21"/>
                <w:szCs w:val="21"/>
              </w:rPr>
              <w:t>废气</w:t>
            </w:r>
          </w:p>
        </w:tc>
        <w:tc>
          <w:tcPr>
            <w:tcW w:w="3675" w:type="pct"/>
            <w:shd w:val="clear" w:color="auto" w:fill="auto"/>
            <w:vAlign w:val="center"/>
          </w:tcPr>
          <w:p w14:paraId="6EF422B9">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hint="default" w:ascii="Times New Roman" w:hAnsi="Times New Roman" w:cs="Times New Roman"/>
                <w:color w:val="auto"/>
                <w:sz w:val="21"/>
                <w:szCs w:val="22"/>
                <w:lang w:val="zh-CN"/>
              </w:rPr>
              <w:t>焊条使用国家合格产品</w:t>
            </w:r>
            <w:r>
              <w:rPr>
                <w:rFonts w:hint="eastAsia" w:cs="Times New Roman"/>
                <w:color w:val="auto"/>
                <w:sz w:val="21"/>
                <w:szCs w:val="22"/>
                <w:lang w:val="zh-CN"/>
              </w:rPr>
              <w:t>；</w:t>
            </w:r>
            <w:r>
              <w:rPr>
                <w:rFonts w:hint="eastAsia" w:cs="Times New Roman"/>
                <w:color w:val="auto"/>
                <w:kern w:val="0"/>
                <w:sz w:val="21"/>
                <w:szCs w:val="21"/>
                <w:lang w:val="en-US" w:eastAsia="zh-CN"/>
              </w:rPr>
              <w:t>使用环保型防腐材料和先进的快速防腐工艺；</w:t>
            </w:r>
            <w:r>
              <w:rPr>
                <w:rFonts w:hint="eastAsia" w:ascii="Times New Roman" w:hAnsi="Times New Roman" w:eastAsia="宋体" w:cs="Times New Roman"/>
                <w:color w:val="auto"/>
                <w:sz w:val="21"/>
                <w:szCs w:val="21"/>
                <w:lang w:val="en-US" w:eastAsia="zh-CN"/>
              </w:rPr>
              <w:t>缩短施工时间</w:t>
            </w:r>
          </w:p>
        </w:tc>
      </w:tr>
      <w:tr w14:paraId="0819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3FA1C77F">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311" w:type="pct"/>
            <w:vMerge w:val="restart"/>
            <w:shd w:val="clear" w:color="auto" w:fill="auto"/>
            <w:vAlign w:val="center"/>
          </w:tcPr>
          <w:p w14:paraId="416F39BB">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废水</w:t>
            </w:r>
          </w:p>
        </w:tc>
        <w:tc>
          <w:tcPr>
            <w:tcW w:w="780" w:type="pct"/>
            <w:shd w:val="clear" w:color="auto" w:fill="auto"/>
            <w:vAlign w:val="center"/>
          </w:tcPr>
          <w:p w14:paraId="44CE3EE9">
            <w:pPr>
              <w:pStyle w:val="42"/>
              <w:keepNext w:val="0"/>
              <w:keepLines w:val="0"/>
              <w:pageBreakBefore w:val="0"/>
              <w:widowControl/>
              <w:kinsoku/>
              <w:wordWrap/>
              <w:overflowPunct/>
              <w:topLinePunct w:val="0"/>
              <w:autoSpaceDE w:val="0"/>
              <w:autoSpaceDN w:val="0"/>
              <w:bidi w:val="0"/>
              <w:adjustRightInd w:val="0"/>
              <w:snapToGrid w:val="0"/>
              <w:spacing w:line="300" w:lineRule="exact"/>
              <w:ind w:firstLine="0" w:firstLineChars="0"/>
              <w:textAlignment w:val="center"/>
              <w:rPr>
                <w:rFonts w:eastAsia="Times New Roman"/>
                <w:color w:val="auto"/>
                <w:sz w:val="21"/>
                <w:szCs w:val="21"/>
              </w:rPr>
            </w:pPr>
            <w:r>
              <w:rPr>
                <w:rFonts w:eastAsia="Times New Roman"/>
                <w:color w:val="auto"/>
                <w:sz w:val="21"/>
                <w:szCs w:val="21"/>
              </w:rPr>
              <w:t>管道试压废水</w:t>
            </w:r>
          </w:p>
        </w:tc>
        <w:tc>
          <w:tcPr>
            <w:tcW w:w="3675" w:type="pct"/>
            <w:shd w:val="clear" w:color="auto" w:fill="auto"/>
            <w:vAlign w:val="center"/>
          </w:tcPr>
          <w:p w14:paraId="287C8C28">
            <w:pPr>
              <w:pStyle w:val="42"/>
              <w:keepNext w:val="0"/>
              <w:keepLines w:val="0"/>
              <w:pageBreakBefore w:val="0"/>
              <w:widowControl/>
              <w:kinsoku/>
              <w:wordWrap/>
              <w:overflowPunct/>
              <w:topLinePunct w:val="0"/>
              <w:autoSpaceDE w:val="0"/>
              <w:autoSpaceDN w:val="0"/>
              <w:bidi w:val="0"/>
              <w:adjustRightInd w:val="0"/>
              <w:snapToGrid w:val="0"/>
              <w:spacing w:line="300" w:lineRule="exact"/>
              <w:ind w:firstLine="0" w:firstLineChars="0"/>
              <w:jc w:val="both"/>
              <w:textAlignment w:val="center"/>
              <w:rPr>
                <w:rFonts w:eastAsia="Times New Roman"/>
                <w:color w:val="auto"/>
                <w:sz w:val="21"/>
                <w:szCs w:val="21"/>
              </w:rPr>
            </w:pPr>
            <w:r>
              <w:rPr>
                <w:rFonts w:eastAsia="Times New Roman"/>
                <w:color w:val="auto"/>
                <w:sz w:val="21"/>
                <w:szCs w:val="21"/>
              </w:rPr>
              <w:t>管道试压废水经</w:t>
            </w:r>
            <w:r>
              <w:rPr>
                <w:rFonts w:hint="eastAsia" w:eastAsia="宋体"/>
                <w:color w:val="auto"/>
                <w:sz w:val="21"/>
                <w:szCs w:val="21"/>
                <w:lang w:val="en-US" w:eastAsia="zh-CN"/>
              </w:rPr>
              <w:t>管线输送至百联站采出水</w:t>
            </w:r>
            <w:r>
              <w:rPr>
                <w:rFonts w:eastAsia="Times New Roman"/>
                <w:color w:val="auto"/>
                <w:sz w:val="21"/>
                <w:szCs w:val="21"/>
              </w:rPr>
              <w:t>处理系统处理达标后回注</w:t>
            </w:r>
          </w:p>
        </w:tc>
      </w:tr>
      <w:tr w14:paraId="6295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0C035089">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311" w:type="pct"/>
            <w:vMerge w:val="continue"/>
            <w:shd w:val="clear" w:color="auto" w:fill="auto"/>
            <w:vAlign w:val="center"/>
          </w:tcPr>
          <w:p w14:paraId="3C29E5A9">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780" w:type="pct"/>
            <w:shd w:val="clear" w:color="auto" w:fill="auto"/>
            <w:vAlign w:val="center"/>
          </w:tcPr>
          <w:p w14:paraId="43685D41">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施工人员生活污水</w:t>
            </w:r>
          </w:p>
        </w:tc>
        <w:tc>
          <w:tcPr>
            <w:tcW w:w="3675" w:type="pct"/>
            <w:shd w:val="clear" w:color="auto" w:fill="auto"/>
            <w:vAlign w:val="center"/>
          </w:tcPr>
          <w:p w14:paraId="27F1FAAD">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hint="default" w:eastAsia="宋体"/>
                <w:color w:val="auto"/>
                <w:sz w:val="21"/>
                <w:szCs w:val="21"/>
                <w:lang w:val="en-US" w:eastAsia="zh-CN"/>
              </w:rPr>
            </w:pPr>
            <w:r>
              <w:rPr>
                <w:rFonts w:hint="eastAsia" w:eastAsia="宋体"/>
                <w:color w:val="auto"/>
                <w:sz w:val="21"/>
                <w:szCs w:val="21"/>
                <w:lang w:val="en-US" w:eastAsia="zh-CN"/>
              </w:rPr>
              <w:t>依托生活基地现有设施，生活污水最终进乌尔禾区生活污水处理厂处理</w:t>
            </w:r>
          </w:p>
        </w:tc>
      </w:tr>
      <w:tr w14:paraId="0854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7156B834">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1091" w:type="pct"/>
            <w:gridSpan w:val="2"/>
            <w:shd w:val="clear" w:color="auto" w:fill="auto"/>
            <w:vAlign w:val="center"/>
          </w:tcPr>
          <w:p w14:paraId="1F824E33">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地下水</w:t>
            </w:r>
          </w:p>
        </w:tc>
        <w:tc>
          <w:tcPr>
            <w:tcW w:w="3675" w:type="pct"/>
            <w:shd w:val="clear" w:color="auto" w:fill="auto"/>
            <w:vAlign w:val="center"/>
          </w:tcPr>
          <w:p w14:paraId="27A7ACB2">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hint="default"/>
                <w:color w:val="auto"/>
                <w:sz w:val="21"/>
                <w:szCs w:val="21"/>
              </w:rPr>
              <w:t>加强对管材和焊接质量的检查，要进行100%放射性探伤，严禁使用不合格管材</w:t>
            </w:r>
            <w:r>
              <w:rPr>
                <w:rFonts w:hint="eastAsia"/>
                <w:color w:val="auto"/>
                <w:sz w:val="21"/>
                <w:szCs w:val="21"/>
                <w:lang w:eastAsia="zh-CN"/>
              </w:rPr>
              <w:t>；</w:t>
            </w:r>
            <w:r>
              <w:rPr>
                <w:rFonts w:hint="default"/>
                <w:color w:val="auto"/>
                <w:sz w:val="21"/>
                <w:szCs w:val="21"/>
              </w:rPr>
              <w:t>建立施工质量保证体系，提高施工检验人员的水平，确保施工质量</w:t>
            </w:r>
            <w:r>
              <w:rPr>
                <w:rFonts w:hint="eastAsia"/>
                <w:color w:val="auto"/>
                <w:sz w:val="21"/>
                <w:szCs w:val="21"/>
                <w:lang w:eastAsia="zh-CN"/>
              </w:rPr>
              <w:t>；</w:t>
            </w:r>
            <w:r>
              <w:rPr>
                <w:color w:val="auto"/>
                <w:sz w:val="21"/>
                <w:szCs w:val="21"/>
              </w:rPr>
              <w:t>现场产生的固废及时合理处置</w:t>
            </w:r>
          </w:p>
        </w:tc>
      </w:tr>
      <w:tr w14:paraId="45D5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6E24D52F">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311" w:type="pct"/>
            <w:shd w:val="clear" w:color="auto" w:fill="auto"/>
            <w:vAlign w:val="center"/>
          </w:tcPr>
          <w:p w14:paraId="3D35BCAD">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噪声</w:t>
            </w:r>
          </w:p>
        </w:tc>
        <w:tc>
          <w:tcPr>
            <w:tcW w:w="780" w:type="pct"/>
            <w:shd w:val="clear" w:color="auto" w:fill="auto"/>
            <w:vAlign w:val="center"/>
          </w:tcPr>
          <w:p w14:paraId="69CA77F5">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施工机械噪声</w:t>
            </w:r>
          </w:p>
        </w:tc>
        <w:tc>
          <w:tcPr>
            <w:tcW w:w="3675" w:type="pct"/>
            <w:shd w:val="clear" w:color="auto" w:fill="auto"/>
            <w:vAlign w:val="center"/>
          </w:tcPr>
          <w:p w14:paraId="696CEA6D">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rPr>
              <w:t>合理安排施工作业时间；选用低噪声机械设备</w:t>
            </w:r>
            <w:r>
              <w:rPr>
                <w:rFonts w:hint="eastAsia" w:eastAsia="宋体"/>
                <w:color w:val="auto"/>
                <w:lang w:eastAsia="zh-CN"/>
              </w:rPr>
              <w:t>；</w:t>
            </w:r>
            <w:r>
              <w:rPr>
                <w:rFonts w:hint="eastAsia" w:eastAsia="宋体"/>
                <w:color w:val="auto"/>
                <w:lang w:val="en-US" w:eastAsia="zh-CN"/>
              </w:rPr>
              <w:t>工作人员配备防护措施</w:t>
            </w:r>
          </w:p>
        </w:tc>
      </w:tr>
      <w:tr w14:paraId="50BB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4072EC26">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311" w:type="pct"/>
            <w:vMerge w:val="restart"/>
            <w:shd w:val="clear" w:color="auto" w:fill="auto"/>
            <w:vAlign w:val="center"/>
          </w:tcPr>
          <w:p w14:paraId="6A16FAC2">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固废</w:t>
            </w:r>
          </w:p>
        </w:tc>
        <w:tc>
          <w:tcPr>
            <w:tcW w:w="780" w:type="pct"/>
            <w:shd w:val="clear" w:color="auto" w:fill="auto"/>
            <w:vAlign w:val="center"/>
          </w:tcPr>
          <w:p w14:paraId="327595B3">
            <w:pPr>
              <w:pStyle w:val="42"/>
              <w:ind w:firstLine="0" w:firstLineChars="0"/>
              <w:rPr>
                <w:rFonts w:eastAsia="Times New Roman"/>
                <w:color w:val="auto"/>
                <w:sz w:val="21"/>
                <w:szCs w:val="21"/>
                <w:lang w:eastAsia="zh"/>
              </w:rPr>
            </w:pPr>
            <w:r>
              <w:rPr>
                <w:rFonts w:hint="eastAsia" w:eastAsia="宋体"/>
                <w:color w:val="auto"/>
                <w:lang w:val="en-US" w:eastAsia="zh-CN"/>
              </w:rPr>
              <w:t>土石方</w:t>
            </w:r>
          </w:p>
        </w:tc>
        <w:tc>
          <w:tcPr>
            <w:tcW w:w="3675" w:type="pct"/>
            <w:shd w:val="clear" w:color="auto" w:fill="auto"/>
            <w:vAlign w:val="center"/>
          </w:tcPr>
          <w:p w14:paraId="08C802ED">
            <w:pPr>
              <w:pStyle w:val="42"/>
              <w:ind w:firstLine="0" w:firstLineChars="0"/>
              <w:jc w:val="both"/>
              <w:rPr>
                <w:rFonts w:eastAsia="Times New Roman"/>
                <w:color w:val="auto"/>
                <w:sz w:val="21"/>
                <w:szCs w:val="21"/>
              </w:rPr>
            </w:pPr>
            <w:r>
              <w:rPr>
                <w:rFonts w:eastAsia="Times New Roman"/>
                <w:color w:val="auto"/>
              </w:rPr>
              <w:t>土石方就地平衡</w:t>
            </w:r>
          </w:p>
        </w:tc>
      </w:tr>
      <w:tr w14:paraId="5509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3A6A373F">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311" w:type="pct"/>
            <w:vMerge w:val="continue"/>
            <w:shd w:val="clear" w:color="auto" w:fill="auto"/>
            <w:vAlign w:val="center"/>
          </w:tcPr>
          <w:p w14:paraId="427F95E1">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780" w:type="pct"/>
            <w:shd w:val="clear" w:color="auto" w:fill="auto"/>
            <w:vAlign w:val="center"/>
          </w:tcPr>
          <w:p w14:paraId="67182F04">
            <w:pPr>
              <w:pStyle w:val="42"/>
              <w:ind w:firstLine="0" w:firstLineChars="0"/>
              <w:rPr>
                <w:rFonts w:hint="default" w:eastAsia="Times New Roman"/>
                <w:color w:val="auto"/>
                <w:sz w:val="21"/>
                <w:szCs w:val="21"/>
                <w:lang w:val="en-US"/>
              </w:rPr>
            </w:pPr>
            <w:r>
              <w:rPr>
                <w:rFonts w:hint="eastAsia" w:eastAsia="宋体"/>
                <w:color w:val="auto"/>
                <w:lang w:val="en-US" w:eastAsia="zh-CN"/>
              </w:rPr>
              <w:t>施工废料</w:t>
            </w:r>
          </w:p>
        </w:tc>
        <w:tc>
          <w:tcPr>
            <w:tcW w:w="3675" w:type="pct"/>
            <w:shd w:val="clear" w:color="auto" w:fill="auto"/>
            <w:vAlign w:val="center"/>
          </w:tcPr>
          <w:p w14:paraId="1B3FBDDC">
            <w:pPr>
              <w:pStyle w:val="42"/>
              <w:ind w:firstLine="0" w:firstLineChars="0"/>
              <w:jc w:val="both"/>
              <w:rPr>
                <w:rFonts w:eastAsia="Times New Roman"/>
                <w:color w:val="auto"/>
                <w:sz w:val="21"/>
                <w:szCs w:val="21"/>
              </w:rPr>
            </w:pPr>
            <w:r>
              <w:rPr>
                <w:rFonts w:hint="eastAsia" w:eastAsia="宋体"/>
                <w:color w:val="auto"/>
                <w:lang w:val="en-US" w:eastAsia="zh-CN"/>
              </w:rPr>
              <w:t>施工废料</w:t>
            </w:r>
            <w:r>
              <w:rPr>
                <w:rFonts w:eastAsia="Times New Roman"/>
                <w:color w:val="auto"/>
              </w:rPr>
              <w:t>根据实际情况采取回收利用或者运送至</w:t>
            </w:r>
            <w:r>
              <w:rPr>
                <w:rFonts w:hint="eastAsia" w:eastAsia="宋体"/>
                <w:color w:val="auto"/>
                <w:lang w:val="en-US" w:eastAsia="zh-CN"/>
              </w:rPr>
              <w:t>乌尔禾建筑垃圾填埋场</w:t>
            </w:r>
          </w:p>
        </w:tc>
      </w:tr>
      <w:tr w14:paraId="16CC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23BE9EDE">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311" w:type="pct"/>
            <w:vMerge w:val="continue"/>
            <w:shd w:val="clear" w:color="auto" w:fill="auto"/>
            <w:vAlign w:val="center"/>
          </w:tcPr>
          <w:p w14:paraId="3DA40B43">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780" w:type="pct"/>
            <w:shd w:val="clear" w:color="auto" w:fill="auto"/>
            <w:vAlign w:val="center"/>
          </w:tcPr>
          <w:p w14:paraId="6E4151E9">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施工人员生活垃圾</w:t>
            </w:r>
          </w:p>
        </w:tc>
        <w:tc>
          <w:tcPr>
            <w:tcW w:w="3675" w:type="pct"/>
            <w:shd w:val="clear" w:color="auto" w:fill="auto"/>
            <w:vAlign w:val="center"/>
          </w:tcPr>
          <w:p w14:paraId="37FA330F">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生活垃圾设收集箱收集，</w:t>
            </w:r>
            <w:r>
              <w:rPr>
                <w:rFonts w:hint="eastAsia" w:eastAsia="宋体"/>
                <w:color w:val="auto"/>
                <w:sz w:val="21"/>
                <w:szCs w:val="21"/>
                <w:lang w:val="en-US" w:eastAsia="zh-CN"/>
              </w:rPr>
              <w:t>运至乌尔禾区生活垃圾填埋场</w:t>
            </w:r>
            <w:r>
              <w:rPr>
                <w:rFonts w:eastAsia="Times New Roman"/>
                <w:color w:val="auto"/>
                <w:sz w:val="21"/>
                <w:szCs w:val="21"/>
              </w:rPr>
              <w:t>处置</w:t>
            </w:r>
          </w:p>
        </w:tc>
      </w:tr>
      <w:tr w14:paraId="66DC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61069FDC">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1091" w:type="pct"/>
            <w:gridSpan w:val="2"/>
            <w:shd w:val="clear" w:color="auto" w:fill="auto"/>
            <w:vAlign w:val="center"/>
          </w:tcPr>
          <w:p w14:paraId="149B01AD">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生态环境</w:t>
            </w:r>
          </w:p>
        </w:tc>
        <w:tc>
          <w:tcPr>
            <w:tcW w:w="3675" w:type="pct"/>
            <w:shd w:val="clear" w:color="auto" w:fill="auto"/>
            <w:vAlign w:val="center"/>
          </w:tcPr>
          <w:p w14:paraId="6748A11D">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rPr>
              <w:t>控制占地范围，控制管线施工作业带宽度；避免雨季施工，造成水土流失；管线施工分层开挖、分层堆放、分层回填；施工结束后立即进行迹地恢复</w:t>
            </w:r>
          </w:p>
        </w:tc>
      </w:tr>
      <w:tr w14:paraId="1CCB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5198E25F">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shd w:val="clear" w:color="auto" w:fill="7F7F7F"/>
              </w:rPr>
            </w:pPr>
          </w:p>
        </w:tc>
        <w:tc>
          <w:tcPr>
            <w:tcW w:w="1091" w:type="pct"/>
            <w:gridSpan w:val="2"/>
            <w:shd w:val="clear" w:color="auto" w:fill="auto"/>
            <w:vAlign w:val="center"/>
          </w:tcPr>
          <w:p w14:paraId="6291B550">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环境风险</w:t>
            </w:r>
          </w:p>
        </w:tc>
        <w:tc>
          <w:tcPr>
            <w:tcW w:w="3675" w:type="pct"/>
            <w:shd w:val="clear" w:color="auto" w:fill="auto"/>
            <w:vAlign w:val="center"/>
          </w:tcPr>
          <w:p w14:paraId="22C85741">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密闭集输，配备压力报警装置，定期清管，检查管壁厚度，必要时更换管线</w:t>
            </w:r>
          </w:p>
        </w:tc>
      </w:tr>
      <w:tr w14:paraId="7394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restart"/>
            <w:shd w:val="clear" w:color="auto" w:fill="auto"/>
            <w:vAlign w:val="center"/>
          </w:tcPr>
          <w:p w14:paraId="3011DC41">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hint="eastAsia" w:eastAsia="宋体"/>
                <w:color w:val="auto"/>
                <w:sz w:val="21"/>
                <w:szCs w:val="21"/>
                <w:lang w:eastAsia="zh-CN"/>
              </w:rPr>
              <w:t>运营</w:t>
            </w:r>
            <w:r>
              <w:rPr>
                <w:rFonts w:eastAsia="Times New Roman"/>
                <w:color w:val="auto"/>
                <w:sz w:val="21"/>
                <w:szCs w:val="21"/>
              </w:rPr>
              <w:t>期</w:t>
            </w:r>
          </w:p>
        </w:tc>
        <w:tc>
          <w:tcPr>
            <w:tcW w:w="311" w:type="pct"/>
            <w:vMerge w:val="restart"/>
            <w:shd w:val="clear" w:color="auto" w:fill="auto"/>
            <w:vAlign w:val="center"/>
          </w:tcPr>
          <w:p w14:paraId="4CFEF6DF">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废气</w:t>
            </w:r>
          </w:p>
        </w:tc>
        <w:tc>
          <w:tcPr>
            <w:tcW w:w="780" w:type="pct"/>
            <w:shd w:val="clear" w:color="auto" w:fill="auto"/>
            <w:vAlign w:val="center"/>
          </w:tcPr>
          <w:p w14:paraId="57B0A651">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eastAsia="Times New Roman"/>
                <w:color w:val="auto"/>
                <w:sz w:val="21"/>
                <w:szCs w:val="21"/>
              </w:rPr>
            </w:pPr>
            <w:r>
              <w:rPr>
                <w:rFonts w:hint="eastAsia"/>
                <w:color w:val="auto"/>
              </w:rPr>
              <w:t>伴生气</w:t>
            </w:r>
          </w:p>
        </w:tc>
        <w:tc>
          <w:tcPr>
            <w:tcW w:w="3675" w:type="pct"/>
            <w:shd w:val="clear" w:color="auto" w:fill="auto"/>
            <w:vAlign w:val="center"/>
          </w:tcPr>
          <w:p w14:paraId="3370A0A7">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eastAsia="Times New Roman"/>
                <w:color w:val="auto"/>
                <w:sz w:val="21"/>
                <w:szCs w:val="21"/>
              </w:rPr>
            </w:pPr>
            <w:r>
              <w:rPr>
                <w:rFonts w:hint="eastAsia"/>
                <w:color w:val="auto"/>
              </w:rPr>
              <w:t>回收套管气，实施油气密闭输送；分离伴生气根据工程实际伴生气产生量输往下游站场继续利用，或依托现有伴生气综合利用工程进行回收利用</w:t>
            </w:r>
          </w:p>
        </w:tc>
      </w:tr>
      <w:tr w14:paraId="5DB1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30D119A7">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311" w:type="pct"/>
            <w:vMerge w:val="continue"/>
            <w:shd w:val="clear" w:color="auto" w:fill="auto"/>
            <w:vAlign w:val="center"/>
          </w:tcPr>
          <w:p w14:paraId="65717E17">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780" w:type="pct"/>
            <w:shd w:val="clear" w:color="auto" w:fill="auto"/>
            <w:vAlign w:val="center"/>
          </w:tcPr>
          <w:p w14:paraId="6379F94D">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eastAsia="Times New Roman"/>
                <w:color w:val="auto"/>
                <w:sz w:val="21"/>
                <w:szCs w:val="21"/>
              </w:rPr>
            </w:pPr>
            <w:r>
              <w:rPr>
                <w:rFonts w:hint="eastAsia"/>
                <w:color w:val="auto"/>
              </w:rPr>
              <w:t>无组织烃类</w:t>
            </w:r>
          </w:p>
        </w:tc>
        <w:tc>
          <w:tcPr>
            <w:tcW w:w="3675" w:type="pct"/>
            <w:shd w:val="clear" w:color="auto" w:fill="auto"/>
            <w:vAlign w:val="center"/>
          </w:tcPr>
          <w:p w14:paraId="55F9CE38">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eastAsia="Times New Roman"/>
                <w:color w:val="auto"/>
                <w:sz w:val="21"/>
                <w:szCs w:val="21"/>
              </w:rPr>
            </w:pPr>
            <w:r>
              <w:rPr>
                <w:rFonts w:hint="eastAsia"/>
                <w:color w:val="auto"/>
              </w:rPr>
              <w:t>加快井区</w:t>
            </w:r>
            <w:r>
              <w:rPr>
                <w:rFonts w:hint="eastAsia"/>
                <w:color w:val="auto"/>
                <w:lang w:val="en-US" w:eastAsia="zh-CN"/>
              </w:rPr>
              <w:t>集输</w:t>
            </w:r>
            <w:r>
              <w:rPr>
                <w:rFonts w:hint="eastAsia"/>
                <w:color w:val="auto"/>
              </w:rPr>
              <w:t>系统建设，原油通过管线系统密闭集输；提高伴生气的综合利用率；采油井井口加强密闭性</w:t>
            </w:r>
          </w:p>
        </w:tc>
      </w:tr>
      <w:tr w14:paraId="7D58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507F83C6">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311" w:type="pct"/>
            <w:vMerge w:val="restart"/>
            <w:shd w:val="clear" w:color="auto" w:fill="auto"/>
            <w:vAlign w:val="center"/>
          </w:tcPr>
          <w:p w14:paraId="1F918FB2">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废水</w:t>
            </w:r>
          </w:p>
        </w:tc>
        <w:tc>
          <w:tcPr>
            <w:tcW w:w="780" w:type="pct"/>
            <w:shd w:val="clear" w:color="auto" w:fill="auto"/>
            <w:vAlign w:val="center"/>
          </w:tcPr>
          <w:p w14:paraId="064F1385">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eastAsia="Times New Roman"/>
                <w:color w:val="auto"/>
                <w:sz w:val="21"/>
                <w:szCs w:val="21"/>
              </w:rPr>
            </w:pPr>
            <w:r>
              <w:rPr>
                <w:rFonts w:hint="eastAsia"/>
                <w:color w:val="auto"/>
              </w:rPr>
              <w:t>采出水</w:t>
            </w:r>
          </w:p>
        </w:tc>
        <w:tc>
          <w:tcPr>
            <w:tcW w:w="3675" w:type="pct"/>
            <w:shd w:val="clear" w:color="auto" w:fill="auto"/>
            <w:vAlign w:val="center"/>
          </w:tcPr>
          <w:p w14:paraId="6F6C74C9">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eastAsia="Times New Roman"/>
                <w:color w:val="auto"/>
                <w:sz w:val="21"/>
                <w:szCs w:val="21"/>
              </w:rPr>
            </w:pPr>
            <w:r>
              <w:rPr>
                <w:rFonts w:hint="eastAsia"/>
                <w:color w:val="auto"/>
              </w:rPr>
              <w:t>依托现有采出水处理系统处理达标后回注油层，不外排</w:t>
            </w:r>
          </w:p>
        </w:tc>
      </w:tr>
      <w:tr w14:paraId="43BC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1245200F">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311" w:type="pct"/>
            <w:vMerge w:val="continue"/>
            <w:shd w:val="clear" w:color="auto" w:fill="auto"/>
            <w:vAlign w:val="center"/>
          </w:tcPr>
          <w:p w14:paraId="5E3BF621">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780" w:type="pct"/>
            <w:shd w:val="clear" w:color="auto" w:fill="auto"/>
            <w:vAlign w:val="center"/>
          </w:tcPr>
          <w:p w14:paraId="4C88BF0E">
            <w:pPr>
              <w:pStyle w:val="44"/>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color w:val="auto"/>
                <w:sz w:val="21"/>
                <w:szCs w:val="21"/>
                <w:lang w:val="en-US" w:eastAsia="zh-CN"/>
              </w:rPr>
            </w:pPr>
            <w:r>
              <w:rPr>
                <w:rFonts w:hint="eastAsia" w:eastAsia="宋体"/>
                <w:color w:val="auto"/>
                <w:lang w:val="en-US" w:eastAsia="zh-CN"/>
              </w:rPr>
              <w:t>井下作业废水</w:t>
            </w:r>
          </w:p>
        </w:tc>
        <w:tc>
          <w:tcPr>
            <w:tcW w:w="3675" w:type="pct"/>
            <w:shd w:val="clear" w:color="auto" w:fill="auto"/>
            <w:vAlign w:val="center"/>
          </w:tcPr>
          <w:p w14:paraId="49550CB0">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eastAsia="Times New Roman"/>
                <w:color w:val="auto"/>
                <w:sz w:val="21"/>
                <w:szCs w:val="21"/>
              </w:rPr>
            </w:pPr>
            <w:r>
              <w:rPr>
                <w:rFonts w:hint="eastAsia"/>
                <w:color w:val="auto"/>
              </w:rPr>
              <w:t>罐车拉运至依托现有</w:t>
            </w:r>
            <w:r>
              <w:rPr>
                <w:rFonts w:hint="eastAsia"/>
                <w:color w:val="auto"/>
                <w:lang w:val="en-US" w:eastAsia="zh-CN"/>
              </w:rPr>
              <w:t>采出水处理系统</w:t>
            </w:r>
            <w:r>
              <w:rPr>
                <w:rFonts w:hint="eastAsia"/>
                <w:color w:val="auto"/>
              </w:rPr>
              <w:t>处理达标后回注油层，不外排。</w:t>
            </w:r>
          </w:p>
        </w:tc>
      </w:tr>
      <w:tr w14:paraId="0E37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131B0181">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1091" w:type="pct"/>
            <w:gridSpan w:val="2"/>
            <w:shd w:val="clear" w:color="auto" w:fill="auto"/>
            <w:vAlign w:val="center"/>
          </w:tcPr>
          <w:p w14:paraId="53793971">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地下水</w:t>
            </w:r>
          </w:p>
        </w:tc>
        <w:tc>
          <w:tcPr>
            <w:tcW w:w="3675" w:type="pct"/>
            <w:shd w:val="clear" w:color="auto" w:fill="auto"/>
            <w:vAlign w:val="center"/>
          </w:tcPr>
          <w:p w14:paraId="58201189">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在工艺、管道、设备采取相应措施，防止和降低污染物跑、冒、滴、漏；分区防渗；制定地下水污染应急响应预案和跟踪监测计划</w:t>
            </w:r>
          </w:p>
        </w:tc>
      </w:tr>
      <w:tr w14:paraId="4EB6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5D28F3C5">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311" w:type="pct"/>
            <w:shd w:val="clear" w:color="auto" w:fill="auto"/>
            <w:vAlign w:val="center"/>
          </w:tcPr>
          <w:p w14:paraId="2FDDE347">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噪声</w:t>
            </w:r>
          </w:p>
        </w:tc>
        <w:tc>
          <w:tcPr>
            <w:tcW w:w="780" w:type="pct"/>
            <w:shd w:val="clear" w:color="auto" w:fill="auto"/>
            <w:vAlign w:val="center"/>
          </w:tcPr>
          <w:p w14:paraId="5DE7F64E">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设备运行噪声</w:t>
            </w:r>
          </w:p>
        </w:tc>
        <w:tc>
          <w:tcPr>
            <w:tcW w:w="3675" w:type="pct"/>
            <w:shd w:val="clear" w:color="auto" w:fill="auto"/>
            <w:vAlign w:val="center"/>
          </w:tcPr>
          <w:p w14:paraId="5F9C167B">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eastAsia="Times New Roman"/>
                <w:color w:val="auto"/>
                <w:sz w:val="21"/>
                <w:szCs w:val="21"/>
              </w:rPr>
            </w:pPr>
            <w:r>
              <w:rPr>
                <w:rFonts w:eastAsia="Times New Roman"/>
                <w:color w:val="auto"/>
              </w:rPr>
              <w:t>选用低噪声设备</w:t>
            </w:r>
            <w:r>
              <w:rPr>
                <w:rFonts w:hint="eastAsia" w:eastAsia="宋体"/>
                <w:color w:val="auto"/>
                <w:lang w:eastAsia="zh-CN"/>
              </w:rPr>
              <w:t>，</w:t>
            </w:r>
            <w:r>
              <w:rPr>
                <w:rFonts w:hint="eastAsia" w:eastAsia="宋体"/>
                <w:color w:val="auto"/>
                <w:lang w:val="en-US" w:eastAsia="zh-CN"/>
              </w:rPr>
              <w:t>基础减振</w:t>
            </w:r>
            <w:r>
              <w:rPr>
                <w:rFonts w:hint="eastAsia" w:eastAsia="宋体"/>
                <w:color w:val="auto"/>
                <w:lang w:eastAsia="zh-CN"/>
              </w:rPr>
              <w:t>，</w:t>
            </w:r>
            <w:r>
              <w:rPr>
                <w:rFonts w:eastAsia="Times New Roman"/>
                <w:color w:val="auto"/>
              </w:rPr>
              <w:t>加强设备维护</w:t>
            </w:r>
            <w:r>
              <w:rPr>
                <w:rFonts w:hint="eastAsia" w:eastAsia="宋体"/>
                <w:color w:val="auto"/>
                <w:lang w:eastAsia="zh-CN"/>
              </w:rPr>
              <w:t>，</w:t>
            </w:r>
            <w:r>
              <w:rPr>
                <w:rFonts w:eastAsia="Times New Roman"/>
                <w:color w:val="auto"/>
              </w:rPr>
              <w:t>距离衰减</w:t>
            </w:r>
          </w:p>
        </w:tc>
      </w:tr>
      <w:tr w14:paraId="5364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32F01A1B">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311" w:type="pct"/>
            <w:vMerge w:val="restart"/>
            <w:shd w:val="clear" w:color="auto" w:fill="auto"/>
            <w:vAlign w:val="center"/>
          </w:tcPr>
          <w:p w14:paraId="3BA3754C">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固废</w:t>
            </w:r>
          </w:p>
        </w:tc>
        <w:tc>
          <w:tcPr>
            <w:tcW w:w="780" w:type="pct"/>
            <w:shd w:val="clear" w:color="auto" w:fill="auto"/>
            <w:vAlign w:val="center"/>
          </w:tcPr>
          <w:p w14:paraId="562B6A0B">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落地油</w:t>
            </w:r>
          </w:p>
        </w:tc>
        <w:tc>
          <w:tcPr>
            <w:tcW w:w="3675" w:type="pct"/>
            <w:shd w:val="clear" w:color="auto" w:fill="auto"/>
            <w:vAlign w:val="center"/>
          </w:tcPr>
          <w:p w14:paraId="06BB6062">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eastAsia="Times New Roman"/>
                <w:color w:val="auto"/>
                <w:sz w:val="21"/>
                <w:szCs w:val="21"/>
              </w:rPr>
            </w:pPr>
            <w:r>
              <w:rPr>
                <w:rFonts w:hint="eastAsia"/>
                <w:color w:val="auto"/>
              </w:rPr>
              <w:t>设置井控装置，严格井控技术规定和井口装置试压要求；井下作业按照“铺设作业、带罐上岗”作业模式，及时回收落地油并委托有资质单位处置；加强管理，对井口装置、集油管线等易发生泄漏的部位进行巡回检查；采用“绿色修井技术及配套设备”，以原油不出井筒为目的，达到“三不沾油”，即井场不沾油、设备不沾油、操作工人身上不沾油</w:t>
            </w:r>
          </w:p>
        </w:tc>
      </w:tr>
      <w:tr w14:paraId="4E56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4CE2D6E8">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311" w:type="pct"/>
            <w:vMerge w:val="continue"/>
            <w:shd w:val="clear" w:color="auto" w:fill="auto"/>
            <w:vAlign w:val="center"/>
          </w:tcPr>
          <w:p w14:paraId="0B8A4A25">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780" w:type="pct"/>
            <w:shd w:val="clear" w:color="auto" w:fill="auto"/>
            <w:vAlign w:val="center"/>
          </w:tcPr>
          <w:p w14:paraId="6CE5FD05">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含油污泥</w:t>
            </w:r>
          </w:p>
        </w:tc>
        <w:tc>
          <w:tcPr>
            <w:tcW w:w="3675" w:type="pct"/>
            <w:shd w:val="clear" w:color="auto" w:fill="auto"/>
            <w:vAlign w:val="center"/>
          </w:tcPr>
          <w:p w14:paraId="08F719B0">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eastAsia="Times New Roman"/>
                <w:color w:val="auto"/>
                <w:sz w:val="21"/>
                <w:szCs w:val="21"/>
              </w:rPr>
            </w:pPr>
            <w:r>
              <w:rPr>
                <w:rFonts w:hint="eastAsia"/>
                <w:color w:val="auto"/>
              </w:rPr>
              <w:t>属危险固废，定期送有资质单位处置</w:t>
            </w:r>
          </w:p>
        </w:tc>
      </w:tr>
      <w:tr w14:paraId="55D0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7D3CCDA7">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311" w:type="pct"/>
            <w:vMerge w:val="continue"/>
            <w:shd w:val="clear" w:color="auto" w:fill="auto"/>
            <w:vAlign w:val="center"/>
          </w:tcPr>
          <w:p w14:paraId="1B2ADE53">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780" w:type="pct"/>
            <w:shd w:val="clear" w:color="auto" w:fill="auto"/>
            <w:vAlign w:val="center"/>
          </w:tcPr>
          <w:p w14:paraId="2CDFDB8D">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hint="eastAsia" w:eastAsia="宋体"/>
                <w:color w:val="auto"/>
                <w:sz w:val="21"/>
                <w:szCs w:val="21"/>
                <w:lang w:eastAsia="zh-CN"/>
              </w:rPr>
            </w:pPr>
            <w:r>
              <w:rPr>
                <w:rFonts w:hint="eastAsia" w:eastAsia="宋体"/>
                <w:color w:val="auto"/>
                <w:sz w:val="21"/>
                <w:szCs w:val="21"/>
                <w:lang w:val="en-US" w:eastAsia="zh-CN"/>
              </w:rPr>
              <w:t>沾油废物</w:t>
            </w:r>
          </w:p>
        </w:tc>
        <w:tc>
          <w:tcPr>
            <w:tcW w:w="3675" w:type="pct"/>
            <w:shd w:val="clear" w:color="auto" w:fill="auto"/>
            <w:vAlign w:val="center"/>
          </w:tcPr>
          <w:p w14:paraId="504ED72E">
            <w:pPr>
              <w:pStyle w:val="44"/>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eastAsia="Times New Roman"/>
                <w:color w:val="auto"/>
                <w:sz w:val="21"/>
                <w:szCs w:val="21"/>
              </w:rPr>
            </w:pPr>
            <w:r>
              <w:rPr>
                <w:rFonts w:hint="eastAsia"/>
                <w:color w:val="auto"/>
              </w:rPr>
              <w:t>属危险固废，暂存后交有资质单位安全处置</w:t>
            </w:r>
          </w:p>
        </w:tc>
      </w:tr>
      <w:tr w14:paraId="5258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1D78DD58">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311" w:type="pct"/>
            <w:shd w:val="clear" w:color="auto" w:fill="auto"/>
            <w:vAlign w:val="center"/>
          </w:tcPr>
          <w:p w14:paraId="771D08E8">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环境风险</w:t>
            </w:r>
          </w:p>
        </w:tc>
        <w:tc>
          <w:tcPr>
            <w:tcW w:w="780" w:type="pct"/>
            <w:shd w:val="clear" w:color="auto" w:fill="auto"/>
            <w:vAlign w:val="center"/>
          </w:tcPr>
          <w:p w14:paraId="2F7B76A7">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原油泄漏</w:t>
            </w:r>
          </w:p>
        </w:tc>
        <w:tc>
          <w:tcPr>
            <w:tcW w:w="3675" w:type="pct"/>
            <w:shd w:val="clear" w:color="auto" w:fill="auto"/>
            <w:vAlign w:val="center"/>
          </w:tcPr>
          <w:p w14:paraId="5D09B951">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hint="eastAsia" w:eastAsia="宋体"/>
                <w:color w:val="auto"/>
                <w:sz w:val="21"/>
                <w:szCs w:val="21"/>
                <w:lang w:eastAsia="zh-CN"/>
              </w:rPr>
            </w:pPr>
            <w:r>
              <w:rPr>
                <w:rFonts w:eastAsia="Times New Roman"/>
                <w:color w:val="auto"/>
                <w:sz w:val="21"/>
                <w:szCs w:val="21"/>
              </w:rPr>
              <w:t>制定安全管理制度和安全操作规程，建立健全环境管理体系和监测体系；定期进行环保安全教育，增强职工的环保意识和安全意识；编制应急预案并适时对相应安全维护措施做出调整；加强巡线；定期对集输管线壁厚进行测量，发现异常及时更换管道，杜绝泄漏事件发生</w:t>
            </w:r>
          </w:p>
        </w:tc>
      </w:tr>
      <w:tr w14:paraId="3FD5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0E73C0AC">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1091" w:type="pct"/>
            <w:gridSpan w:val="2"/>
            <w:shd w:val="clear" w:color="auto" w:fill="auto"/>
            <w:vAlign w:val="center"/>
          </w:tcPr>
          <w:p w14:paraId="7B5B7C98">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生态环境</w:t>
            </w:r>
          </w:p>
        </w:tc>
        <w:tc>
          <w:tcPr>
            <w:tcW w:w="3675" w:type="pct"/>
            <w:shd w:val="clear" w:color="auto" w:fill="auto"/>
            <w:vAlign w:val="center"/>
          </w:tcPr>
          <w:p w14:paraId="48399848">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及时进行迹地恢复，加强植被的绿化和抚育工作，提高植被覆盖率</w:t>
            </w:r>
          </w:p>
        </w:tc>
      </w:tr>
      <w:tr w14:paraId="64AC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288173C9">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1091" w:type="pct"/>
            <w:gridSpan w:val="2"/>
            <w:shd w:val="clear" w:color="auto" w:fill="auto"/>
            <w:vAlign w:val="center"/>
          </w:tcPr>
          <w:p w14:paraId="33858B7F">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环境管理</w:t>
            </w:r>
          </w:p>
        </w:tc>
        <w:tc>
          <w:tcPr>
            <w:tcW w:w="3675" w:type="pct"/>
            <w:shd w:val="clear" w:color="auto" w:fill="auto"/>
            <w:vAlign w:val="center"/>
          </w:tcPr>
          <w:p w14:paraId="10A66144">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建立环境管理体系</w:t>
            </w:r>
          </w:p>
        </w:tc>
      </w:tr>
      <w:tr w14:paraId="70E9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5EFEA97B">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1091" w:type="pct"/>
            <w:gridSpan w:val="2"/>
            <w:shd w:val="clear" w:color="auto" w:fill="auto"/>
            <w:vAlign w:val="center"/>
          </w:tcPr>
          <w:p w14:paraId="670C1CA6">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环境监测</w:t>
            </w:r>
          </w:p>
        </w:tc>
        <w:tc>
          <w:tcPr>
            <w:tcW w:w="3675" w:type="pct"/>
            <w:shd w:val="clear" w:color="auto" w:fill="auto"/>
            <w:vAlign w:val="center"/>
          </w:tcPr>
          <w:p w14:paraId="0A8B9A79">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地下水环境、土壤环境质量跟踪监测；生态监测</w:t>
            </w:r>
          </w:p>
        </w:tc>
      </w:tr>
      <w:tr w14:paraId="41D9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restart"/>
            <w:shd w:val="clear" w:color="auto" w:fill="auto"/>
            <w:vAlign w:val="center"/>
          </w:tcPr>
          <w:p w14:paraId="636E10D8">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r>
              <w:rPr>
                <w:rFonts w:eastAsia="Times New Roman"/>
                <w:color w:val="auto"/>
                <w:sz w:val="21"/>
                <w:szCs w:val="21"/>
              </w:rPr>
              <w:t>退役期</w:t>
            </w:r>
          </w:p>
        </w:tc>
        <w:tc>
          <w:tcPr>
            <w:tcW w:w="4766" w:type="pct"/>
            <w:gridSpan w:val="3"/>
            <w:shd w:val="clear" w:color="auto" w:fill="auto"/>
            <w:vAlign w:val="center"/>
          </w:tcPr>
          <w:p w14:paraId="0AA98A8B">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对拆除地面设施和地面管线过程中产生的垃圾及时外运并合理处置</w:t>
            </w:r>
          </w:p>
        </w:tc>
      </w:tr>
      <w:tr w14:paraId="46A2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79B995A9">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4766" w:type="pct"/>
            <w:gridSpan w:val="3"/>
            <w:shd w:val="clear" w:color="auto" w:fill="auto"/>
            <w:vAlign w:val="center"/>
          </w:tcPr>
          <w:p w14:paraId="33060735">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油井闭井后，确认每口井封堵完好</w:t>
            </w:r>
          </w:p>
        </w:tc>
      </w:tr>
      <w:tr w14:paraId="51D9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trPr>
        <w:tc>
          <w:tcPr>
            <w:tcW w:w="233" w:type="pct"/>
            <w:vMerge w:val="continue"/>
            <w:shd w:val="clear" w:color="auto" w:fill="auto"/>
            <w:vAlign w:val="center"/>
          </w:tcPr>
          <w:p w14:paraId="49375296">
            <w:pPr>
              <w:pStyle w:val="42"/>
              <w:keepNext w:val="0"/>
              <w:keepLines w:val="0"/>
              <w:pageBreakBefore w:val="0"/>
              <w:widowControl/>
              <w:kinsoku/>
              <w:wordWrap/>
              <w:overflowPunct/>
              <w:topLinePunct w:val="0"/>
              <w:autoSpaceDE w:val="0"/>
              <w:autoSpaceDN w:val="0"/>
              <w:bidi w:val="0"/>
              <w:adjustRightInd w:val="0"/>
              <w:snapToGrid w:val="0"/>
              <w:spacing w:line="300" w:lineRule="exact"/>
              <w:textAlignment w:val="center"/>
              <w:rPr>
                <w:rFonts w:eastAsia="Times New Roman"/>
                <w:color w:val="auto"/>
                <w:sz w:val="21"/>
                <w:szCs w:val="21"/>
              </w:rPr>
            </w:pPr>
          </w:p>
        </w:tc>
        <w:tc>
          <w:tcPr>
            <w:tcW w:w="4766" w:type="pct"/>
            <w:gridSpan w:val="3"/>
            <w:shd w:val="clear" w:color="auto" w:fill="auto"/>
            <w:vAlign w:val="center"/>
          </w:tcPr>
          <w:p w14:paraId="745D1BF3">
            <w:pPr>
              <w:pStyle w:val="42"/>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center"/>
              <w:rPr>
                <w:rFonts w:eastAsia="Times New Roman"/>
                <w:color w:val="auto"/>
                <w:sz w:val="21"/>
                <w:szCs w:val="21"/>
              </w:rPr>
            </w:pPr>
            <w:r>
              <w:rPr>
                <w:rFonts w:eastAsia="Times New Roman"/>
                <w:color w:val="auto"/>
                <w:sz w:val="21"/>
                <w:szCs w:val="21"/>
              </w:rPr>
              <w:t>保留各类绿化、生态保护设施，井场永久性占地范围内进行植被恢复</w:t>
            </w:r>
          </w:p>
        </w:tc>
      </w:tr>
    </w:tbl>
    <w:p w14:paraId="4F98341B">
      <w:pPr>
        <w:pStyle w:val="2"/>
        <w:bidi w:val="0"/>
        <w:rPr>
          <w:rFonts w:hint="default"/>
          <w:color w:val="auto"/>
          <w:lang w:val="en-US" w:eastAsia="zh-CN"/>
        </w:rPr>
      </w:pPr>
      <w:bookmarkStart w:id="314" w:name="_Toc21306"/>
      <w:r>
        <w:rPr>
          <w:rFonts w:hint="eastAsia"/>
          <w:color w:val="auto"/>
          <w:lang w:val="en-US" w:eastAsia="zh-CN"/>
        </w:rPr>
        <w:t>6.7环保投资估算</w:t>
      </w:r>
      <w:bookmarkEnd w:id="314"/>
    </w:p>
    <w:p w14:paraId="1236866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本工程总投资492.16万元，其中环保投资76万元，占总投资的15.4%。环保投资情况见表6.7-1。</w:t>
      </w:r>
    </w:p>
    <w:p w14:paraId="17C21A41">
      <w:pPr>
        <w:pStyle w:val="32"/>
        <w:bidi w:val="0"/>
        <w:rPr>
          <w:rFonts w:hint="default"/>
          <w:color w:val="auto"/>
          <w:lang w:val="en-US" w:eastAsia="zh-CN"/>
        </w:rPr>
      </w:pPr>
      <w:r>
        <w:rPr>
          <w:rFonts w:hint="eastAsia"/>
          <w:color w:val="auto"/>
          <w:lang w:val="en-US" w:eastAsia="zh-CN"/>
        </w:rPr>
        <w:t>表6.7-1  本项目环保投资估算表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825"/>
        <w:gridCol w:w="1680"/>
        <w:gridCol w:w="3673"/>
        <w:gridCol w:w="1705"/>
      </w:tblGrid>
      <w:tr w14:paraId="456B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2DBDCA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时期</w:t>
            </w:r>
          </w:p>
        </w:tc>
        <w:tc>
          <w:tcPr>
            <w:tcW w:w="825" w:type="dxa"/>
            <w:vAlign w:val="center"/>
          </w:tcPr>
          <w:p w14:paraId="479964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类别</w:t>
            </w:r>
          </w:p>
        </w:tc>
        <w:tc>
          <w:tcPr>
            <w:tcW w:w="1680" w:type="dxa"/>
            <w:vAlign w:val="center"/>
          </w:tcPr>
          <w:p w14:paraId="730B50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污染源</w:t>
            </w:r>
          </w:p>
        </w:tc>
        <w:tc>
          <w:tcPr>
            <w:tcW w:w="3673" w:type="dxa"/>
            <w:vAlign w:val="center"/>
          </w:tcPr>
          <w:p w14:paraId="354E7A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防治措施</w:t>
            </w:r>
          </w:p>
        </w:tc>
        <w:tc>
          <w:tcPr>
            <w:tcW w:w="1705" w:type="dxa"/>
            <w:vAlign w:val="center"/>
          </w:tcPr>
          <w:p w14:paraId="233461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环保投资（万元）</w:t>
            </w:r>
          </w:p>
        </w:tc>
      </w:tr>
      <w:tr w14:paraId="7C06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restart"/>
            <w:vAlign w:val="center"/>
          </w:tcPr>
          <w:p w14:paraId="55C1D5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施工期</w:t>
            </w:r>
          </w:p>
        </w:tc>
        <w:tc>
          <w:tcPr>
            <w:tcW w:w="825" w:type="dxa"/>
            <w:vMerge w:val="restart"/>
            <w:vAlign w:val="center"/>
          </w:tcPr>
          <w:p w14:paraId="2D0E933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废气</w:t>
            </w:r>
          </w:p>
        </w:tc>
        <w:tc>
          <w:tcPr>
            <w:tcW w:w="1680" w:type="dxa"/>
            <w:vAlign w:val="center"/>
          </w:tcPr>
          <w:p w14:paraId="4B96DB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施工扬尘</w:t>
            </w:r>
          </w:p>
        </w:tc>
        <w:tc>
          <w:tcPr>
            <w:tcW w:w="3673" w:type="dxa"/>
            <w:vAlign w:val="center"/>
          </w:tcPr>
          <w:p w14:paraId="6D4E6C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临时遮盖、洒水抑尘</w:t>
            </w:r>
          </w:p>
        </w:tc>
        <w:tc>
          <w:tcPr>
            <w:tcW w:w="1705" w:type="dxa"/>
            <w:vAlign w:val="center"/>
          </w:tcPr>
          <w:p w14:paraId="2FA1289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4124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51D849F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825" w:type="dxa"/>
            <w:vMerge w:val="continue"/>
            <w:vAlign w:val="center"/>
          </w:tcPr>
          <w:p w14:paraId="4E4A1F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1680" w:type="dxa"/>
            <w:vAlign w:val="center"/>
          </w:tcPr>
          <w:p w14:paraId="27423A18">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rPr>
              <w:t>施工机械和车辆尾气</w:t>
            </w:r>
          </w:p>
        </w:tc>
        <w:tc>
          <w:tcPr>
            <w:tcW w:w="3673" w:type="dxa"/>
            <w:vAlign w:val="center"/>
          </w:tcPr>
          <w:p w14:paraId="4E66B6FE">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rPr>
              <w:t>选用污染物指标符合国家标准且低含硫量的优质柴油</w:t>
            </w:r>
          </w:p>
        </w:tc>
        <w:tc>
          <w:tcPr>
            <w:tcW w:w="1705" w:type="dxa"/>
            <w:vAlign w:val="center"/>
          </w:tcPr>
          <w:p w14:paraId="761912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计入主体工程投资</w:t>
            </w:r>
          </w:p>
        </w:tc>
      </w:tr>
      <w:tr w14:paraId="7ADB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4BB2A1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Merge w:val="restart"/>
            <w:vAlign w:val="center"/>
          </w:tcPr>
          <w:p w14:paraId="31B7203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p>
        </w:tc>
        <w:tc>
          <w:tcPr>
            <w:tcW w:w="1680" w:type="dxa"/>
            <w:vAlign w:val="center"/>
          </w:tcPr>
          <w:p w14:paraId="4636B5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试压废水</w:t>
            </w:r>
          </w:p>
        </w:tc>
        <w:tc>
          <w:tcPr>
            <w:tcW w:w="3673" w:type="dxa"/>
            <w:vAlign w:val="center"/>
          </w:tcPr>
          <w:p w14:paraId="0E9371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经管线集输至采出水处理系统处理</w:t>
            </w:r>
          </w:p>
        </w:tc>
        <w:tc>
          <w:tcPr>
            <w:tcW w:w="1705" w:type="dxa"/>
            <w:vAlign w:val="center"/>
          </w:tcPr>
          <w:p w14:paraId="3FFA811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r>
      <w:tr w14:paraId="4E38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0398F8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Merge w:val="continue"/>
            <w:vAlign w:val="center"/>
          </w:tcPr>
          <w:p w14:paraId="076A258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1680" w:type="dxa"/>
            <w:vAlign w:val="center"/>
          </w:tcPr>
          <w:p w14:paraId="1F6748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施工人员生活污水</w:t>
            </w:r>
          </w:p>
        </w:tc>
        <w:tc>
          <w:tcPr>
            <w:tcW w:w="3673" w:type="dxa"/>
            <w:vAlign w:val="center"/>
          </w:tcPr>
          <w:p w14:paraId="3BA739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依托生活基地既有设施</w:t>
            </w:r>
          </w:p>
        </w:tc>
        <w:tc>
          <w:tcPr>
            <w:tcW w:w="1705" w:type="dxa"/>
            <w:vAlign w:val="center"/>
          </w:tcPr>
          <w:p w14:paraId="5C8FF9E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计入主体工程投资</w:t>
            </w:r>
          </w:p>
        </w:tc>
      </w:tr>
      <w:tr w14:paraId="4455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317C55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05" w:type="dxa"/>
            <w:gridSpan w:val="2"/>
            <w:vAlign w:val="center"/>
          </w:tcPr>
          <w:p w14:paraId="2F1E3E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地下水</w:t>
            </w:r>
          </w:p>
        </w:tc>
        <w:tc>
          <w:tcPr>
            <w:tcW w:w="3673" w:type="dxa"/>
            <w:vAlign w:val="center"/>
          </w:tcPr>
          <w:p w14:paraId="5290D7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阀池防渗措施，现场的固废及时清理</w:t>
            </w:r>
          </w:p>
        </w:tc>
        <w:tc>
          <w:tcPr>
            <w:tcW w:w="1705" w:type="dxa"/>
            <w:vAlign w:val="center"/>
          </w:tcPr>
          <w:p w14:paraId="2D56E7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r>
      <w:tr w14:paraId="694F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0F6703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Align w:val="center"/>
          </w:tcPr>
          <w:p w14:paraId="21DECA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噪声</w:t>
            </w:r>
          </w:p>
        </w:tc>
        <w:tc>
          <w:tcPr>
            <w:tcW w:w="1680" w:type="dxa"/>
            <w:vAlign w:val="center"/>
          </w:tcPr>
          <w:p w14:paraId="3BBEE6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产噪设施</w:t>
            </w:r>
          </w:p>
        </w:tc>
        <w:tc>
          <w:tcPr>
            <w:tcW w:w="3673" w:type="dxa"/>
            <w:vAlign w:val="center"/>
          </w:tcPr>
          <w:p w14:paraId="5D6B14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维护和保养、基础减振</w:t>
            </w:r>
          </w:p>
        </w:tc>
        <w:tc>
          <w:tcPr>
            <w:tcW w:w="1705" w:type="dxa"/>
            <w:vAlign w:val="center"/>
          </w:tcPr>
          <w:p w14:paraId="4C096B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5F5F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392A55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Merge w:val="restart"/>
            <w:vAlign w:val="center"/>
          </w:tcPr>
          <w:p w14:paraId="51F55B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固废</w:t>
            </w:r>
          </w:p>
        </w:tc>
        <w:tc>
          <w:tcPr>
            <w:tcW w:w="1680" w:type="dxa"/>
            <w:vAlign w:val="center"/>
          </w:tcPr>
          <w:p w14:paraId="60EB67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建筑垃圾</w:t>
            </w:r>
          </w:p>
        </w:tc>
        <w:tc>
          <w:tcPr>
            <w:tcW w:w="3673" w:type="dxa"/>
            <w:vAlign w:val="center"/>
          </w:tcPr>
          <w:p w14:paraId="1BB4CA5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宋体"/>
                <w:color w:val="auto"/>
                <w:sz w:val="21"/>
              </w:rPr>
              <w:t>送至当地建筑垃圾填埋场</w:t>
            </w:r>
          </w:p>
        </w:tc>
        <w:tc>
          <w:tcPr>
            <w:tcW w:w="1705" w:type="dxa"/>
            <w:vAlign w:val="center"/>
          </w:tcPr>
          <w:p w14:paraId="483F1B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617B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179815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Merge w:val="continue"/>
            <w:vAlign w:val="center"/>
          </w:tcPr>
          <w:p w14:paraId="674B32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1680" w:type="dxa"/>
            <w:vAlign w:val="center"/>
          </w:tcPr>
          <w:p w14:paraId="2C371F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施工人员生活垃圾</w:t>
            </w:r>
          </w:p>
        </w:tc>
        <w:tc>
          <w:tcPr>
            <w:tcW w:w="3673" w:type="dxa"/>
            <w:vAlign w:val="center"/>
          </w:tcPr>
          <w:p w14:paraId="20E672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color w:val="auto"/>
                <w:sz w:val="21"/>
              </w:rPr>
            </w:pPr>
            <w:r>
              <w:rPr>
                <w:rFonts w:hint="default" w:ascii="Times New Roman" w:hAnsi="Times New Roman" w:eastAsia="宋体" w:cs="Times New Roman"/>
                <w:color w:val="auto"/>
                <w:sz w:val="21"/>
                <w:szCs w:val="21"/>
              </w:rPr>
              <w:t>生活垃圾设收集箱收集，</w:t>
            </w:r>
            <w:r>
              <w:rPr>
                <w:rFonts w:hint="eastAsia" w:eastAsia="宋体" w:cs="Times New Roman"/>
                <w:color w:val="auto"/>
                <w:sz w:val="21"/>
                <w:szCs w:val="21"/>
                <w:lang w:val="en-US" w:eastAsia="zh-CN"/>
              </w:rPr>
              <w:t>运往乌尔禾区生活垃圾填埋场</w:t>
            </w:r>
            <w:r>
              <w:rPr>
                <w:rFonts w:hint="default" w:ascii="Times New Roman" w:hAnsi="Times New Roman" w:eastAsia="宋体" w:cs="Times New Roman"/>
                <w:color w:val="auto"/>
                <w:sz w:val="21"/>
                <w:szCs w:val="21"/>
              </w:rPr>
              <w:t>进行处置</w:t>
            </w:r>
          </w:p>
        </w:tc>
        <w:tc>
          <w:tcPr>
            <w:tcW w:w="1705" w:type="dxa"/>
            <w:vAlign w:val="center"/>
          </w:tcPr>
          <w:p w14:paraId="3E9216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32C8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43A15C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Align w:val="center"/>
          </w:tcPr>
          <w:p w14:paraId="45642F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生态</w:t>
            </w:r>
          </w:p>
        </w:tc>
        <w:tc>
          <w:tcPr>
            <w:tcW w:w="1680" w:type="dxa"/>
            <w:vAlign w:val="center"/>
          </w:tcPr>
          <w:p w14:paraId="5B30BAB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生态恢复</w:t>
            </w:r>
          </w:p>
        </w:tc>
        <w:tc>
          <w:tcPr>
            <w:tcW w:w="3673" w:type="dxa"/>
            <w:vAlign w:val="center"/>
          </w:tcPr>
          <w:p w14:paraId="65455F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占地生态补偿，完工后施工迹地恢复，临时占地植被恢复等</w:t>
            </w:r>
          </w:p>
        </w:tc>
        <w:tc>
          <w:tcPr>
            <w:tcW w:w="1705" w:type="dxa"/>
            <w:vAlign w:val="center"/>
          </w:tcPr>
          <w:p w14:paraId="2F84F8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r>
      <w:tr w14:paraId="3CD7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restart"/>
            <w:vAlign w:val="center"/>
          </w:tcPr>
          <w:p w14:paraId="089006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运营期</w:t>
            </w:r>
          </w:p>
        </w:tc>
        <w:tc>
          <w:tcPr>
            <w:tcW w:w="825" w:type="dxa"/>
            <w:vAlign w:val="center"/>
          </w:tcPr>
          <w:p w14:paraId="0EB0546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废气</w:t>
            </w:r>
          </w:p>
        </w:tc>
        <w:tc>
          <w:tcPr>
            <w:tcW w:w="1680" w:type="dxa"/>
            <w:shd w:val="clear" w:color="auto" w:fill="auto"/>
            <w:vAlign w:val="center"/>
          </w:tcPr>
          <w:p w14:paraId="7D6C27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无组织挥发气体</w:t>
            </w:r>
          </w:p>
        </w:tc>
        <w:tc>
          <w:tcPr>
            <w:tcW w:w="3673" w:type="dxa"/>
            <w:shd w:val="clear" w:color="auto" w:fill="auto"/>
            <w:vAlign w:val="center"/>
          </w:tcPr>
          <w:p w14:paraId="3EE6585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密闭集输工艺，</w:t>
            </w:r>
            <w:r>
              <w:rPr>
                <w:rFonts w:hint="default" w:ascii="Times New Roman" w:hAnsi="Times New Roman" w:eastAsia="宋体" w:cs="Times New Roman"/>
                <w:color w:val="auto"/>
                <w:sz w:val="21"/>
                <w:szCs w:val="21"/>
              </w:rPr>
              <w:t>减少跑冒滴漏，优化操作，合理安排储运作业，加强维护和管理，定期检查设备密封状态</w:t>
            </w:r>
          </w:p>
        </w:tc>
        <w:tc>
          <w:tcPr>
            <w:tcW w:w="1705" w:type="dxa"/>
            <w:vAlign w:val="center"/>
          </w:tcPr>
          <w:p w14:paraId="3A6945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计入主体工程投资</w:t>
            </w:r>
          </w:p>
        </w:tc>
      </w:tr>
      <w:tr w14:paraId="0B64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077CB3E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Merge w:val="restart"/>
            <w:vAlign w:val="center"/>
          </w:tcPr>
          <w:p w14:paraId="6EE467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p>
        </w:tc>
        <w:tc>
          <w:tcPr>
            <w:tcW w:w="1680" w:type="dxa"/>
            <w:vAlign w:val="center"/>
          </w:tcPr>
          <w:p w14:paraId="318C1F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采出水</w:t>
            </w:r>
          </w:p>
        </w:tc>
        <w:tc>
          <w:tcPr>
            <w:tcW w:w="3673" w:type="dxa"/>
            <w:vMerge w:val="restart"/>
            <w:vAlign w:val="center"/>
          </w:tcPr>
          <w:p w14:paraId="1E60CF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依托现有处理站处理达标后回用</w:t>
            </w:r>
          </w:p>
        </w:tc>
        <w:tc>
          <w:tcPr>
            <w:tcW w:w="1705" w:type="dxa"/>
            <w:vMerge w:val="restart"/>
            <w:vAlign w:val="center"/>
          </w:tcPr>
          <w:p w14:paraId="0A1D5E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依托</w:t>
            </w:r>
          </w:p>
        </w:tc>
      </w:tr>
      <w:tr w14:paraId="5B04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2EC173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Merge w:val="continue"/>
            <w:vAlign w:val="center"/>
          </w:tcPr>
          <w:p w14:paraId="1B4684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80" w:type="dxa"/>
            <w:vAlign w:val="center"/>
          </w:tcPr>
          <w:p w14:paraId="369FC2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井下作业废水</w:t>
            </w:r>
          </w:p>
        </w:tc>
        <w:tc>
          <w:tcPr>
            <w:tcW w:w="3673" w:type="dxa"/>
            <w:vMerge w:val="continue"/>
            <w:vAlign w:val="center"/>
          </w:tcPr>
          <w:p w14:paraId="2A1A55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1705" w:type="dxa"/>
            <w:vMerge w:val="continue"/>
            <w:vAlign w:val="center"/>
          </w:tcPr>
          <w:p w14:paraId="4638A3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r>
      <w:tr w14:paraId="5D8E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4128E9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Align w:val="center"/>
          </w:tcPr>
          <w:p w14:paraId="344BE3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噪声</w:t>
            </w:r>
          </w:p>
        </w:tc>
        <w:tc>
          <w:tcPr>
            <w:tcW w:w="1680" w:type="dxa"/>
            <w:vAlign w:val="center"/>
          </w:tcPr>
          <w:p w14:paraId="50026DE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设备</w:t>
            </w:r>
          </w:p>
        </w:tc>
        <w:tc>
          <w:tcPr>
            <w:tcW w:w="3673" w:type="dxa"/>
            <w:vAlign w:val="center"/>
          </w:tcPr>
          <w:p w14:paraId="37C061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低噪声设备、基础减振</w:t>
            </w:r>
          </w:p>
        </w:tc>
        <w:tc>
          <w:tcPr>
            <w:tcW w:w="1705" w:type="dxa"/>
            <w:vAlign w:val="center"/>
          </w:tcPr>
          <w:p w14:paraId="1EE906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r>
      <w:tr w14:paraId="1D78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02ADB9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Merge w:val="restart"/>
            <w:vAlign w:val="center"/>
          </w:tcPr>
          <w:p w14:paraId="0C9B0E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固废</w:t>
            </w:r>
          </w:p>
        </w:tc>
        <w:tc>
          <w:tcPr>
            <w:tcW w:w="1680" w:type="dxa"/>
            <w:vAlign w:val="center"/>
          </w:tcPr>
          <w:p w14:paraId="4C5EF4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落地油</w:t>
            </w:r>
          </w:p>
        </w:tc>
        <w:tc>
          <w:tcPr>
            <w:tcW w:w="3673" w:type="dxa"/>
            <w:vAlign w:val="center"/>
          </w:tcPr>
          <w:p w14:paraId="013279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收集，交有资质的单位处置</w:t>
            </w:r>
          </w:p>
        </w:tc>
        <w:tc>
          <w:tcPr>
            <w:tcW w:w="1705" w:type="dxa"/>
            <w:vAlign w:val="center"/>
          </w:tcPr>
          <w:p w14:paraId="3BC7E4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6FE5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2DAECB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Merge w:val="continue"/>
            <w:vAlign w:val="center"/>
          </w:tcPr>
          <w:p w14:paraId="70085D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80" w:type="dxa"/>
            <w:vAlign w:val="center"/>
          </w:tcPr>
          <w:p w14:paraId="3F86E9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含油污泥</w:t>
            </w:r>
          </w:p>
        </w:tc>
        <w:tc>
          <w:tcPr>
            <w:tcW w:w="3673" w:type="dxa"/>
            <w:vAlign w:val="center"/>
          </w:tcPr>
          <w:p w14:paraId="0E0E3DC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依托现有暂存场，定期交有资质的单位处置</w:t>
            </w:r>
          </w:p>
        </w:tc>
        <w:tc>
          <w:tcPr>
            <w:tcW w:w="1705" w:type="dxa"/>
            <w:vAlign w:val="center"/>
          </w:tcPr>
          <w:p w14:paraId="7E3849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依托</w:t>
            </w:r>
          </w:p>
        </w:tc>
      </w:tr>
      <w:tr w14:paraId="24B7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65A53C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5" w:type="dxa"/>
            <w:vMerge w:val="continue"/>
            <w:vAlign w:val="center"/>
          </w:tcPr>
          <w:p w14:paraId="0B122B8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80" w:type="dxa"/>
            <w:vAlign w:val="center"/>
          </w:tcPr>
          <w:p w14:paraId="3E9EB7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沾油废物</w:t>
            </w:r>
          </w:p>
        </w:tc>
        <w:tc>
          <w:tcPr>
            <w:tcW w:w="3673" w:type="dxa"/>
            <w:vAlign w:val="center"/>
          </w:tcPr>
          <w:p w14:paraId="00895E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依托现有危险废物贮存场，定期交有资质的单位处置</w:t>
            </w:r>
          </w:p>
        </w:tc>
        <w:tc>
          <w:tcPr>
            <w:tcW w:w="1705" w:type="dxa"/>
            <w:vAlign w:val="center"/>
          </w:tcPr>
          <w:p w14:paraId="566470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67E6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4E3223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05" w:type="dxa"/>
            <w:gridSpan w:val="2"/>
            <w:vMerge w:val="restart"/>
            <w:vAlign w:val="center"/>
          </w:tcPr>
          <w:p w14:paraId="6EEAD2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环境管理</w:t>
            </w:r>
          </w:p>
        </w:tc>
        <w:tc>
          <w:tcPr>
            <w:tcW w:w="3673" w:type="dxa"/>
            <w:vAlign w:val="center"/>
          </w:tcPr>
          <w:p w14:paraId="412440E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环境影响评价</w:t>
            </w:r>
          </w:p>
        </w:tc>
        <w:tc>
          <w:tcPr>
            <w:tcW w:w="1705" w:type="dxa"/>
            <w:vAlign w:val="center"/>
          </w:tcPr>
          <w:p w14:paraId="4FE9FA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23</w:t>
            </w:r>
          </w:p>
        </w:tc>
      </w:tr>
      <w:tr w14:paraId="63DA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09B9A2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05" w:type="dxa"/>
            <w:gridSpan w:val="2"/>
            <w:vMerge w:val="continue"/>
            <w:vAlign w:val="center"/>
          </w:tcPr>
          <w:p w14:paraId="765A9F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3673" w:type="dxa"/>
            <w:vAlign w:val="center"/>
          </w:tcPr>
          <w:p w14:paraId="47B486A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竣工环保验收</w:t>
            </w:r>
          </w:p>
        </w:tc>
        <w:tc>
          <w:tcPr>
            <w:tcW w:w="1705" w:type="dxa"/>
            <w:vAlign w:val="center"/>
          </w:tcPr>
          <w:p w14:paraId="762B55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r>
      <w:tr w14:paraId="43B6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6FC5E0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05" w:type="dxa"/>
            <w:gridSpan w:val="2"/>
            <w:vMerge w:val="continue"/>
            <w:vAlign w:val="center"/>
          </w:tcPr>
          <w:p w14:paraId="245347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3673" w:type="dxa"/>
            <w:vAlign w:val="center"/>
          </w:tcPr>
          <w:p w14:paraId="71334A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环境质量监测</w:t>
            </w:r>
          </w:p>
        </w:tc>
        <w:tc>
          <w:tcPr>
            <w:tcW w:w="1705" w:type="dxa"/>
            <w:vAlign w:val="center"/>
          </w:tcPr>
          <w:p w14:paraId="207782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r>
      <w:tr w14:paraId="5EE0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restart"/>
            <w:vAlign w:val="center"/>
          </w:tcPr>
          <w:p w14:paraId="7B1879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退役期</w:t>
            </w:r>
          </w:p>
        </w:tc>
        <w:tc>
          <w:tcPr>
            <w:tcW w:w="825" w:type="dxa"/>
            <w:tcBorders>
              <w:right w:val="single" w:color="000000" w:sz="4" w:space="0"/>
            </w:tcBorders>
            <w:vAlign w:val="center"/>
          </w:tcPr>
          <w:p w14:paraId="6EB302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固废</w:t>
            </w:r>
          </w:p>
        </w:tc>
        <w:tc>
          <w:tcPr>
            <w:tcW w:w="1680" w:type="dxa"/>
            <w:tcBorders>
              <w:left w:val="single" w:color="000000" w:sz="4" w:space="0"/>
            </w:tcBorders>
            <w:vAlign w:val="center"/>
          </w:tcPr>
          <w:p w14:paraId="41A505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站场及管线拆除的建筑垃圾</w:t>
            </w:r>
          </w:p>
        </w:tc>
        <w:tc>
          <w:tcPr>
            <w:tcW w:w="3673" w:type="dxa"/>
            <w:vAlign w:val="center"/>
          </w:tcPr>
          <w:p w14:paraId="322741F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宋体"/>
                <w:color w:val="auto"/>
                <w:sz w:val="21"/>
              </w:rPr>
              <w:t>送至当地建筑垃圾填埋场</w:t>
            </w:r>
          </w:p>
        </w:tc>
        <w:tc>
          <w:tcPr>
            <w:tcW w:w="1705" w:type="dxa"/>
            <w:vAlign w:val="center"/>
          </w:tcPr>
          <w:p w14:paraId="3F0CA2A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0758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0D9833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825" w:type="dxa"/>
            <w:tcBorders>
              <w:right w:val="single" w:color="000000" w:sz="4" w:space="0"/>
            </w:tcBorders>
            <w:vAlign w:val="center"/>
          </w:tcPr>
          <w:p w14:paraId="03C925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p>
        </w:tc>
        <w:tc>
          <w:tcPr>
            <w:tcW w:w="1680" w:type="dxa"/>
            <w:tcBorders>
              <w:left w:val="single" w:color="000000" w:sz="4" w:space="0"/>
            </w:tcBorders>
            <w:vAlign w:val="center"/>
          </w:tcPr>
          <w:p w14:paraId="73B830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吹扫废水</w:t>
            </w:r>
          </w:p>
        </w:tc>
        <w:tc>
          <w:tcPr>
            <w:tcW w:w="3673" w:type="dxa"/>
            <w:vAlign w:val="center"/>
          </w:tcPr>
          <w:p w14:paraId="7A312D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依托现有处理站处理达标后回用</w:t>
            </w:r>
          </w:p>
        </w:tc>
        <w:tc>
          <w:tcPr>
            <w:tcW w:w="1705" w:type="dxa"/>
            <w:vAlign w:val="center"/>
          </w:tcPr>
          <w:p w14:paraId="425B18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依托</w:t>
            </w:r>
          </w:p>
        </w:tc>
      </w:tr>
      <w:tr w14:paraId="3B52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vAlign w:val="center"/>
          </w:tcPr>
          <w:p w14:paraId="6DB55B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825" w:type="dxa"/>
            <w:tcBorders>
              <w:right w:val="single" w:color="000000" w:sz="4" w:space="0"/>
            </w:tcBorders>
            <w:vAlign w:val="center"/>
          </w:tcPr>
          <w:p w14:paraId="273DCA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生态</w:t>
            </w:r>
          </w:p>
        </w:tc>
        <w:tc>
          <w:tcPr>
            <w:tcW w:w="1680" w:type="dxa"/>
            <w:tcBorders>
              <w:left w:val="single" w:color="000000" w:sz="4" w:space="0"/>
            </w:tcBorders>
            <w:vAlign w:val="center"/>
          </w:tcPr>
          <w:p w14:paraId="24B5EE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生态恢复</w:t>
            </w:r>
          </w:p>
        </w:tc>
        <w:tc>
          <w:tcPr>
            <w:tcW w:w="3673" w:type="dxa"/>
            <w:vAlign w:val="center"/>
          </w:tcPr>
          <w:p w14:paraId="70E886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完工后施工迹地清理平整，施工临时占地和永久占地释放后植被自然恢复</w:t>
            </w:r>
          </w:p>
        </w:tc>
        <w:tc>
          <w:tcPr>
            <w:tcW w:w="1705" w:type="dxa"/>
            <w:vAlign w:val="center"/>
          </w:tcPr>
          <w:p w14:paraId="3E9CE73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r>
      <w:tr w14:paraId="1BCB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7" w:type="dxa"/>
            <w:gridSpan w:val="4"/>
            <w:vAlign w:val="center"/>
          </w:tcPr>
          <w:p w14:paraId="6D82CCC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1705" w:type="dxa"/>
            <w:vAlign w:val="center"/>
          </w:tcPr>
          <w:p w14:paraId="73205C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76</w:t>
            </w:r>
          </w:p>
        </w:tc>
      </w:tr>
    </w:tbl>
    <w:p w14:paraId="227EAFDD">
      <w:pPr>
        <w:pStyle w:val="33"/>
        <w:bidi w:val="0"/>
        <w:rPr>
          <w:color w:val="auto"/>
        </w:rPr>
      </w:pPr>
    </w:p>
    <w:p w14:paraId="47473799">
      <w:pPr>
        <w:pStyle w:val="33"/>
        <w:bidi w:val="0"/>
        <w:rPr>
          <w:color w:val="auto"/>
        </w:rPr>
      </w:pPr>
    </w:p>
    <w:p w14:paraId="21662E2B">
      <w:pPr>
        <w:rPr>
          <w:color w:val="auto"/>
        </w:rPr>
      </w:pPr>
      <w:r>
        <w:rPr>
          <w:color w:val="auto"/>
        </w:rPr>
        <w:br w:type="page"/>
      </w:r>
    </w:p>
    <w:p w14:paraId="10794C26">
      <w:pPr>
        <w:pStyle w:val="3"/>
        <w:bidi w:val="0"/>
        <w:rPr>
          <w:rFonts w:hint="default"/>
          <w:color w:val="auto"/>
          <w:lang w:val="en-US" w:eastAsia="zh-CN"/>
        </w:rPr>
      </w:pPr>
      <w:bookmarkStart w:id="315" w:name="_Toc14168"/>
      <w:bookmarkStart w:id="316" w:name="_Toc18557"/>
      <w:bookmarkStart w:id="317" w:name="_Toc11744"/>
      <w:bookmarkStart w:id="318" w:name="_Toc2209"/>
      <w:bookmarkStart w:id="319" w:name="_Toc29853"/>
      <w:r>
        <w:rPr>
          <w:rFonts w:hint="eastAsia"/>
          <w:color w:val="auto"/>
          <w:lang w:val="en-US" w:eastAsia="zh-CN"/>
        </w:rPr>
        <w:t>7环境影响经济损益分析</w:t>
      </w:r>
      <w:bookmarkEnd w:id="315"/>
      <w:bookmarkEnd w:id="316"/>
      <w:bookmarkEnd w:id="317"/>
      <w:bookmarkEnd w:id="318"/>
      <w:bookmarkEnd w:id="319"/>
    </w:p>
    <w:p w14:paraId="08944CF3">
      <w:pPr>
        <w:pStyle w:val="2"/>
        <w:bidi w:val="0"/>
        <w:rPr>
          <w:rFonts w:hint="default"/>
          <w:color w:val="auto"/>
          <w:lang w:val="en-US" w:eastAsia="zh-CN"/>
        </w:rPr>
      </w:pPr>
      <w:bookmarkStart w:id="320" w:name="_Toc27988"/>
      <w:bookmarkStart w:id="321" w:name="_Toc28416"/>
      <w:bookmarkStart w:id="322" w:name="_Toc9013"/>
      <w:bookmarkStart w:id="323" w:name="_Toc25576"/>
      <w:bookmarkStart w:id="324" w:name="_Toc468"/>
      <w:r>
        <w:rPr>
          <w:rFonts w:hint="eastAsia"/>
          <w:color w:val="auto"/>
          <w:lang w:val="en-US" w:eastAsia="zh-CN"/>
        </w:rPr>
        <w:t>7.1经济效益分析</w:t>
      </w:r>
      <w:bookmarkEnd w:id="320"/>
      <w:bookmarkEnd w:id="321"/>
      <w:bookmarkEnd w:id="322"/>
      <w:bookmarkEnd w:id="323"/>
      <w:bookmarkEnd w:id="324"/>
    </w:p>
    <w:p w14:paraId="471C2A35">
      <w:pPr>
        <w:pStyle w:val="33"/>
        <w:bidi w:val="0"/>
        <w:rPr>
          <w:rFonts w:ascii="Times New Roman" w:hAnsi="Times New Roman" w:eastAsia="宋体" w:cs="Times New Roman"/>
          <w:color w:val="auto"/>
        </w:rPr>
      </w:pPr>
      <w:r>
        <w:rPr>
          <w:rFonts w:hint="default" w:ascii="Times New Roman" w:hAnsi="Times New Roman" w:eastAsia="宋体" w:cs="Times New Roman"/>
          <w:color w:val="auto"/>
        </w:rPr>
        <w:t>本工程地面工程建设总投资</w:t>
      </w:r>
      <w:r>
        <w:rPr>
          <w:rFonts w:hint="eastAsia" w:ascii="Times New Roman" w:hAnsi="Times New Roman" w:eastAsia="宋体" w:cs="Times New Roman"/>
          <w:color w:val="auto"/>
          <w:lang w:val="en-US" w:eastAsia="zh-CN"/>
        </w:rPr>
        <w:t>492.16</w:t>
      </w:r>
      <w:r>
        <w:rPr>
          <w:rFonts w:hint="default" w:ascii="Times New Roman" w:hAnsi="Times New Roman" w:eastAsia="宋体" w:cs="Times New Roman"/>
          <w:color w:val="auto"/>
        </w:rPr>
        <w:t>万元，建设规模</w:t>
      </w:r>
      <w:r>
        <w:rPr>
          <w:rFonts w:hint="eastAsia" w:ascii="Times New Roman" w:hAnsi="Times New Roman" w:eastAsia="宋体" w:cs="Times New Roman"/>
          <w:color w:val="auto"/>
          <w:lang w:val="en-US" w:eastAsia="zh-CN"/>
        </w:rPr>
        <w:t>7.72</w:t>
      </w:r>
      <w:r>
        <w:rPr>
          <w:rFonts w:hint="default" w:ascii="Times New Roman" w:hAnsi="Times New Roman" w:eastAsia="宋体" w:cs="Times New Roman"/>
          <w:color w:val="auto"/>
        </w:rPr>
        <w:t>×10</w:t>
      </w:r>
      <w:r>
        <w:rPr>
          <w:rFonts w:hint="default" w:ascii="Times New Roman" w:hAnsi="Times New Roman" w:eastAsia="宋体" w:cs="Times New Roman"/>
          <w:color w:val="auto"/>
          <w:vertAlign w:val="superscript"/>
        </w:rPr>
        <w:t>4</w:t>
      </w:r>
      <w:r>
        <w:rPr>
          <w:rFonts w:hint="default" w:ascii="Times New Roman" w:hAnsi="Times New Roman" w:eastAsia="宋体" w:cs="Times New Roman"/>
          <w:color w:val="auto"/>
        </w:rPr>
        <w:t>t/a，</w:t>
      </w:r>
      <w:r>
        <w:rPr>
          <w:rFonts w:hint="eastAsia" w:ascii="Times New Roman" w:hAnsi="Times New Roman" w:eastAsia="宋体" w:cs="Times New Roman"/>
          <w:color w:val="auto"/>
        </w:rPr>
        <w:t>目前国际油价以</w:t>
      </w:r>
      <w:r>
        <w:rPr>
          <w:rFonts w:hint="eastAsia" w:ascii="Times New Roman" w:hAnsi="Times New Roman" w:eastAsia="宋体" w:cs="Times New Roman"/>
          <w:color w:val="auto"/>
          <w:lang w:val="en-US" w:eastAsia="zh-CN"/>
        </w:rPr>
        <w:t>64</w:t>
      </w:r>
      <w:r>
        <w:rPr>
          <w:rFonts w:hint="eastAsia" w:ascii="Times New Roman" w:hAnsi="Times New Roman" w:eastAsia="宋体" w:cs="Times New Roman"/>
          <w:color w:val="auto"/>
        </w:rPr>
        <w:t>美元/桶计，1吨约为7桶，目前汇率约为</w:t>
      </w:r>
      <w:r>
        <w:rPr>
          <w:rFonts w:hint="eastAsia" w:ascii="Times New Roman" w:hAnsi="Times New Roman" w:eastAsia="宋体" w:cs="Times New Roman"/>
          <w:color w:val="auto"/>
          <w:lang w:val="en-US" w:eastAsia="zh-CN"/>
        </w:rPr>
        <w:t>7.1</w:t>
      </w:r>
      <w:r>
        <w:rPr>
          <w:rFonts w:hint="eastAsia" w:ascii="Times New Roman" w:hAnsi="Times New Roman" w:eastAsia="宋体" w:cs="Times New Roman"/>
          <w:color w:val="auto"/>
        </w:rPr>
        <w:t>，则每吨原油以</w:t>
      </w:r>
      <w:r>
        <w:rPr>
          <w:rFonts w:hint="eastAsia" w:ascii="Times New Roman" w:hAnsi="Times New Roman" w:eastAsia="宋体" w:cs="Times New Roman"/>
          <w:color w:val="auto"/>
          <w:lang w:val="en-US" w:eastAsia="zh-CN"/>
        </w:rPr>
        <w:t>3180</w:t>
      </w:r>
      <w:r>
        <w:rPr>
          <w:rFonts w:hint="eastAsia" w:ascii="Times New Roman" w:hAnsi="Times New Roman" w:eastAsia="宋体" w:cs="Times New Roman"/>
          <w:color w:val="auto"/>
        </w:rPr>
        <w:t>元计，年产值可达</w:t>
      </w:r>
      <w:r>
        <w:rPr>
          <w:rFonts w:hint="eastAsia" w:ascii="Times New Roman" w:hAnsi="Times New Roman" w:eastAsia="宋体" w:cs="Times New Roman"/>
          <w:color w:val="auto"/>
          <w:lang w:val="en-US" w:eastAsia="zh-CN"/>
        </w:rPr>
        <w:t>24549.6</w:t>
      </w:r>
      <w:r>
        <w:rPr>
          <w:rFonts w:hint="eastAsia" w:ascii="Times New Roman" w:hAnsi="Times New Roman" w:eastAsia="宋体" w:cs="Times New Roman"/>
          <w:color w:val="auto"/>
        </w:rPr>
        <w:t>万元，具有较好的经济效益。</w:t>
      </w:r>
    </w:p>
    <w:p w14:paraId="6AFF6ABE">
      <w:pPr>
        <w:pStyle w:val="2"/>
        <w:bidi w:val="0"/>
        <w:rPr>
          <w:rFonts w:hint="default"/>
          <w:color w:val="auto"/>
          <w:lang w:val="en-US" w:eastAsia="zh-CN"/>
        </w:rPr>
      </w:pPr>
      <w:bookmarkStart w:id="325" w:name="_Toc153"/>
      <w:bookmarkStart w:id="326" w:name="_Toc9191"/>
      <w:bookmarkStart w:id="327" w:name="_Toc14357"/>
      <w:bookmarkStart w:id="328" w:name="_Toc11173"/>
      <w:bookmarkStart w:id="329" w:name="_Toc16641"/>
      <w:r>
        <w:rPr>
          <w:rFonts w:hint="eastAsia"/>
          <w:color w:val="auto"/>
          <w:lang w:val="en-US" w:eastAsia="zh-CN"/>
        </w:rPr>
        <w:t>7.2社会效益分析</w:t>
      </w:r>
      <w:bookmarkEnd w:id="325"/>
      <w:bookmarkEnd w:id="326"/>
      <w:bookmarkEnd w:id="327"/>
      <w:bookmarkEnd w:id="328"/>
      <w:bookmarkEnd w:id="329"/>
    </w:p>
    <w:p w14:paraId="35796906">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（1）本</w:t>
      </w:r>
      <w:r>
        <w:rPr>
          <w:rFonts w:hint="eastAsia"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符合我国</w:t>
      </w:r>
      <w:r>
        <w:rPr>
          <w:rFonts w:hint="eastAsia" w:ascii="宋体" w:hAnsi="宋体" w:eastAsia="宋体" w:cs="宋体"/>
          <w:color w:val="auto"/>
          <w:sz w:val="24"/>
          <w:szCs w:val="24"/>
        </w:rPr>
        <w:t>“发展西部，稳定东部”的</w:t>
      </w:r>
      <w:r>
        <w:rPr>
          <w:rFonts w:hint="default" w:ascii="Times New Roman" w:hAnsi="Times New Roman" w:eastAsia="宋体" w:cs="Times New Roman"/>
          <w:color w:val="auto"/>
          <w:sz w:val="24"/>
          <w:szCs w:val="24"/>
        </w:rPr>
        <w:t>石油工业战略，可缓解经济发展对石油造成的需求压力，增加国内石油产量。</w:t>
      </w:r>
    </w:p>
    <w:p w14:paraId="014473D7">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（2）本</w:t>
      </w:r>
      <w:r>
        <w:rPr>
          <w:rFonts w:hint="eastAsia"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可将当地的资源优势转化为经济优势，充分发挥油田开发建设的经济带动作用，促进地方经济发展。</w:t>
      </w:r>
    </w:p>
    <w:p w14:paraId="1FF81DB0">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（3）井区开发建设对促进当地经济发展、增加地方税收具有重要意义。综上所述，项目建设具有良好的社会效益。</w:t>
      </w:r>
    </w:p>
    <w:p w14:paraId="36D25658">
      <w:pPr>
        <w:pStyle w:val="2"/>
        <w:bidi w:val="0"/>
        <w:rPr>
          <w:rFonts w:hint="default"/>
          <w:color w:val="auto"/>
          <w:lang w:val="en-US" w:eastAsia="zh-CN"/>
        </w:rPr>
      </w:pPr>
      <w:bookmarkStart w:id="330" w:name="_Toc32182"/>
      <w:bookmarkStart w:id="331" w:name="_Toc23547"/>
      <w:bookmarkStart w:id="332" w:name="_Toc23436"/>
      <w:bookmarkStart w:id="333" w:name="_Toc29660"/>
      <w:bookmarkStart w:id="334" w:name="_Toc3438"/>
      <w:r>
        <w:rPr>
          <w:rFonts w:hint="eastAsia"/>
          <w:color w:val="auto"/>
          <w:lang w:val="en-US" w:eastAsia="zh-CN"/>
        </w:rPr>
        <w:t>7.3环境经济损益分析</w:t>
      </w:r>
      <w:bookmarkEnd w:id="330"/>
      <w:bookmarkEnd w:id="331"/>
      <w:bookmarkEnd w:id="332"/>
      <w:bookmarkEnd w:id="333"/>
      <w:bookmarkEnd w:id="334"/>
    </w:p>
    <w:p w14:paraId="1D8B2DC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ascii="宋体" w:hAnsi="宋体" w:eastAsia="宋体" w:cs="宋体"/>
          <w:color w:val="auto"/>
          <w:sz w:val="24"/>
          <w:szCs w:val="24"/>
        </w:rPr>
        <w:t>本项目环境经济损益分析可以从环境代价、环境成本、环境收益和环境经济效益四个部分来进行。</w:t>
      </w:r>
    </w:p>
    <w:p w14:paraId="7C788F84">
      <w:pPr>
        <w:pStyle w:val="5"/>
        <w:bidi w:val="0"/>
        <w:rPr>
          <w:rFonts w:hint="default"/>
          <w:color w:val="auto"/>
          <w:lang w:val="en-US" w:eastAsia="zh-CN"/>
        </w:rPr>
      </w:pPr>
      <w:bookmarkStart w:id="335" w:name="_Toc14773"/>
      <w:bookmarkStart w:id="336" w:name="_Toc15246"/>
      <w:r>
        <w:rPr>
          <w:rFonts w:hint="eastAsia"/>
          <w:color w:val="auto"/>
          <w:lang w:val="en-US" w:eastAsia="zh-CN"/>
        </w:rPr>
        <w:t>7.3.1环境代价分析</w:t>
      </w:r>
      <w:bookmarkEnd w:id="335"/>
      <w:bookmarkEnd w:id="336"/>
    </w:p>
    <w:p w14:paraId="2EB6D91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ascii="宋体" w:hAnsi="宋体" w:eastAsia="宋体" w:cs="宋体"/>
          <w:color w:val="auto"/>
          <w:sz w:val="24"/>
          <w:szCs w:val="24"/>
        </w:rPr>
        <w:t>本项目环境代价主要体现在由于场地的平整、建构筑物建设等将造成临时或永久占地，地表植被破坏、局部生态环境改变等方面环境经济损失。</w:t>
      </w:r>
      <w:r>
        <w:rPr>
          <w:rFonts w:hint="eastAsia" w:ascii="宋体" w:hAnsi="宋体" w:eastAsia="宋体" w:cs="宋体"/>
          <w:color w:val="auto"/>
          <w:sz w:val="24"/>
          <w:szCs w:val="24"/>
          <w:lang w:val="en-US" w:eastAsia="zh-CN"/>
        </w:rPr>
        <w:t>运营</w:t>
      </w:r>
      <w:r>
        <w:rPr>
          <w:rFonts w:ascii="宋体" w:hAnsi="宋体" w:eastAsia="宋体" w:cs="宋体"/>
          <w:color w:val="auto"/>
          <w:sz w:val="24"/>
          <w:szCs w:val="24"/>
        </w:rPr>
        <w:t>期间环境损失很小，本工程的环境代价主要表现在</w:t>
      </w:r>
      <w:r>
        <w:rPr>
          <w:rFonts w:hint="eastAsia" w:ascii="宋体" w:hAnsi="宋体" w:eastAsia="宋体" w:cs="宋体"/>
          <w:color w:val="auto"/>
          <w:sz w:val="24"/>
          <w:szCs w:val="24"/>
          <w:lang w:val="en-US" w:eastAsia="zh-CN"/>
        </w:rPr>
        <w:t>占地的机会成本</w:t>
      </w:r>
      <w:r>
        <w:rPr>
          <w:rFonts w:ascii="宋体" w:hAnsi="宋体" w:eastAsia="宋体" w:cs="宋体"/>
          <w:color w:val="auto"/>
          <w:sz w:val="24"/>
          <w:szCs w:val="24"/>
        </w:rPr>
        <w:t>：</w:t>
      </w:r>
    </w:p>
    <w:p w14:paraId="139CEB4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根据建设单位提供资料，项目</w:t>
      </w:r>
      <w:r>
        <w:rPr>
          <w:rFonts w:hint="default" w:ascii="Times New Roman" w:hAnsi="Times New Roman" w:eastAsia="宋体" w:cs="Times New Roman"/>
          <w:color w:val="auto"/>
          <w:sz w:val="24"/>
          <w:szCs w:val="24"/>
        </w:rPr>
        <w:t>占地损失为</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万元/a。</w:t>
      </w:r>
    </w:p>
    <w:p w14:paraId="171DF2E3">
      <w:pPr>
        <w:pStyle w:val="5"/>
        <w:bidi w:val="0"/>
        <w:rPr>
          <w:rFonts w:hint="default"/>
          <w:color w:val="auto"/>
          <w:lang w:val="en-US" w:eastAsia="zh-CN"/>
        </w:rPr>
      </w:pPr>
      <w:bookmarkStart w:id="337" w:name="_Toc17917"/>
      <w:bookmarkStart w:id="338" w:name="_Toc2588"/>
      <w:r>
        <w:rPr>
          <w:rFonts w:hint="eastAsia"/>
          <w:color w:val="auto"/>
          <w:lang w:val="en-US" w:eastAsia="zh-CN"/>
        </w:rPr>
        <w:t>7.3.2环境成本分析</w:t>
      </w:r>
      <w:bookmarkEnd w:id="337"/>
      <w:bookmarkEnd w:id="338"/>
    </w:p>
    <w:p w14:paraId="218FA95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ascii="宋体" w:hAnsi="宋体" w:eastAsia="宋体" w:cs="宋体"/>
          <w:color w:val="auto"/>
          <w:sz w:val="24"/>
          <w:szCs w:val="24"/>
        </w:rPr>
        <w:t>环境成本是指工程为防治环境污染，采取环境污染设备所折算的经济价值，初步估算本</w:t>
      </w:r>
      <w:r>
        <w:rPr>
          <w:rFonts w:hint="eastAsia" w:ascii="宋体" w:hAnsi="宋体" w:eastAsia="宋体" w:cs="宋体"/>
          <w:color w:val="auto"/>
          <w:sz w:val="24"/>
          <w:szCs w:val="24"/>
          <w:lang w:val="en-US" w:eastAsia="zh-CN"/>
        </w:rPr>
        <w:t>工程</w:t>
      </w:r>
      <w:r>
        <w:rPr>
          <w:rFonts w:ascii="宋体" w:hAnsi="宋体" w:eastAsia="宋体" w:cs="宋体"/>
          <w:color w:val="auto"/>
          <w:sz w:val="24"/>
          <w:szCs w:val="24"/>
        </w:rPr>
        <w:t>环境代价如下。</w:t>
      </w:r>
    </w:p>
    <w:p w14:paraId="7FA4682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（1）环保工程建设投资</w:t>
      </w:r>
    </w:p>
    <w:p w14:paraId="6DA1B6A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w:t>
      </w:r>
      <w:r>
        <w:rPr>
          <w:rFonts w:hint="eastAsia" w:ascii="Times New Roman" w:hAnsi="Times New Roman" w:eastAsia="宋体" w:cs="Times New Roman"/>
          <w:color w:val="auto"/>
          <w:sz w:val="24"/>
          <w:szCs w:val="24"/>
          <w:lang w:val="en-US" w:eastAsia="zh-CN"/>
        </w:rPr>
        <w:t>工</w:t>
      </w:r>
      <w:r>
        <w:rPr>
          <w:rFonts w:hint="default" w:ascii="Times New Roman" w:hAnsi="Times New Roman" w:eastAsia="宋体" w:cs="Times New Roman"/>
          <w:color w:val="auto"/>
          <w:sz w:val="24"/>
          <w:szCs w:val="24"/>
        </w:rPr>
        <w:t>程用于废气、废水、噪声防治以及固废处置等方面环境污染防治环保</w:t>
      </w:r>
      <w:r>
        <w:rPr>
          <w:rFonts w:hint="eastAsia" w:cs="Times New Roman"/>
          <w:color w:val="auto"/>
          <w:sz w:val="24"/>
          <w:szCs w:val="24"/>
          <w:lang w:eastAsia="zh-CN"/>
        </w:rPr>
        <w:t>投资</w:t>
      </w:r>
      <w:r>
        <w:rPr>
          <w:rFonts w:hint="eastAsia" w:ascii="Times New Roman" w:hAnsi="Times New Roman" w:eastAsia="宋体" w:cs="Times New Roman"/>
          <w:color w:val="auto"/>
          <w:sz w:val="24"/>
          <w:szCs w:val="24"/>
          <w:lang w:val="en-US" w:eastAsia="zh-CN"/>
        </w:rPr>
        <w:t>76</w:t>
      </w:r>
      <w:r>
        <w:rPr>
          <w:rFonts w:hint="default" w:ascii="Times New Roman" w:hAnsi="Times New Roman" w:eastAsia="宋体" w:cs="Times New Roman"/>
          <w:color w:val="auto"/>
          <w:sz w:val="24"/>
          <w:szCs w:val="24"/>
        </w:rPr>
        <w:t>万元。</w:t>
      </w:r>
    </w:p>
    <w:p w14:paraId="7157C23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（2）设备运行管理费</w:t>
      </w:r>
    </w:p>
    <w:p w14:paraId="7B36F61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该费用主要包括环保设备的材料消耗、人员工资、动力费、维检费及其他支出费用，经估算得出环保设备的运行管理费</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万元/a。</w:t>
      </w:r>
    </w:p>
    <w:p w14:paraId="1DEB105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综合分析得出本工程环境成本合计为</w:t>
      </w:r>
      <w:r>
        <w:rPr>
          <w:rFonts w:hint="eastAsia" w:cs="Times New Roman"/>
          <w:color w:val="auto"/>
          <w:sz w:val="24"/>
          <w:szCs w:val="24"/>
          <w:lang w:val="en-US" w:eastAsia="zh-CN"/>
        </w:rPr>
        <w:t>78</w:t>
      </w:r>
      <w:r>
        <w:rPr>
          <w:rFonts w:hint="default" w:ascii="Times New Roman" w:hAnsi="Times New Roman" w:eastAsia="宋体" w:cs="Times New Roman"/>
          <w:color w:val="auto"/>
          <w:sz w:val="24"/>
          <w:szCs w:val="24"/>
        </w:rPr>
        <w:t>万元/a。</w:t>
      </w:r>
    </w:p>
    <w:p w14:paraId="3FCC0065">
      <w:pPr>
        <w:pStyle w:val="5"/>
        <w:bidi w:val="0"/>
        <w:rPr>
          <w:rFonts w:hint="default"/>
          <w:color w:val="auto"/>
          <w:lang w:val="en-US" w:eastAsia="zh-CN"/>
        </w:rPr>
      </w:pPr>
      <w:bookmarkStart w:id="339" w:name="_Toc19103"/>
      <w:bookmarkStart w:id="340" w:name="_Toc28750"/>
      <w:r>
        <w:rPr>
          <w:rFonts w:hint="eastAsia"/>
          <w:color w:val="auto"/>
          <w:lang w:val="en-US" w:eastAsia="zh-CN"/>
        </w:rPr>
        <w:t>7.3.3环境收益分析</w:t>
      </w:r>
      <w:bookmarkEnd w:id="339"/>
      <w:bookmarkEnd w:id="340"/>
    </w:p>
    <w:p w14:paraId="60C41928">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环境收益即工程采取环保措施后挽回的经济损失，主要有以下几方面：</w:t>
      </w:r>
    </w:p>
    <w:p w14:paraId="1215BB67">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（1）污染防治收益</w:t>
      </w:r>
    </w:p>
    <w:p w14:paraId="3D949A7E">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本项目生产废水产生总量</w:t>
      </w:r>
      <w:r>
        <w:rPr>
          <w:rFonts w:hint="eastAsia"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rPr>
        <w:t>为</w:t>
      </w:r>
      <w:r>
        <w:rPr>
          <w:rFonts w:hint="eastAsia" w:cs="Times New Roman"/>
          <w:color w:val="auto"/>
          <w:sz w:val="24"/>
          <w:szCs w:val="24"/>
          <w:lang w:val="en-US" w:eastAsia="zh-CN"/>
        </w:rPr>
        <w:t>10.8</w:t>
      </w:r>
      <w:r>
        <w:rPr>
          <w:rFonts w:hint="default"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/a，收集后</w:t>
      </w:r>
      <w:r>
        <w:rPr>
          <w:rFonts w:hint="eastAsia" w:ascii="Times New Roman" w:hAnsi="Times New Roman" w:eastAsia="宋体" w:cs="Times New Roman"/>
          <w:color w:val="auto"/>
          <w:sz w:val="24"/>
          <w:szCs w:val="24"/>
          <w:lang w:val="en-US" w:eastAsia="zh-CN"/>
        </w:rPr>
        <w:t>进</w:t>
      </w:r>
      <w:r>
        <w:rPr>
          <w:rFonts w:hint="default" w:ascii="Times New Roman" w:hAnsi="Times New Roman" w:eastAsia="宋体" w:cs="Times New Roman"/>
          <w:color w:val="auto"/>
          <w:sz w:val="24"/>
          <w:szCs w:val="24"/>
        </w:rPr>
        <w:t>采出水处理</w:t>
      </w:r>
      <w:r>
        <w:rPr>
          <w:rFonts w:hint="eastAsia" w:ascii="Times New Roman" w:hAnsi="Times New Roman" w:eastAsia="宋体" w:cs="Times New Roman"/>
          <w:color w:val="auto"/>
          <w:sz w:val="24"/>
          <w:szCs w:val="24"/>
          <w:lang w:val="en-US" w:eastAsia="zh-CN"/>
        </w:rPr>
        <w:t>系统</w:t>
      </w:r>
      <w:r>
        <w:rPr>
          <w:rFonts w:hint="default" w:ascii="Times New Roman" w:hAnsi="Times New Roman" w:eastAsia="宋体" w:cs="Times New Roman"/>
          <w:color w:val="auto"/>
          <w:sz w:val="24"/>
          <w:szCs w:val="24"/>
        </w:rPr>
        <w:t>处理后回</w:t>
      </w:r>
      <w:r>
        <w:rPr>
          <w:rFonts w:hint="eastAsia" w:ascii="Times New Roman" w:hAnsi="Times New Roman" w:eastAsia="宋体" w:cs="Times New Roman"/>
          <w:color w:val="auto"/>
          <w:sz w:val="24"/>
          <w:szCs w:val="24"/>
          <w:lang w:val="en-US" w:eastAsia="zh-CN"/>
        </w:rPr>
        <w:t>用</w:t>
      </w:r>
      <w:r>
        <w:rPr>
          <w:rFonts w:hint="default" w:ascii="Times New Roman" w:hAnsi="Times New Roman" w:eastAsia="宋体" w:cs="Times New Roman"/>
          <w:color w:val="auto"/>
          <w:sz w:val="24"/>
          <w:szCs w:val="24"/>
        </w:rPr>
        <w:t>。采取环保措施后可以减少缴纳的</w:t>
      </w:r>
      <w:r>
        <w:rPr>
          <w:rFonts w:hint="eastAsia" w:ascii="Times New Roman" w:hAnsi="Times New Roman" w:eastAsia="宋体" w:cs="Times New Roman"/>
          <w:color w:val="auto"/>
          <w:sz w:val="24"/>
          <w:szCs w:val="24"/>
          <w:lang w:val="en-US" w:eastAsia="zh-CN"/>
        </w:rPr>
        <w:t>税</w:t>
      </w:r>
      <w:r>
        <w:rPr>
          <w:rFonts w:hint="default" w:ascii="Times New Roman" w:hAnsi="Times New Roman" w:eastAsia="宋体" w:cs="Times New Roman"/>
          <w:color w:val="auto"/>
          <w:sz w:val="24"/>
          <w:szCs w:val="24"/>
        </w:rPr>
        <w:t>费，经估算废水防治收益约为</w:t>
      </w:r>
      <w:r>
        <w:rPr>
          <w:rFonts w:hint="eastAsia" w:cs="Times New Roman"/>
          <w:color w:val="auto"/>
          <w:sz w:val="24"/>
          <w:szCs w:val="24"/>
          <w:lang w:val="en-US" w:eastAsia="zh-CN"/>
        </w:rPr>
        <w:t>15.12</w:t>
      </w:r>
      <w:r>
        <w:rPr>
          <w:rFonts w:hint="default" w:ascii="Times New Roman" w:hAnsi="Times New Roman" w:eastAsia="宋体" w:cs="Times New Roman"/>
          <w:color w:val="auto"/>
          <w:sz w:val="24"/>
          <w:szCs w:val="24"/>
        </w:rPr>
        <w:t>万元/a。</w:t>
      </w:r>
    </w:p>
    <w:p w14:paraId="073C174F">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（2）污染物综合利用收益</w:t>
      </w:r>
    </w:p>
    <w:p w14:paraId="52CA5049">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据工程分析，本项目生产废水收集后运往采出水处理站处理后回</w:t>
      </w:r>
      <w:r>
        <w:rPr>
          <w:rFonts w:hint="eastAsia" w:ascii="Times New Roman" w:hAnsi="Times New Roman" w:eastAsia="宋体" w:cs="Times New Roman"/>
          <w:color w:val="auto"/>
          <w:sz w:val="24"/>
          <w:szCs w:val="24"/>
          <w:lang w:val="en-US" w:eastAsia="zh-CN"/>
        </w:rPr>
        <w:t>用</w:t>
      </w:r>
      <w:r>
        <w:rPr>
          <w:rFonts w:hint="default" w:ascii="Times New Roman" w:hAnsi="Times New Roman" w:eastAsia="宋体" w:cs="Times New Roman"/>
          <w:color w:val="auto"/>
          <w:sz w:val="24"/>
          <w:szCs w:val="24"/>
        </w:rPr>
        <w:t>，回用水量</w:t>
      </w:r>
      <w:r>
        <w:rPr>
          <w:rFonts w:hint="eastAsia" w:ascii="Times New Roman" w:hAnsi="Times New Roman" w:eastAsia="宋体" w:cs="Times New Roman"/>
          <w:color w:val="auto"/>
          <w:sz w:val="24"/>
          <w:szCs w:val="24"/>
          <w:lang w:val="en-US" w:eastAsia="zh-CN"/>
        </w:rPr>
        <w:t>10.4</w:t>
      </w:r>
      <w:r>
        <w:rPr>
          <w:rFonts w:hint="default"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/a，按工业供水价格</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元/m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计算，折合水资源利用价值为</w:t>
      </w:r>
      <w:r>
        <w:rPr>
          <w:rFonts w:hint="eastAsia" w:ascii="Times New Roman" w:hAnsi="Times New Roman" w:eastAsia="宋体" w:cs="Times New Roman"/>
          <w:color w:val="auto"/>
          <w:sz w:val="24"/>
          <w:szCs w:val="24"/>
          <w:lang w:val="en-US" w:eastAsia="zh-CN"/>
        </w:rPr>
        <w:t>31.2</w:t>
      </w:r>
      <w:r>
        <w:rPr>
          <w:rFonts w:hint="default" w:ascii="Times New Roman" w:hAnsi="Times New Roman" w:eastAsia="宋体" w:cs="Times New Roman"/>
          <w:color w:val="auto"/>
          <w:sz w:val="24"/>
          <w:szCs w:val="24"/>
        </w:rPr>
        <w:t>万元/a。</w:t>
      </w:r>
    </w:p>
    <w:p w14:paraId="68D37F6C">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根据产建方案与工程分析，伴生气年产生量为</w:t>
      </w:r>
      <w:r>
        <w:rPr>
          <w:rFonts w:hint="eastAsia" w:cs="Times New Roman"/>
          <w:color w:val="auto"/>
          <w:sz w:val="24"/>
          <w:szCs w:val="24"/>
          <w:lang w:val="en-US" w:eastAsia="zh-CN"/>
        </w:rPr>
        <w:t>621.97</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，年回收利用量为</w:t>
      </w:r>
      <w:r>
        <w:rPr>
          <w:rFonts w:hint="eastAsia" w:cs="Times New Roman"/>
          <w:color w:val="auto"/>
          <w:sz w:val="24"/>
          <w:szCs w:val="24"/>
          <w:lang w:val="en-US" w:eastAsia="zh-CN"/>
        </w:rPr>
        <w:t>620.73</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，参照当前天然气价格</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.0元/m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计算，则伴生气回收收益约</w:t>
      </w:r>
      <w:r>
        <w:rPr>
          <w:rFonts w:hint="eastAsia" w:ascii="Times New Roman" w:hAnsi="Times New Roman" w:eastAsia="宋体" w:cs="Times New Roman"/>
          <w:color w:val="auto"/>
          <w:sz w:val="24"/>
          <w:szCs w:val="24"/>
          <w:lang w:val="en-US" w:eastAsia="zh-CN"/>
        </w:rPr>
        <w:t>2480</w:t>
      </w:r>
      <w:r>
        <w:rPr>
          <w:rFonts w:hint="default" w:ascii="Times New Roman" w:hAnsi="Times New Roman" w:eastAsia="宋体" w:cs="Times New Roman"/>
          <w:color w:val="auto"/>
          <w:sz w:val="24"/>
          <w:szCs w:val="24"/>
        </w:rPr>
        <w:t>万元/a。</w:t>
      </w:r>
    </w:p>
    <w:p w14:paraId="46AD6293">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综上所述，污染物采取合理可行的措施综合利用后，每年可给企业带来的总收益为</w:t>
      </w:r>
      <w:r>
        <w:rPr>
          <w:rFonts w:hint="eastAsia" w:cs="Times New Roman"/>
          <w:color w:val="auto"/>
          <w:sz w:val="24"/>
          <w:szCs w:val="24"/>
          <w:lang w:val="en-US" w:eastAsia="zh-CN"/>
        </w:rPr>
        <w:t>2526.32</w:t>
      </w:r>
      <w:r>
        <w:rPr>
          <w:rFonts w:hint="default" w:ascii="Times New Roman" w:hAnsi="Times New Roman" w:eastAsia="宋体" w:cs="Times New Roman"/>
          <w:color w:val="auto"/>
          <w:sz w:val="24"/>
          <w:szCs w:val="24"/>
        </w:rPr>
        <w:t>万元/a。</w:t>
      </w:r>
    </w:p>
    <w:p w14:paraId="07494943">
      <w:pPr>
        <w:pStyle w:val="5"/>
        <w:bidi w:val="0"/>
        <w:rPr>
          <w:rFonts w:hint="default"/>
          <w:color w:val="auto"/>
          <w:lang w:val="en-US" w:eastAsia="zh-CN"/>
        </w:rPr>
      </w:pPr>
      <w:bookmarkStart w:id="341" w:name="_Toc8097"/>
      <w:bookmarkStart w:id="342" w:name="_Toc2543"/>
      <w:r>
        <w:rPr>
          <w:rFonts w:hint="eastAsia"/>
          <w:color w:val="auto"/>
          <w:lang w:val="en-US" w:eastAsia="zh-CN"/>
        </w:rPr>
        <w:t>7.3.4环境经济效益分析</w:t>
      </w:r>
      <w:bookmarkEnd w:id="341"/>
      <w:bookmarkEnd w:id="342"/>
    </w:p>
    <w:p w14:paraId="5B30BE3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建设项目环境损益估算为+</w:t>
      </w:r>
      <w:r>
        <w:rPr>
          <w:rFonts w:hint="eastAsia" w:cs="Times New Roman"/>
          <w:color w:val="auto"/>
          <w:sz w:val="24"/>
          <w:szCs w:val="24"/>
          <w:lang w:val="en-US" w:eastAsia="zh-CN"/>
        </w:rPr>
        <w:t>2438.32</w:t>
      </w:r>
      <w:r>
        <w:rPr>
          <w:rFonts w:hint="default" w:ascii="Times New Roman" w:hAnsi="Times New Roman" w:eastAsia="宋体" w:cs="Times New Roman"/>
          <w:color w:val="auto"/>
          <w:sz w:val="24"/>
          <w:szCs w:val="24"/>
        </w:rPr>
        <w:t>万元/a，使得企业利润总额提高，虽然项目建设和生产</w:t>
      </w:r>
      <w:r>
        <w:rPr>
          <w:rFonts w:hint="eastAsia" w:cs="Times New Roman"/>
          <w:color w:val="auto"/>
          <w:sz w:val="24"/>
          <w:szCs w:val="24"/>
          <w:lang w:eastAsia="zh-CN"/>
        </w:rPr>
        <w:t>导致</w:t>
      </w:r>
      <w:r>
        <w:rPr>
          <w:rFonts w:hint="default" w:ascii="Times New Roman" w:hAnsi="Times New Roman" w:eastAsia="宋体" w:cs="Times New Roman"/>
          <w:color w:val="auto"/>
          <w:sz w:val="24"/>
          <w:szCs w:val="24"/>
        </w:rPr>
        <w:t>一定程度的环境污染影响和生态破坏损失，在可接受程度和范围之内，具体见表</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.3-1。</w:t>
      </w:r>
    </w:p>
    <w:p w14:paraId="16E360ED">
      <w:pPr>
        <w:pStyle w:val="32"/>
        <w:bidi w:val="0"/>
        <w:rPr>
          <w:rFonts w:hint="default"/>
          <w:color w:val="auto"/>
          <w:lang w:val="en-US" w:eastAsia="zh-CN"/>
        </w:rPr>
      </w:pPr>
      <w:r>
        <w:rPr>
          <w:rFonts w:hint="eastAsia"/>
          <w:color w:val="auto"/>
          <w:lang w:val="en-US" w:eastAsia="zh-CN"/>
        </w:rPr>
        <w:t>表7.3-1  环境经济损益分析表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F65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vAlign w:val="center"/>
          </w:tcPr>
          <w:p w14:paraId="475969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环境代价</w:t>
            </w:r>
          </w:p>
        </w:tc>
        <w:tc>
          <w:tcPr>
            <w:tcW w:w="2130" w:type="dxa"/>
            <w:vAlign w:val="center"/>
          </w:tcPr>
          <w:p w14:paraId="16DD72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环境成本</w:t>
            </w:r>
          </w:p>
        </w:tc>
        <w:tc>
          <w:tcPr>
            <w:tcW w:w="2131" w:type="dxa"/>
            <w:vAlign w:val="center"/>
          </w:tcPr>
          <w:p w14:paraId="46D266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环境收益</w:t>
            </w:r>
          </w:p>
        </w:tc>
        <w:tc>
          <w:tcPr>
            <w:tcW w:w="2131" w:type="dxa"/>
            <w:vAlign w:val="center"/>
          </w:tcPr>
          <w:p w14:paraId="357F62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损益分析</w:t>
            </w:r>
          </w:p>
        </w:tc>
      </w:tr>
      <w:tr w14:paraId="4F22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vAlign w:val="center"/>
          </w:tcPr>
          <w:p w14:paraId="109822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2130" w:type="dxa"/>
            <w:vAlign w:val="center"/>
          </w:tcPr>
          <w:p w14:paraId="30D83C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78</w:t>
            </w:r>
          </w:p>
        </w:tc>
        <w:tc>
          <w:tcPr>
            <w:tcW w:w="2131" w:type="dxa"/>
            <w:vAlign w:val="center"/>
          </w:tcPr>
          <w:p w14:paraId="101023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2526.32</w:t>
            </w:r>
          </w:p>
        </w:tc>
        <w:tc>
          <w:tcPr>
            <w:tcW w:w="2131" w:type="dxa"/>
            <w:vAlign w:val="center"/>
          </w:tcPr>
          <w:p w14:paraId="1EE209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+2438.32</w:t>
            </w:r>
          </w:p>
        </w:tc>
      </w:tr>
      <w:tr w14:paraId="5C72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4"/>
            <w:vAlign w:val="center"/>
          </w:tcPr>
          <w:p w14:paraId="7A967A1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18"/>
                <w:szCs w:val="18"/>
                <w:vertAlign w:val="baseline"/>
                <w:lang w:val="en-US" w:eastAsia="zh-CN"/>
              </w:rPr>
              <w:t>备注：“+”表示收益，“-”表示损失</w:t>
            </w:r>
          </w:p>
        </w:tc>
      </w:tr>
    </w:tbl>
    <w:p w14:paraId="365D29C4">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根据计算，本项目环保工程经济效益系数计算结果如下：</w:t>
      </w:r>
    </w:p>
    <w:p w14:paraId="6F0EE55A">
      <w:pPr>
        <w:pStyle w:val="11"/>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position w:val="-26"/>
          <w:sz w:val="24"/>
          <w:szCs w:val="24"/>
          <w:lang w:eastAsia="zh-CN"/>
        </w:rPr>
        <w:object>
          <v:shape id="_x0000_i1043" o:spt="75" type="#_x0000_t75" style="height:33pt;width:185pt;" o:ole="t" filled="f" o:preferrelative="t" stroked="f" coordsize="21600,21600">
            <v:path/>
            <v:fill on="f" focussize="0,0"/>
            <v:stroke on="f"/>
            <v:imagedata r:id="rId55" o:title=""/>
            <o:lock v:ext="edit" aspectratio="t"/>
            <w10:wrap type="none"/>
            <w10:anchorlock/>
          </v:shape>
          <o:OLEObject Type="Embed" ProgID="Equation.KSEE3" ShapeID="_x0000_i1043" DrawAspect="Content" ObjectID="_1468075743" r:id="rId54">
            <o:LockedField>false</o:LockedField>
          </o:OLEObject>
        </w:object>
      </w:r>
    </w:p>
    <w:p w14:paraId="38EEDA3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ascii="宋体" w:hAnsi="宋体" w:eastAsia="宋体" w:cs="宋体"/>
          <w:color w:val="auto"/>
          <w:sz w:val="24"/>
          <w:szCs w:val="24"/>
        </w:rPr>
        <w:t>本</w:t>
      </w:r>
      <w:r>
        <w:rPr>
          <w:rFonts w:hint="eastAsia" w:ascii="宋体" w:hAnsi="宋体" w:eastAsia="宋体" w:cs="宋体"/>
          <w:color w:val="auto"/>
          <w:sz w:val="24"/>
          <w:szCs w:val="24"/>
          <w:lang w:val="en-US" w:eastAsia="zh-CN"/>
        </w:rPr>
        <w:t>工程</w:t>
      </w:r>
      <w:r>
        <w:rPr>
          <w:rFonts w:ascii="宋体" w:hAnsi="宋体" w:eastAsia="宋体" w:cs="宋体"/>
          <w:color w:val="auto"/>
          <w:sz w:val="24"/>
          <w:szCs w:val="24"/>
        </w:rPr>
        <w:t>的环保工程经济效益系数</w:t>
      </w:r>
      <w:r>
        <w:rPr>
          <w:rFonts w:hint="eastAsia" w:ascii="宋体" w:hAnsi="宋体" w:cs="宋体"/>
          <w:color w:val="auto"/>
          <w:sz w:val="24"/>
          <w:szCs w:val="24"/>
          <w:lang w:val="en-US" w:eastAsia="zh-CN"/>
        </w:rPr>
        <w:t>大于</w:t>
      </w:r>
      <w:r>
        <w:rPr>
          <w:rFonts w:hint="default" w:ascii="Times New Roman" w:hAnsi="Times New Roman" w:cs="Times New Roman"/>
          <w:color w:val="auto"/>
          <w:sz w:val="24"/>
          <w:szCs w:val="24"/>
          <w:lang w:val="en-US" w:eastAsia="zh-CN"/>
        </w:rPr>
        <w:t>1</w:t>
      </w:r>
      <w:r>
        <w:rPr>
          <w:rFonts w:ascii="宋体" w:hAnsi="宋体" w:eastAsia="宋体" w:cs="宋体"/>
          <w:color w:val="auto"/>
          <w:sz w:val="24"/>
          <w:szCs w:val="24"/>
        </w:rPr>
        <w:t>，说明采取环保措施后的环境收益效果较明显。虽然企业建设对环境保护产生一定程度的不利影响，但对环境污染影响和生态破坏损失在可接受程度和范围之内，在保证各项环境保护措施实施的情况下，项目的经济效益、社会效益和环境效益得到了协调发展，因此从环境经济综合的角度来看，本</w:t>
      </w:r>
      <w:r>
        <w:rPr>
          <w:rFonts w:hint="eastAsia" w:ascii="宋体" w:hAnsi="宋体" w:eastAsia="宋体" w:cs="宋体"/>
          <w:color w:val="auto"/>
          <w:sz w:val="24"/>
          <w:szCs w:val="24"/>
          <w:lang w:val="en-US" w:eastAsia="zh-CN"/>
        </w:rPr>
        <w:t>工程</w:t>
      </w:r>
      <w:r>
        <w:rPr>
          <w:rFonts w:ascii="宋体" w:hAnsi="宋体" w:eastAsia="宋体" w:cs="宋体"/>
          <w:color w:val="auto"/>
          <w:sz w:val="24"/>
          <w:szCs w:val="24"/>
        </w:rPr>
        <w:t>是合理可行的</w:t>
      </w:r>
      <w:r>
        <w:rPr>
          <w:rFonts w:hint="eastAsia" w:ascii="宋体" w:hAnsi="宋体" w:eastAsia="宋体" w:cs="宋体"/>
          <w:color w:val="auto"/>
          <w:sz w:val="24"/>
          <w:szCs w:val="24"/>
          <w:lang w:eastAsia="zh-CN"/>
        </w:rPr>
        <w:t>。</w:t>
      </w:r>
    </w:p>
    <w:p w14:paraId="456F1951">
      <w:pPr>
        <w:pStyle w:val="11"/>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077CDAC2">
      <w:pPr>
        <w:pStyle w:val="33"/>
        <w:bidi w:val="0"/>
        <w:rPr>
          <w:rFonts w:hint="default" w:ascii="Times New Roman" w:hAnsi="Times New Roman" w:eastAsia="宋体" w:cs="Times New Roman"/>
          <w:color w:val="auto"/>
        </w:rPr>
      </w:pPr>
    </w:p>
    <w:p w14:paraId="09868B3D">
      <w:pPr>
        <w:pStyle w:val="33"/>
        <w:bidi w:val="0"/>
        <w:rPr>
          <w:rFonts w:ascii="Times New Roman" w:hAnsi="Times New Roman" w:eastAsia="宋体" w:cs="Times New Roman"/>
          <w:color w:val="auto"/>
        </w:rPr>
      </w:pPr>
    </w:p>
    <w:p w14:paraId="1DD01207">
      <w:pPr>
        <w:pStyle w:val="33"/>
        <w:bidi w:val="0"/>
        <w:rPr>
          <w:color w:val="auto"/>
        </w:rPr>
      </w:pPr>
    </w:p>
    <w:p w14:paraId="47D057AA">
      <w:pPr>
        <w:pStyle w:val="33"/>
        <w:bidi w:val="0"/>
        <w:rPr>
          <w:color w:val="auto"/>
        </w:rPr>
      </w:pPr>
    </w:p>
    <w:p w14:paraId="279CC7DC">
      <w:pPr>
        <w:rPr>
          <w:color w:val="auto"/>
        </w:rPr>
      </w:pPr>
      <w:r>
        <w:rPr>
          <w:color w:val="auto"/>
        </w:rPr>
        <w:br w:type="page"/>
      </w:r>
    </w:p>
    <w:p w14:paraId="48767E94">
      <w:pPr>
        <w:pStyle w:val="3"/>
        <w:bidi w:val="0"/>
        <w:rPr>
          <w:rFonts w:hint="default"/>
          <w:color w:val="auto"/>
          <w:lang w:val="en-US" w:eastAsia="zh-CN"/>
        </w:rPr>
      </w:pPr>
      <w:bookmarkStart w:id="343" w:name="_Toc10559"/>
      <w:bookmarkStart w:id="344" w:name="_Toc21246"/>
      <w:bookmarkStart w:id="345" w:name="_Toc6939"/>
      <w:r>
        <w:rPr>
          <w:rFonts w:hint="eastAsia"/>
          <w:color w:val="auto"/>
          <w:lang w:val="en-US" w:eastAsia="zh-CN"/>
        </w:rPr>
        <w:t>8环境管理与监测计划</w:t>
      </w:r>
      <w:bookmarkEnd w:id="343"/>
      <w:bookmarkEnd w:id="344"/>
      <w:bookmarkEnd w:id="345"/>
    </w:p>
    <w:p w14:paraId="042034E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环境管理是企业管理的一项重要内容，加强环境监督管理力度，尽可能</w:t>
      </w:r>
      <w:r>
        <w:rPr>
          <w:rFonts w:hint="eastAsia"/>
          <w:color w:val="auto"/>
          <w:sz w:val="24"/>
          <w:szCs w:val="28"/>
          <w:lang w:eastAsia="zh-CN"/>
        </w:rPr>
        <w:t>地</w:t>
      </w:r>
      <w:r>
        <w:rPr>
          <w:color w:val="auto"/>
          <w:sz w:val="24"/>
          <w:szCs w:val="28"/>
        </w:rPr>
        <w:t>减</w:t>
      </w:r>
      <w:r>
        <w:rPr>
          <w:rFonts w:hint="eastAsia" w:ascii="宋体" w:hAnsi="宋体" w:eastAsia="宋体" w:cs="宋体"/>
          <w:color w:val="auto"/>
          <w:sz w:val="24"/>
          <w:szCs w:val="28"/>
        </w:rPr>
        <w:t>少“三废”排</w:t>
      </w:r>
      <w:r>
        <w:rPr>
          <w:color w:val="auto"/>
          <w:sz w:val="24"/>
          <w:szCs w:val="28"/>
        </w:rPr>
        <w:t>放数量及提高资源的合理利用率，把对环境的不良影响减小到最低限度，是企业实现环境、生产、经济协调持续发展的重要措施。环境监测是环境管理的重要组成部分，是工业污染防治和环境监督管理工作的依据，加强环境监测是了解和掌握项目排污特征，研究污染发展趋势及防治对策的重要依据与途径。</w:t>
      </w:r>
    </w:p>
    <w:p w14:paraId="6299257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本工程对环境的影响主要来自施工期的各种作业活动及</w:t>
      </w:r>
      <w:r>
        <w:rPr>
          <w:rFonts w:hint="eastAsia"/>
          <w:color w:val="auto"/>
          <w:sz w:val="24"/>
          <w:szCs w:val="28"/>
          <w:lang w:eastAsia="zh-CN"/>
        </w:rPr>
        <w:t>运营</w:t>
      </w:r>
      <w:r>
        <w:rPr>
          <w:color w:val="auto"/>
          <w:sz w:val="24"/>
          <w:szCs w:val="28"/>
        </w:rPr>
        <w:t>期的风险事故。无论是施工期的各种作业活动还是</w:t>
      </w:r>
      <w:r>
        <w:rPr>
          <w:rFonts w:hint="eastAsia"/>
          <w:color w:val="auto"/>
          <w:sz w:val="24"/>
          <w:szCs w:val="28"/>
          <w:lang w:val="en-US" w:eastAsia="zh-CN"/>
        </w:rPr>
        <w:t>运营</w:t>
      </w:r>
      <w:r>
        <w:rPr>
          <w:color w:val="auto"/>
          <w:sz w:val="24"/>
          <w:szCs w:val="28"/>
        </w:rPr>
        <w:t>期的事故，都将会给生态环境带来较大的影响。为最大限度地减轻施工作业对生态环境的影响，减少事故的发生，确保工程建设与安全运行，本章针对本</w:t>
      </w:r>
      <w:r>
        <w:rPr>
          <w:rFonts w:hint="eastAsia"/>
          <w:color w:val="auto"/>
          <w:sz w:val="24"/>
          <w:szCs w:val="28"/>
          <w:lang w:val="en-US" w:eastAsia="zh-CN"/>
        </w:rPr>
        <w:t>工程</w:t>
      </w:r>
      <w:r>
        <w:rPr>
          <w:color w:val="auto"/>
          <w:sz w:val="24"/>
          <w:szCs w:val="28"/>
        </w:rPr>
        <w:t>在施工期和</w:t>
      </w:r>
      <w:r>
        <w:rPr>
          <w:rFonts w:hint="eastAsia"/>
          <w:color w:val="auto"/>
          <w:sz w:val="24"/>
          <w:szCs w:val="28"/>
          <w:lang w:val="en-US" w:eastAsia="zh-CN"/>
        </w:rPr>
        <w:t>运营</w:t>
      </w:r>
      <w:r>
        <w:rPr>
          <w:color w:val="auto"/>
          <w:sz w:val="24"/>
          <w:szCs w:val="28"/>
        </w:rPr>
        <w:t>期的生态破坏和环境污染特征，提出了施工期和</w:t>
      </w:r>
      <w:r>
        <w:rPr>
          <w:rFonts w:hint="eastAsia"/>
          <w:color w:val="auto"/>
          <w:sz w:val="24"/>
          <w:szCs w:val="28"/>
          <w:lang w:val="en-US" w:eastAsia="zh-CN"/>
        </w:rPr>
        <w:t>运营</w:t>
      </w:r>
      <w:r>
        <w:rPr>
          <w:color w:val="auto"/>
          <w:sz w:val="24"/>
          <w:szCs w:val="28"/>
        </w:rPr>
        <w:t>期的环境管理和环境监测计划的内容。</w:t>
      </w:r>
    </w:p>
    <w:p w14:paraId="5DBB597C">
      <w:pPr>
        <w:pStyle w:val="2"/>
        <w:bidi w:val="0"/>
        <w:rPr>
          <w:rFonts w:hint="default"/>
          <w:color w:val="auto"/>
          <w:lang w:val="en-US" w:eastAsia="zh-CN"/>
        </w:rPr>
      </w:pPr>
      <w:bookmarkStart w:id="346" w:name="_Toc9344"/>
      <w:bookmarkStart w:id="347" w:name="_Toc21982"/>
      <w:bookmarkStart w:id="348" w:name="_Toc22247"/>
      <w:bookmarkStart w:id="349" w:name="_Toc25586"/>
      <w:bookmarkStart w:id="350" w:name="_Toc18507"/>
      <w:r>
        <w:rPr>
          <w:rFonts w:hint="eastAsia"/>
          <w:color w:val="auto"/>
          <w:lang w:val="en-US" w:eastAsia="zh-CN"/>
        </w:rPr>
        <w:t>8.1环境管理</w:t>
      </w:r>
      <w:bookmarkEnd w:id="346"/>
      <w:bookmarkEnd w:id="347"/>
      <w:bookmarkEnd w:id="348"/>
      <w:bookmarkEnd w:id="349"/>
      <w:bookmarkEnd w:id="350"/>
    </w:p>
    <w:p w14:paraId="2D83F4F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8"/>
        </w:rPr>
      </w:pPr>
      <w:r>
        <w:rPr>
          <w:rFonts w:ascii="Times New Roman" w:hAnsi="Times New Roman" w:eastAsia="宋体" w:cs="Times New Roman"/>
          <w:color w:val="auto"/>
          <w:sz w:val="24"/>
          <w:szCs w:val="28"/>
        </w:rPr>
        <w:t>开展企业环境管理的目的是在项目施工和运行阶段履行监督与管理职责，确保项目在各阶段执行并遵守有关环保法规，协助地方环保管理部门做好监督监测工作，了解项目明显与潜在的环境影响，制定针对性的监督管理计划与措施。</w:t>
      </w:r>
    </w:p>
    <w:p w14:paraId="7C8D96C2">
      <w:pPr>
        <w:pStyle w:val="5"/>
        <w:bidi w:val="0"/>
        <w:rPr>
          <w:rFonts w:hint="default"/>
          <w:color w:val="auto"/>
          <w:lang w:val="en-US" w:eastAsia="zh-CN"/>
        </w:rPr>
      </w:pPr>
      <w:bookmarkStart w:id="351" w:name="_Toc2528"/>
      <w:bookmarkStart w:id="352" w:name="_Toc2843"/>
      <w:r>
        <w:rPr>
          <w:rFonts w:hint="eastAsia"/>
          <w:color w:val="auto"/>
          <w:lang w:val="en-US" w:eastAsia="zh-CN"/>
        </w:rPr>
        <w:t>8.1.1环境管理机构</w:t>
      </w:r>
      <w:bookmarkEnd w:id="351"/>
      <w:bookmarkEnd w:id="352"/>
    </w:p>
    <w:p w14:paraId="40591C4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hint="eastAsia" w:ascii="宋体" w:hAnsi="宋体" w:eastAsia="宋体" w:cs="宋体"/>
          <w:color w:val="auto"/>
          <w:sz w:val="24"/>
          <w:szCs w:val="24"/>
          <w:lang w:val="en-US" w:eastAsia="zh-CN"/>
        </w:rPr>
        <w:t>中国石油新疆油田分公司百口泉采油厂</w:t>
      </w:r>
      <w:r>
        <w:rPr>
          <w:rFonts w:ascii="宋体" w:hAnsi="宋体" w:eastAsia="宋体" w:cs="宋体"/>
          <w:color w:val="auto"/>
          <w:sz w:val="24"/>
          <w:szCs w:val="24"/>
        </w:rPr>
        <w:t>设有安全生产委员会和质量安全环保</w:t>
      </w:r>
      <w:r>
        <w:rPr>
          <w:rFonts w:hint="eastAsia" w:ascii="宋体" w:hAnsi="宋体" w:eastAsia="宋体" w:cs="宋体"/>
          <w:color w:val="auto"/>
          <w:sz w:val="24"/>
          <w:szCs w:val="24"/>
          <w:lang w:val="en-US" w:eastAsia="zh-CN"/>
        </w:rPr>
        <w:t>部</w:t>
      </w:r>
      <w:r>
        <w:rPr>
          <w:rFonts w:ascii="宋体" w:hAnsi="宋体" w:eastAsia="宋体" w:cs="宋体"/>
          <w:color w:val="auto"/>
          <w:sz w:val="24"/>
          <w:szCs w:val="24"/>
        </w:rPr>
        <w:t>，安全生产委</w:t>
      </w:r>
      <w:r>
        <w:rPr>
          <w:rFonts w:hint="eastAsia" w:ascii="宋体" w:hAnsi="宋体" w:cs="宋体"/>
          <w:color w:val="auto"/>
          <w:sz w:val="24"/>
          <w:szCs w:val="24"/>
          <w:lang w:eastAsia="zh-CN"/>
        </w:rPr>
        <w:t>员会</w:t>
      </w:r>
      <w:r>
        <w:rPr>
          <w:rFonts w:ascii="宋体" w:hAnsi="宋体" w:eastAsia="宋体" w:cs="宋体"/>
          <w:color w:val="auto"/>
          <w:sz w:val="24"/>
          <w:szCs w:val="24"/>
        </w:rPr>
        <w:t>统一领导作业区环境保护工作，质量安全环保</w:t>
      </w:r>
      <w:r>
        <w:rPr>
          <w:rFonts w:hint="eastAsia" w:ascii="宋体" w:hAnsi="宋体" w:eastAsia="宋体" w:cs="宋体"/>
          <w:color w:val="auto"/>
          <w:sz w:val="24"/>
          <w:szCs w:val="24"/>
          <w:lang w:val="en-US" w:eastAsia="zh-CN"/>
        </w:rPr>
        <w:t>部</w:t>
      </w:r>
      <w:r>
        <w:rPr>
          <w:rFonts w:ascii="宋体" w:hAnsi="宋体" w:eastAsia="宋体" w:cs="宋体"/>
          <w:color w:val="auto"/>
          <w:sz w:val="24"/>
          <w:szCs w:val="24"/>
        </w:rPr>
        <w:t>是作业区环境保护综合管理部门；作业区负责人是作业区环境保护第一责任人，全面负责本单位的环境保护工作；作业区安全总监负责作业区环境保护工作，其他分管领导负责分管业务范围内的环境保护工作。作业区各单位负责人是本单位环境保护第一责任人，全面负责本单位的环境保护工作。</w:t>
      </w:r>
    </w:p>
    <w:p w14:paraId="21480E48">
      <w:pPr>
        <w:pStyle w:val="5"/>
        <w:bidi w:val="0"/>
        <w:rPr>
          <w:rFonts w:hint="default"/>
          <w:color w:val="auto"/>
          <w:lang w:val="en-US" w:eastAsia="zh-CN"/>
        </w:rPr>
      </w:pPr>
      <w:r>
        <w:rPr>
          <w:rFonts w:hint="eastAsia"/>
          <w:color w:val="auto"/>
          <w:lang w:val="en-US" w:eastAsia="zh-CN"/>
        </w:rPr>
        <w:t>8.1.2环境管理体系</w:t>
      </w:r>
    </w:p>
    <w:p w14:paraId="4BED622C">
      <w:pPr>
        <w:pStyle w:val="33"/>
        <w:bidi w:val="0"/>
        <w:rPr>
          <w:rFonts w:ascii="Times New Roman" w:hAnsi="Times New Roman" w:eastAsia="宋体" w:cs="Times New Roman"/>
          <w:color w:val="auto"/>
        </w:rPr>
      </w:pPr>
      <w:r>
        <w:rPr>
          <w:rFonts w:ascii="Times New Roman" w:hAnsi="Times New Roman" w:eastAsia="宋体" w:cs="Times New Roman"/>
          <w:color w:val="auto"/>
        </w:rPr>
        <w:t>QHSE管理体系是国际石油石化企业通用的一种管理模式，具有系统化、科</w:t>
      </w:r>
      <w:r>
        <w:rPr>
          <w:rFonts w:hint="eastAsia" w:cs="Times New Roman"/>
          <w:color w:val="auto"/>
          <w:lang w:eastAsia="zh-CN"/>
        </w:rPr>
        <w:t>学化</w:t>
      </w:r>
      <w:r>
        <w:rPr>
          <w:rFonts w:ascii="Times New Roman" w:hAnsi="Times New Roman" w:eastAsia="宋体" w:cs="Times New Roman"/>
          <w:color w:val="auto"/>
        </w:rPr>
        <w:t>、规模化的特点，被国外大石油公司广泛采用。</w:t>
      </w:r>
      <w:r>
        <w:rPr>
          <w:rFonts w:hint="eastAsia" w:ascii="Times New Roman" w:hAnsi="Times New Roman" w:eastAsia="宋体" w:cs="Times New Roman"/>
          <w:color w:val="auto"/>
          <w:lang w:val="en-US" w:eastAsia="zh-CN"/>
        </w:rPr>
        <w:t>中国石油新疆油田分公司</w:t>
      </w:r>
      <w:r>
        <w:rPr>
          <w:rFonts w:ascii="Times New Roman" w:hAnsi="Times New Roman" w:eastAsia="宋体" w:cs="Times New Roman"/>
          <w:color w:val="auto"/>
        </w:rPr>
        <w:t>结合实际，建立了自身的质量、健康、安全与环境管理体系和组织机构。</w:t>
      </w:r>
    </w:p>
    <w:p w14:paraId="7080BBDD">
      <w:pPr>
        <w:pStyle w:val="33"/>
        <w:bidi w:val="0"/>
        <w:rPr>
          <w:rFonts w:ascii="Times New Roman" w:hAnsi="Times New Roman" w:eastAsia="宋体" w:cs="Times New Roman"/>
          <w:color w:val="auto"/>
        </w:rPr>
      </w:pPr>
      <w:r>
        <w:rPr>
          <w:rFonts w:ascii="Times New Roman" w:hAnsi="Times New Roman" w:eastAsia="宋体" w:cs="Times New Roman"/>
          <w:color w:val="auto"/>
        </w:rPr>
        <w:t>评价要求本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应依据体系文件建立施工期和</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期的QHSE管理程序框架和运行方案，对生产管理人员和施工人员、操作人员进行QHSE培训</w:t>
      </w:r>
      <w:r>
        <w:rPr>
          <w:rFonts w:hint="eastAsia" w:cs="Times New Roman"/>
          <w:color w:val="auto"/>
          <w:lang w:eastAsia="zh-CN"/>
        </w:rPr>
        <w:t>，</w:t>
      </w:r>
      <w:r>
        <w:rPr>
          <w:rFonts w:ascii="Times New Roman" w:hAnsi="Times New Roman" w:eastAsia="宋体" w:cs="Times New Roman"/>
          <w:color w:val="auto"/>
        </w:rPr>
        <w:t>使各种施工作业活动中施工人员的健康、安全得到保证，对环境的破坏和影响降低</w:t>
      </w:r>
      <w:r>
        <w:rPr>
          <w:rFonts w:hint="eastAsia" w:cs="Times New Roman"/>
          <w:color w:val="auto"/>
          <w:lang w:eastAsia="zh-CN"/>
        </w:rPr>
        <w:t>到最低程度</w:t>
      </w:r>
      <w:r>
        <w:rPr>
          <w:rFonts w:ascii="Times New Roman" w:hAnsi="Times New Roman" w:eastAsia="宋体" w:cs="Times New Roman"/>
          <w:color w:val="auto"/>
        </w:rPr>
        <w:t>。</w:t>
      </w:r>
    </w:p>
    <w:p w14:paraId="490B3CCC">
      <w:pPr>
        <w:pStyle w:val="33"/>
        <w:bidi w:val="0"/>
        <w:rPr>
          <w:rFonts w:ascii="Times New Roman" w:hAnsi="Times New Roman" w:eastAsia="宋体" w:cs="Times New Roman"/>
          <w:color w:val="auto"/>
        </w:rPr>
      </w:pPr>
      <w:r>
        <w:rPr>
          <w:rFonts w:ascii="Times New Roman" w:hAnsi="Times New Roman" w:eastAsia="宋体" w:cs="Times New Roman"/>
          <w:color w:val="auto"/>
        </w:rPr>
        <w:t>（1）QHSE管理概述</w:t>
      </w:r>
    </w:p>
    <w:p w14:paraId="777BF969">
      <w:pPr>
        <w:pStyle w:val="33"/>
        <w:bidi w:val="0"/>
        <w:rPr>
          <w:rFonts w:ascii="Times New Roman" w:hAnsi="Times New Roman" w:eastAsia="宋体" w:cs="Times New Roman"/>
          <w:color w:val="auto"/>
        </w:rPr>
      </w:pPr>
      <w:r>
        <w:rPr>
          <w:rFonts w:ascii="Times New Roman" w:hAnsi="Times New Roman" w:eastAsia="宋体" w:cs="Times New Roman"/>
          <w:color w:val="auto"/>
        </w:rPr>
        <w:t>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的QHSE包括施工期与</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期的QHSE管理，主要QHSE组织结构的建立、规章制度的制定和操作规程的编写、应急措施的建立、人员的培训、责任的确定及事故预防等。</w:t>
      </w:r>
    </w:p>
    <w:p w14:paraId="5F122DF7">
      <w:pPr>
        <w:pStyle w:val="33"/>
        <w:bidi w:val="0"/>
        <w:rPr>
          <w:rFonts w:ascii="Times New Roman" w:hAnsi="Times New Roman" w:eastAsia="宋体" w:cs="Times New Roman"/>
          <w:color w:val="auto"/>
        </w:rPr>
      </w:pPr>
      <w:r>
        <w:rPr>
          <w:rFonts w:ascii="Times New Roman" w:hAnsi="Times New Roman" w:eastAsia="宋体" w:cs="Times New Roman"/>
          <w:color w:val="auto"/>
        </w:rPr>
        <w:t>（2）QHSE组织机构的建立</w:t>
      </w:r>
    </w:p>
    <w:p w14:paraId="355C6F0D">
      <w:pPr>
        <w:pStyle w:val="33"/>
        <w:bidi w:val="0"/>
        <w:rPr>
          <w:rFonts w:ascii="Times New Roman" w:hAnsi="Times New Roman" w:eastAsia="宋体" w:cs="Times New Roman"/>
          <w:color w:val="auto"/>
        </w:rPr>
      </w:pPr>
      <w:r>
        <w:rPr>
          <w:rFonts w:ascii="Times New Roman" w:hAnsi="Times New Roman" w:eastAsia="宋体" w:cs="Times New Roman"/>
          <w:color w:val="auto"/>
        </w:rPr>
        <w:t>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设立一个环境管理体系领导小组，组员由行政主管、安全环保和技术人员担任，并任命1～2名兼职的QHSE现场监督员，由熟悉QHSE技术、经过专门QHSE管理培训并有一定管理能力的人员担任。QHSE管理小组成立后，公司赋予QHSE管理人员权利和责任，并为管理小组QHSE管理的各项活动提供必要的物质条件和支持。</w:t>
      </w:r>
    </w:p>
    <w:p w14:paraId="14FADC29">
      <w:pPr>
        <w:pStyle w:val="33"/>
        <w:bidi w:val="0"/>
        <w:rPr>
          <w:rFonts w:ascii="Times New Roman" w:hAnsi="Times New Roman" w:eastAsia="宋体" w:cs="Times New Roman"/>
          <w:color w:val="auto"/>
        </w:rPr>
      </w:pPr>
      <w:r>
        <w:rPr>
          <w:rFonts w:ascii="Times New Roman" w:hAnsi="Times New Roman" w:eastAsia="宋体" w:cs="Times New Roman"/>
          <w:color w:val="auto"/>
        </w:rPr>
        <w:t>（3）QHSE管理文件编写</w:t>
      </w:r>
    </w:p>
    <w:p w14:paraId="4186C2D2">
      <w:pPr>
        <w:pStyle w:val="33"/>
        <w:bidi w:val="0"/>
        <w:rPr>
          <w:rFonts w:ascii="Times New Roman" w:hAnsi="Times New Roman" w:eastAsia="宋体" w:cs="Times New Roman"/>
          <w:color w:val="auto"/>
        </w:rPr>
      </w:pPr>
      <w:r>
        <w:rPr>
          <w:rFonts w:ascii="Times New Roman" w:hAnsi="Times New Roman" w:eastAsia="宋体" w:cs="Times New Roman"/>
          <w:color w:val="auto"/>
        </w:rPr>
        <w:t>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建立QHSE管理体系时，应编制QHSE管理手册、各种程序管理文件、管理作业文件和各类操作规程。本项目施工期和投入</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后，QHSE管理小组应在管理体系框架下，为本项目的QHSE管理和安全</w:t>
      </w:r>
      <w:r>
        <w:rPr>
          <w:rFonts w:hint="eastAsia" w:cs="Times New Roman"/>
          <w:color w:val="auto"/>
          <w:lang w:eastAsia="zh-CN"/>
        </w:rPr>
        <w:t>操作制</w:t>
      </w:r>
      <w:r>
        <w:rPr>
          <w:rFonts w:ascii="Times New Roman" w:hAnsi="Times New Roman" w:eastAsia="宋体" w:cs="Times New Roman"/>
          <w:color w:val="auto"/>
        </w:rPr>
        <w:t>定必要的规章制度和操作规程，主要包括：</w:t>
      </w:r>
    </w:p>
    <w:p w14:paraId="30C771BC">
      <w:pPr>
        <w:pStyle w:val="33"/>
        <w:bidi w:val="0"/>
        <w:rPr>
          <w:rFonts w:ascii="Times New Roman" w:hAnsi="Times New Roman" w:eastAsia="宋体" w:cs="Times New Roman"/>
          <w:color w:val="auto"/>
        </w:rPr>
      </w:pPr>
      <w:r>
        <w:rPr>
          <w:rFonts w:ascii="Times New Roman" w:hAnsi="Times New Roman" w:eastAsia="宋体" w:cs="Times New Roman"/>
          <w:color w:val="auto"/>
        </w:rPr>
        <w:t>①施工期的安全操作规程；</w:t>
      </w:r>
    </w:p>
    <w:p w14:paraId="153CA585">
      <w:pPr>
        <w:pStyle w:val="33"/>
        <w:bidi w:val="0"/>
        <w:rPr>
          <w:rFonts w:ascii="Times New Roman" w:hAnsi="Times New Roman" w:eastAsia="宋体" w:cs="Times New Roman"/>
          <w:color w:val="auto"/>
        </w:rPr>
      </w:pPr>
      <w:r>
        <w:rPr>
          <w:rFonts w:ascii="Times New Roman" w:hAnsi="Times New Roman" w:eastAsia="宋体" w:cs="Times New Roman"/>
          <w:color w:val="auto"/>
        </w:rPr>
        <w:t>②生产过程安全操作规程；</w:t>
      </w:r>
    </w:p>
    <w:p w14:paraId="005F077D">
      <w:pPr>
        <w:pStyle w:val="33"/>
        <w:bidi w:val="0"/>
        <w:rPr>
          <w:rFonts w:ascii="Times New Roman" w:hAnsi="Times New Roman" w:eastAsia="宋体" w:cs="Times New Roman"/>
          <w:color w:val="auto"/>
        </w:rPr>
      </w:pPr>
      <w:r>
        <w:rPr>
          <w:rFonts w:ascii="Times New Roman" w:hAnsi="Times New Roman" w:eastAsia="宋体" w:cs="Times New Roman"/>
          <w:color w:val="auto"/>
        </w:rPr>
        <w:t>③设备检修过程安全操作规程；</w:t>
      </w:r>
    </w:p>
    <w:p w14:paraId="3EF5209F">
      <w:pPr>
        <w:pStyle w:val="33"/>
        <w:bidi w:val="0"/>
        <w:rPr>
          <w:rFonts w:ascii="Times New Roman" w:hAnsi="Times New Roman" w:eastAsia="宋体" w:cs="Times New Roman"/>
          <w:color w:val="auto"/>
        </w:rPr>
      </w:pPr>
      <w:r>
        <w:rPr>
          <w:rFonts w:ascii="Times New Roman" w:hAnsi="Times New Roman" w:eastAsia="宋体" w:cs="Times New Roman"/>
          <w:color w:val="auto"/>
        </w:rPr>
        <w:t>④正常</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过程安全操作规程；</w:t>
      </w:r>
    </w:p>
    <w:p w14:paraId="541A0C53">
      <w:pPr>
        <w:pStyle w:val="33"/>
        <w:bidi w:val="0"/>
        <w:rPr>
          <w:rFonts w:ascii="Times New Roman" w:hAnsi="Times New Roman" w:eastAsia="宋体" w:cs="Times New Roman"/>
          <w:color w:val="auto"/>
        </w:rPr>
      </w:pPr>
      <w:r>
        <w:rPr>
          <w:rFonts w:ascii="Times New Roman" w:hAnsi="Times New Roman" w:eastAsia="宋体" w:cs="Times New Roman"/>
          <w:color w:val="auto"/>
        </w:rPr>
        <w:t>⑤非正常</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过程安全操作规程；</w:t>
      </w:r>
    </w:p>
    <w:p w14:paraId="67442EBB">
      <w:pPr>
        <w:pStyle w:val="33"/>
        <w:bidi w:val="0"/>
        <w:rPr>
          <w:rFonts w:ascii="Times New Roman" w:hAnsi="Times New Roman" w:eastAsia="宋体" w:cs="Times New Roman"/>
          <w:color w:val="auto"/>
        </w:rPr>
      </w:pPr>
      <w:r>
        <w:rPr>
          <w:rFonts w:ascii="Times New Roman" w:hAnsi="Times New Roman" w:eastAsia="宋体" w:cs="Times New Roman"/>
          <w:color w:val="auto"/>
        </w:rPr>
        <w:t>⑥应急处理故障、事故过程安全操作规程；</w:t>
      </w:r>
    </w:p>
    <w:p w14:paraId="262F6960">
      <w:pPr>
        <w:pStyle w:val="33"/>
        <w:bidi w:val="0"/>
        <w:rPr>
          <w:rFonts w:ascii="Times New Roman" w:hAnsi="Times New Roman" w:eastAsia="宋体" w:cs="Times New Roman"/>
          <w:color w:val="auto"/>
        </w:rPr>
      </w:pPr>
      <w:r>
        <w:rPr>
          <w:rFonts w:ascii="Times New Roman" w:hAnsi="Times New Roman" w:eastAsia="宋体" w:cs="Times New Roman"/>
          <w:color w:val="auto"/>
        </w:rPr>
        <w:t>⑦各种特殊作业（吊管起重、动土、险区域用火、进入设备场地）的安全操作规程；</w:t>
      </w:r>
    </w:p>
    <w:p w14:paraId="0B0F76D3">
      <w:pPr>
        <w:pStyle w:val="33"/>
        <w:bidi w:val="0"/>
        <w:rPr>
          <w:rFonts w:ascii="Times New Roman" w:hAnsi="Times New Roman" w:eastAsia="宋体" w:cs="Times New Roman"/>
          <w:color w:val="auto"/>
        </w:rPr>
      </w:pPr>
      <w:r>
        <w:rPr>
          <w:rFonts w:ascii="Times New Roman" w:hAnsi="Times New Roman" w:eastAsia="宋体" w:cs="Times New Roman"/>
          <w:color w:val="auto"/>
        </w:rPr>
        <w:t>⑧施工期、</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期的环境保护管理规程。</w:t>
      </w:r>
    </w:p>
    <w:p w14:paraId="656258C4">
      <w:pPr>
        <w:pStyle w:val="33"/>
        <w:bidi w:val="0"/>
        <w:rPr>
          <w:rFonts w:ascii="Times New Roman" w:hAnsi="Times New Roman" w:eastAsia="宋体" w:cs="Times New Roman"/>
          <w:color w:val="auto"/>
        </w:rPr>
      </w:pPr>
      <w:r>
        <w:rPr>
          <w:rFonts w:ascii="Times New Roman" w:hAnsi="Times New Roman" w:eastAsia="宋体" w:cs="Times New Roman"/>
          <w:color w:val="auto"/>
        </w:rPr>
        <w:t>这些制度和规程是本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建设和生产过</w:t>
      </w:r>
      <w:r>
        <w:rPr>
          <w:rFonts w:hint="eastAsia" w:cs="Times New Roman"/>
          <w:color w:val="auto"/>
          <w:lang w:eastAsia="zh-CN"/>
        </w:rPr>
        <w:t>程中</w:t>
      </w:r>
      <w:r>
        <w:rPr>
          <w:rFonts w:ascii="Times New Roman" w:hAnsi="Times New Roman" w:eastAsia="宋体" w:cs="Times New Roman"/>
          <w:color w:val="auto"/>
        </w:rPr>
        <w:t>行之有效的管理文件，有些是针对本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施工期和</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期的特点建立的。这些文件应及时下发到岗位，并在员工正式上岗前通过专门培训或专门讲解，使员工了解；需专门为</w:t>
      </w:r>
      <w:r>
        <w:rPr>
          <w:rFonts w:hint="eastAsia" w:ascii="Times New Roman" w:hAnsi="Times New Roman" w:eastAsia="宋体" w:cs="Times New Roman"/>
          <w:color w:val="auto"/>
          <w:lang w:val="en-US" w:eastAsia="zh-CN"/>
        </w:rPr>
        <w:t>本工程</w:t>
      </w:r>
      <w:r>
        <w:rPr>
          <w:rFonts w:ascii="Times New Roman" w:hAnsi="Times New Roman" w:eastAsia="宋体" w:cs="Times New Roman"/>
          <w:color w:val="auto"/>
        </w:rPr>
        <w:t>不同岗位制定制度或规程，如生产装置操作岗位、计量操作岗位、自动控制操作岗位及抢修岗位等，应尽快</w:t>
      </w:r>
      <w:r>
        <w:rPr>
          <w:rFonts w:hint="eastAsia" w:cs="Times New Roman"/>
          <w:color w:val="auto"/>
          <w:lang w:eastAsia="zh-CN"/>
        </w:rPr>
        <w:t>制定</w:t>
      </w:r>
      <w:r>
        <w:rPr>
          <w:rFonts w:ascii="Times New Roman" w:hAnsi="Times New Roman" w:eastAsia="宋体" w:cs="Times New Roman"/>
          <w:color w:val="auto"/>
        </w:rPr>
        <w:t>适用这些岗位的规程和管理制度，并培训岗位人员熟练掌握。</w:t>
      </w:r>
    </w:p>
    <w:p w14:paraId="011A42FC">
      <w:pPr>
        <w:pStyle w:val="33"/>
        <w:bidi w:val="0"/>
        <w:rPr>
          <w:rFonts w:hint="eastAsia" w:ascii="Times New Roman" w:hAnsi="Times New Roman" w:eastAsia="宋体" w:cs="Times New Roman"/>
          <w:color w:val="auto"/>
          <w:lang w:val="en-US" w:eastAsia="zh-CN"/>
        </w:rPr>
      </w:pPr>
      <w:r>
        <w:rPr>
          <w:rFonts w:ascii="Times New Roman" w:hAnsi="Times New Roman" w:eastAsia="宋体" w:cs="Times New Roman"/>
          <w:color w:val="auto"/>
        </w:rPr>
        <w:t>（4）本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QHSE管理工作内</w:t>
      </w:r>
      <w:r>
        <w:rPr>
          <w:rFonts w:hint="eastAsia" w:ascii="Times New Roman" w:hAnsi="Times New Roman" w:eastAsia="宋体" w:cs="Times New Roman"/>
          <w:color w:val="auto"/>
          <w:lang w:val="en-US" w:eastAsia="zh-CN"/>
        </w:rPr>
        <w:t>容</w:t>
      </w:r>
    </w:p>
    <w:p w14:paraId="3587EDF2">
      <w:pPr>
        <w:pStyle w:val="33"/>
        <w:bidi w:val="0"/>
        <w:rPr>
          <w:rFonts w:ascii="Times New Roman" w:hAnsi="Times New Roman" w:eastAsia="宋体" w:cs="Times New Roman"/>
          <w:color w:val="auto"/>
        </w:rPr>
      </w:pPr>
      <w:r>
        <w:rPr>
          <w:rFonts w:ascii="Times New Roman" w:hAnsi="Times New Roman" w:eastAsia="宋体" w:cs="Times New Roman"/>
          <w:color w:val="auto"/>
        </w:rPr>
        <w:t>应结合本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环评识别的施工期和</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期工艺流程、污染和风险源项、危害和影响程度识别和评价的结果，结合本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安全评价、职业卫生评价篇章的成果，侧重在以下方面开展工作：</w:t>
      </w:r>
    </w:p>
    <w:p w14:paraId="3FA94ED2">
      <w:pPr>
        <w:pStyle w:val="33"/>
        <w:bidi w:val="0"/>
        <w:rPr>
          <w:rFonts w:ascii="Times New Roman" w:hAnsi="Times New Roman" w:eastAsia="宋体" w:cs="Times New Roman"/>
          <w:color w:val="auto"/>
        </w:rPr>
      </w:pPr>
      <w:r>
        <w:rPr>
          <w:rFonts w:ascii="Times New Roman" w:hAnsi="Times New Roman" w:eastAsia="宋体" w:cs="Times New Roman"/>
          <w:color w:val="auto"/>
        </w:rPr>
        <w:t>①工艺流程分析；</w:t>
      </w:r>
    </w:p>
    <w:p w14:paraId="2B10E407">
      <w:pPr>
        <w:pStyle w:val="33"/>
        <w:bidi w:val="0"/>
        <w:rPr>
          <w:rFonts w:ascii="Times New Roman" w:hAnsi="Times New Roman" w:eastAsia="宋体" w:cs="Times New Roman"/>
          <w:color w:val="auto"/>
        </w:rPr>
      </w:pPr>
      <w:r>
        <w:rPr>
          <w:rFonts w:ascii="Times New Roman" w:hAnsi="Times New Roman" w:eastAsia="宋体" w:cs="Times New Roman"/>
          <w:color w:val="auto"/>
        </w:rPr>
        <w:t>②污染生态危害和影响分析；</w:t>
      </w:r>
    </w:p>
    <w:p w14:paraId="4DE23D76">
      <w:pPr>
        <w:pStyle w:val="33"/>
        <w:bidi w:val="0"/>
        <w:rPr>
          <w:rFonts w:ascii="Times New Roman" w:hAnsi="Times New Roman" w:eastAsia="宋体" w:cs="Times New Roman"/>
          <w:color w:val="auto"/>
        </w:rPr>
      </w:pPr>
      <w:r>
        <w:rPr>
          <w:rFonts w:ascii="Times New Roman" w:hAnsi="Times New Roman" w:eastAsia="宋体" w:cs="Times New Roman"/>
          <w:color w:val="auto"/>
        </w:rPr>
        <w:t>③泄漏事故危害和风险影响分析；</w:t>
      </w:r>
    </w:p>
    <w:p w14:paraId="67F0ABB9">
      <w:pPr>
        <w:pStyle w:val="33"/>
        <w:bidi w:val="0"/>
        <w:rPr>
          <w:rFonts w:ascii="Times New Roman" w:hAnsi="Times New Roman" w:eastAsia="宋体" w:cs="Times New Roman"/>
          <w:color w:val="auto"/>
        </w:rPr>
      </w:pPr>
      <w:r>
        <w:rPr>
          <w:rFonts w:ascii="Times New Roman" w:hAnsi="Times New Roman" w:eastAsia="宋体" w:cs="Times New Roman"/>
          <w:color w:val="auto"/>
        </w:rPr>
        <w:t>④建立预防危害的防范措施；</w:t>
      </w:r>
    </w:p>
    <w:p w14:paraId="63C1AE2D">
      <w:pPr>
        <w:pStyle w:val="33"/>
        <w:bidi w:val="0"/>
        <w:rPr>
          <w:rFonts w:ascii="Times New Roman" w:hAnsi="Times New Roman" w:eastAsia="宋体" w:cs="Times New Roman"/>
          <w:color w:val="auto"/>
        </w:rPr>
      </w:pPr>
      <w:r>
        <w:rPr>
          <w:rFonts w:ascii="Times New Roman" w:hAnsi="Times New Roman" w:eastAsia="宋体" w:cs="Times New Roman"/>
          <w:color w:val="auto"/>
        </w:rPr>
        <w:t>⑤制定环境保护措施；</w:t>
      </w:r>
    </w:p>
    <w:p w14:paraId="40387C1F">
      <w:pPr>
        <w:pStyle w:val="33"/>
        <w:bidi w:val="0"/>
        <w:rPr>
          <w:rFonts w:ascii="Times New Roman" w:hAnsi="Times New Roman" w:eastAsia="宋体" w:cs="Times New Roman"/>
          <w:color w:val="auto"/>
        </w:rPr>
      </w:pPr>
      <w:r>
        <w:rPr>
          <w:rFonts w:ascii="Times New Roman" w:hAnsi="Times New Roman" w:eastAsia="宋体" w:cs="Times New Roman"/>
          <w:color w:val="auto"/>
        </w:rPr>
        <w:t>⑥建立准许作业手册和应急预案。</w:t>
      </w:r>
    </w:p>
    <w:p w14:paraId="114F5660">
      <w:pPr>
        <w:pStyle w:val="5"/>
        <w:bidi w:val="0"/>
        <w:rPr>
          <w:rFonts w:hint="default"/>
          <w:color w:val="auto"/>
          <w:lang w:val="en-US" w:eastAsia="zh-CN"/>
        </w:rPr>
      </w:pPr>
      <w:r>
        <w:rPr>
          <w:rFonts w:hint="eastAsia"/>
          <w:color w:val="auto"/>
          <w:lang w:val="en-US" w:eastAsia="zh-CN"/>
        </w:rPr>
        <w:t>8.1.3环境管理的主要任务</w:t>
      </w:r>
    </w:p>
    <w:p w14:paraId="205BF89F">
      <w:pPr>
        <w:pStyle w:val="33"/>
        <w:bidi w:val="0"/>
        <w:rPr>
          <w:rFonts w:ascii="Times New Roman" w:hAnsi="Times New Roman" w:eastAsia="宋体" w:cs="Times New Roman"/>
          <w:color w:val="auto"/>
        </w:rPr>
      </w:pPr>
      <w:r>
        <w:rPr>
          <w:rFonts w:ascii="Times New Roman" w:hAnsi="Times New Roman" w:eastAsia="宋体" w:cs="Times New Roman"/>
          <w:color w:val="auto"/>
        </w:rPr>
        <w:t>（1）施工期的环境管理</w:t>
      </w:r>
    </w:p>
    <w:p w14:paraId="653F3F32">
      <w:pPr>
        <w:pStyle w:val="33"/>
        <w:bidi w:val="0"/>
        <w:rPr>
          <w:rFonts w:ascii="Times New Roman" w:hAnsi="Times New Roman" w:eastAsia="宋体" w:cs="Times New Roman"/>
          <w:color w:val="auto"/>
        </w:rPr>
      </w:pPr>
      <w:r>
        <w:rPr>
          <w:rFonts w:ascii="Times New Roman" w:hAnsi="Times New Roman" w:eastAsia="宋体" w:cs="Times New Roman"/>
          <w:color w:val="auto"/>
        </w:rPr>
        <w:t>①建立和实施基建施工作业的QHSE管理体系；</w:t>
      </w:r>
    </w:p>
    <w:p w14:paraId="443912F9">
      <w:pPr>
        <w:pStyle w:val="33"/>
        <w:bidi w:val="0"/>
        <w:rPr>
          <w:rFonts w:ascii="Times New Roman" w:hAnsi="Times New Roman" w:eastAsia="宋体" w:cs="Times New Roman"/>
          <w:color w:val="auto"/>
        </w:rPr>
      </w:pPr>
      <w:r>
        <w:rPr>
          <w:rFonts w:ascii="Times New Roman" w:hAnsi="Times New Roman" w:eastAsia="宋体" w:cs="Times New Roman"/>
          <w:color w:val="auto"/>
        </w:rPr>
        <w:t>②对开发建设全过程实施环保措施和环保工程的监督和检查；</w:t>
      </w:r>
    </w:p>
    <w:p w14:paraId="5EB3EA96">
      <w:pPr>
        <w:pStyle w:val="33"/>
        <w:bidi w:val="0"/>
        <w:rPr>
          <w:rFonts w:ascii="Times New Roman" w:hAnsi="Times New Roman" w:eastAsia="宋体" w:cs="Times New Roman"/>
          <w:color w:val="auto"/>
        </w:rPr>
      </w:pPr>
      <w:r>
        <w:rPr>
          <w:rFonts w:ascii="Times New Roman" w:hAnsi="Times New Roman" w:eastAsia="宋体" w:cs="Times New Roman"/>
          <w:color w:val="auto"/>
        </w:rPr>
        <w:t>③实施施工作业环境监督制度，以确保施工作业对土壤、生态环境造成的破坏降到最低程度，施工期环境管理内容包括：扬尘、挖方料坑、弃方堆置场、道路两侧植被情况、施工人员生产和生活废水排放去向以及施工迹地恢复情况，发现问题及时向有关环境管理部门反映；</w:t>
      </w:r>
    </w:p>
    <w:p w14:paraId="4249E030">
      <w:pPr>
        <w:pStyle w:val="33"/>
        <w:bidi w:val="0"/>
        <w:rPr>
          <w:rFonts w:ascii="Times New Roman" w:hAnsi="Times New Roman" w:eastAsia="宋体" w:cs="Times New Roman"/>
          <w:color w:val="auto"/>
        </w:rPr>
      </w:pPr>
      <w:r>
        <w:rPr>
          <w:rFonts w:ascii="Times New Roman" w:hAnsi="Times New Roman" w:eastAsia="宋体" w:cs="Times New Roman"/>
          <w:color w:val="auto"/>
        </w:rPr>
        <w:t>④负责与有关环保主管部门的沟通、协调，组织工程建</w:t>
      </w:r>
      <w:r>
        <w:rPr>
          <w:rFonts w:hint="eastAsia" w:ascii="宋体" w:hAnsi="宋体" w:eastAsia="宋体" w:cs="宋体"/>
          <w:color w:val="auto"/>
        </w:rPr>
        <w:t>设的“三同时”验</w:t>
      </w:r>
      <w:r>
        <w:rPr>
          <w:rFonts w:ascii="Times New Roman" w:hAnsi="Times New Roman" w:eastAsia="宋体" w:cs="Times New Roman"/>
          <w:color w:val="auto"/>
        </w:rPr>
        <w:t>收工作。</w:t>
      </w:r>
    </w:p>
    <w:p w14:paraId="333DB2ED">
      <w:pPr>
        <w:pStyle w:val="33"/>
        <w:bidi w:val="0"/>
        <w:rPr>
          <w:rFonts w:ascii="Times New Roman" w:hAnsi="Times New Roman" w:eastAsia="宋体" w:cs="Times New Roman"/>
          <w:color w:val="auto"/>
        </w:rPr>
      </w:pPr>
      <w:r>
        <w:rPr>
          <w:rFonts w:ascii="Times New Roman" w:hAnsi="Times New Roman" w:eastAsia="宋体" w:cs="Times New Roman"/>
          <w:color w:val="auto"/>
        </w:rPr>
        <w:t>（2）生产</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期的环境管理</w:t>
      </w:r>
    </w:p>
    <w:p w14:paraId="1CA060E9">
      <w:pPr>
        <w:pStyle w:val="33"/>
        <w:bidi w:val="0"/>
        <w:rPr>
          <w:rFonts w:ascii="Times New Roman" w:hAnsi="Times New Roman" w:eastAsia="宋体" w:cs="Times New Roman"/>
          <w:color w:val="auto"/>
        </w:rPr>
      </w:pPr>
      <w:r>
        <w:rPr>
          <w:rFonts w:ascii="Times New Roman" w:hAnsi="Times New Roman" w:eastAsia="宋体" w:cs="Times New Roman"/>
          <w:color w:val="auto"/>
        </w:rPr>
        <w:t>①建立和实施油田开发作业的QHSE管理体系；</w:t>
      </w:r>
    </w:p>
    <w:p w14:paraId="110A072F">
      <w:pPr>
        <w:pStyle w:val="33"/>
        <w:bidi w:val="0"/>
        <w:rPr>
          <w:rFonts w:ascii="Times New Roman" w:hAnsi="Times New Roman" w:eastAsia="宋体" w:cs="Times New Roman"/>
          <w:color w:val="auto"/>
        </w:rPr>
      </w:pPr>
      <w:r>
        <w:rPr>
          <w:rFonts w:ascii="Times New Roman" w:hAnsi="Times New Roman" w:eastAsia="宋体" w:cs="Times New Roman"/>
          <w:color w:val="auto"/>
        </w:rPr>
        <w:t>②将政府和上级主管部门的环保法律法规、标准下发到各级机构、结合本集团生产和环保的实际情况，制定企业环保管理规章制度，并贯彻执行；</w:t>
      </w:r>
    </w:p>
    <w:p w14:paraId="584DBEAD">
      <w:pPr>
        <w:pStyle w:val="33"/>
        <w:bidi w:val="0"/>
        <w:rPr>
          <w:rFonts w:ascii="Times New Roman" w:hAnsi="Times New Roman" w:eastAsia="宋体" w:cs="Times New Roman"/>
          <w:color w:val="auto"/>
        </w:rPr>
      </w:pPr>
      <w:r>
        <w:rPr>
          <w:rFonts w:ascii="Times New Roman" w:hAnsi="Times New Roman" w:eastAsia="宋体" w:cs="Times New Roman"/>
          <w:color w:val="auto"/>
        </w:rPr>
        <w:t>③负责油田日常的环境保护管理工作，如生态恢复、环境监测和污水处理等；</w:t>
      </w:r>
    </w:p>
    <w:p w14:paraId="6C7AC12F">
      <w:pPr>
        <w:pStyle w:val="33"/>
        <w:bidi w:val="0"/>
        <w:rPr>
          <w:rFonts w:ascii="Times New Roman" w:hAnsi="Times New Roman" w:eastAsia="宋体" w:cs="Times New Roman"/>
          <w:color w:val="auto"/>
        </w:rPr>
      </w:pPr>
      <w:r>
        <w:rPr>
          <w:rFonts w:ascii="Times New Roman" w:hAnsi="Times New Roman" w:eastAsia="宋体" w:cs="Times New Roman"/>
          <w:color w:val="auto"/>
        </w:rPr>
        <w:t>④协同有关部门制定防治污染事故的措施，定期进行环保安全检查；</w:t>
      </w:r>
    </w:p>
    <w:p w14:paraId="0AAF1372">
      <w:pPr>
        <w:pStyle w:val="33"/>
        <w:bidi w:val="0"/>
        <w:rPr>
          <w:rFonts w:ascii="Times New Roman" w:hAnsi="Times New Roman" w:eastAsia="宋体" w:cs="Times New Roman"/>
          <w:color w:val="auto"/>
        </w:rPr>
      </w:pPr>
      <w:r>
        <w:rPr>
          <w:rFonts w:ascii="Times New Roman" w:hAnsi="Times New Roman" w:eastAsia="宋体" w:cs="Times New Roman"/>
          <w:color w:val="auto"/>
        </w:rPr>
        <w:t>⑤强化基础工作，建立完整、规范、准确地环境基础资料、环境统计报表和环境保护技术档案；</w:t>
      </w:r>
    </w:p>
    <w:p w14:paraId="114FC03D">
      <w:pPr>
        <w:pStyle w:val="33"/>
        <w:bidi w:val="0"/>
        <w:rPr>
          <w:rFonts w:ascii="Times New Roman" w:hAnsi="Times New Roman" w:eastAsia="宋体" w:cs="Times New Roman"/>
          <w:color w:val="auto"/>
        </w:rPr>
      </w:pPr>
      <w:r>
        <w:rPr>
          <w:rFonts w:ascii="Times New Roman" w:hAnsi="Times New Roman" w:eastAsia="宋体" w:cs="Times New Roman"/>
          <w:color w:val="auto"/>
        </w:rPr>
        <w:t>⑥编制应急计划；</w:t>
      </w:r>
    </w:p>
    <w:p w14:paraId="699463EA">
      <w:pPr>
        <w:pStyle w:val="33"/>
        <w:bidi w:val="0"/>
        <w:rPr>
          <w:rFonts w:ascii="Times New Roman" w:hAnsi="Times New Roman" w:eastAsia="宋体" w:cs="Times New Roman"/>
          <w:color w:val="auto"/>
        </w:rPr>
      </w:pPr>
      <w:r>
        <w:rPr>
          <w:rFonts w:ascii="Times New Roman" w:hAnsi="Times New Roman" w:eastAsia="宋体" w:cs="Times New Roman"/>
          <w:color w:val="auto"/>
        </w:rPr>
        <w:t>⑦对全体员工组织开展环境保护培训。</w:t>
      </w:r>
    </w:p>
    <w:p w14:paraId="18D84D46">
      <w:pPr>
        <w:pStyle w:val="5"/>
        <w:bidi w:val="0"/>
        <w:rPr>
          <w:rFonts w:hint="default"/>
          <w:color w:val="auto"/>
          <w:lang w:val="en-US" w:eastAsia="zh-CN"/>
        </w:rPr>
      </w:pPr>
      <w:r>
        <w:rPr>
          <w:rFonts w:hint="eastAsia"/>
          <w:color w:val="auto"/>
          <w:lang w:val="en-US" w:eastAsia="zh-CN"/>
        </w:rPr>
        <w:t>8.1.4环境管理台账制度</w:t>
      </w:r>
    </w:p>
    <w:p w14:paraId="432B2130">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根据《排污单位环境管理台账及排污许可证执行报告技术规范 总则（试行）》（HJ944-2018）要求，项目应以作业区为单位建立环境管理台账制度和排污许可证执行报告，以便于环保检查查询，并提高项目环境管理水平，具体细节执行HJ944-2018相关要求</w:t>
      </w:r>
      <w:r>
        <w:rPr>
          <w:rFonts w:hint="eastAsia" w:ascii="Times New Roman" w:hAnsi="Times New Roman" w:eastAsia="宋体" w:cs="Times New Roman"/>
          <w:color w:val="auto"/>
          <w:lang w:val="en-US"/>
        </w:rPr>
        <w:t>。</w:t>
      </w:r>
    </w:p>
    <w:p w14:paraId="06C1E168">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rPr>
        <w:t>项目环评报批及验收资料</w:t>
      </w:r>
    </w:p>
    <w:p w14:paraId="73BE0054">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1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①</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营业执照</w:t>
      </w:r>
      <w:r>
        <w:rPr>
          <w:rFonts w:hint="eastAsia" w:ascii="Times New Roman" w:hAnsi="Times New Roman" w:eastAsia="宋体" w:cs="Times New Roman"/>
          <w:color w:val="auto"/>
          <w:lang w:val="en-US" w:eastAsia="zh-CN"/>
        </w:rPr>
        <w:t>；</w:t>
      </w:r>
    </w:p>
    <w:p w14:paraId="3A0E3FDF">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2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②</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环境影响报告书/报告表批复文件，登记表网上备案文件</w:t>
      </w:r>
      <w:r>
        <w:rPr>
          <w:rFonts w:hint="eastAsia" w:ascii="Times New Roman" w:hAnsi="Times New Roman" w:eastAsia="宋体" w:cs="Times New Roman"/>
          <w:color w:val="auto"/>
          <w:lang w:val="en-US" w:eastAsia="zh-CN"/>
        </w:rPr>
        <w:t>；</w:t>
      </w:r>
    </w:p>
    <w:p w14:paraId="4FED305C">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3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③</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环境影响报告书/报告表全本</w:t>
      </w:r>
      <w:r>
        <w:rPr>
          <w:rFonts w:hint="eastAsia" w:ascii="Times New Roman" w:hAnsi="Times New Roman" w:eastAsia="宋体" w:cs="Times New Roman"/>
          <w:color w:val="auto"/>
          <w:lang w:val="en-US" w:eastAsia="zh-CN"/>
        </w:rPr>
        <w:t>；</w:t>
      </w:r>
    </w:p>
    <w:p w14:paraId="6D119219">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4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④</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环境保护设施验收批复、自主验收文件、验收监测（调查）报告</w:t>
      </w:r>
      <w:r>
        <w:rPr>
          <w:rFonts w:hint="eastAsia" w:ascii="Times New Roman" w:hAnsi="Times New Roman" w:eastAsia="宋体" w:cs="Times New Roman"/>
          <w:color w:val="auto"/>
          <w:lang w:val="en-US" w:eastAsia="zh-CN"/>
        </w:rPr>
        <w:t>。</w:t>
      </w:r>
    </w:p>
    <w:p w14:paraId="5E1D4669">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rPr>
        <w:t>排污许可证</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lang w:val="en-US"/>
        </w:rPr>
        <w:t>排污许可证（正、副本）</w:t>
      </w:r>
    </w:p>
    <w:p w14:paraId="711C9ADD">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rPr>
        <w:t>污染治理设施（包括在线监测设备）运行台账</w:t>
      </w:r>
    </w:p>
    <w:p w14:paraId="40C7CE8D">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1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①</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生产废水、废气等污染治理设施设计方案及工艺流程图</w:t>
      </w:r>
      <w:r>
        <w:rPr>
          <w:rFonts w:hint="eastAsia" w:ascii="Times New Roman" w:hAnsi="Times New Roman" w:eastAsia="宋体" w:cs="Times New Roman"/>
          <w:color w:val="auto"/>
          <w:lang w:val="en-US" w:eastAsia="zh-CN"/>
        </w:rPr>
        <w:t>；</w:t>
      </w:r>
    </w:p>
    <w:p w14:paraId="2A7C4AF5">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2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②</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污染治理设施运行台账及维护记录（包括运行维护记录、加药记录、活性炭更换记录等台账）</w:t>
      </w:r>
      <w:r>
        <w:rPr>
          <w:rFonts w:hint="eastAsia" w:ascii="Times New Roman" w:hAnsi="Times New Roman" w:eastAsia="宋体" w:cs="Times New Roman"/>
          <w:color w:val="auto"/>
          <w:lang w:val="en-US" w:eastAsia="zh-CN"/>
        </w:rPr>
        <w:t>。</w:t>
      </w:r>
    </w:p>
    <w:p w14:paraId="4B6D74E1">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rPr>
        <w:t>排污口分布及污染物监测台账</w:t>
      </w:r>
    </w:p>
    <w:p w14:paraId="02B3BD3D">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1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①</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排污口规范化设置情况表、排污口标志分布图、排污口标志照片</w:t>
      </w:r>
      <w:r>
        <w:rPr>
          <w:rFonts w:hint="eastAsia" w:ascii="Times New Roman" w:hAnsi="Times New Roman" w:eastAsia="宋体" w:cs="Times New Roman"/>
          <w:color w:val="auto"/>
          <w:lang w:val="en-US" w:eastAsia="zh-CN"/>
        </w:rPr>
        <w:t>；</w:t>
      </w:r>
    </w:p>
    <w:p w14:paraId="3C63DCCA">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2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②</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企业自行监测计划、自行监测报告、重点企业自行监测公开情况</w:t>
      </w:r>
      <w:r>
        <w:rPr>
          <w:rFonts w:hint="eastAsia" w:ascii="Times New Roman" w:hAnsi="Times New Roman" w:eastAsia="宋体" w:cs="Times New Roman"/>
          <w:color w:val="auto"/>
          <w:lang w:val="en-US" w:eastAsia="zh-CN"/>
        </w:rPr>
        <w:t>。</w:t>
      </w:r>
    </w:p>
    <w:p w14:paraId="47CAC5E0">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rPr>
        <w:t>固体废物产生及处置台账</w:t>
      </w:r>
    </w:p>
    <w:p w14:paraId="6708CA3C">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1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①</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固体废物申报登记及转移管理（通过固体废物信息管理平台开展固体废物申报登记、严格执行危险废物转移计划报批和转移联单制度）</w:t>
      </w:r>
      <w:r>
        <w:rPr>
          <w:rFonts w:hint="eastAsia" w:ascii="Times New Roman" w:hAnsi="Times New Roman" w:eastAsia="宋体" w:cs="Times New Roman"/>
          <w:color w:val="auto"/>
          <w:lang w:val="en-US" w:eastAsia="zh-CN"/>
        </w:rPr>
        <w:t>；</w:t>
      </w:r>
    </w:p>
    <w:p w14:paraId="1B48DFE2">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2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②</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与有资质单位签订的危险废物处置合同</w:t>
      </w:r>
      <w:r>
        <w:rPr>
          <w:rFonts w:hint="eastAsia" w:ascii="Times New Roman" w:hAnsi="Times New Roman" w:eastAsia="宋体" w:cs="Times New Roman"/>
          <w:color w:val="auto"/>
          <w:lang w:val="en-US" w:eastAsia="zh-CN"/>
        </w:rPr>
        <w:t>；</w:t>
      </w:r>
    </w:p>
    <w:p w14:paraId="695A1523">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3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③</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危险废物管理台账（包括危险废物产生环节记录表、贮存环节记录表、内部自行利用/处置情况记录表、月度危险废物台账报表等）</w:t>
      </w:r>
      <w:r>
        <w:rPr>
          <w:rFonts w:hint="eastAsia" w:ascii="Times New Roman" w:hAnsi="Times New Roman" w:eastAsia="宋体" w:cs="Times New Roman"/>
          <w:color w:val="auto"/>
          <w:lang w:val="en-US" w:eastAsia="zh-CN"/>
        </w:rPr>
        <w:t>；</w:t>
      </w:r>
    </w:p>
    <w:p w14:paraId="3DCD591C">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4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④</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按照标准规范建设的危险废物贮存场所及设置相应警示标志和标签的照片</w:t>
      </w:r>
      <w:r>
        <w:rPr>
          <w:rFonts w:hint="eastAsia" w:ascii="Times New Roman" w:hAnsi="Times New Roman" w:eastAsia="宋体" w:cs="Times New Roman"/>
          <w:color w:val="auto"/>
          <w:lang w:val="en-US" w:eastAsia="zh-CN"/>
        </w:rPr>
        <w:t>；</w:t>
      </w:r>
    </w:p>
    <w:p w14:paraId="2093C7FF">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5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⑤</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危险废物应急预案、内部管理制度（危险废物管理组织架构、管理制度、公开制度、培训制度、档案管理制度）</w:t>
      </w:r>
      <w:r>
        <w:rPr>
          <w:rFonts w:hint="eastAsia" w:ascii="Times New Roman" w:hAnsi="Times New Roman" w:eastAsia="宋体" w:cs="Times New Roman"/>
          <w:color w:val="auto"/>
          <w:lang w:val="en-US" w:eastAsia="zh-CN"/>
        </w:rPr>
        <w:t>。</w:t>
      </w:r>
    </w:p>
    <w:p w14:paraId="40E5E531">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lang w:val="en-US"/>
        </w:rPr>
        <w:t>环境应急管理台账</w:t>
      </w:r>
    </w:p>
    <w:p w14:paraId="5F27C26A">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1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①</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环境应急预案、环境风险评估报告、环境应急资源调查报告以及专家评审意见、环保部门备案意见</w:t>
      </w:r>
      <w:r>
        <w:rPr>
          <w:rFonts w:hint="eastAsia" w:ascii="Times New Roman" w:hAnsi="Times New Roman" w:eastAsia="宋体" w:cs="Times New Roman"/>
          <w:color w:val="auto"/>
          <w:lang w:val="en-US" w:eastAsia="zh-CN"/>
        </w:rPr>
        <w:t>；</w:t>
      </w:r>
    </w:p>
    <w:p w14:paraId="2BDA1FFC">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2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②</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环境应急培训、应急演练方案、照片和总结</w:t>
      </w:r>
      <w:r>
        <w:rPr>
          <w:rFonts w:hint="eastAsia" w:ascii="Times New Roman" w:hAnsi="Times New Roman" w:eastAsia="宋体" w:cs="Times New Roman"/>
          <w:color w:val="auto"/>
          <w:lang w:val="en-US" w:eastAsia="zh-CN"/>
        </w:rPr>
        <w:t>；</w:t>
      </w:r>
    </w:p>
    <w:p w14:paraId="37378F05">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3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③</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环境安全隐患排查治理档案、环境污染强制责任保险资料</w:t>
      </w:r>
      <w:r>
        <w:rPr>
          <w:rFonts w:hint="eastAsia" w:ascii="Times New Roman" w:hAnsi="Times New Roman" w:eastAsia="宋体" w:cs="Times New Roman"/>
          <w:color w:val="auto"/>
          <w:lang w:val="en-US" w:eastAsia="zh-CN"/>
        </w:rPr>
        <w:t>。</w:t>
      </w:r>
    </w:p>
    <w:p w14:paraId="43FFF080">
      <w:pPr>
        <w:pStyle w:val="33"/>
        <w:bidi w:val="0"/>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lang w:val="en-US"/>
        </w:rPr>
        <w:t>其它环保管理台账</w:t>
      </w:r>
    </w:p>
    <w:p w14:paraId="5C48DB76">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1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①</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重点企业清洁生产审核报告及验收文件</w:t>
      </w:r>
      <w:r>
        <w:rPr>
          <w:rFonts w:hint="eastAsia" w:ascii="Times New Roman" w:hAnsi="Times New Roman" w:eastAsia="宋体" w:cs="Times New Roman"/>
          <w:color w:val="auto"/>
          <w:lang w:val="en-US" w:eastAsia="zh-CN"/>
        </w:rPr>
        <w:t>；</w:t>
      </w:r>
    </w:p>
    <w:p w14:paraId="2178E7B1">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2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②</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企业环保管理责任架构图及其它环保管理制度</w:t>
      </w:r>
      <w:r>
        <w:rPr>
          <w:rFonts w:hint="eastAsia" w:ascii="Times New Roman" w:hAnsi="Times New Roman" w:eastAsia="宋体" w:cs="Times New Roman"/>
          <w:color w:val="auto"/>
          <w:lang w:val="en-US" w:eastAsia="zh-CN"/>
        </w:rPr>
        <w:t>；</w:t>
      </w:r>
    </w:p>
    <w:p w14:paraId="025CCC14">
      <w:pPr>
        <w:pStyle w:val="33"/>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rPr>
        <w:fldChar w:fldCharType="begin"/>
      </w:r>
      <w:r>
        <w:rPr>
          <w:rFonts w:hint="eastAsia" w:ascii="Times New Roman" w:hAnsi="Times New Roman" w:eastAsia="宋体" w:cs="Times New Roman"/>
          <w:color w:val="auto"/>
          <w:lang w:val="en-US"/>
        </w:rPr>
        <w:instrText xml:space="preserve"> = 3 \* GB3 </w:instrText>
      </w:r>
      <w:r>
        <w:rPr>
          <w:rFonts w:hint="eastAsia" w:ascii="Times New Roman" w:hAnsi="Times New Roman" w:eastAsia="宋体" w:cs="Times New Roman"/>
          <w:color w:val="auto"/>
          <w:lang w:val="en-US"/>
        </w:rPr>
        <w:fldChar w:fldCharType="separate"/>
      </w:r>
      <w:r>
        <w:rPr>
          <w:rFonts w:hint="eastAsia" w:ascii="Times New Roman" w:hAnsi="Times New Roman" w:eastAsia="宋体" w:cs="Times New Roman"/>
          <w:color w:val="auto"/>
          <w:lang w:val="en-US"/>
        </w:rPr>
        <w:t>③</w:t>
      </w:r>
      <w:r>
        <w:rPr>
          <w:rFonts w:hint="eastAsia" w:ascii="Times New Roman" w:hAnsi="Times New Roman" w:eastAsia="宋体" w:cs="Times New Roman"/>
          <w:color w:val="auto"/>
          <w:lang w:val="en-US"/>
        </w:rPr>
        <w:fldChar w:fldCharType="end"/>
      </w:r>
      <w:r>
        <w:rPr>
          <w:rFonts w:hint="eastAsia" w:ascii="Times New Roman" w:hAnsi="Times New Roman" w:eastAsia="宋体" w:cs="Times New Roman"/>
          <w:color w:val="auto"/>
          <w:lang w:val="en-US"/>
        </w:rPr>
        <w:t>环保部门下达的行政处罚、限期改正通知及整改台账</w:t>
      </w:r>
      <w:r>
        <w:rPr>
          <w:rFonts w:hint="eastAsia" w:ascii="Times New Roman" w:hAnsi="Times New Roman" w:eastAsia="宋体" w:cs="Times New Roman"/>
          <w:color w:val="auto"/>
          <w:lang w:val="en-US" w:eastAsia="zh-CN"/>
        </w:rPr>
        <w:t>。</w:t>
      </w:r>
    </w:p>
    <w:p w14:paraId="0F3C836E">
      <w:pPr>
        <w:pStyle w:val="5"/>
        <w:bidi w:val="0"/>
        <w:rPr>
          <w:rFonts w:hint="default"/>
          <w:color w:val="auto"/>
          <w:lang w:val="en-US" w:eastAsia="zh-CN"/>
        </w:rPr>
      </w:pPr>
      <w:r>
        <w:rPr>
          <w:rFonts w:hint="eastAsia"/>
          <w:color w:val="auto"/>
          <w:lang w:val="en-US" w:eastAsia="zh-CN"/>
        </w:rPr>
        <w:t>8.1.5信息公开制度</w:t>
      </w:r>
    </w:p>
    <w:p w14:paraId="5552573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default"/>
          <w:color w:val="auto"/>
          <w:sz w:val="24"/>
          <w:szCs w:val="24"/>
        </w:rPr>
        <w:t>根据《企业环境信息依法披露管理办法》（生态环境部令24号，自2022年2月8日起施行），应当建立健全环境信息依法披露管理制度，规范工作规程，明确工作职责，建立准确的环境信息管理台账，妥善保存相关原始记录，科学统计归集相关环境信息</w:t>
      </w:r>
      <w:r>
        <w:rPr>
          <w:rFonts w:hint="eastAsia"/>
          <w:color w:val="auto"/>
          <w:sz w:val="24"/>
          <w:szCs w:val="24"/>
          <w:lang w:eastAsia="zh-CN"/>
        </w:rPr>
        <w:t>；</w:t>
      </w:r>
      <w:r>
        <w:rPr>
          <w:rFonts w:hint="default"/>
          <w:color w:val="auto"/>
          <w:sz w:val="24"/>
          <w:szCs w:val="24"/>
        </w:rPr>
        <w:t>企业披露环境信息所使用的相关数据及表述应当符合环境监测、环境统计等方面的标准和技术规范要求，优先使用符合国家监测规范的污染物监测数据、排污许可证执行报告数据等。</w:t>
      </w:r>
    </w:p>
    <w:p w14:paraId="1057FA96">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按照《企业环境信息依法披露管理办法》中要求的披露内容和时限，应在每年3月15日前，按照准则编制年度环境信息依法披露报告和临时环境信息依法披露报告，披露上一年度1月1日至12月31日的环境信息，并上传至企业环境信息依法披露系统。</w:t>
      </w:r>
      <w:r>
        <w:rPr>
          <w:rFonts w:hint="eastAsia" w:cs="Times New Roman"/>
          <w:color w:val="auto"/>
          <w:sz w:val="24"/>
          <w:szCs w:val="24"/>
          <w:lang w:val="en-US" w:eastAsia="zh-CN"/>
        </w:rPr>
        <w:t>环境信息依法披露格式按照《企业环境信息依法披露格式准则》（环</w:t>
      </w:r>
      <w:r>
        <w:rPr>
          <w:rFonts w:hint="default" w:ascii="Times New Roman" w:hAnsi="Times New Roman" w:cs="Times New Roman"/>
          <w:color w:val="auto"/>
          <w:sz w:val="24"/>
          <w:szCs w:val="24"/>
          <w:lang w:val="en-US" w:eastAsia="zh-CN"/>
        </w:rPr>
        <w:t>办综合</w:t>
      </w:r>
      <w:r>
        <w:rPr>
          <w:rFonts w:hint="default" w:ascii="Times New Roman" w:hAnsi="Times New Roman" w:eastAsia="宋体" w:cs="Times New Roman"/>
          <w:color w:val="auto"/>
          <w:sz w:val="24"/>
          <w:szCs w:val="24"/>
          <w:lang w:val="en-US" w:eastAsia="zh-CN"/>
        </w:rPr>
        <w:t>〔2021〕32号</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执行。</w:t>
      </w:r>
    </w:p>
    <w:p w14:paraId="018748D5">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企业年度环境信息依法</w:t>
      </w:r>
      <w:r>
        <w:rPr>
          <w:rFonts w:hint="default" w:ascii="Times New Roman" w:hAnsi="Times New Roman" w:eastAsia="宋体" w:cs="Times New Roman"/>
          <w:color w:val="auto"/>
          <w:sz w:val="24"/>
          <w:szCs w:val="24"/>
        </w:rPr>
        <w:t>披露</w:t>
      </w:r>
      <w:r>
        <w:rPr>
          <w:rFonts w:hint="eastAsia" w:cs="Times New Roman"/>
          <w:color w:val="auto"/>
          <w:sz w:val="24"/>
          <w:szCs w:val="24"/>
          <w:lang w:val="en-US" w:eastAsia="zh-CN"/>
        </w:rPr>
        <w:t>报告</w:t>
      </w:r>
      <w:r>
        <w:rPr>
          <w:rFonts w:hint="default" w:ascii="Times New Roman" w:hAnsi="Times New Roman" w:eastAsia="宋体" w:cs="Times New Roman"/>
          <w:color w:val="auto"/>
          <w:sz w:val="24"/>
          <w:szCs w:val="24"/>
        </w:rPr>
        <w:t>内容应当包括：</w:t>
      </w:r>
    </w:p>
    <w:p w14:paraId="0316D4AB">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①企业基本信息，包括企业生产和生态环境保护等方面的基础信息；</w:t>
      </w:r>
    </w:p>
    <w:p w14:paraId="4E2F4071">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②企业环境管理信息，包括生态环境行政许可、环境保护税、环境污染责任保险、环保信用评价等方面的信息；</w:t>
      </w:r>
    </w:p>
    <w:p w14:paraId="5EB9066E">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③污染物产生、治理与排放信息，包括污染防治设施，污染物排放，有毒有害物质排放，工业固体废物和危险废物产生、贮存、流向、利用、处置，自行监测等方面的信息；</w:t>
      </w:r>
    </w:p>
    <w:p w14:paraId="3732F818">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④碳排放信息，包括排放量、排放设施等方面的信息；</w:t>
      </w:r>
    </w:p>
    <w:p w14:paraId="4238F58A">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⑤生态环境应急信息，包括突发环境事件应急预案、重污染天气应急响应等方面的信息；</w:t>
      </w:r>
    </w:p>
    <w:p w14:paraId="7A159117">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⑥生态环境违法信息；</w:t>
      </w:r>
    </w:p>
    <w:p w14:paraId="25C1FAAF">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⑦本年度临时环境信息依法披露情况；</w:t>
      </w:r>
    </w:p>
    <w:p w14:paraId="1150AAA8">
      <w:pPr>
        <w:pStyle w:val="33"/>
        <w:bidi w:val="0"/>
        <w:rPr>
          <w:rFonts w:ascii="Times New Roman" w:hAnsi="Times New Roman" w:eastAsia="宋体" w:cs="Times New Roman"/>
          <w:color w:val="auto"/>
        </w:rPr>
      </w:pPr>
      <w:r>
        <w:rPr>
          <w:rFonts w:hint="default" w:ascii="Times New Roman" w:hAnsi="Times New Roman" w:eastAsia="宋体" w:cs="Times New Roman"/>
          <w:color w:val="auto"/>
          <w:sz w:val="24"/>
          <w:szCs w:val="24"/>
        </w:rPr>
        <w:t>⑧法律法规规定的其他环境信息。</w:t>
      </w:r>
    </w:p>
    <w:p w14:paraId="7B82C084">
      <w:pPr>
        <w:pStyle w:val="2"/>
        <w:bidi w:val="0"/>
        <w:rPr>
          <w:rFonts w:hint="default"/>
          <w:color w:val="auto"/>
          <w:lang w:val="en-US" w:eastAsia="zh-CN"/>
        </w:rPr>
      </w:pPr>
      <w:bookmarkStart w:id="353" w:name="_Toc20086"/>
      <w:r>
        <w:rPr>
          <w:rFonts w:hint="eastAsia"/>
          <w:color w:val="auto"/>
          <w:lang w:val="en-US" w:eastAsia="zh-CN"/>
        </w:rPr>
        <w:t>8.2污染物排放管理</w:t>
      </w:r>
      <w:bookmarkEnd w:id="353"/>
    </w:p>
    <w:p w14:paraId="08233CF1">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w:t>
      </w:r>
      <w:r>
        <w:rPr>
          <w:rFonts w:hint="eastAsia" w:ascii="Times New Roman" w:hAnsi="Times New Roman" w:eastAsia="宋体" w:cs="Times New Roman"/>
          <w:color w:val="auto"/>
          <w:sz w:val="24"/>
          <w:szCs w:val="24"/>
          <w:lang w:val="en-US" w:eastAsia="zh-CN"/>
        </w:rPr>
        <w:t>工程</w:t>
      </w:r>
      <w:r>
        <w:rPr>
          <w:rFonts w:hint="eastAsia" w:ascii="Times New Roman" w:hAnsi="Times New Roman" w:eastAsia="宋体" w:cs="Times New Roman"/>
          <w:color w:val="auto"/>
          <w:sz w:val="24"/>
          <w:szCs w:val="24"/>
        </w:rPr>
        <w:t>由地面工程、油气集输工程、公用工程、环保工程组成。</w:t>
      </w:r>
      <w:r>
        <w:rPr>
          <w:rFonts w:hint="default" w:ascii="Times New Roman" w:hAnsi="Times New Roman" w:eastAsia="宋体" w:cs="Times New Roman"/>
          <w:color w:val="auto"/>
          <w:sz w:val="24"/>
          <w:szCs w:val="24"/>
        </w:rPr>
        <w:t>本</w:t>
      </w:r>
      <w:r>
        <w:rPr>
          <w:rFonts w:hint="eastAsia" w:ascii="Times New Roman" w:hAnsi="Times New Roman" w:eastAsia="宋体" w:cs="Times New Roman"/>
          <w:color w:val="auto"/>
          <w:sz w:val="24"/>
          <w:szCs w:val="24"/>
          <w:lang w:val="en-US" w:eastAsia="zh-CN"/>
        </w:rPr>
        <w:t>工程运营期</w:t>
      </w:r>
      <w:r>
        <w:rPr>
          <w:rFonts w:hint="default" w:ascii="Times New Roman" w:hAnsi="Times New Roman" w:eastAsia="宋体" w:cs="Times New Roman"/>
          <w:color w:val="auto"/>
          <w:sz w:val="24"/>
          <w:szCs w:val="24"/>
        </w:rPr>
        <w:t>污染物排放清单见</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REF _Ref109708833 \h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8.2</w:t>
      </w:r>
      <w:r>
        <w:rPr>
          <w:rFonts w:hint="default" w:ascii="Times New Roman" w:hAnsi="Times New Roman" w:eastAsia="宋体" w:cs="Times New Roman"/>
          <w:color w:val="auto"/>
          <w:sz w:val="24"/>
          <w:szCs w:val="24"/>
        </w:rPr>
        <w:noBreakHyphen/>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w:t>
      </w:r>
    </w:p>
    <w:p w14:paraId="16E83378">
      <w:pPr>
        <w:pStyle w:val="43"/>
        <w:bidi w:val="0"/>
        <w:rPr>
          <w:color w:val="auto"/>
        </w:rPr>
      </w:pPr>
      <w:bookmarkStart w:id="354" w:name="_Ref109708833"/>
      <w:r>
        <w:rPr>
          <w:color w:val="auto"/>
        </w:rPr>
        <w:t>表</w:t>
      </w:r>
      <w:r>
        <w:rPr>
          <w:rFonts w:hint="eastAsia"/>
          <w:color w:val="auto"/>
          <w:lang w:val="en-US" w:eastAsia="zh-CN"/>
        </w:rPr>
        <w:t>8.2</w:t>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354"/>
      <w:r>
        <w:rPr>
          <w:color w:val="auto"/>
        </w:rPr>
        <w:t xml:space="preserve">  本</w:t>
      </w:r>
      <w:r>
        <w:rPr>
          <w:rFonts w:hint="eastAsia"/>
          <w:color w:val="auto"/>
          <w:lang w:val="en-US" w:eastAsia="zh-CN"/>
        </w:rPr>
        <w:t>工程运营期</w:t>
      </w:r>
      <w:r>
        <w:rPr>
          <w:color w:val="auto"/>
        </w:rPr>
        <w:t>污染物排放清单</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582"/>
        <w:gridCol w:w="976"/>
        <w:gridCol w:w="1078"/>
        <w:gridCol w:w="851"/>
        <w:gridCol w:w="1808"/>
        <w:gridCol w:w="964"/>
        <w:gridCol w:w="2149"/>
      </w:tblGrid>
      <w:tr w14:paraId="6D9F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cantSplit/>
          <w:trHeight w:val="23" w:hRule="atLeast"/>
          <w:tblHeader/>
        </w:trPr>
        <w:tc>
          <w:tcPr>
            <w:tcW w:w="346" w:type="pct"/>
            <w:shd w:val="clear" w:color="auto" w:fill="auto"/>
            <w:vAlign w:val="center"/>
          </w:tcPr>
          <w:p w14:paraId="5DB2C7B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580" w:type="pct"/>
            <w:shd w:val="clear" w:color="auto" w:fill="auto"/>
            <w:vAlign w:val="center"/>
          </w:tcPr>
          <w:p w14:paraId="22A625F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排放源</w:t>
            </w:r>
          </w:p>
        </w:tc>
        <w:tc>
          <w:tcPr>
            <w:tcW w:w="641" w:type="pct"/>
            <w:shd w:val="clear" w:color="auto" w:fill="auto"/>
            <w:vAlign w:val="center"/>
          </w:tcPr>
          <w:p w14:paraId="25BA373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506" w:type="pct"/>
            <w:shd w:val="clear" w:color="auto" w:fill="auto"/>
            <w:vAlign w:val="center"/>
          </w:tcPr>
          <w:p w14:paraId="77608FD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075" w:type="pct"/>
            <w:shd w:val="clear" w:color="auto" w:fill="auto"/>
            <w:vAlign w:val="center"/>
          </w:tcPr>
          <w:p w14:paraId="566480F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573" w:type="pct"/>
            <w:shd w:val="clear" w:color="auto" w:fill="auto"/>
            <w:vAlign w:val="center"/>
          </w:tcPr>
          <w:p w14:paraId="5BC1F68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1277" w:type="pct"/>
            <w:shd w:val="clear" w:color="auto" w:fill="auto"/>
            <w:vAlign w:val="center"/>
          </w:tcPr>
          <w:p w14:paraId="6043C29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处理措施及去向</w:t>
            </w:r>
          </w:p>
        </w:tc>
      </w:tr>
      <w:tr w14:paraId="1D29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shd w:val="clear" w:color="auto" w:fill="auto"/>
            <w:vAlign w:val="center"/>
          </w:tcPr>
          <w:p w14:paraId="7EF0F1F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580" w:type="pct"/>
            <w:shd w:val="clear" w:color="auto" w:fill="auto"/>
            <w:vAlign w:val="center"/>
          </w:tcPr>
          <w:p w14:paraId="329230F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w:t>
            </w:r>
          </w:p>
        </w:tc>
        <w:tc>
          <w:tcPr>
            <w:tcW w:w="641" w:type="pct"/>
            <w:shd w:val="clear" w:color="auto" w:fill="auto"/>
            <w:vAlign w:val="center"/>
          </w:tcPr>
          <w:p w14:paraId="1E2867F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油气集输过程挥发、泄漏产生的烃类气体</w:t>
            </w:r>
          </w:p>
        </w:tc>
        <w:tc>
          <w:tcPr>
            <w:tcW w:w="506" w:type="pct"/>
            <w:shd w:val="clear" w:color="auto" w:fill="auto"/>
            <w:vAlign w:val="center"/>
          </w:tcPr>
          <w:p w14:paraId="41FAF5B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075" w:type="pct"/>
            <w:shd w:val="clear" w:color="auto" w:fill="auto"/>
            <w:vAlign w:val="center"/>
          </w:tcPr>
          <w:p w14:paraId="799A85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0.56</w:t>
            </w:r>
            <w:r>
              <w:rPr>
                <w:rFonts w:hint="default" w:ascii="Times New Roman" w:hAnsi="Times New Roman" w:eastAsia="宋体" w:cs="Times New Roman"/>
                <w:color w:val="auto"/>
                <w:sz w:val="21"/>
                <w:szCs w:val="21"/>
              </w:rPr>
              <w:t>t/a</w:t>
            </w:r>
          </w:p>
        </w:tc>
        <w:tc>
          <w:tcPr>
            <w:tcW w:w="573" w:type="pct"/>
            <w:shd w:val="clear" w:color="auto" w:fill="auto"/>
            <w:vAlign w:val="center"/>
          </w:tcPr>
          <w:p w14:paraId="7AC3F08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0.56</w:t>
            </w:r>
            <w:r>
              <w:rPr>
                <w:rFonts w:hint="default" w:ascii="Times New Roman" w:hAnsi="Times New Roman" w:eastAsia="宋体" w:cs="Times New Roman"/>
                <w:color w:val="auto"/>
                <w:sz w:val="21"/>
                <w:szCs w:val="21"/>
              </w:rPr>
              <w:t>t/a</w:t>
            </w:r>
          </w:p>
        </w:tc>
        <w:tc>
          <w:tcPr>
            <w:tcW w:w="1277" w:type="pct"/>
            <w:shd w:val="clear" w:color="auto" w:fill="auto"/>
            <w:vAlign w:val="center"/>
          </w:tcPr>
          <w:p w14:paraId="21EC300B">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密闭输送</w:t>
            </w:r>
          </w:p>
        </w:tc>
      </w:tr>
      <w:tr w14:paraId="1AFF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restart"/>
            <w:shd w:val="clear" w:color="auto" w:fill="auto"/>
            <w:vAlign w:val="center"/>
          </w:tcPr>
          <w:p w14:paraId="6E2D8DC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580" w:type="pct"/>
            <w:shd w:val="clear" w:color="auto" w:fill="auto"/>
            <w:vAlign w:val="center"/>
          </w:tcPr>
          <w:p w14:paraId="226EDA9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石油开采</w:t>
            </w:r>
          </w:p>
        </w:tc>
        <w:tc>
          <w:tcPr>
            <w:tcW w:w="641" w:type="pct"/>
            <w:shd w:val="clear" w:color="auto" w:fill="auto"/>
            <w:vAlign w:val="center"/>
          </w:tcPr>
          <w:p w14:paraId="7F9FD7F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油田采出水</w:t>
            </w:r>
          </w:p>
        </w:tc>
        <w:tc>
          <w:tcPr>
            <w:tcW w:w="506" w:type="pct"/>
            <w:shd w:val="clear" w:color="auto" w:fill="auto"/>
            <w:vAlign w:val="center"/>
          </w:tcPr>
          <w:p w14:paraId="507C6A0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石油类、SS等</w:t>
            </w:r>
          </w:p>
        </w:tc>
        <w:tc>
          <w:tcPr>
            <w:tcW w:w="1075" w:type="pct"/>
            <w:shd w:val="clear" w:color="auto" w:fill="auto"/>
            <w:vAlign w:val="center"/>
          </w:tcPr>
          <w:p w14:paraId="2D6C151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108405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573" w:type="pct"/>
            <w:shd w:val="clear" w:color="auto" w:fill="auto"/>
            <w:vAlign w:val="center"/>
          </w:tcPr>
          <w:p w14:paraId="4B1C7151">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1277" w:type="pct"/>
            <w:shd w:val="clear" w:color="auto" w:fill="auto"/>
            <w:vAlign w:val="center"/>
          </w:tcPr>
          <w:p w14:paraId="4A26A23E">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经采出水处理站处理达标后同层回注</w:t>
            </w:r>
          </w:p>
        </w:tc>
      </w:tr>
      <w:tr w14:paraId="63A7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continue"/>
            <w:shd w:val="clear" w:color="auto" w:fill="auto"/>
            <w:vAlign w:val="center"/>
          </w:tcPr>
          <w:p w14:paraId="736174D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0" w:type="pct"/>
            <w:shd w:val="clear" w:color="auto" w:fill="auto"/>
            <w:vAlign w:val="center"/>
          </w:tcPr>
          <w:p w14:paraId="5EB1E07A">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井下作业</w:t>
            </w:r>
          </w:p>
        </w:tc>
        <w:tc>
          <w:tcPr>
            <w:tcW w:w="641" w:type="pct"/>
            <w:shd w:val="clear" w:color="auto" w:fill="auto"/>
            <w:vAlign w:val="center"/>
          </w:tcPr>
          <w:p w14:paraId="6CB3487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修井、压裂</w:t>
            </w:r>
          </w:p>
        </w:tc>
        <w:tc>
          <w:tcPr>
            <w:tcW w:w="506" w:type="pct"/>
            <w:shd w:val="clear" w:color="auto" w:fill="auto"/>
            <w:vAlign w:val="center"/>
          </w:tcPr>
          <w:p w14:paraId="0131D2D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石油类、SS等</w:t>
            </w:r>
          </w:p>
        </w:tc>
        <w:tc>
          <w:tcPr>
            <w:tcW w:w="1075" w:type="pct"/>
            <w:shd w:val="clear" w:color="auto" w:fill="auto"/>
            <w:vAlign w:val="center"/>
          </w:tcPr>
          <w:p w14:paraId="34F8B47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1959.4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573" w:type="pct"/>
            <w:shd w:val="clear" w:color="auto" w:fill="auto"/>
            <w:vAlign w:val="center"/>
          </w:tcPr>
          <w:p w14:paraId="79078A6D">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1277" w:type="pct"/>
            <w:shd w:val="clear" w:color="auto" w:fill="auto"/>
            <w:vAlign w:val="center"/>
          </w:tcPr>
          <w:p w14:paraId="64DD8834">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经措施返排液处理站处理达标后回注</w:t>
            </w:r>
          </w:p>
        </w:tc>
      </w:tr>
      <w:tr w14:paraId="1CF7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shd w:val="clear" w:color="auto" w:fill="auto"/>
            <w:vAlign w:val="center"/>
          </w:tcPr>
          <w:p w14:paraId="423C49C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噪声</w:t>
            </w:r>
          </w:p>
        </w:tc>
        <w:tc>
          <w:tcPr>
            <w:tcW w:w="580" w:type="pct"/>
            <w:shd w:val="clear" w:color="auto" w:fill="auto"/>
            <w:vAlign w:val="center"/>
          </w:tcPr>
          <w:p w14:paraId="3CA55F38">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井场</w:t>
            </w:r>
          </w:p>
        </w:tc>
        <w:tc>
          <w:tcPr>
            <w:tcW w:w="641" w:type="pct"/>
            <w:shd w:val="clear" w:color="auto" w:fill="auto"/>
            <w:vAlign w:val="center"/>
          </w:tcPr>
          <w:p w14:paraId="13267C9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抽油机</w:t>
            </w:r>
          </w:p>
        </w:tc>
        <w:tc>
          <w:tcPr>
            <w:tcW w:w="506" w:type="pct"/>
            <w:shd w:val="clear" w:color="auto" w:fill="auto"/>
            <w:vAlign w:val="center"/>
          </w:tcPr>
          <w:p w14:paraId="0BAECD5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噪声</w:t>
            </w:r>
          </w:p>
        </w:tc>
        <w:tc>
          <w:tcPr>
            <w:tcW w:w="1075" w:type="pct"/>
            <w:shd w:val="clear" w:color="auto" w:fill="auto"/>
            <w:vAlign w:val="center"/>
          </w:tcPr>
          <w:p w14:paraId="1285D90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3" w:type="pct"/>
            <w:shd w:val="clear" w:color="auto" w:fill="auto"/>
            <w:vAlign w:val="center"/>
          </w:tcPr>
          <w:p w14:paraId="643CEF8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77" w:type="pct"/>
            <w:shd w:val="clear" w:color="auto" w:fill="auto"/>
            <w:vAlign w:val="center"/>
          </w:tcPr>
          <w:p w14:paraId="70990838">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隔声减震后达标排放</w:t>
            </w:r>
          </w:p>
        </w:tc>
      </w:tr>
      <w:tr w14:paraId="743D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restart"/>
            <w:shd w:val="clear" w:color="auto" w:fill="auto"/>
            <w:vAlign w:val="center"/>
          </w:tcPr>
          <w:p w14:paraId="2522BBFC">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580" w:type="pct"/>
            <w:vMerge w:val="restart"/>
            <w:shd w:val="clear" w:color="auto" w:fill="auto"/>
            <w:vAlign w:val="center"/>
          </w:tcPr>
          <w:p w14:paraId="45616CD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w:t>
            </w:r>
          </w:p>
        </w:tc>
        <w:tc>
          <w:tcPr>
            <w:tcW w:w="1147" w:type="pct"/>
            <w:gridSpan w:val="2"/>
            <w:shd w:val="clear" w:color="auto" w:fill="auto"/>
            <w:vAlign w:val="center"/>
          </w:tcPr>
          <w:p w14:paraId="35322B07">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落地油</w:t>
            </w:r>
          </w:p>
        </w:tc>
        <w:tc>
          <w:tcPr>
            <w:tcW w:w="1075" w:type="pct"/>
            <w:shd w:val="clear" w:color="auto" w:fill="auto"/>
            <w:vAlign w:val="center"/>
          </w:tcPr>
          <w:p w14:paraId="7BAA1226">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0.1</w:t>
            </w:r>
            <w:r>
              <w:rPr>
                <w:rFonts w:hint="default" w:ascii="Times New Roman" w:hAnsi="Times New Roman" w:eastAsia="宋体" w:cs="Times New Roman"/>
                <w:color w:val="auto"/>
                <w:sz w:val="21"/>
                <w:szCs w:val="21"/>
              </w:rPr>
              <w:t>t/a</w:t>
            </w:r>
          </w:p>
        </w:tc>
        <w:tc>
          <w:tcPr>
            <w:tcW w:w="573" w:type="pct"/>
            <w:shd w:val="clear" w:color="auto" w:fill="auto"/>
            <w:vAlign w:val="center"/>
          </w:tcPr>
          <w:p w14:paraId="774FCFF6">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277" w:type="pct"/>
            <w:shd w:val="clear" w:color="auto" w:fill="auto"/>
            <w:vAlign w:val="center"/>
          </w:tcPr>
          <w:p w14:paraId="4369DD5C">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井下作业</w:t>
            </w:r>
            <w:r>
              <w:rPr>
                <w:rFonts w:hint="eastAsia" w:ascii="宋体" w:hAnsi="宋体" w:eastAsia="宋体" w:cs="宋体"/>
                <w:color w:val="auto"/>
                <w:sz w:val="21"/>
                <w:szCs w:val="21"/>
                <w:lang w:bidi="ar"/>
              </w:rPr>
              <w:t>时采用“铺设作业、带罐上岗”</w:t>
            </w:r>
            <w:r>
              <w:rPr>
                <w:rFonts w:hint="default" w:ascii="Times New Roman" w:hAnsi="Times New Roman" w:eastAsia="宋体" w:cs="Times New Roman"/>
                <w:color w:val="auto"/>
                <w:sz w:val="21"/>
                <w:szCs w:val="21"/>
                <w:lang w:bidi="ar"/>
              </w:rPr>
              <w:t>的模式，落地油100%回收</w:t>
            </w:r>
          </w:p>
        </w:tc>
      </w:tr>
      <w:tr w14:paraId="47CA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continue"/>
            <w:shd w:val="clear" w:color="auto" w:fill="auto"/>
            <w:vAlign w:val="center"/>
          </w:tcPr>
          <w:p w14:paraId="3CD51D54">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0" w:type="pct"/>
            <w:vMerge w:val="continue"/>
            <w:shd w:val="clear" w:color="auto" w:fill="auto"/>
            <w:vAlign w:val="center"/>
          </w:tcPr>
          <w:p w14:paraId="4DE02D25">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eastAsia" w:ascii="Times New Roman" w:hAnsi="Times New Roman" w:eastAsia="宋体" w:cs="Times New Roman"/>
                <w:color w:val="auto"/>
                <w:sz w:val="21"/>
                <w:szCs w:val="21"/>
                <w:lang w:val="en-US" w:eastAsia="zh-CN"/>
              </w:rPr>
            </w:pPr>
          </w:p>
        </w:tc>
        <w:tc>
          <w:tcPr>
            <w:tcW w:w="1147" w:type="pct"/>
            <w:gridSpan w:val="2"/>
            <w:shd w:val="clear" w:color="auto" w:fill="auto"/>
            <w:vAlign w:val="center"/>
          </w:tcPr>
          <w:p w14:paraId="09AB3D4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沾油废物</w:t>
            </w:r>
          </w:p>
        </w:tc>
        <w:tc>
          <w:tcPr>
            <w:tcW w:w="1075" w:type="pct"/>
            <w:shd w:val="clear" w:color="auto" w:fill="auto"/>
            <w:vAlign w:val="center"/>
          </w:tcPr>
          <w:p w14:paraId="1ABFF932">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1.2t/a</w:t>
            </w:r>
          </w:p>
        </w:tc>
        <w:tc>
          <w:tcPr>
            <w:tcW w:w="573" w:type="pct"/>
            <w:shd w:val="clear" w:color="auto" w:fill="auto"/>
            <w:vAlign w:val="center"/>
          </w:tcPr>
          <w:p w14:paraId="375BFCEF">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277" w:type="pct"/>
            <w:shd w:val="clear" w:color="auto" w:fill="auto"/>
            <w:vAlign w:val="center"/>
          </w:tcPr>
          <w:p w14:paraId="143ECDD3">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储存于危险废物储存点，定期交有资质的单位处置</w:t>
            </w:r>
          </w:p>
        </w:tc>
      </w:tr>
      <w:tr w14:paraId="7BE7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3" w:hRule="atLeast"/>
        </w:trPr>
        <w:tc>
          <w:tcPr>
            <w:tcW w:w="346" w:type="pct"/>
            <w:vMerge w:val="continue"/>
            <w:shd w:val="clear" w:color="auto" w:fill="auto"/>
            <w:vAlign w:val="center"/>
          </w:tcPr>
          <w:p w14:paraId="798766BF">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p>
        </w:tc>
        <w:tc>
          <w:tcPr>
            <w:tcW w:w="580" w:type="pct"/>
            <w:shd w:val="clear" w:color="auto" w:fill="auto"/>
            <w:vAlign w:val="center"/>
          </w:tcPr>
          <w:p w14:paraId="2C15E609">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采出</w:t>
            </w:r>
            <w:r>
              <w:rPr>
                <w:rFonts w:hint="default" w:ascii="Times New Roman" w:hAnsi="Times New Roman" w:eastAsia="宋体" w:cs="Times New Roman"/>
                <w:color w:val="auto"/>
                <w:sz w:val="21"/>
                <w:szCs w:val="21"/>
              </w:rPr>
              <w:t>水处理系统</w:t>
            </w:r>
          </w:p>
        </w:tc>
        <w:tc>
          <w:tcPr>
            <w:tcW w:w="1147" w:type="pct"/>
            <w:gridSpan w:val="2"/>
            <w:shd w:val="clear" w:color="auto" w:fill="auto"/>
            <w:vAlign w:val="center"/>
          </w:tcPr>
          <w:p w14:paraId="3D4A4B00">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含油污泥</w:t>
            </w:r>
          </w:p>
        </w:tc>
        <w:tc>
          <w:tcPr>
            <w:tcW w:w="1075" w:type="pct"/>
            <w:shd w:val="clear" w:color="auto" w:fill="auto"/>
            <w:vAlign w:val="center"/>
          </w:tcPr>
          <w:p w14:paraId="4206243E">
            <w:pPr>
              <w:pStyle w:val="42"/>
              <w:keepNext w:val="0"/>
              <w:keepLines w:val="0"/>
              <w:pageBreakBefore w:val="0"/>
              <w:widowControl w:val="0"/>
              <w:kinsoku/>
              <w:wordWrap/>
              <w:overflowPunct/>
              <w:topLinePunct w:val="0"/>
              <w:autoSpaceDE w:val="0"/>
              <w:autoSpaceDN w:val="0"/>
              <w:bidi w:val="0"/>
              <w:adjustRightInd w:val="0"/>
              <w:snapToGrid w:val="0"/>
              <w:spacing w:line="300" w:lineRule="exact"/>
              <w:textAlignment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700.67</w:t>
            </w:r>
            <w:r>
              <w:rPr>
                <w:rFonts w:hint="default" w:ascii="Times New Roman" w:hAnsi="Times New Roman" w:eastAsia="宋体" w:cs="Times New Roman"/>
                <w:color w:val="auto"/>
                <w:sz w:val="21"/>
                <w:szCs w:val="21"/>
              </w:rPr>
              <w:t>t/a</w:t>
            </w:r>
          </w:p>
        </w:tc>
        <w:tc>
          <w:tcPr>
            <w:tcW w:w="573" w:type="pct"/>
            <w:shd w:val="clear" w:color="auto" w:fill="auto"/>
            <w:vAlign w:val="center"/>
          </w:tcPr>
          <w:p w14:paraId="7148F313">
            <w:pPr>
              <w:pStyle w:val="42"/>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277" w:type="pct"/>
            <w:shd w:val="clear" w:color="auto" w:fill="auto"/>
            <w:vAlign w:val="center"/>
          </w:tcPr>
          <w:p w14:paraId="3470238C">
            <w:pPr>
              <w:pStyle w:val="42"/>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暂存于含油污泥临时暂存点后，定期交有资质单位合理处置</w:t>
            </w:r>
          </w:p>
        </w:tc>
      </w:tr>
    </w:tbl>
    <w:p w14:paraId="71593702">
      <w:pPr>
        <w:pStyle w:val="2"/>
        <w:bidi w:val="0"/>
        <w:rPr>
          <w:rFonts w:hint="default"/>
          <w:color w:val="auto"/>
          <w:lang w:val="en-US" w:eastAsia="zh-CN"/>
        </w:rPr>
      </w:pPr>
      <w:bookmarkStart w:id="355" w:name="_Toc28373"/>
      <w:r>
        <w:rPr>
          <w:rFonts w:hint="eastAsia"/>
          <w:color w:val="auto"/>
          <w:lang w:val="en-US" w:eastAsia="zh-CN"/>
        </w:rPr>
        <w:t>8.3环境监测计划</w:t>
      </w:r>
      <w:bookmarkEnd w:id="355"/>
    </w:p>
    <w:p w14:paraId="62CCBC44">
      <w:pPr>
        <w:pStyle w:val="33"/>
        <w:bidi w:val="0"/>
        <w:rPr>
          <w:rFonts w:ascii="Times New Roman" w:hAnsi="Times New Roman" w:eastAsia="宋体" w:cs="Times New Roman"/>
          <w:color w:val="auto"/>
        </w:rPr>
      </w:pPr>
      <w:r>
        <w:rPr>
          <w:rFonts w:ascii="Times New Roman" w:hAnsi="Times New Roman" w:eastAsia="宋体" w:cs="Times New Roman"/>
          <w:color w:val="auto"/>
        </w:rPr>
        <w:t>本企业属于土壤污染监管重点单位，依据《排污单位自行监测技术指南陆上石油天然气开采工业》</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HJ1248-2022</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、《工业企业土壤和地下水自行监测技术指南《</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试行</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HJ1209-2021</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、《环境影响评价技术导则 陆地石油天然气开发建设项目》（HJ349-2023）等标准导则，结合本企业土壤和地下水环境自行监测方案，确定项目主要环境监测计划见</w:t>
      </w:r>
      <w:r>
        <w:rPr>
          <w:rFonts w:ascii="Times New Roman" w:hAnsi="Times New Roman" w:eastAsia="宋体" w:cs="Times New Roman"/>
          <w:color w:val="auto"/>
          <w:lang w:eastAsia="zh"/>
        </w:rPr>
        <w:fldChar w:fldCharType="begin"/>
      </w:r>
      <w:r>
        <w:rPr>
          <w:rFonts w:ascii="Times New Roman" w:hAnsi="Times New Roman" w:eastAsia="宋体" w:cs="Times New Roman"/>
          <w:color w:val="auto"/>
          <w:lang w:eastAsia="zh"/>
        </w:rPr>
        <w:instrText xml:space="preserve"> REF _Ref91757639 \h </w:instrText>
      </w:r>
      <w:r>
        <w:rPr>
          <w:rFonts w:ascii="Times New Roman" w:hAnsi="Times New Roman" w:eastAsia="宋体" w:cs="Times New Roman"/>
          <w:color w:val="auto"/>
          <w:lang w:eastAsia="zh"/>
        </w:rPr>
        <w:fldChar w:fldCharType="separate"/>
      </w:r>
      <w:r>
        <w:rPr>
          <w:rFonts w:ascii="Times New Roman" w:hAnsi="Times New Roman" w:eastAsia="宋体" w:cs="Times New Roman"/>
          <w:color w:val="auto"/>
        </w:rPr>
        <w:t>表</w:t>
      </w:r>
      <w:r>
        <w:rPr>
          <w:rFonts w:hint="eastAsia" w:ascii="Times New Roman" w:hAnsi="Times New Roman" w:eastAsia="宋体" w:cs="Times New Roman"/>
          <w:color w:val="auto"/>
          <w:lang w:val="en-US" w:eastAsia="zh-CN"/>
        </w:rPr>
        <w:t>8.3</w:t>
      </w:r>
      <w:r>
        <w:rPr>
          <w:rFonts w:ascii="Times New Roman" w:hAnsi="Times New Roman" w:eastAsia="宋体" w:cs="Times New Roman"/>
          <w:color w:val="auto"/>
        </w:rPr>
        <w:noBreakHyphen/>
      </w:r>
      <w:r>
        <w:rPr>
          <w:rFonts w:ascii="Times New Roman" w:hAnsi="Times New Roman" w:eastAsia="宋体" w:cs="Times New Roman"/>
          <w:color w:val="auto"/>
        </w:rPr>
        <w:t>1</w:t>
      </w:r>
      <w:r>
        <w:rPr>
          <w:rFonts w:ascii="Times New Roman" w:hAnsi="Times New Roman" w:eastAsia="宋体" w:cs="Times New Roman"/>
          <w:color w:val="auto"/>
          <w:lang w:eastAsia="zh"/>
        </w:rPr>
        <w:fldChar w:fldCharType="end"/>
      </w:r>
      <w:r>
        <w:rPr>
          <w:rFonts w:ascii="Times New Roman" w:hAnsi="Times New Roman" w:eastAsia="宋体" w:cs="Times New Roman"/>
          <w:color w:val="auto"/>
        </w:rPr>
        <w:t>至</w:t>
      </w:r>
      <w:r>
        <w:rPr>
          <w:rFonts w:ascii="Times New Roman" w:hAnsi="Times New Roman" w:eastAsia="宋体" w:cs="Times New Roman"/>
          <w:color w:val="auto"/>
          <w:lang w:eastAsia="zh"/>
        </w:rPr>
        <w:fldChar w:fldCharType="begin"/>
      </w:r>
      <w:r>
        <w:rPr>
          <w:rFonts w:ascii="Times New Roman" w:hAnsi="Times New Roman" w:eastAsia="宋体" w:cs="Times New Roman"/>
          <w:color w:val="auto"/>
          <w:lang w:eastAsia="zh"/>
        </w:rPr>
        <w:instrText xml:space="preserve"> REF _Ref4974 \h </w:instrText>
      </w:r>
      <w:r>
        <w:rPr>
          <w:rFonts w:ascii="Times New Roman" w:hAnsi="Times New Roman" w:eastAsia="宋体" w:cs="Times New Roman"/>
          <w:color w:val="auto"/>
          <w:lang w:eastAsia="zh"/>
        </w:rPr>
        <w:fldChar w:fldCharType="separate"/>
      </w:r>
      <w:r>
        <w:rPr>
          <w:rFonts w:ascii="Times New Roman" w:hAnsi="Times New Roman" w:eastAsia="宋体" w:cs="Times New Roman"/>
          <w:color w:val="auto"/>
        </w:rPr>
        <w:t>表</w:t>
      </w:r>
      <w:r>
        <w:rPr>
          <w:rFonts w:hint="eastAsia" w:ascii="Times New Roman" w:hAnsi="Times New Roman" w:eastAsia="宋体" w:cs="Times New Roman"/>
          <w:color w:val="auto"/>
          <w:lang w:val="en-US" w:eastAsia="zh-CN"/>
        </w:rPr>
        <w:t>8.3</w:t>
      </w:r>
      <w:r>
        <w:rPr>
          <w:rFonts w:ascii="Times New Roman" w:hAnsi="Times New Roman" w:eastAsia="宋体" w:cs="Times New Roman"/>
          <w:color w:val="auto"/>
        </w:rPr>
        <w:noBreakHyphen/>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lang w:eastAsia="zh"/>
        </w:rPr>
        <w:fldChar w:fldCharType="end"/>
      </w:r>
      <w:r>
        <w:rPr>
          <w:rFonts w:ascii="Times New Roman" w:hAnsi="Times New Roman" w:eastAsia="宋体" w:cs="Times New Roman"/>
          <w:color w:val="auto"/>
        </w:rPr>
        <w:t>，监测结果应及时向社会公开。后期发布新的国家或地方相关的石油天然气自行监测相关导则、标准等，应按照新标准导则实施。本项目监测计划纳入</w:t>
      </w:r>
      <w:r>
        <w:rPr>
          <w:rFonts w:hint="eastAsia" w:ascii="Times New Roman" w:hAnsi="Times New Roman" w:eastAsia="宋体" w:cs="Times New Roman"/>
          <w:color w:val="auto"/>
          <w:lang w:val="en-US" w:eastAsia="zh-CN"/>
        </w:rPr>
        <w:t>百口泉</w:t>
      </w:r>
      <w:r>
        <w:rPr>
          <w:rFonts w:ascii="Times New Roman" w:hAnsi="Times New Roman" w:eastAsia="宋体" w:cs="Times New Roman"/>
          <w:color w:val="auto"/>
        </w:rPr>
        <w:t>采油厂年度自行监测计划。</w:t>
      </w:r>
    </w:p>
    <w:p w14:paraId="3962E6AC">
      <w:pPr>
        <w:pStyle w:val="33"/>
        <w:bidi w:val="0"/>
        <w:rPr>
          <w:rFonts w:hint="eastAsia" w:ascii="Times New Roman" w:hAnsi="Times New Roman" w:eastAsia="宋体" w:cs="Times New Roman"/>
          <w:color w:val="auto"/>
          <w:lang w:val="en-US" w:eastAsia="zh-CN"/>
        </w:rPr>
      </w:pPr>
      <w:r>
        <w:rPr>
          <w:rFonts w:ascii="Times New Roman" w:hAnsi="Times New Roman" w:eastAsia="宋体" w:cs="Times New Roman"/>
          <w:color w:val="auto"/>
        </w:rPr>
        <w:t>（1）环境质量监测</w:t>
      </w:r>
      <w:r>
        <w:rPr>
          <w:rFonts w:hint="eastAsia" w:ascii="Times New Roman" w:hAnsi="Times New Roman" w:eastAsia="宋体" w:cs="Times New Roman"/>
          <w:color w:val="auto"/>
          <w:lang w:val="en-US" w:eastAsia="zh-CN"/>
        </w:rPr>
        <w:t>计划</w:t>
      </w:r>
    </w:p>
    <w:p w14:paraId="413CF1B8">
      <w:pPr>
        <w:pStyle w:val="33"/>
        <w:bidi w:val="0"/>
        <w:rPr>
          <w:rFonts w:ascii="Times New Roman" w:hAnsi="Times New Roman" w:eastAsia="宋体" w:cs="Times New Roman"/>
          <w:color w:val="auto"/>
        </w:rPr>
      </w:pPr>
      <w:r>
        <w:rPr>
          <w:rFonts w:ascii="Times New Roman" w:hAnsi="Times New Roman" w:eastAsia="宋体" w:cs="Times New Roman"/>
          <w:color w:val="auto"/>
        </w:rPr>
        <w:t>①土壤和地下水：重点对运行期的站场废水池、固体废物贮存场与退役期的油井井口周边土壤环境开展跟踪监测，监测点位、监测因子、监测频率根据HJ964、HJ1209、HJ1248确定；重点对运行期的站场废水池、固体废物贮存场与退役期的油气井井口周边地下水环境开展跟踪监测，监测点位、监测因子、监测频率根据HJ160、HJ164、HJ/T166、HJ1209、HJ1248、NB/T10848确定。</w:t>
      </w:r>
    </w:p>
    <w:p w14:paraId="7DB2DE6D">
      <w:pPr>
        <w:pStyle w:val="33"/>
        <w:bidi w:val="0"/>
        <w:rPr>
          <w:rFonts w:ascii="Times New Roman" w:hAnsi="Times New Roman" w:eastAsia="宋体" w:cs="Times New Roman"/>
          <w:color w:val="auto"/>
        </w:rPr>
      </w:pPr>
      <w:r>
        <w:rPr>
          <w:rFonts w:ascii="Times New Roman" w:hAnsi="Times New Roman" w:eastAsia="宋体" w:cs="Times New Roman"/>
          <w:color w:val="auto"/>
        </w:rPr>
        <w:t>②环境空气质量监测筛选项目排放污染物最大占标率P</w:t>
      </w:r>
      <w:r>
        <w:rPr>
          <w:rFonts w:ascii="Times New Roman" w:hAnsi="Times New Roman" w:eastAsia="宋体" w:cs="Times New Roman"/>
          <w:color w:val="auto"/>
          <w:vertAlign w:val="subscript"/>
        </w:rPr>
        <w:t>i</w:t>
      </w:r>
      <w:r>
        <w:rPr>
          <w:rFonts w:ascii="Times New Roman" w:hAnsi="Times New Roman" w:eastAsia="宋体" w:cs="Times New Roman"/>
          <w:color w:val="auto"/>
        </w:rPr>
        <w:t>≥1%的特征污染物作为环境质量监测因子；</w:t>
      </w:r>
    </w:p>
    <w:p w14:paraId="7D9AF955">
      <w:pPr>
        <w:pStyle w:val="33"/>
        <w:bidi w:val="0"/>
        <w:rPr>
          <w:rFonts w:ascii="Times New Roman" w:hAnsi="Times New Roman" w:eastAsia="宋体" w:cs="Times New Roman"/>
          <w:color w:val="auto"/>
        </w:rPr>
      </w:pPr>
      <w:r>
        <w:rPr>
          <w:rFonts w:ascii="Times New Roman" w:hAnsi="Times New Roman" w:eastAsia="宋体" w:cs="Times New Roman"/>
          <w:color w:val="auto"/>
          <w:lang w:eastAsia="zh"/>
        </w:rPr>
        <w:t>③</w:t>
      </w:r>
      <w:r>
        <w:rPr>
          <w:rFonts w:ascii="Times New Roman" w:hAnsi="Times New Roman" w:eastAsia="宋体" w:cs="Times New Roman"/>
          <w:color w:val="auto"/>
        </w:rPr>
        <w:t>生态环境监测：位于一般区域的，重点监测临时性占地区植被恢复情况，包括植被覆盖率及植物多样性组成。位于生态敏感区的，应根据生态敏感区功能、主要保护目标的保护要求等，明确监测点位、时间或频次、内容等，可采用HJ19附录B规定的监测方法。</w:t>
      </w:r>
    </w:p>
    <w:p w14:paraId="6A70D803">
      <w:pPr>
        <w:pStyle w:val="33"/>
        <w:bidi w:val="0"/>
        <w:rPr>
          <w:rFonts w:hint="eastAsia" w:ascii="Times New Roman" w:hAnsi="Times New Roman" w:eastAsia="宋体" w:cs="Times New Roman"/>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6F3EB6C">
      <w:pPr>
        <w:pStyle w:val="43"/>
        <w:bidi w:val="0"/>
        <w:rPr>
          <w:rFonts w:hint="default" w:eastAsia="宋体" w:cs="Times New Roman"/>
          <w:color w:val="auto"/>
          <w:kern w:val="0"/>
          <w:sz w:val="24"/>
          <w:szCs w:val="24"/>
          <w:lang w:val="en-US" w:eastAsia="zh-CN" w:bidi="ar"/>
        </w:rPr>
      </w:pPr>
      <w:bookmarkStart w:id="356" w:name="_Ref91757639"/>
      <w:r>
        <w:rPr>
          <w:rFonts w:cs="Times New Roman"/>
          <w:color w:val="auto"/>
        </w:rPr>
        <w:t>表</w:t>
      </w:r>
      <w:r>
        <w:rPr>
          <w:rFonts w:hint="eastAsia" w:cs="Times New Roman"/>
          <w:color w:val="auto"/>
          <w:lang w:val="en-US" w:eastAsia="zh-CN"/>
        </w:rPr>
        <w:t>8.3-</w:t>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356"/>
      <w:r>
        <w:rPr>
          <w:rFonts w:cs="Times New Roman"/>
          <w:color w:val="auto"/>
        </w:rPr>
        <w:t xml:space="preserve">  </w:t>
      </w:r>
      <w:r>
        <w:rPr>
          <w:rFonts w:hint="eastAsia" w:cs="Times New Roman"/>
          <w:color w:val="auto"/>
          <w:lang w:val="en-US" w:eastAsia="zh-CN"/>
        </w:rPr>
        <w:t>运营</w:t>
      </w:r>
      <w:r>
        <w:rPr>
          <w:rFonts w:cs="Times New Roman"/>
          <w:color w:val="auto"/>
        </w:rPr>
        <w:t>期</w:t>
      </w:r>
      <w:r>
        <w:rPr>
          <w:rFonts w:cs="Times New Roman"/>
          <w:color w:val="auto"/>
          <w:lang w:eastAsia="zh"/>
        </w:rPr>
        <w:t>环境</w:t>
      </w:r>
      <w:r>
        <w:rPr>
          <w:rFonts w:hint="eastAsia" w:cs="Times New Roman"/>
          <w:color w:val="auto"/>
          <w:lang w:val="en-US" w:eastAsia="zh-CN"/>
        </w:rPr>
        <w:t>质量</w:t>
      </w:r>
      <w:r>
        <w:rPr>
          <w:rFonts w:cs="Times New Roman"/>
          <w:color w:val="auto"/>
        </w:rPr>
        <w:t>监测计划</w:t>
      </w:r>
      <w:r>
        <w:rPr>
          <w:rFonts w:hint="eastAsia" w:cs="Times New Roman"/>
          <w:color w:val="auto"/>
          <w:lang w:val="en-US" w:eastAsia="zh-CN"/>
        </w:rPr>
        <w:t>建议清单</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483"/>
        <w:gridCol w:w="683"/>
        <w:gridCol w:w="1457"/>
        <w:gridCol w:w="2948"/>
        <w:gridCol w:w="2360"/>
        <w:gridCol w:w="1193"/>
        <w:gridCol w:w="2464"/>
        <w:gridCol w:w="2464"/>
      </w:tblGrid>
      <w:tr w14:paraId="6553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cantSplit/>
          <w:trHeight w:val="369" w:hRule="atLeast"/>
          <w:jc w:val="center"/>
        </w:trPr>
        <w:tc>
          <w:tcPr>
            <w:tcW w:w="172" w:type="pct"/>
            <w:tcBorders>
              <w:top w:val="single" w:color="auto" w:sz="4" w:space="0"/>
              <w:left w:val="single" w:color="auto" w:sz="4" w:space="0"/>
              <w:bottom w:val="single" w:color="auto" w:sz="4" w:space="0"/>
              <w:right w:val="single" w:color="auto" w:sz="4" w:space="0"/>
            </w:tcBorders>
            <w:shd w:val="clear" w:color="auto" w:fill="auto"/>
            <w:vAlign w:val="center"/>
          </w:tcPr>
          <w:p w14:paraId="6C29CD53">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类别</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6D37B8A2">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监测要素</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14:paraId="241122C5">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监测点位</w:t>
            </w:r>
          </w:p>
        </w:tc>
        <w:tc>
          <w:tcPr>
            <w:tcW w:w="188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6BB3B5">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监测因子</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9984E71">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监测频率</w:t>
            </w:r>
          </w:p>
        </w:tc>
        <w:tc>
          <w:tcPr>
            <w:tcW w:w="876" w:type="pct"/>
            <w:tcBorders>
              <w:top w:val="single" w:color="auto" w:sz="4" w:space="0"/>
              <w:left w:val="single" w:color="auto" w:sz="4" w:space="0"/>
              <w:bottom w:val="single" w:color="auto" w:sz="4" w:space="0"/>
              <w:right w:val="single" w:color="auto" w:sz="4" w:space="0"/>
            </w:tcBorders>
            <w:shd w:val="clear" w:color="auto" w:fill="auto"/>
            <w:vAlign w:val="center"/>
          </w:tcPr>
          <w:p w14:paraId="1B984075">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b/>
                <w:bCs/>
                <w:color w:val="auto"/>
                <w:sz w:val="21"/>
                <w:szCs w:val="21"/>
                <w:lang w:val="en-US" w:eastAsia="zh-CN" w:bidi="ar"/>
              </w:rPr>
            </w:pPr>
            <w:r>
              <w:rPr>
                <w:rFonts w:hint="eastAsia" w:ascii="Times New Roman" w:hAnsi="Times New Roman" w:eastAsia="宋体" w:cs="Times New Roman"/>
                <w:b/>
                <w:bCs/>
                <w:color w:val="auto"/>
                <w:sz w:val="21"/>
                <w:szCs w:val="21"/>
                <w:lang w:val="en-US" w:eastAsia="zh-CN" w:bidi="ar"/>
              </w:rPr>
              <w:t>与现有监测计划说明</w:t>
            </w:r>
          </w:p>
        </w:tc>
        <w:tc>
          <w:tcPr>
            <w:tcW w:w="876" w:type="pct"/>
            <w:tcBorders>
              <w:top w:val="single" w:color="auto" w:sz="4" w:space="0"/>
              <w:left w:val="single" w:color="auto" w:sz="4" w:space="0"/>
              <w:bottom w:val="single" w:color="auto" w:sz="4" w:space="0"/>
              <w:right w:val="single" w:color="auto" w:sz="4" w:space="0"/>
            </w:tcBorders>
            <w:shd w:val="clear" w:color="auto" w:fill="auto"/>
            <w:vAlign w:val="center"/>
          </w:tcPr>
          <w:p w14:paraId="477A6273">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标准</w:t>
            </w:r>
          </w:p>
        </w:tc>
      </w:tr>
      <w:tr w14:paraId="12FD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172" w:type="pct"/>
            <w:vMerge w:val="restart"/>
            <w:tcBorders>
              <w:top w:val="single" w:color="auto" w:sz="4" w:space="0"/>
              <w:left w:val="single" w:color="auto" w:sz="4" w:space="0"/>
              <w:right w:val="single" w:color="auto" w:sz="4" w:space="0"/>
            </w:tcBorders>
            <w:shd w:val="clear" w:color="auto" w:fill="auto"/>
            <w:vAlign w:val="center"/>
          </w:tcPr>
          <w:p w14:paraId="6FFF5EB3">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环境质量监测</w:t>
            </w:r>
          </w:p>
        </w:tc>
        <w:tc>
          <w:tcPr>
            <w:tcW w:w="243" w:type="pct"/>
            <w:tcBorders>
              <w:top w:val="single" w:color="auto" w:sz="4" w:space="0"/>
              <w:left w:val="single" w:color="auto" w:sz="4" w:space="0"/>
              <w:right w:val="single" w:color="auto" w:sz="4" w:space="0"/>
            </w:tcBorders>
            <w:shd w:val="clear" w:color="auto" w:fill="auto"/>
            <w:vAlign w:val="center"/>
          </w:tcPr>
          <w:p w14:paraId="3B3417F5">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地下水环境</w:t>
            </w:r>
          </w:p>
        </w:tc>
        <w:tc>
          <w:tcPr>
            <w:tcW w:w="518" w:type="pct"/>
            <w:tcBorders>
              <w:top w:val="single" w:color="auto" w:sz="4" w:space="0"/>
              <w:left w:val="single" w:color="auto" w:sz="4" w:space="0"/>
              <w:right w:val="single" w:color="auto" w:sz="4" w:space="0"/>
            </w:tcBorders>
            <w:shd w:val="clear" w:color="auto" w:fill="auto"/>
            <w:vAlign w:val="center"/>
          </w:tcPr>
          <w:p w14:paraId="4C67E1C8">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lang w:val="en-US" w:eastAsia="zh-CN"/>
              </w:rPr>
            </w:pPr>
            <w:r>
              <w:rPr>
                <w:rFonts w:hint="eastAsia"/>
                <w:color w:val="auto"/>
                <w:sz w:val="21"/>
                <w:szCs w:val="21"/>
                <w:highlight w:val="none"/>
                <w:lang w:val="en-US" w:eastAsia="zh-CN"/>
              </w:rPr>
              <w:t>玛水15井、夏水19井、玛北41井</w:t>
            </w:r>
          </w:p>
        </w:tc>
        <w:tc>
          <w:tcPr>
            <w:tcW w:w="1887" w:type="pct"/>
            <w:gridSpan w:val="2"/>
            <w:tcBorders>
              <w:top w:val="single" w:color="auto" w:sz="4" w:space="0"/>
              <w:left w:val="single" w:color="auto" w:sz="4" w:space="0"/>
              <w:right w:val="single" w:color="auto" w:sz="4" w:space="0"/>
            </w:tcBorders>
            <w:shd w:val="clear" w:color="auto" w:fill="auto"/>
            <w:vAlign w:val="center"/>
          </w:tcPr>
          <w:p w14:paraId="290A4813">
            <w:pPr>
              <w:keepNext w:val="0"/>
              <w:keepLines w:val="0"/>
              <w:pageBreakBefore w:val="0"/>
              <w:widowControl w:val="0"/>
              <w:kinsoku/>
              <w:wordWrap/>
              <w:overflowPunct/>
              <w:topLinePunct w:val="0"/>
              <w:bidi w:val="0"/>
              <w:adjustRightInd w:val="0"/>
              <w:snapToGrid w:val="0"/>
              <w:spacing w:line="300" w:lineRule="exact"/>
              <w:ind w:firstLine="0"/>
              <w:jc w:val="both"/>
              <w:rPr>
                <w:rFonts w:hint="default" w:ascii="Times New Roman" w:hAnsi="Times New Roman" w:eastAsia="宋体" w:cs="Times New Roman"/>
                <w:color w:val="auto"/>
                <w:sz w:val="21"/>
                <w:szCs w:val="21"/>
                <w:lang w:bidi="ar"/>
              </w:rPr>
            </w:pPr>
            <w:r>
              <w:rPr>
                <w:rFonts w:hint="default" w:ascii="Times New Roman" w:hAnsi="Times New Roman" w:eastAsia="宋体" w:cs="Times New Roman"/>
                <w:b/>
                <w:bCs/>
                <w:color w:val="auto"/>
                <w:sz w:val="21"/>
                <w:szCs w:val="21"/>
                <w:lang w:bidi="ar"/>
              </w:rPr>
              <w:t>初次监测：</w:t>
            </w:r>
            <w:r>
              <w:rPr>
                <w:rFonts w:hint="default" w:ascii="Times New Roman" w:hAnsi="Times New Roman" w:eastAsia="宋体" w:cs="Times New Roman"/>
                <w:color w:val="auto"/>
                <w:sz w:val="21"/>
                <w:szCs w:val="21"/>
                <w:lang w:bidi="ar"/>
              </w:rPr>
              <w:t>GB/T14848表1常规指标（微生物指标、放射性指标除外）+石油类、石油烃（C</w:t>
            </w:r>
            <w:r>
              <w:rPr>
                <w:rFonts w:hint="default" w:ascii="Times New Roman" w:hAnsi="Times New Roman" w:eastAsia="宋体" w:cs="Times New Roman"/>
                <w:color w:val="auto"/>
                <w:sz w:val="21"/>
                <w:szCs w:val="21"/>
                <w:vertAlign w:val="subscript"/>
                <w:lang w:bidi="ar"/>
              </w:rPr>
              <w:t>6</w:t>
            </w:r>
            <w:r>
              <w:rPr>
                <w:rFonts w:hint="default" w:ascii="Times New Roman" w:hAnsi="Times New Roman" w:eastAsia="宋体" w:cs="Times New Roman"/>
                <w:color w:val="auto"/>
                <w:sz w:val="21"/>
                <w:szCs w:val="21"/>
                <w:lang w:bidi="ar"/>
              </w:rPr>
              <w:t>~C</w:t>
            </w:r>
            <w:r>
              <w:rPr>
                <w:rFonts w:hint="default" w:ascii="Times New Roman" w:hAnsi="Times New Roman" w:eastAsia="宋体" w:cs="Times New Roman"/>
                <w:color w:val="auto"/>
                <w:sz w:val="21"/>
                <w:szCs w:val="21"/>
                <w:vertAlign w:val="subscript"/>
                <w:lang w:bidi="ar"/>
              </w:rPr>
              <w:t>9</w:t>
            </w:r>
            <w:r>
              <w:rPr>
                <w:rFonts w:hint="default" w:ascii="Times New Roman" w:hAnsi="Times New Roman" w:eastAsia="宋体" w:cs="Times New Roman"/>
                <w:color w:val="auto"/>
                <w:sz w:val="21"/>
                <w:szCs w:val="21"/>
                <w:lang w:bidi="ar"/>
              </w:rPr>
              <w:t>）、石油烃（C</w:t>
            </w:r>
            <w:r>
              <w:rPr>
                <w:rFonts w:hint="default" w:ascii="Times New Roman" w:hAnsi="Times New Roman" w:eastAsia="宋体" w:cs="Times New Roman"/>
                <w:color w:val="auto"/>
                <w:sz w:val="21"/>
                <w:szCs w:val="21"/>
                <w:vertAlign w:val="subscript"/>
                <w:lang w:bidi="ar"/>
              </w:rPr>
              <w:t>10</w:t>
            </w:r>
            <w:r>
              <w:rPr>
                <w:rFonts w:hint="default" w:ascii="Times New Roman" w:hAnsi="Times New Roman" w:eastAsia="宋体" w:cs="Times New Roman"/>
                <w:color w:val="auto"/>
                <w:sz w:val="21"/>
                <w:szCs w:val="21"/>
                <w:lang w:bidi="ar"/>
              </w:rPr>
              <w:t>~C</w:t>
            </w:r>
            <w:r>
              <w:rPr>
                <w:rFonts w:hint="default" w:ascii="Times New Roman" w:hAnsi="Times New Roman" w:eastAsia="宋体" w:cs="Times New Roman"/>
                <w:color w:val="auto"/>
                <w:sz w:val="21"/>
                <w:szCs w:val="21"/>
                <w:vertAlign w:val="subscript"/>
                <w:lang w:bidi="ar"/>
              </w:rPr>
              <w:t>40</w:t>
            </w:r>
            <w:r>
              <w:rPr>
                <w:rFonts w:hint="default" w:ascii="Times New Roman" w:hAnsi="Times New Roman" w:eastAsia="宋体" w:cs="Times New Roman"/>
                <w:color w:val="auto"/>
                <w:sz w:val="21"/>
                <w:szCs w:val="21"/>
                <w:lang w:bidi="ar"/>
              </w:rPr>
              <w:t>）、钡；</w:t>
            </w:r>
          </w:p>
          <w:p w14:paraId="6C9B6041">
            <w:pPr>
              <w:keepNext w:val="0"/>
              <w:keepLines w:val="0"/>
              <w:pageBreakBefore w:val="0"/>
              <w:widowControl w:val="0"/>
              <w:kinsoku/>
              <w:wordWrap/>
              <w:overflowPunct/>
              <w:topLinePunct w:val="0"/>
              <w:bidi w:val="0"/>
              <w:adjustRightInd w:val="0"/>
              <w:snapToGrid w:val="0"/>
              <w:spacing w:line="300" w:lineRule="exact"/>
              <w:ind w:firstLine="0"/>
              <w:jc w:val="both"/>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bidi="ar"/>
              </w:rPr>
              <w:t>后续监测：</w:t>
            </w:r>
            <w:r>
              <w:rPr>
                <w:rFonts w:hint="default" w:ascii="Times New Roman" w:hAnsi="Times New Roman" w:eastAsia="宋体" w:cs="Times New Roman"/>
                <w:color w:val="auto"/>
                <w:sz w:val="21"/>
                <w:szCs w:val="21"/>
                <w:lang w:bidi="ar"/>
              </w:rPr>
              <w:t>在前期监测中曾超标的污染物+pH、总硬度、溶解性总固体、硫酸盐、氯化物、氟化物、锰、挥发性酚类、耗氧量、硫化物、石油类、石油烃（C</w:t>
            </w:r>
            <w:r>
              <w:rPr>
                <w:rFonts w:hint="default" w:ascii="Times New Roman" w:hAnsi="Times New Roman" w:eastAsia="宋体" w:cs="Times New Roman"/>
                <w:color w:val="auto"/>
                <w:sz w:val="21"/>
                <w:szCs w:val="21"/>
                <w:vertAlign w:val="subscript"/>
                <w:lang w:bidi="ar"/>
              </w:rPr>
              <w:t>6</w:t>
            </w:r>
            <w:r>
              <w:rPr>
                <w:rFonts w:hint="default" w:ascii="Times New Roman" w:hAnsi="Times New Roman" w:eastAsia="宋体" w:cs="Times New Roman"/>
                <w:color w:val="auto"/>
                <w:sz w:val="21"/>
                <w:szCs w:val="21"/>
                <w:lang w:bidi="ar"/>
              </w:rPr>
              <w:t>~C</w:t>
            </w:r>
            <w:r>
              <w:rPr>
                <w:rFonts w:hint="default" w:ascii="Times New Roman" w:hAnsi="Times New Roman" w:eastAsia="宋体" w:cs="Times New Roman"/>
                <w:color w:val="auto"/>
                <w:sz w:val="21"/>
                <w:szCs w:val="21"/>
                <w:vertAlign w:val="subscript"/>
                <w:lang w:bidi="ar"/>
              </w:rPr>
              <w:t>9</w:t>
            </w:r>
            <w:r>
              <w:rPr>
                <w:rFonts w:hint="default" w:ascii="Times New Roman" w:hAnsi="Times New Roman" w:eastAsia="宋体" w:cs="Times New Roman"/>
                <w:color w:val="auto"/>
                <w:sz w:val="21"/>
                <w:szCs w:val="21"/>
                <w:lang w:bidi="ar"/>
              </w:rPr>
              <w:t>）、石油烃（C</w:t>
            </w:r>
            <w:r>
              <w:rPr>
                <w:rFonts w:hint="default" w:ascii="Times New Roman" w:hAnsi="Times New Roman" w:eastAsia="宋体" w:cs="Times New Roman"/>
                <w:color w:val="auto"/>
                <w:sz w:val="21"/>
                <w:szCs w:val="21"/>
                <w:vertAlign w:val="subscript"/>
                <w:lang w:bidi="ar"/>
              </w:rPr>
              <w:t>10</w:t>
            </w:r>
            <w:r>
              <w:rPr>
                <w:rFonts w:hint="default" w:ascii="Times New Roman" w:hAnsi="Times New Roman" w:eastAsia="宋体" w:cs="Times New Roman"/>
                <w:color w:val="auto"/>
                <w:sz w:val="21"/>
                <w:szCs w:val="21"/>
                <w:lang w:bidi="ar"/>
              </w:rPr>
              <w:t>~C</w:t>
            </w:r>
            <w:r>
              <w:rPr>
                <w:rFonts w:hint="default" w:ascii="Times New Roman" w:hAnsi="Times New Roman" w:eastAsia="宋体" w:cs="Times New Roman"/>
                <w:color w:val="auto"/>
                <w:sz w:val="21"/>
                <w:szCs w:val="21"/>
                <w:vertAlign w:val="subscript"/>
                <w:lang w:bidi="ar"/>
              </w:rPr>
              <w:t>40</w:t>
            </w:r>
            <w:r>
              <w:rPr>
                <w:rFonts w:hint="default" w:ascii="Times New Roman" w:hAnsi="Times New Roman" w:eastAsia="宋体" w:cs="Times New Roman"/>
                <w:color w:val="auto"/>
                <w:sz w:val="21"/>
                <w:szCs w:val="21"/>
                <w:lang w:bidi="ar"/>
              </w:rPr>
              <w:t>）氨氮、钡、汞、砷、六价铬</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33835B6">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每半年</w:t>
            </w:r>
            <w:r>
              <w:rPr>
                <w:rFonts w:hint="default" w:ascii="Times New Roman" w:hAnsi="Times New Roman" w:eastAsia="宋体" w:cs="Times New Roman"/>
                <w:color w:val="auto"/>
                <w:sz w:val="21"/>
                <w:szCs w:val="21"/>
                <w:lang w:eastAsia="zh-CN" w:bidi="ar"/>
              </w:rPr>
              <w:t>（</w:t>
            </w:r>
            <w:r>
              <w:rPr>
                <w:rFonts w:hint="default" w:ascii="Times New Roman" w:hAnsi="Times New Roman" w:eastAsia="宋体" w:cs="Times New Roman"/>
                <w:color w:val="auto"/>
                <w:sz w:val="21"/>
                <w:szCs w:val="21"/>
                <w:lang w:val="en-US" w:eastAsia="zh-CN" w:bidi="ar"/>
              </w:rPr>
              <w:t>枯水期、丰水期</w:t>
            </w:r>
            <w:r>
              <w:rPr>
                <w:rFonts w:hint="default" w:ascii="Times New Roman" w:hAnsi="Times New Roman" w:eastAsia="宋体" w:cs="Times New Roman"/>
                <w:color w:val="auto"/>
                <w:sz w:val="21"/>
                <w:szCs w:val="21"/>
                <w:lang w:eastAsia="zh-CN" w:bidi="ar"/>
              </w:rPr>
              <w:t>）</w:t>
            </w:r>
            <w:r>
              <w:rPr>
                <w:rFonts w:hint="default" w:ascii="Times New Roman" w:hAnsi="Times New Roman" w:eastAsia="宋体" w:cs="Times New Roman"/>
                <w:color w:val="auto"/>
                <w:sz w:val="21"/>
                <w:szCs w:val="21"/>
                <w:lang w:bidi="ar"/>
              </w:rPr>
              <w:t>一次</w:t>
            </w:r>
          </w:p>
        </w:tc>
        <w:tc>
          <w:tcPr>
            <w:tcW w:w="876" w:type="pct"/>
            <w:tcBorders>
              <w:top w:val="single" w:color="auto" w:sz="4" w:space="0"/>
              <w:left w:val="single" w:color="auto" w:sz="4" w:space="0"/>
              <w:right w:val="single" w:color="auto" w:sz="4" w:space="0"/>
            </w:tcBorders>
            <w:shd w:val="clear" w:color="auto" w:fill="auto"/>
            <w:vAlign w:val="center"/>
          </w:tcPr>
          <w:p w14:paraId="15F35B17">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本次产建的大部分建设内容均在百口泉采油厂玛18井区、玛2井区、玛131井区、夏72井区作业范围内，纳入现有环境监测计划</w:t>
            </w:r>
          </w:p>
        </w:tc>
        <w:tc>
          <w:tcPr>
            <w:tcW w:w="876" w:type="pct"/>
            <w:tcBorders>
              <w:top w:val="single" w:color="auto" w:sz="4" w:space="0"/>
              <w:left w:val="single" w:color="auto" w:sz="4" w:space="0"/>
              <w:right w:val="single" w:color="auto" w:sz="4" w:space="0"/>
            </w:tcBorders>
            <w:shd w:val="clear" w:color="auto" w:fill="auto"/>
            <w:vAlign w:val="center"/>
          </w:tcPr>
          <w:p w14:paraId="4D336881">
            <w:pPr>
              <w:pStyle w:val="42"/>
              <w:keepNext w:val="0"/>
              <w:keepLines w:val="0"/>
              <w:pageBreakBefore w:val="0"/>
              <w:widowControl w:val="0"/>
              <w:kinsoku/>
              <w:wordWrap/>
              <w:overflowPunct/>
              <w:topLinePunct w:val="0"/>
              <w:bidi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《地下水质量标准》（GB/T14848-2017）Ⅲ类</w:t>
            </w:r>
          </w:p>
        </w:tc>
      </w:tr>
      <w:tr w14:paraId="632F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172" w:type="pct"/>
            <w:vMerge w:val="continue"/>
            <w:tcBorders>
              <w:left w:val="single" w:color="auto" w:sz="4" w:space="0"/>
              <w:right w:val="single" w:color="auto" w:sz="4" w:space="0"/>
            </w:tcBorders>
            <w:shd w:val="clear" w:color="auto" w:fill="auto"/>
            <w:vAlign w:val="center"/>
          </w:tcPr>
          <w:p w14:paraId="01A33D7A">
            <w:pPr>
              <w:keepNext w:val="0"/>
              <w:keepLines w:val="0"/>
              <w:pageBreakBefore w:val="0"/>
              <w:widowControl w:val="0"/>
              <w:kinsoku/>
              <w:wordWrap/>
              <w:overflowPunct/>
              <w:topLinePunct w:val="0"/>
              <w:bidi w:val="0"/>
              <w:spacing w:line="300" w:lineRule="exact"/>
              <w:ind w:firstLine="0"/>
              <w:rPr>
                <w:rFonts w:hint="default" w:ascii="Times New Roman" w:hAnsi="Times New Roman" w:eastAsia="宋体" w:cs="Times New Roman"/>
                <w:color w:val="auto"/>
                <w:sz w:val="21"/>
                <w:szCs w:val="21"/>
              </w:rPr>
            </w:pPr>
          </w:p>
        </w:tc>
        <w:tc>
          <w:tcPr>
            <w:tcW w:w="243" w:type="pct"/>
            <w:vMerge w:val="restart"/>
            <w:tcBorders>
              <w:top w:val="single" w:color="auto" w:sz="4" w:space="0"/>
              <w:left w:val="single" w:color="auto" w:sz="4" w:space="0"/>
              <w:right w:val="single" w:color="auto" w:sz="4" w:space="0"/>
            </w:tcBorders>
            <w:shd w:val="clear" w:color="auto" w:fill="auto"/>
            <w:vAlign w:val="center"/>
          </w:tcPr>
          <w:p w14:paraId="1CF1AB82">
            <w:pPr>
              <w:keepNext w:val="0"/>
              <w:keepLines w:val="0"/>
              <w:pageBreakBefore w:val="0"/>
              <w:widowControl w:val="0"/>
              <w:kinsoku/>
              <w:wordWrap/>
              <w:overflowPunct/>
              <w:topLinePunct w:val="0"/>
              <w:bidi w:val="0"/>
              <w:adjustRightInd w:val="0"/>
              <w:snapToGrid w:val="0"/>
              <w:spacing w:line="30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土壤环境</w:t>
            </w:r>
          </w:p>
        </w:tc>
        <w:tc>
          <w:tcPr>
            <w:tcW w:w="518" w:type="pct"/>
            <w:tcBorders>
              <w:top w:val="single" w:color="auto" w:sz="4" w:space="0"/>
              <w:left w:val="single" w:color="auto" w:sz="4" w:space="0"/>
              <w:right w:val="single" w:color="auto" w:sz="4" w:space="0"/>
            </w:tcBorders>
            <w:shd w:val="clear" w:color="auto" w:fill="auto"/>
            <w:vAlign w:val="center"/>
          </w:tcPr>
          <w:p w14:paraId="7FB2A327">
            <w:pPr>
              <w:keepNext w:val="0"/>
              <w:keepLines w:val="0"/>
              <w:pageBreakBefore w:val="0"/>
              <w:widowControl w:val="0"/>
              <w:kinsoku/>
              <w:wordWrap/>
              <w:overflowPunct/>
              <w:topLinePunct w:val="0"/>
              <w:bidi w:val="0"/>
              <w:spacing w:line="300" w:lineRule="exact"/>
              <w:ind w:firstLine="0" w:firstLineChars="0"/>
              <w:rPr>
                <w:rFonts w:hint="default" w:ascii="Times New Roman" w:hAnsi="Times New Roman" w:eastAsia="宋体" w:cs="Times New Roman"/>
                <w:color w:val="auto"/>
                <w:sz w:val="21"/>
                <w:szCs w:val="21"/>
              </w:rPr>
            </w:pPr>
            <w:r>
              <w:rPr>
                <w:rFonts w:hint="eastAsia"/>
                <w:color w:val="auto"/>
                <w:sz w:val="21"/>
                <w:szCs w:val="21"/>
                <w:lang w:val="en-US" w:eastAsia="zh-CN"/>
              </w:rPr>
              <w:t>油井井口附近</w:t>
            </w:r>
          </w:p>
        </w:tc>
        <w:tc>
          <w:tcPr>
            <w:tcW w:w="1048" w:type="pct"/>
            <w:vMerge w:val="restart"/>
            <w:tcBorders>
              <w:top w:val="single" w:color="auto" w:sz="4" w:space="0"/>
              <w:left w:val="single" w:color="auto" w:sz="4" w:space="0"/>
              <w:right w:val="single" w:color="auto" w:sz="4" w:space="0"/>
            </w:tcBorders>
            <w:shd w:val="clear" w:color="auto" w:fill="auto"/>
            <w:vAlign w:val="center"/>
          </w:tcPr>
          <w:p w14:paraId="21164673">
            <w:pPr>
              <w:keepNext w:val="0"/>
              <w:keepLines w:val="0"/>
              <w:pageBreakBefore w:val="0"/>
              <w:widowControl w:val="0"/>
              <w:kinsoku/>
              <w:wordWrap/>
              <w:overflowPunct/>
              <w:topLinePunct w:val="0"/>
              <w:bidi w:val="0"/>
              <w:adjustRightInd w:val="0"/>
              <w:snapToGrid w:val="0"/>
              <w:spacing w:line="300" w:lineRule="exact"/>
              <w:ind w:firstLine="0"/>
              <w:jc w:val="both"/>
              <w:rPr>
                <w:color w:val="auto"/>
                <w:sz w:val="21"/>
                <w:szCs w:val="21"/>
              </w:rPr>
            </w:pPr>
            <w:r>
              <w:rPr>
                <w:color w:val="auto"/>
                <w:sz w:val="21"/>
                <w:szCs w:val="21"/>
              </w:rPr>
              <w:t>表层土壤（0～0.</w:t>
            </w:r>
            <w:r>
              <w:rPr>
                <w:rFonts w:hint="eastAsia"/>
                <w:color w:val="auto"/>
                <w:sz w:val="21"/>
                <w:szCs w:val="21"/>
                <w:lang w:val="en-US" w:eastAsia="zh-CN"/>
              </w:rPr>
              <w:t>2</w:t>
            </w:r>
            <w:r>
              <w:rPr>
                <w:color w:val="auto"/>
                <w:sz w:val="21"/>
                <w:szCs w:val="21"/>
              </w:rPr>
              <w:t>m）1个；</w:t>
            </w:r>
          </w:p>
          <w:p w14:paraId="0E791ABB">
            <w:pPr>
              <w:keepNext w:val="0"/>
              <w:keepLines w:val="0"/>
              <w:pageBreakBefore w:val="0"/>
              <w:widowControl w:val="0"/>
              <w:kinsoku/>
              <w:wordWrap/>
              <w:overflowPunct/>
              <w:topLinePunct w:val="0"/>
              <w:bidi w:val="0"/>
              <w:adjustRightInd w:val="0"/>
              <w:snapToGrid w:val="0"/>
              <w:spacing w:line="300" w:lineRule="exact"/>
              <w:ind w:firstLine="0"/>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深层土壤1个（深层土壤监测点采样深度应略低于其对应的隐蔽性重点设施设备底部与土壤接触面）</w:t>
            </w:r>
          </w:p>
        </w:tc>
        <w:tc>
          <w:tcPr>
            <w:tcW w:w="838" w:type="pct"/>
            <w:vMerge w:val="restart"/>
            <w:tcBorders>
              <w:top w:val="single" w:color="auto" w:sz="4" w:space="0"/>
              <w:left w:val="single" w:color="auto" w:sz="4" w:space="0"/>
              <w:right w:val="single" w:color="auto" w:sz="4" w:space="0"/>
            </w:tcBorders>
            <w:shd w:val="clear" w:color="auto" w:fill="auto"/>
            <w:vAlign w:val="center"/>
          </w:tcPr>
          <w:p w14:paraId="5405544D">
            <w:pPr>
              <w:keepNext w:val="0"/>
              <w:keepLines w:val="0"/>
              <w:pageBreakBefore w:val="0"/>
              <w:widowControl w:val="0"/>
              <w:kinsoku/>
              <w:wordWrap/>
              <w:overflowPunct/>
              <w:topLinePunct w:val="0"/>
              <w:bidi w:val="0"/>
              <w:adjustRightInd w:val="0"/>
              <w:snapToGrid w:val="0"/>
              <w:spacing w:line="300" w:lineRule="exact"/>
              <w:ind w:firstLine="0"/>
              <w:jc w:val="both"/>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bidi="ar"/>
              </w:rPr>
              <w:t>初次监测：</w:t>
            </w:r>
            <w:r>
              <w:rPr>
                <w:rFonts w:hint="default" w:ascii="Times New Roman" w:hAnsi="Times New Roman" w:eastAsia="宋体" w:cs="Times New Roman"/>
                <w:color w:val="auto"/>
                <w:sz w:val="21"/>
                <w:szCs w:val="21"/>
                <w:lang w:bidi="ar"/>
              </w:rPr>
              <w:t>GB36600表1基本项目+石油类、石油烃C</w:t>
            </w:r>
            <w:r>
              <w:rPr>
                <w:rFonts w:hint="default" w:ascii="Times New Roman" w:hAnsi="Times New Roman" w:eastAsia="宋体" w:cs="Times New Roman"/>
                <w:color w:val="auto"/>
                <w:sz w:val="21"/>
                <w:szCs w:val="21"/>
                <w:vertAlign w:val="subscript"/>
                <w:lang w:bidi="ar"/>
              </w:rPr>
              <w:t>6</w:t>
            </w:r>
            <w:r>
              <w:rPr>
                <w:rFonts w:hint="default" w:ascii="Times New Roman" w:hAnsi="Times New Roman" w:eastAsia="宋体" w:cs="Times New Roman"/>
                <w:color w:val="auto"/>
                <w:sz w:val="21"/>
                <w:szCs w:val="21"/>
                <w:lang w:bidi="ar"/>
              </w:rPr>
              <w:t>~C</w:t>
            </w:r>
            <w:r>
              <w:rPr>
                <w:rFonts w:hint="default" w:ascii="Times New Roman" w:hAnsi="Times New Roman" w:eastAsia="宋体" w:cs="Times New Roman"/>
                <w:color w:val="auto"/>
                <w:sz w:val="21"/>
                <w:szCs w:val="21"/>
                <w:vertAlign w:val="subscript"/>
                <w:lang w:bidi="ar"/>
              </w:rPr>
              <w:t>9</w:t>
            </w:r>
            <w:r>
              <w:rPr>
                <w:rFonts w:hint="default" w:ascii="Times New Roman" w:hAnsi="Times New Roman" w:eastAsia="宋体" w:cs="Times New Roman"/>
                <w:color w:val="auto"/>
                <w:sz w:val="21"/>
                <w:szCs w:val="21"/>
                <w:lang w:bidi="ar"/>
              </w:rPr>
              <w:t>）、石油烃（C</w:t>
            </w:r>
            <w:r>
              <w:rPr>
                <w:rFonts w:hint="default" w:ascii="Times New Roman" w:hAnsi="Times New Roman" w:eastAsia="宋体" w:cs="Times New Roman"/>
                <w:color w:val="auto"/>
                <w:sz w:val="21"/>
                <w:szCs w:val="21"/>
                <w:vertAlign w:val="subscript"/>
                <w:lang w:bidi="ar"/>
              </w:rPr>
              <w:t>10</w:t>
            </w:r>
            <w:r>
              <w:rPr>
                <w:rFonts w:hint="default" w:ascii="Times New Roman" w:hAnsi="Times New Roman" w:eastAsia="宋体" w:cs="Times New Roman"/>
                <w:color w:val="auto"/>
                <w:sz w:val="21"/>
                <w:szCs w:val="21"/>
                <w:lang w:bidi="ar"/>
              </w:rPr>
              <w:t>~C</w:t>
            </w:r>
            <w:r>
              <w:rPr>
                <w:rFonts w:hint="default" w:ascii="Times New Roman" w:hAnsi="Times New Roman" w:eastAsia="宋体" w:cs="Times New Roman"/>
                <w:color w:val="auto"/>
                <w:sz w:val="21"/>
                <w:szCs w:val="21"/>
                <w:vertAlign w:val="subscript"/>
                <w:lang w:bidi="ar"/>
              </w:rPr>
              <w:t>40</w:t>
            </w:r>
            <w:r>
              <w:rPr>
                <w:rFonts w:hint="default" w:ascii="Times New Roman" w:hAnsi="Times New Roman" w:eastAsia="宋体" w:cs="Times New Roman"/>
                <w:color w:val="auto"/>
                <w:sz w:val="21"/>
                <w:szCs w:val="21"/>
                <w:lang w:bidi="ar"/>
              </w:rPr>
              <w:t>）；</w:t>
            </w:r>
            <w:r>
              <w:rPr>
                <w:rFonts w:hint="default" w:ascii="Times New Roman" w:hAnsi="Times New Roman" w:eastAsia="宋体" w:cs="Times New Roman"/>
                <w:b/>
                <w:bCs/>
                <w:color w:val="auto"/>
                <w:sz w:val="21"/>
                <w:szCs w:val="21"/>
                <w:lang w:bidi="ar"/>
              </w:rPr>
              <w:t>后续监测：</w:t>
            </w:r>
            <w:r>
              <w:rPr>
                <w:rFonts w:hint="default" w:ascii="Times New Roman" w:hAnsi="Times New Roman" w:eastAsia="宋体" w:cs="Times New Roman"/>
                <w:color w:val="auto"/>
                <w:sz w:val="21"/>
                <w:szCs w:val="21"/>
                <w:lang w:bidi="ar"/>
              </w:rPr>
              <w:t>在前期监测中曾超标的污染物+石油类、石油烃（C</w:t>
            </w:r>
            <w:r>
              <w:rPr>
                <w:rFonts w:hint="default" w:ascii="Times New Roman" w:hAnsi="Times New Roman" w:eastAsia="宋体" w:cs="Times New Roman"/>
                <w:color w:val="auto"/>
                <w:sz w:val="21"/>
                <w:szCs w:val="21"/>
                <w:vertAlign w:val="subscript"/>
                <w:lang w:bidi="ar"/>
              </w:rPr>
              <w:t>6</w:t>
            </w:r>
            <w:r>
              <w:rPr>
                <w:rFonts w:hint="default" w:ascii="Times New Roman" w:hAnsi="Times New Roman" w:eastAsia="宋体" w:cs="Times New Roman"/>
                <w:color w:val="auto"/>
                <w:sz w:val="21"/>
                <w:szCs w:val="21"/>
                <w:lang w:bidi="ar"/>
              </w:rPr>
              <w:t>~C</w:t>
            </w:r>
            <w:r>
              <w:rPr>
                <w:rFonts w:hint="default" w:ascii="Times New Roman" w:hAnsi="Times New Roman" w:eastAsia="宋体" w:cs="Times New Roman"/>
                <w:color w:val="auto"/>
                <w:sz w:val="21"/>
                <w:szCs w:val="21"/>
                <w:vertAlign w:val="subscript"/>
                <w:lang w:bidi="ar"/>
              </w:rPr>
              <w:t>9</w:t>
            </w:r>
            <w:r>
              <w:rPr>
                <w:rFonts w:hint="default" w:ascii="Times New Roman" w:hAnsi="Times New Roman" w:eastAsia="宋体" w:cs="Times New Roman"/>
                <w:color w:val="auto"/>
                <w:sz w:val="21"/>
                <w:szCs w:val="21"/>
                <w:lang w:bidi="ar"/>
              </w:rPr>
              <w:t>）、石油烃C</w:t>
            </w:r>
            <w:r>
              <w:rPr>
                <w:rFonts w:hint="default" w:ascii="Times New Roman" w:hAnsi="Times New Roman" w:eastAsia="宋体" w:cs="Times New Roman"/>
                <w:color w:val="auto"/>
                <w:sz w:val="21"/>
                <w:szCs w:val="21"/>
                <w:vertAlign w:val="subscript"/>
                <w:lang w:bidi="ar"/>
              </w:rPr>
              <w:t>10</w:t>
            </w:r>
            <w:r>
              <w:rPr>
                <w:rFonts w:hint="default" w:ascii="Times New Roman" w:hAnsi="Times New Roman" w:eastAsia="宋体" w:cs="Times New Roman"/>
                <w:color w:val="auto"/>
                <w:sz w:val="21"/>
                <w:szCs w:val="21"/>
                <w:lang w:bidi="ar"/>
              </w:rPr>
              <w:t>~C</w:t>
            </w:r>
            <w:r>
              <w:rPr>
                <w:rFonts w:hint="default" w:ascii="Times New Roman" w:hAnsi="Times New Roman" w:eastAsia="宋体" w:cs="Times New Roman"/>
                <w:color w:val="auto"/>
                <w:sz w:val="21"/>
                <w:szCs w:val="21"/>
                <w:vertAlign w:val="subscript"/>
                <w:lang w:bidi="ar"/>
              </w:rPr>
              <w:t>40</w:t>
            </w:r>
            <w:r>
              <w:rPr>
                <w:rFonts w:hint="default" w:ascii="Times New Roman" w:hAnsi="Times New Roman" w:eastAsia="宋体" w:cs="Times New Roman"/>
                <w:color w:val="auto"/>
                <w:sz w:val="21"/>
                <w:szCs w:val="21"/>
                <w:lang w:bidi="ar"/>
              </w:rPr>
              <w:t>）、砷、六价铬</w:t>
            </w:r>
          </w:p>
        </w:tc>
        <w:tc>
          <w:tcPr>
            <w:tcW w:w="424" w:type="pct"/>
            <w:vMerge w:val="restart"/>
            <w:tcBorders>
              <w:top w:val="single" w:color="auto" w:sz="4" w:space="0"/>
              <w:left w:val="single" w:color="auto" w:sz="4" w:space="0"/>
              <w:right w:val="single" w:color="auto" w:sz="4" w:space="0"/>
            </w:tcBorders>
            <w:shd w:val="clear" w:color="auto" w:fill="auto"/>
            <w:vAlign w:val="center"/>
          </w:tcPr>
          <w:p w14:paraId="58B64FBD">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表层土每年一次，深层土3年一次</w:t>
            </w:r>
          </w:p>
        </w:tc>
        <w:tc>
          <w:tcPr>
            <w:tcW w:w="876" w:type="pct"/>
            <w:tcBorders>
              <w:top w:val="single" w:color="auto" w:sz="4" w:space="0"/>
              <w:left w:val="single" w:color="auto" w:sz="4" w:space="0"/>
              <w:right w:val="single" w:color="auto" w:sz="4" w:space="0"/>
            </w:tcBorders>
            <w:shd w:val="clear" w:color="auto" w:fill="auto"/>
            <w:vAlign w:val="center"/>
          </w:tcPr>
          <w:p w14:paraId="0E63C7FD">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val="en-US" w:eastAsia="zh-CN"/>
              </w:rPr>
              <w:t>本次产建的大部分建设内容均在百口泉采油厂玛18井区、玛2井区、玛131井区、夏72井区作业范围内，新增百厂探区纳入现有环境监测计划抽检</w:t>
            </w:r>
          </w:p>
        </w:tc>
        <w:tc>
          <w:tcPr>
            <w:tcW w:w="876" w:type="pct"/>
            <w:vMerge w:val="restart"/>
            <w:tcBorders>
              <w:top w:val="single" w:color="auto" w:sz="4" w:space="0"/>
              <w:left w:val="single" w:color="auto" w:sz="4" w:space="0"/>
              <w:right w:val="single" w:color="auto" w:sz="4" w:space="0"/>
            </w:tcBorders>
            <w:shd w:val="clear" w:color="auto" w:fill="auto"/>
            <w:vAlign w:val="center"/>
          </w:tcPr>
          <w:p w14:paraId="1BDCBFC8">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《土壤环境质量-建设用地土壤污染风险管控标准（试行）》（GB36600-2018）</w:t>
            </w:r>
            <w:r>
              <w:rPr>
                <w:rFonts w:hint="eastAsia" w:ascii="宋体" w:hAnsi="宋体" w:eastAsia="宋体" w:cs="宋体"/>
                <w:color w:val="auto"/>
                <w:sz w:val="21"/>
                <w:szCs w:val="21"/>
                <w:lang w:bidi="ar"/>
              </w:rPr>
              <w:t>“第二类用地”筛</w:t>
            </w:r>
            <w:r>
              <w:rPr>
                <w:rFonts w:hint="default" w:ascii="Times New Roman" w:hAnsi="Times New Roman" w:eastAsia="宋体" w:cs="Times New Roman"/>
                <w:color w:val="auto"/>
                <w:sz w:val="21"/>
                <w:szCs w:val="21"/>
                <w:lang w:bidi="ar"/>
              </w:rPr>
              <w:t>选标准</w:t>
            </w:r>
          </w:p>
        </w:tc>
      </w:tr>
      <w:tr w14:paraId="51CC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172" w:type="pct"/>
            <w:vMerge w:val="continue"/>
            <w:tcBorders>
              <w:left w:val="single" w:color="auto" w:sz="4" w:space="0"/>
              <w:right w:val="single" w:color="auto" w:sz="4" w:space="0"/>
            </w:tcBorders>
            <w:shd w:val="clear" w:color="auto" w:fill="auto"/>
            <w:vAlign w:val="center"/>
          </w:tcPr>
          <w:p w14:paraId="2A15CBFC">
            <w:pPr>
              <w:keepNext w:val="0"/>
              <w:keepLines w:val="0"/>
              <w:pageBreakBefore w:val="0"/>
              <w:widowControl w:val="0"/>
              <w:kinsoku/>
              <w:wordWrap/>
              <w:overflowPunct/>
              <w:topLinePunct w:val="0"/>
              <w:bidi w:val="0"/>
              <w:spacing w:line="300" w:lineRule="exact"/>
              <w:ind w:firstLine="0"/>
              <w:rPr>
                <w:rFonts w:hint="default" w:ascii="Times New Roman" w:hAnsi="Times New Roman" w:eastAsia="宋体" w:cs="Times New Roman"/>
                <w:color w:val="auto"/>
                <w:sz w:val="21"/>
                <w:szCs w:val="21"/>
              </w:rPr>
            </w:pPr>
          </w:p>
        </w:tc>
        <w:tc>
          <w:tcPr>
            <w:tcW w:w="243" w:type="pct"/>
            <w:vMerge w:val="continue"/>
            <w:tcBorders>
              <w:left w:val="single" w:color="auto" w:sz="4" w:space="0"/>
              <w:right w:val="single" w:color="auto" w:sz="4" w:space="0"/>
            </w:tcBorders>
            <w:shd w:val="clear" w:color="auto" w:fill="auto"/>
            <w:vAlign w:val="center"/>
          </w:tcPr>
          <w:p w14:paraId="21CC274D">
            <w:pPr>
              <w:keepNext w:val="0"/>
              <w:keepLines w:val="0"/>
              <w:pageBreakBefore w:val="0"/>
              <w:widowControl w:val="0"/>
              <w:kinsoku/>
              <w:wordWrap/>
              <w:overflowPunct/>
              <w:topLinePunct w:val="0"/>
              <w:bidi w:val="0"/>
              <w:adjustRightInd w:val="0"/>
              <w:snapToGrid w:val="0"/>
              <w:spacing w:line="300" w:lineRule="exact"/>
              <w:ind w:firstLine="0"/>
              <w:jc w:val="both"/>
              <w:rPr>
                <w:rFonts w:hint="default" w:ascii="Times New Roman" w:hAnsi="Times New Roman" w:eastAsia="宋体" w:cs="Times New Roman"/>
                <w:color w:val="auto"/>
                <w:sz w:val="21"/>
                <w:szCs w:val="21"/>
                <w:lang w:bidi="ar"/>
              </w:rPr>
            </w:pPr>
          </w:p>
        </w:tc>
        <w:tc>
          <w:tcPr>
            <w:tcW w:w="518" w:type="pct"/>
            <w:tcBorders>
              <w:top w:val="single" w:color="auto" w:sz="4" w:space="0"/>
              <w:left w:val="single" w:color="auto" w:sz="4" w:space="0"/>
              <w:right w:val="single" w:color="auto" w:sz="4" w:space="0"/>
            </w:tcBorders>
            <w:shd w:val="clear" w:color="auto" w:fill="auto"/>
            <w:vAlign w:val="center"/>
          </w:tcPr>
          <w:p w14:paraId="7BC27AF8">
            <w:pPr>
              <w:keepNext w:val="0"/>
              <w:keepLines w:val="0"/>
              <w:pageBreakBefore w:val="0"/>
              <w:widowControl w:val="0"/>
              <w:kinsoku/>
              <w:wordWrap/>
              <w:overflowPunct/>
              <w:topLinePunct w:val="0"/>
              <w:bidi w:val="0"/>
              <w:spacing w:line="30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发生漏油事故的井场附近</w:t>
            </w:r>
          </w:p>
        </w:tc>
        <w:tc>
          <w:tcPr>
            <w:tcW w:w="1048" w:type="pct"/>
            <w:vMerge w:val="continue"/>
            <w:tcBorders>
              <w:left w:val="single" w:color="auto" w:sz="4" w:space="0"/>
              <w:right w:val="single" w:color="auto" w:sz="4" w:space="0"/>
            </w:tcBorders>
            <w:shd w:val="clear" w:color="auto" w:fill="auto"/>
            <w:vAlign w:val="center"/>
          </w:tcPr>
          <w:p w14:paraId="5821FDDF">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p>
        </w:tc>
        <w:tc>
          <w:tcPr>
            <w:tcW w:w="838" w:type="pct"/>
            <w:vMerge w:val="continue"/>
            <w:tcBorders>
              <w:left w:val="single" w:color="auto" w:sz="4" w:space="0"/>
              <w:right w:val="single" w:color="auto" w:sz="4" w:space="0"/>
            </w:tcBorders>
            <w:shd w:val="clear" w:color="auto" w:fill="auto"/>
            <w:vAlign w:val="center"/>
          </w:tcPr>
          <w:p w14:paraId="13E8B449">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p>
        </w:tc>
        <w:tc>
          <w:tcPr>
            <w:tcW w:w="424" w:type="pct"/>
            <w:vMerge w:val="continue"/>
            <w:tcBorders>
              <w:left w:val="single" w:color="auto" w:sz="4" w:space="0"/>
              <w:right w:val="single" w:color="auto" w:sz="4" w:space="0"/>
            </w:tcBorders>
            <w:shd w:val="clear" w:color="auto" w:fill="auto"/>
            <w:vAlign w:val="center"/>
          </w:tcPr>
          <w:p w14:paraId="5C64DA10">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p>
        </w:tc>
        <w:tc>
          <w:tcPr>
            <w:tcW w:w="876" w:type="pct"/>
            <w:tcBorders>
              <w:left w:val="single" w:color="auto" w:sz="4" w:space="0"/>
              <w:right w:val="single" w:color="auto" w:sz="4" w:space="0"/>
            </w:tcBorders>
            <w:shd w:val="clear" w:color="auto" w:fill="auto"/>
            <w:vAlign w:val="center"/>
          </w:tcPr>
          <w:p w14:paraId="394DCCE1">
            <w:pPr>
              <w:keepNext w:val="0"/>
              <w:keepLines w:val="0"/>
              <w:pageBreakBefore w:val="0"/>
              <w:widowControl w:val="0"/>
              <w:kinsoku/>
              <w:wordWrap/>
              <w:overflowPunct/>
              <w:topLinePunct w:val="0"/>
              <w:bidi w:val="0"/>
              <w:adjustRightInd w:val="0"/>
              <w:snapToGrid w:val="0"/>
              <w:spacing w:line="300" w:lineRule="exact"/>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76" w:type="pct"/>
            <w:vMerge w:val="continue"/>
            <w:tcBorders>
              <w:left w:val="single" w:color="auto" w:sz="4" w:space="0"/>
              <w:right w:val="single" w:color="auto" w:sz="4" w:space="0"/>
            </w:tcBorders>
            <w:shd w:val="clear" w:color="auto" w:fill="auto"/>
            <w:vAlign w:val="center"/>
          </w:tcPr>
          <w:p w14:paraId="6E3C928C">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p>
        </w:tc>
      </w:tr>
      <w:tr w14:paraId="3B94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9" w:hRule="atLeast"/>
          <w:jc w:val="center"/>
        </w:trPr>
        <w:tc>
          <w:tcPr>
            <w:tcW w:w="172" w:type="pct"/>
            <w:vMerge w:val="continue"/>
            <w:tcBorders>
              <w:left w:val="single" w:color="auto" w:sz="4" w:space="0"/>
              <w:bottom w:val="single" w:color="auto" w:sz="4" w:space="0"/>
              <w:right w:val="single" w:color="auto" w:sz="4" w:space="0"/>
            </w:tcBorders>
            <w:shd w:val="clear" w:color="auto" w:fill="auto"/>
            <w:vAlign w:val="center"/>
          </w:tcPr>
          <w:p w14:paraId="18EFF4CC">
            <w:pPr>
              <w:keepNext w:val="0"/>
              <w:keepLines w:val="0"/>
              <w:pageBreakBefore w:val="0"/>
              <w:widowControl w:val="0"/>
              <w:kinsoku/>
              <w:wordWrap/>
              <w:overflowPunct/>
              <w:topLinePunct w:val="0"/>
              <w:bidi w:val="0"/>
              <w:spacing w:line="300" w:lineRule="exact"/>
              <w:rPr>
                <w:rFonts w:hint="default" w:ascii="Times New Roman" w:hAnsi="Times New Roman" w:eastAsia="宋体" w:cs="Times New Roman"/>
                <w:color w:val="auto"/>
                <w:sz w:val="21"/>
                <w:szCs w:val="21"/>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215B1580">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生态环境</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14:paraId="31B37F2B">
            <w:pPr>
              <w:keepNext w:val="0"/>
              <w:keepLines w:val="0"/>
              <w:pageBreakBefore w:val="0"/>
              <w:widowControl w:val="0"/>
              <w:kinsoku/>
              <w:wordWrap/>
              <w:overflowPunct/>
              <w:topLinePunct w:val="0"/>
              <w:bidi w:val="0"/>
              <w:adjustRightInd w:val="0"/>
              <w:snapToGrid w:val="0"/>
              <w:spacing w:line="300" w:lineRule="exact"/>
              <w:ind w:firstLine="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典型井场、</w:t>
            </w:r>
            <w:r>
              <w:rPr>
                <w:rFonts w:hint="eastAsia" w:eastAsia="宋体" w:cs="Times New Roman"/>
                <w:color w:val="auto"/>
                <w:sz w:val="21"/>
                <w:szCs w:val="21"/>
                <w:lang w:val="en-US" w:eastAsia="zh-CN" w:bidi="ar"/>
              </w:rPr>
              <w:t>集油</w:t>
            </w:r>
            <w:r>
              <w:rPr>
                <w:rFonts w:hint="default" w:ascii="Times New Roman" w:hAnsi="Times New Roman" w:eastAsia="宋体" w:cs="Times New Roman"/>
                <w:color w:val="auto"/>
                <w:sz w:val="21"/>
                <w:szCs w:val="21"/>
                <w:lang w:bidi="ar"/>
              </w:rPr>
              <w:t>管线、道路周边</w:t>
            </w:r>
          </w:p>
        </w:tc>
        <w:tc>
          <w:tcPr>
            <w:tcW w:w="188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F0A48F">
            <w:pPr>
              <w:keepNext w:val="0"/>
              <w:keepLines w:val="0"/>
              <w:pageBreakBefore w:val="0"/>
              <w:widowControl w:val="0"/>
              <w:kinsoku/>
              <w:wordWrap/>
              <w:overflowPunct/>
              <w:topLinePunct w:val="0"/>
              <w:bidi w:val="0"/>
              <w:adjustRightInd w:val="0"/>
              <w:snapToGrid w:val="0"/>
              <w:spacing w:line="300" w:lineRule="exact"/>
              <w:ind w:firstLine="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施工期的植物群落变化情况、临时占地的恢复情况等；运行期的绿化植被成活率，生态保护对策措施的有效性及生态修复效果等</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3013E592">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施工期并延续至正式投运后5年内</w:t>
            </w:r>
          </w:p>
        </w:tc>
        <w:tc>
          <w:tcPr>
            <w:tcW w:w="876" w:type="pct"/>
            <w:tcBorders>
              <w:top w:val="single" w:color="auto" w:sz="4" w:space="0"/>
              <w:left w:val="single" w:color="auto" w:sz="4" w:space="0"/>
              <w:bottom w:val="single" w:color="auto" w:sz="4" w:space="0"/>
              <w:right w:val="single" w:color="auto" w:sz="4" w:space="0"/>
            </w:tcBorders>
            <w:shd w:val="clear" w:color="auto" w:fill="auto"/>
            <w:vAlign w:val="center"/>
          </w:tcPr>
          <w:p w14:paraId="5E8B27F7">
            <w:pPr>
              <w:keepNext w:val="0"/>
              <w:keepLines w:val="0"/>
              <w:pageBreakBefore w:val="0"/>
              <w:widowControl w:val="0"/>
              <w:kinsoku/>
              <w:wordWrap/>
              <w:overflowPunct/>
              <w:topLinePunct w:val="0"/>
              <w:bidi w:val="0"/>
              <w:adjustRightInd w:val="0"/>
              <w:snapToGrid w:val="0"/>
              <w:spacing w:line="300" w:lineRule="exact"/>
              <w:ind w:firstLine="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876" w:type="pct"/>
            <w:tcBorders>
              <w:top w:val="single" w:color="auto" w:sz="4" w:space="0"/>
              <w:left w:val="single" w:color="auto" w:sz="4" w:space="0"/>
              <w:bottom w:val="single" w:color="auto" w:sz="4" w:space="0"/>
              <w:right w:val="single" w:color="auto" w:sz="4" w:space="0"/>
            </w:tcBorders>
            <w:shd w:val="clear" w:color="auto" w:fill="auto"/>
            <w:vAlign w:val="center"/>
          </w:tcPr>
          <w:p w14:paraId="6D4DFC21">
            <w:pPr>
              <w:keepNext w:val="0"/>
              <w:keepLines w:val="0"/>
              <w:pageBreakBefore w:val="0"/>
              <w:widowControl w:val="0"/>
              <w:kinsoku/>
              <w:wordWrap/>
              <w:overflowPunct/>
              <w:topLinePunct w:val="0"/>
              <w:bidi w:val="0"/>
              <w:adjustRightInd w:val="0"/>
              <w:snapToGrid w:val="0"/>
              <w:spacing w:line="30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恢复到与周围生态景观协调一致，植被恢复程度不低于施工前，不降低原有生态功能</w:t>
            </w:r>
          </w:p>
        </w:tc>
      </w:tr>
    </w:tbl>
    <w:p w14:paraId="6A5F7202">
      <w:pPr>
        <w:pStyle w:val="33"/>
        <w:bidi w:val="0"/>
        <w:ind w:left="0" w:leftChars="0" w:firstLine="0" w:firstLineChars="0"/>
        <w:rPr>
          <w:rFonts w:hint="eastAsia" w:ascii="Times New Roman" w:hAnsi="Times New Roman" w:eastAsia="宋体" w:cs="Times New Roman"/>
          <w:color w:val="auto"/>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EB709AD">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污染源监测计划</w:t>
      </w:r>
    </w:p>
    <w:p w14:paraId="5A91689E">
      <w:pPr>
        <w:pStyle w:val="33"/>
        <w:bidi w:val="0"/>
        <w:rPr>
          <w:rFonts w:ascii="Times New Roman" w:hAnsi="Times New Roman" w:eastAsia="宋体" w:cs="Times New Roman"/>
          <w:color w:val="auto"/>
          <w:lang w:eastAsia="zh"/>
        </w:rPr>
      </w:pPr>
      <w:r>
        <w:rPr>
          <w:rFonts w:ascii="Times New Roman" w:hAnsi="Times New Roman" w:eastAsia="宋体" w:cs="Times New Roman"/>
          <w:color w:val="auto"/>
        </w:rPr>
        <w:t>①大气污染源监测应按照HJ 819、HJ820、HJ1248、GB37822、GB39728的要求开展。</w:t>
      </w:r>
      <w:r>
        <w:rPr>
          <w:rFonts w:ascii="Times New Roman" w:hAnsi="Times New Roman" w:eastAsia="宋体" w:cs="Times New Roman"/>
          <w:color w:val="auto"/>
          <w:lang w:eastAsia="zh"/>
        </w:rPr>
        <w:t>本次评价选择典型井场进行污染源监测计划，典型井场为本次工程新建井场。</w:t>
      </w:r>
    </w:p>
    <w:p w14:paraId="1A9C93F7">
      <w:pPr>
        <w:pStyle w:val="33"/>
        <w:bidi w:val="0"/>
        <w:rPr>
          <w:rFonts w:ascii="Times New Roman" w:hAnsi="Times New Roman" w:eastAsia="宋体" w:cs="Times New Roman"/>
          <w:color w:val="auto"/>
          <w:lang w:val="zh-CN"/>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 2 \* GB3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②</w:t>
      </w:r>
      <w:r>
        <w:rPr>
          <w:rFonts w:ascii="Times New Roman" w:hAnsi="Times New Roman" w:eastAsia="宋体" w:cs="Times New Roman"/>
          <w:color w:val="auto"/>
        </w:rPr>
        <w:fldChar w:fldCharType="end"/>
      </w:r>
      <w:r>
        <w:rPr>
          <w:rFonts w:ascii="Times New Roman" w:hAnsi="Times New Roman" w:eastAsia="宋体" w:cs="Times New Roman"/>
          <w:color w:val="auto"/>
        </w:rPr>
        <w:t>废水按照</w:t>
      </w:r>
      <w:r>
        <w:rPr>
          <w:rFonts w:ascii="Times New Roman" w:hAnsi="Times New Roman" w:eastAsia="宋体" w:cs="Times New Roman"/>
          <w:color w:val="auto"/>
          <w:lang w:val="zh-CN"/>
        </w:rPr>
        <w:t>HJ1248的要求开展。</w:t>
      </w:r>
    </w:p>
    <w:p w14:paraId="2ED45188">
      <w:pPr>
        <w:pStyle w:val="33"/>
        <w:bidi w:val="0"/>
        <w:rPr>
          <w:rFonts w:ascii="Times New Roman" w:hAnsi="Times New Roman" w:eastAsia="宋体" w:cs="Times New Roman"/>
          <w:color w:val="auto"/>
          <w:lang w:val="zh-CN"/>
        </w:rPr>
      </w:pPr>
      <w:r>
        <w:rPr>
          <w:rFonts w:ascii="Times New Roman" w:hAnsi="Times New Roman" w:eastAsia="宋体" w:cs="Times New Roman"/>
          <w:color w:val="auto"/>
          <w:lang w:val="zh-CN"/>
        </w:rPr>
        <w:fldChar w:fldCharType="begin"/>
      </w:r>
      <w:r>
        <w:rPr>
          <w:rFonts w:ascii="Times New Roman" w:hAnsi="Times New Roman" w:eastAsia="宋体" w:cs="Times New Roman"/>
          <w:color w:val="auto"/>
          <w:lang w:val="zh-CN"/>
        </w:rPr>
        <w:instrText xml:space="preserve"> = 3 \* GB3 </w:instrText>
      </w:r>
      <w:r>
        <w:rPr>
          <w:rFonts w:ascii="Times New Roman" w:hAnsi="Times New Roman" w:eastAsia="宋体" w:cs="Times New Roman"/>
          <w:color w:val="auto"/>
          <w:lang w:val="zh-CN"/>
        </w:rPr>
        <w:fldChar w:fldCharType="separate"/>
      </w:r>
      <w:r>
        <w:rPr>
          <w:rFonts w:ascii="Times New Roman" w:hAnsi="Times New Roman" w:eastAsia="宋体" w:cs="Times New Roman"/>
          <w:color w:val="auto"/>
          <w:lang w:val="zh-CN"/>
        </w:rPr>
        <w:t>③</w:t>
      </w:r>
      <w:r>
        <w:rPr>
          <w:rFonts w:ascii="Times New Roman" w:hAnsi="Times New Roman" w:eastAsia="宋体" w:cs="Times New Roman"/>
          <w:color w:val="auto"/>
          <w:lang w:val="zh-CN"/>
        </w:rPr>
        <w:fldChar w:fldCharType="end"/>
      </w:r>
      <w:r>
        <w:rPr>
          <w:rFonts w:ascii="Times New Roman" w:hAnsi="Times New Roman" w:eastAsia="宋体" w:cs="Times New Roman"/>
          <w:color w:val="auto"/>
          <w:lang w:val="zh-CN"/>
        </w:rPr>
        <w:t>根据噪声影响特点和声环境保护目标分布，提出项目在施工期和</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lang w:val="zh-CN"/>
        </w:rPr>
        <w:t>期的厂界（或场界、边界）噪声监测和代表性声环境保护目标声环境监测。</w:t>
      </w:r>
    </w:p>
    <w:p w14:paraId="7CF2B15D">
      <w:pPr>
        <w:pStyle w:val="33"/>
        <w:bidi w:val="0"/>
        <w:rPr>
          <w:rFonts w:ascii="Times New Roman" w:hAnsi="Times New Roman" w:eastAsia="宋体" w:cs="Times New Roman"/>
          <w:color w:val="auto"/>
          <w:lang w:val="zh-CN"/>
        </w:rPr>
      </w:pPr>
      <w:r>
        <w:rPr>
          <w:rFonts w:ascii="Times New Roman" w:hAnsi="Times New Roman" w:eastAsia="宋体" w:cs="Times New Roman"/>
          <w:color w:val="auto"/>
          <w:lang w:val="zh-CN"/>
        </w:rPr>
        <w:fldChar w:fldCharType="begin"/>
      </w:r>
      <w:r>
        <w:rPr>
          <w:rFonts w:ascii="Times New Roman" w:hAnsi="Times New Roman" w:eastAsia="宋体" w:cs="Times New Roman"/>
          <w:color w:val="auto"/>
          <w:lang w:val="zh-CN"/>
        </w:rPr>
        <w:instrText xml:space="preserve"> = 4 \* GB3 </w:instrText>
      </w:r>
      <w:r>
        <w:rPr>
          <w:rFonts w:ascii="Times New Roman" w:hAnsi="Times New Roman" w:eastAsia="宋体" w:cs="Times New Roman"/>
          <w:color w:val="auto"/>
          <w:lang w:val="zh-CN"/>
        </w:rPr>
        <w:fldChar w:fldCharType="separate"/>
      </w:r>
      <w:r>
        <w:rPr>
          <w:rFonts w:ascii="Times New Roman" w:hAnsi="Times New Roman" w:eastAsia="宋体" w:cs="Times New Roman"/>
          <w:color w:val="auto"/>
          <w:lang w:val="zh-CN"/>
        </w:rPr>
        <w:t>④</w:t>
      </w:r>
      <w:r>
        <w:rPr>
          <w:rFonts w:ascii="Times New Roman" w:hAnsi="Times New Roman" w:eastAsia="宋体" w:cs="Times New Roman"/>
          <w:color w:val="auto"/>
          <w:lang w:val="zh-CN"/>
        </w:rPr>
        <w:fldChar w:fldCharType="end"/>
      </w:r>
      <w:r>
        <w:rPr>
          <w:rFonts w:ascii="Times New Roman" w:hAnsi="Times New Roman" w:eastAsia="宋体" w:cs="Times New Roman"/>
          <w:color w:val="auto"/>
          <w:lang w:val="zh-CN"/>
        </w:rPr>
        <w:t>根据发生的风险事故类型、地点，提出开展相应的应急监测及跟踪监测的要求。</w:t>
      </w:r>
    </w:p>
    <w:p w14:paraId="7721F890">
      <w:pPr>
        <w:pStyle w:val="43"/>
        <w:bidi w:val="0"/>
        <w:rPr>
          <w:rFonts w:cs="Times New Roman"/>
          <w:color w:val="auto"/>
        </w:rPr>
      </w:pPr>
      <w:r>
        <w:rPr>
          <w:rFonts w:cs="Times New Roman"/>
          <w:color w:val="auto"/>
        </w:rPr>
        <w:t>表</w:t>
      </w:r>
      <w:r>
        <w:rPr>
          <w:rFonts w:hint="eastAsia" w:cs="Times New Roman"/>
          <w:color w:val="auto"/>
          <w:lang w:val="en-US" w:eastAsia="zh-CN"/>
        </w:rPr>
        <w:t>8.3</w:t>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 xml:space="preserve">  </w:t>
      </w:r>
      <w:r>
        <w:rPr>
          <w:rFonts w:hint="eastAsia" w:cs="Times New Roman"/>
          <w:color w:val="auto"/>
          <w:lang w:val="en-US" w:eastAsia="zh-CN"/>
        </w:rPr>
        <w:t>运营</w:t>
      </w:r>
      <w:r>
        <w:rPr>
          <w:rFonts w:cs="Times New Roman"/>
          <w:color w:val="auto"/>
        </w:rPr>
        <w:t>期</w:t>
      </w:r>
      <w:r>
        <w:rPr>
          <w:rFonts w:cs="Times New Roman"/>
          <w:color w:val="auto"/>
          <w:lang w:eastAsia="zh"/>
        </w:rPr>
        <w:t>污染源</w:t>
      </w:r>
      <w:r>
        <w:rPr>
          <w:rFonts w:cs="Times New Roman"/>
          <w:color w:val="auto"/>
        </w:rPr>
        <w:t>监测计划</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1" w:type="dxa"/>
          <w:bottom w:w="0" w:type="dxa"/>
          <w:right w:w="51" w:type="dxa"/>
        </w:tblCellMar>
      </w:tblPr>
      <w:tblGrid>
        <w:gridCol w:w="539"/>
        <w:gridCol w:w="674"/>
        <w:gridCol w:w="674"/>
        <w:gridCol w:w="1854"/>
        <w:gridCol w:w="1601"/>
        <w:gridCol w:w="825"/>
        <w:gridCol w:w="2241"/>
      </w:tblGrid>
      <w:tr w14:paraId="0BD6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69" w:hRule="atLeast"/>
          <w:jc w:val="center"/>
        </w:trPr>
        <w:tc>
          <w:tcPr>
            <w:tcW w:w="562" w:type="dxa"/>
            <w:shd w:val="clear" w:color="auto" w:fill="auto"/>
            <w:vAlign w:val="center"/>
          </w:tcPr>
          <w:p w14:paraId="206ED254">
            <w:pPr>
              <w:pStyle w:val="34"/>
              <w:bidi w:val="0"/>
              <w:rPr>
                <w:rFonts w:hint="default"/>
                <w:b/>
                <w:bCs/>
                <w:color w:val="auto"/>
              </w:rPr>
            </w:pPr>
            <w:r>
              <w:rPr>
                <w:rFonts w:hint="default"/>
                <w:b/>
                <w:bCs/>
                <w:color w:val="auto"/>
              </w:rPr>
              <w:t>类别</w:t>
            </w:r>
          </w:p>
        </w:tc>
        <w:tc>
          <w:tcPr>
            <w:tcW w:w="709" w:type="dxa"/>
            <w:shd w:val="clear" w:color="auto" w:fill="auto"/>
            <w:vAlign w:val="center"/>
          </w:tcPr>
          <w:p w14:paraId="08B82B97">
            <w:pPr>
              <w:pStyle w:val="34"/>
              <w:bidi w:val="0"/>
              <w:rPr>
                <w:rFonts w:hint="default"/>
                <w:b/>
                <w:bCs/>
                <w:color w:val="auto"/>
              </w:rPr>
            </w:pPr>
            <w:r>
              <w:rPr>
                <w:rFonts w:hint="default"/>
                <w:b/>
                <w:bCs/>
                <w:color w:val="auto"/>
              </w:rPr>
              <w:t>监测要素</w:t>
            </w:r>
          </w:p>
        </w:tc>
        <w:tc>
          <w:tcPr>
            <w:tcW w:w="709" w:type="dxa"/>
            <w:shd w:val="clear" w:color="auto" w:fill="auto"/>
            <w:vAlign w:val="center"/>
          </w:tcPr>
          <w:p w14:paraId="3B8423A7">
            <w:pPr>
              <w:pStyle w:val="34"/>
              <w:bidi w:val="0"/>
              <w:rPr>
                <w:rFonts w:hint="default"/>
                <w:b/>
                <w:bCs/>
                <w:color w:val="auto"/>
              </w:rPr>
            </w:pPr>
            <w:r>
              <w:rPr>
                <w:rFonts w:hint="default"/>
                <w:b/>
                <w:bCs/>
                <w:color w:val="auto"/>
              </w:rPr>
              <w:t>污染源</w:t>
            </w:r>
          </w:p>
        </w:tc>
        <w:tc>
          <w:tcPr>
            <w:tcW w:w="1984" w:type="dxa"/>
            <w:shd w:val="clear" w:color="auto" w:fill="auto"/>
            <w:vAlign w:val="center"/>
          </w:tcPr>
          <w:p w14:paraId="0FFC2BD3">
            <w:pPr>
              <w:pStyle w:val="34"/>
              <w:bidi w:val="0"/>
              <w:rPr>
                <w:rFonts w:hint="default"/>
                <w:b/>
                <w:bCs/>
                <w:color w:val="auto"/>
              </w:rPr>
            </w:pPr>
            <w:r>
              <w:rPr>
                <w:rFonts w:hint="default"/>
                <w:b/>
                <w:bCs/>
                <w:color w:val="auto"/>
              </w:rPr>
              <w:t>监测点位</w:t>
            </w:r>
          </w:p>
        </w:tc>
        <w:tc>
          <w:tcPr>
            <w:tcW w:w="1691" w:type="dxa"/>
            <w:shd w:val="clear" w:color="auto" w:fill="auto"/>
            <w:vAlign w:val="center"/>
          </w:tcPr>
          <w:p w14:paraId="26C98DEC">
            <w:pPr>
              <w:pStyle w:val="34"/>
              <w:bidi w:val="0"/>
              <w:rPr>
                <w:rFonts w:hint="default"/>
                <w:b/>
                <w:bCs/>
                <w:color w:val="auto"/>
              </w:rPr>
            </w:pPr>
            <w:r>
              <w:rPr>
                <w:rFonts w:hint="default"/>
                <w:b/>
                <w:bCs/>
                <w:color w:val="auto"/>
              </w:rPr>
              <w:t>监测因子</w:t>
            </w:r>
          </w:p>
        </w:tc>
        <w:tc>
          <w:tcPr>
            <w:tcW w:w="875" w:type="dxa"/>
            <w:shd w:val="clear" w:color="auto" w:fill="auto"/>
            <w:vAlign w:val="center"/>
          </w:tcPr>
          <w:p w14:paraId="33BBA2CF">
            <w:pPr>
              <w:pStyle w:val="34"/>
              <w:bidi w:val="0"/>
              <w:rPr>
                <w:rFonts w:hint="default"/>
                <w:b/>
                <w:bCs/>
                <w:color w:val="auto"/>
              </w:rPr>
            </w:pPr>
            <w:r>
              <w:rPr>
                <w:rFonts w:hint="default"/>
                <w:b/>
                <w:bCs/>
                <w:color w:val="auto"/>
              </w:rPr>
              <w:t>监测频率</w:t>
            </w:r>
          </w:p>
        </w:tc>
        <w:tc>
          <w:tcPr>
            <w:tcW w:w="2275" w:type="dxa"/>
            <w:shd w:val="clear" w:color="auto" w:fill="auto"/>
            <w:vAlign w:val="center"/>
          </w:tcPr>
          <w:p w14:paraId="60A5884E">
            <w:pPr>
              <w:pStyle w:val="34"/>
              <w:bidi w:val="0"/>
              <w:rPr>
                <w:rFonts w:hint="default"/>
                <w:b/>
                <w:bCs/>
                <w:color w:val="auto"/>
              </w:rPr>
            </w:pPr>
            <w:r>
              <w:rPr>
                <w:rFonts w:hint="default"/>
                <w:b/>
                <w:bCs/>
                <w:color w:val="auto"/>
              </w:rPr>
              <w:t>标准</w:t>
            </w:r>
          </w:p>
        </w:tc>
      </w:tr>
      <w:tr w14:paraId="5915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62" w:type="dxa"/>
            <w:vMerge w:val="restart"/>
            <w:shd w:val="clear" w:color="auto" w:fill="auto"/>
            <w:vAlign w:val="center"/>
          </w:tcPr>
          <w:p w14:paraId="24CA896E">
            <w:pPr>
              <w:pStyle w:val="34"/>
              <w:bidi w:val="0"/>
              <w:rPr>
                <w:rFonts w:hint="default"/>
                <w:color w:val="auto"/>
              </w:rPr>
            </w:pPr>
            <w:r>
              <w:rPr>
                <w:rFonts w:hint="default"/>
                <w:color w:val="auto"/>
              </w:rPr>
              <w:t>污染源监测</w:t>
            </w:r>
          </w:p>
        </w:tc>
        <w:tc>
          <w:tcPr>
            <w:tcW w:w="709" w:type="dxa"/>
            <w:shd w:val="clear" w:color="auto" w:fill="auto"/>
            <w:vAlign w:val="center"/>
          </w:tcPr>
          <w:p w14:paraId="28F46AD9">
            <w:pPr>
              <w:pStyle w:val="34"/>
              <w:bidi w:val="0"/>
              <w:rPr>
                <w:rFonts w:hint="default"/>
                <w:color w:val="auto"/>
              </w:rPr>
            </w:pPr>
            <w:r>
              <w:rPr>
                <w:rFonts w:hint="default"/>
                <w:color w:val="auto"/>
              </w:rPr>
              <w:t>大气</w:t>
            </w:r>
          </w:p>
        </w:tc>
        <w:tc>
          <w:tcPr>
            <w:tcW w:w="709" w:type="dxa"/>
            <w:shd w:val="clear" w:color="auto" w:fill="auto"/>
            <w:vAlign w:val="center"/>
          </w:tcPr>
          <w:p w14:paraId="7E39BCA4">
            <w:pPr>
              <w:pStyle w:val="34"/>
              <w:bidi w:val="0"/>
              <w:rPr>
                <w:rFonts w:hint="default"/>
                <w:color w:val="auto"/>
              </w:rPr>
            </w:pPr>
            <w:r>
              <w:rPr>
                <w:rFonts w:hint="default"/>
                <w:color w:val="auto"/>
                <w:lang w:eastAsia="zh"/>
              </w:rPr>
              <w:t>无组织废气</w:t>
            </w:r>
          </w:p>
        </w:tc>
        <w:tc>
          <w:tcPr>
            <w:tcW w:w="1984" w:type="dxa"/>
            <w:shd w:val="clear" w:color="auto" w:fill="auto"/>
            <w:vAlign w:val="center"/>
          </w:tcPr>
          <w:p w14:paraId="2E1E6292">
            <w:pPr>
              <w:pStyle w:val="34"/>
              <w:bidi w:val="0"/>
              <w:rPr>
                <w:rFonts w:hint="default"/>
                <w:color w:val="auto"/>
              </w:rPr>
            </w:pPr>
            <w:r>
              <w:rPr>
                <w:rFonts w:hint="eastAsia"/>
                <w:color w:val="auto"/>
                <w:lang w:val="en-US" w:eastAsia="zh-CN"/>
              </w:rPr>
              <w:t>本工程厂界周围无新增大气环境敏感点，站场工程无组织废气已纳入全厂监测计划</w:t>
            </w:r>
          </w:p>
        </w:tc>
        <w:tc>
          <w:tcPr>
            <w:tcW w:w="1691" w:type="dxa"/>
            <w:shd w:val="clear" w:color="auto" w:fill="auto"/>
            <w:vAlign w:val="center"/>
          </w:tcPr>
          <w:p w14:paraId="2B3AA03C">
            <w:pPr>
              <w:pStyle w:val="34"/>
              <w:bidi w:val="0"/>
              <w:rPr>
                <w:rFonts w:hint="default"/>
                <w:color w:val="auto"/>
              </w:rPr>
            </w:pPr>
            <w:r>
              <w:rPr>
                <w:rFonts w:hint="default"/>
                <w:color w:val="auto"/>
                <w:lang w:eastAsia="zh"/>
              </w:rPr>
              <w:t>非甲烷总烃</w:t>
            </w:r>
          </w:p>
        </w:tc>
        <w:tc>
          <w:tcPr>
            <w:tcW w:w="875" w:type="dxa"/>
            <w:shd w:val="clear" w:color="auto" w:fill="auto"/>
            <w:vAlign w:val="center"/>
          </w:tcPr>
          <w:p w14:paraId="34A85DFF">
            <w:pPr>
              <w:pStyle w:val="34"/>
              <w:bidi w:val="0"/>
              <w:rPr>
                <w:rFonts w:hint="default"/>
                <w:color w:val="auto"/>
              </w:rPr>
            </w:pPr>
            <w:r>
              <w:rPr>
                <w:rFonts w:hint="default"/>
                <w:color w:val="auto"/>
              </w:rPr>
              <w:t>1次/季</w:t>
            </w:r>
          </w:p>
        </w:tc>
        <w:tc>
          <w:tcPr>
            <w:tcW w:w="2275" w:type="dxa"/>
            <w:shd w:val="clear" w:color="auto" w:fill="auto"/>
            <w:vAlign w:val="center"/>
          </w:tcPr>
          <w:p w14:paraId="06A6825B">
            <w:pPr>
              <w:pStyle w:val="34"/>
              <w:bidi w:val="0"/>
              <w:rPr>
                <w:rFonts w:hint="default"/>
                <w:color w:val="auto"/>
              </w:rPr>
            </w:pPr>
            <w:r>
              <w:rPr>
                <w:rFonts w:hint="default"/>
                <w:color w:val="auto"/>
              </w:rPr>
              <w:t>《陆上石油天然气开采工业大气污染物排放标准》（GB39728-2020）中企业边界污染物控制要求</w:t>
            </w:r>
          </w:p>
        </w:tc>
      </w:tr>
      <w:tr w14:paraId="5BE4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62" w:type="dxa"/>
            <w:vMerge w:val="continue"/>
            <w:shd w:val="clear" w:color="auto" w:fill="auto"/>
            <w:vAlign w:val="center"/>
          </w:tcPr>
          <w:p w14:paraId="02D394B0">
            <w:pPr>
              <w:pStyle w:val="34"/>
              <w:bidi w:val="0"/>
              <w:rPr>
                <w:rFonts w:hint="default"/>
                <w:color w:val="auto"/>
              </w:rPr>
            </w:pPr>
          </w:p>
        </w:tc>
        <w:tc>
          <w:tcPr>
            <w:tcW w:w="709" w:type="dxa"/>
            <w:shd w:val="clear" w:color="auto" w:fill="auto"/>
            <w:vAlign w:val="center"/>
          </w:tcPr>
          <w:p w14:paraId="394E8C1A">
            <w:pPr>
              <w:pStyle w:val="34"/>
              <w:bidi w:val="0"/>
              <w:rPr>
                <w:rFonts w:hint="default"/>
                <w:color w:val="auto"/>
              </w:rPr>
            </w:pPr>
            <w:r>
              <w:rPr>
                <w:rFonts w:hint="default"/>
                <w:color w:val="auto"/>
              </w:rPr>
              <w:t>废水</w:t>
            </w:r>
          </w:p>
        </w:tc>
        <w:tc>
          <w:tcPr>
            <w:tcW w:w="709" w:type="dxa"/>
            <w:shd w:val="clear" w:color="auto" w:fill="auto"/>
            <w:vAlign w:val="center"/>
          </w:tcPr>
          <w:p w14:paraId="53658517">
            <w:pPr>
              <w:pStyle w:val="34"/>
              <w:bidi w:val="0"/>
              <w:rPr>
                <w:rFonts w:hint="default"/>
                <w:color w:val="auto"/>
              </w:rPr>
            </w:pPr>
            <w:r>
              <w:rPr>
                <w:rFonts w:hint="default"/>
                <w:color w:val="auto"/>
                <w:lang w:eastAsia="zh"/>
              </w:rPr>
              <w:t>/</w:t>
            </w:r>
          </w:p>
        </w:tc>
        <w:tc>
          <w:tcPr>
            <w:tcW w:w="1984" w:type="dxa"/>
            <w:shd w:val="clear" w:color="auto" w:fill="auto"/>
            <w:vAlign w:val="center"/>
          </w:tcPr>
          <w:p w14:paraId="6BEA375E">
            <w:pPr>
              <w:pStyle w:val="34"/>
              <w:bidi w:val="0"/>
              <w:rPr>
                <w:rFonts w:hint="default"/>
                <w:color w:val="auto"/>
              </w:rPr>
            </w:pPr>
            <w:r>
              <w:rPr>
                <w:rFonts w:hint="default"/>
                <w:color w:val="auto"/>
              </w:rPr>
              <w:t>本次废水处理均</w:t>
            </w:r>
            <w:r>
              <w:rPr>
                <w:rFonts w:hint="eastAsia"/>
                <w:color w:val="auto"/>
                <w:lang w:eastAsia="zh-CN"/>
              </w:rPr>
              <w:t>依托</w:t>
            </w:r>
            <w:r>
              <w:rPr>
                <w:rFonts w:hint="default"/>
                <w:color w:val="auto"/>
              </w:rPr>
              <w:t>现有场站处理，已纳入全厂监测计划</w:t>
            </w:r>
          </w:p>
        </w:tc>
        <w:tc>
          <w:tcPr>
            <w:tcW w:w="1691" w:type="dxa"/>
            <w:shd w:val="clear" w:color="auto" w:fill="auto"/>
            <w:vAlign w:val="center"/>
          </w:tcPr>
          <w:p w14:paraId="61DF48F5">
            <w:pPr>
              <w:pStyle w:val="34"/>
              <w:bidi w:val="0"/>
              <w:rPr>
                <w:rFonts w:hint="default" w:eastAsia="宋体"/>
                <w:color w:val="auto"/>
                <w:lang w:val="en-US" w:eastAsia="zh-CN"/>
              </w:rPr>
            </w:pPr>
            <w:r>
              <w:rPr>
                <w:rFonts w:hint="eastAsia"/>
                <w:color w:val="auto"/>
                <w:lang w:val="en-US" w:eastAsia="zh-CN"/>
              </w:rPr>
              <w:t>SS、含油量、平均腐蚀率</w:t>
            </w:r>
          </w:p>
        </w:tc>
        <w:tc>
          <w:tcPr>
            <w:tcW w:w="875" w:type="dxa"/>
            <w:shd w:val="clear" w:color="auto" w:fill="auto"/>
            <w:vAlign w:val="center"/>
          </w:tcPr>
          <w:p w14:paraId="31264BAF">
            <w:pPr>
              <w:pStyle w:val="34"/>
              <w:bidi w:val="0"/>
              <w:rPr>
                <w:rFonts w:hint="default"/>
                <w:color w:val="auto"/>
              </w:rPr>
            </w:pPr>
            <w:r>
              <w:rPr>
                <w:rFonts w:hint="default"/>
                <w:color w:val="auto"/>
              </w:rPr>
              <w:t>/</w:t>
            </w:r>
          </w:p>
        </w:tc>
        <w:tc>
          <w:tcPr>
            <w:tcW w:w="2275" w:type="dxa"/>
            <w:shd w:val="clear" w:color="auto" w:fill="auto"/>
            <w:vAlign w:val="center"/>
          </w:tcPr>
          <w:p w14:paraId="72814C17">
            <w:pPr>
              <w:pStyle w:val="34"/>
              <w:bidi w:val="0"/>
              <w:rPr>
                <w:rFonts w:hint="default"/>
                <w:color w:val="auto"/>
              </w:rPr>
            </w:pPr>
            <w:r>
              <w:rPr>
                <w:rFonts w:hint="default"/>
                <w:color w:val="auto"/>
              </w:rPr>
              <w:t>《碎屑岩油藏注水水质指标技术要求及分析方法》（SY/T5329-2022）</w:t>
            </w:r>
          </w:p>
        </w:tc>
      </w:tr>
      <w:tr w14:paraId="524C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62" w:type="dxa"/>
            <w:vMerge w:val="continue"/>
            <w:shd w:val="clear" w:color="auto" w:fill="auto"/>
            <w:vAlign w:val="center"/>
          </w:tcPr>
          <w:p w14:paraId="00F03AA9">
            <w:pPr>
              <w:pStyle w:val="34"/>
              <w:bidi w:val="0"/>
              <w:rPr>
                <w:rFonts w:hint="default"/>
                <w:color w:val="auto"/>
              </w:rPr>
            </w:pPr>
          </w:p>
        </w:tc>
        <w:tc>
          <w:tcPr>
            <w:tcW w:w="709" w:type="dxa"/>
            <w:shd w:val="clear" w:color="auto" w:fill="auto"/>
            <w:vAlign w:val="center"/>
          </w:tcPr>
          <w:p w14:paraId="1D541659">
            <w:pPr>
              <w:pStyle w:val="34"/>
              <w:bidi w:val="0"/>
              <w:rPr>
                <w:rFonts w:hint="default"/>
                <w:color w:val="auto"/>
              </w:rPr>
            </w:pPr>
            <w:r>
              <w:rPr>
                <w:rFonts w:hint="default"/>
                <w:color w:val="auto"/>
              </w:rPr>
              <w:t>噪声</w:t>
            </w:r>
          </w:p>
        </w:tc>
        <w:tc>
          <w:tcPr>
            <w:tcW w:w="709" w:type="dxa"/>
            <w:shd w:val="clear" w:color="auto" w:fill="auto"/>
            <w:vAlign w:val="center"/>
          </w:tcPr>
          <w:p w14:paraId="42470C90">
            <w:pPr>
              <w:pStyle w:val="34"/>
              <w:bidi w:val="0"/>
              <w:rPr>
                <w:rFonts w:hint="default"/>
                <w:color w:val="auto"/>
              </w:rPr>
            </w:pPr>
            <w:r>
              <w:rPr>
                <w:rFonts w:hint="default"/>
                <w:color w:val="auto"/>
                <w:lang w:eastAsia="zh"/>
              </w:rPr>
              <w:t>厂界</w:t>
            </w:r>
          </w:p>
        </w:tc>
        <w:tc>
          <w:tcPr>
            <w:tcW w:w="1984" w:type="dxa"/>
            <w:shd w:val="clear" w:color="auto" w:fill="auto"/>
            <w:vAlign w:val="center"/>
          </w:tcPr>
          <w:p w14:paraId="0EB28302">
            <w:pPr>
              <w:pStyle w:val="34"/>
              <w:bidi w:val="0"/>
              <w:rPr>
                <w:rFonts w:hint="default"/>
                <w:color w:val="auto"/>
                <w:lang w:val="en-US" w:eastAsia="zh-CN"/>
              </w:rPr>
            </w:pPr>
            <w:r>
              <w:rPr>
                <w:rFonts w:hint="eastAsia"/>
                <w:color w:val="auto"/>
                <w:lang w:val="en-US" w:eastAsia="zh-CN"/>
              </w:rPr>
              <w:t>本工程厂界周围无新增声环境敏感点，站场工程厂界噪声已纳入全厂监测计划</w:t>
            </w:r>
          </w:p>
        </w:tc>
        <w:tc>
          <w:tcPr>
            <w:tcW w:w="1691" w:type="dxa"/>
            <w:shd w:val="clear" w:color="auto" w:fill="auto"/>
            <w:vAlign w:val="center"/>
          </w:tcPr>
          <w:p w14:paraId="1035E1C5">
            <w:pPr>
              <w:pStyle w:val="34"/>
              <w:bidi w:val="0"/>
              <w:rPr>
                <w:rFonts w:hint="default"/>
                <w:color w:val="auto"/>
              </w:rPr>
            </w:pPr>
            <w:r>
              <w:rPr>
                <w:rFonts w:hint="default"/>
                <w:color w:val="auto"/>
              </w:rPr>
              <w:t>Leq（A）</w:t>
            </w:r>
          </w:p>
        </w:tc>
        <w:tc>
          <w:tcPr>
            <w:tcW w:w="875" w:type="dxa"/>
            <w:shd w:val="clear" w:color="auto" w:fill="auto"/>
            <w:vAlign w:val="center"/>
          </w:tcPr>
          <w:p w14:paraId="615A4955">
            <w:pPr>
              <w:pStyle w:val="34"/>
              <w:bidi w:val="0"/>
              <w:rPr>
                <w:rFonts w:hint="default"/>
                <w:color w:val="auto"/>
              </w:rPr>
            </w:pPr>
            <w:r>
              <w:rPr>
                <w:rFonts w:hint="default"/>
                <w:color w:val="auto"/>
              </w:rPr>
              <w:t>1次/季</w:t>
            </w:r>
          </w:p>
        </w:tc>
        <w:tc>
          <w:tcPr>
            <w:tcW w:w="2275" w:type="dxa"/>
            <w:shd w:val="clear" w:color="auto" w:fill="auto"/>
            <w:vAlign w:val="center"/>
          </w:tcPr>
          <w:p w14:paraId="205447E8">
            <w:pPr>
              <w:pStyle w:val="34"/>
              <w:bidi w:val="0"/>
              <w:rPr>
                <w:rFonts w:hint="default"/>
                <w:color w:val="auto"/>
              </w:rPr>
            </w:pPr>
            <w:r>
              <w:rPr>
                <w:rFonts w:hint="default"/>
                <w:color w:val="auto"/>
              </w:rPr>
              <w:t>《工业企业厂界环境噪声排放标准》中2类标准</w:t>
            </w:r>
          </w:p>
        </w:tc>
      </w:tr>
      <w:tr w14:paraId="358D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562" w:type="dxa"/>
            <w:vMerge w:val="continue"/>
            <w:shd w:val="clear" w:color="auto" w:fill="auto"/>
            <w:vAlign w:val="center"/>
          </w:tcPr>
          <w:p w14:paraId="5BA1D8DE">
            <w:pPr>
              <w:pStyle w:val="34"/>
              <w:bidi w:val="0"/>
              <w:rPr>
                <w:rFonts w:hint="default"/>
                <w:color w:val="auto"/>
              </w:rPr>
            </w:pPr>
          </w:p>
        </w:tc>
        <w:tc>
          <w:tcPr>
            <w:tcW w:w="709" w:type="dxa"/>
            <w:shd w:val="clear" w:color="auto" w:fill="auto"/>
            <w:vAlign w:val="center"/>
          </w:tcPr>
          <w:p w14:paraId="1CEC0074">
            <w:pPr>
              <w:pStyle w:val="34"/>
              <w:bidi w:val="0"/>
              <w:rPr>
                <w:rFonts w:hint="default"/>
                <w:color w:val="auto"/>
                <w:lang w:val="en-US" w:eastAsia="zh-CN"/>
              </w:rPr>
            </w:pPr>
            <w:r>
              <w:rPr>
                <w:rFonts w:hint="default"/>
                <w:color w:val="auto"/>
                <w:lang w:val="en-US" w:eastAsia="zh-CN"/>
              </w:rPr>
              <w:t>固废</w:t>
            </w:r>
          </w:p>
        </w:tc>
        <w:tc>
          <w:tcPr>
            <w:tcW w:w="709" w:type="dxa"/>
            <w:shd w:val="clear" w:color="auto" w:fill="auto"/>
            <w:vAlign w:val="center"/>
          </w:tcPr>
          <w:p w14:paraId="1E79932B">
            <w:pPr>
              <w:pStyle w:val="34"/>
              <w:bidi w:val="0"/>
              <w:rPr>
                <w:rFonts w:hint="default"/>
                <w:color w:val="auto"/>
                <w:lang w:val="en-US" w:eastAsia="zh-CN"/>
              </w:rPr>
            </w:pPr>
            <w:r>
              <w:rPr>
                <w:rFonts w:hint="default"/>
                <w:color w:val="auto"/>
                <w:lang w:eastAsia="zh"/>
              </w:rPr>
              <w:t>/</w:t>
            </w:r>
          </w:p>
        </w:tc>
        <w:tc>
          <w:tcPr>
            <w:tcW w:w="1984" w:type="dxa"/>
            <w:shd w:val="clear" w:color="auto" w:fill="auto"/>
            <w:vAlign w:val="center"/>
          </w:tcPr>
          <w:p w14:paraId="3779B3A2">
            <w:pPr>
              <w:pStyle w:val="34"/>
              <w:bidi w:val="0"/>
              <w:rPr>
                <w:rFonts w:hint="default"/>
                <w:color w:val="auto"/>
                <w:lang w:val="en-US" w:eastAsia="zh-CN"/>
              </w:rPr>
            </w:pPr>
            <w:r>
              <w:rPr>
                <w:rFonts w:hint="default"/>
                <w:color w:val="auto"/>
              </w:rPr>
              <w:t>本次</w:t>
            </w:r>
            <w:r>
              <w:rPr>
                <w:rFonts w:hint="eastAsia"/>
                <w:color w:val="auto"/>
                <w:lang w:val="en-US" w:eastAsia="zh-CN"/>
              </w:rPr>
              <w:t>含油</w:t>
            </w:r>
            <w:r>
              <w:rPr>
                <w:rFonts w:hint="default"/>
                <w:color w:val="auto"/>
                <w:lang w:val="en-US" w:eastAsia="zh-CN"/>
              </w:rPr>
              <w:t>污泥暂存</w:t>
            </w:r>
            <w:r>
              <w:rPr>
                <w:rFonts w:hint="default"/>
                <w:color w:val="auto"/>
              </w:rPr>
              <w:t>均依托于现有场站处理，已纳入全厂监测计划</w:t>
            </w:r>
          </w:p>
        </w:tc>
        <w:tc>
          <w:tcPr>
            <w:tcW w:w="1691" w:type="dxa"/>
            <w:shd w:val="clear" w:color="auto" w:fill="auto"/>
            <w:vAlign w:val="center"/>
          </w:tcPr>
          <w:p w14:paraId="3E7ECA65">
            <w:pPr>
              <w:pStyle w:val="34"/>
              <w:bidi w:val="0"/>
              <w:rPr>
                <w:rFonts w:hint="default"/>
                <w:color w:val="auto"/>
              </w:rPr>
            </w:pPr>
            <w:r>
              <w:rPr>
                <w:rFonts w:hint="default"/>
                <w:color w:val="auto"/>
                <w:lang w:val="en-US" w:eastAsia="zh-CN"/>
              </w:rPr>
              <w:t>危险废物暂存点的设置是否满足规范要求</w:t>
            </w:r>
          </w:p>
        </w:tc>
        <w:tc>
          <w:tcPr>
            <w:tcW w:w="875" w:type="dxa"/>
            <w:shd w:val="clear" w:color="auto" w:fill="auto"/>
            <w:vAlign w:val="center"/>
          </w:tcPr>
          <w:p w14:paraId="692286E9">
            <w:pPr>
              <w:pStyle w:val="34"/>
              <w:bidi w:val="0"/>
              <w:rPr>
                <w:rFonts w:hint="default"/>
                <w:color w:val="auto"/>
              </w:rPr>
            </w:pPr>
            <w:r>
              <w:rPr>
                <w:rFonts w:hint="default"/>
                <w:color w:val="auto"/>
              </w:rPr>
              <w:t>/</w:t>
            </w:r>
          </w:p>
        </w:tc>
        <w:tc>
          <w:tcPr>
            <w:tcW w:w="2275" w:type="dxa"/>
            <w:shd w:val="clear" w:color="auto" w:fill="auto"/>
            <w:vAlign w:val="center"/>
          </w:tcPr>
          <w:p w14:paraId="38618312">
            <w:pPr>
              <w:pStyle w:val="34"/>
              <w:bidi w:val="0"/>
              <w:rPr>
                <w:rFonts w:hint="default"/>
                <w:color w:val="auto"/>
              </w:rPr>
            </w:pPr>
            <w:r>
              <w:rPr>
                <w:rFonts w:hint="default"/>
                <w:color w:val="auto"/>
              </w:rPr>
              <w:t>土壤环境质量-建设用地土壤污染风险管控标准（试行）》（GB36600-2018）</w:t>
            </w:r>
            <w:r>
              <w:rPr>
                <w:rFonts w:hint="eastAsia"/>
                <w:color w:val="auto"/>
              </w:rPr>
              <w:t>“第二类用地”筛选标准</w:t>
            </w:r>
          </w:p>
        </w:tc>
      </w:tr>
    </w:tbl>
    <w:p w14:paraId="79E8C143">
      <w:pPr>
        <w:pStyle w:val="33"/>
        <w:bidi w:val="0"/>
        <w:rPr>
          <w:rFonts w:ascii="Times New Roman" w:hAnsi="Times New Roman" w:eastAsia="宋体" w:cs="Times New Roman"/>
          <w:color w:val="auto"/>
          <w:lang w:eastAsia="zh"/>
        </w:rPr>
      </w:pPr>
      <w:r>
        <w:rPr>
          <w:rFonts w:ascii="Times New Roman" w:hAnsi="Times New Roman" w:eastAsia="宋体" w:cs="Times New Roman"/>
          <w:color w:val="auto"/>
        </w:rPr>
        <w:t>（</w:t>
      </w:r>
      <w:r>
        <w:rPr>
          <w:rFonts w:hint="eastAsia" w:ascii="Times New Roman" w:hAnsi="Times New Roman" w:eastAsia="宋体" w:cs="Times New Roman"/>
          <w:color w:val="auto"/>
          <w:lang w:val="en-US" w:eastAsia="zh-CN"/>
        </w:rPr>
        <w:t>3</w:t>
      </w:r>
      <w:r>
        <w:rPr>
          <w:rFonts w:ascii="Times New Roman" w:hAnsi="Times New Roman" w:eastAsia="宋体" w:cs="Times New Roman"/>
          <w:color w:val="auto"/>
        </w:rPr>
        <w:t>）</w:t>
      </w:r>
      <w:r>
        <w:rPr>
          <w:rFonts w:ascii="Times New Roman" w:hAnsi="Times New Roman" w:eastAsia="宋体" w:cs="Times New Roman"/>
          <w:color w:val="auto"/>
          <w:lang w:eastAsia="zh"/>
        </w:rPr>
        <w:t>监测方法</w:t>
      </w:r>
    </w:p>
    <w:p w14:paraId="79A1978C">
      <w:pPr>
        <w:pStyle w:val="33"/>
        <w:bidi w:val="0"/>
        <w:rPr>
          <w:rFonts w:ascii="Times New Roman" w:hAnsi="Times New Roman" w:eastAsia="宋体" w:cs="Times New Roman"/>
          <w:color w:val="auto"/>
        </w:rPr>
      </w:pPr>
      <w:r>
        <w:rPr>
          <w:rFonts w:ascii="Times New Roman" w:hAnsi="Times New Roman" w:eastAsia="宋体" w:cs="Times New Roman"/>
          <w:color w:val="auto"/>
        </w:rPr>
        <w:t>污染源监测采样、样品保存分析方法应严格按照国家环保部门编制的《空气和废气监测分析方法</w:t>
      </w:r>
      <w:r>
        <w:rPr>
          <w:rFonts w:hint="eastAsia" w:cs="Times New Roman"/>
          <w:color w:val="auto"/>
          <w:lang w:eastAsia="zh-CN"/>
        </w:rPr>
        <w:t>》《</w:t>
      </w:r>
      <w:r>
        <w:rPr>
          <w:rFonts w:ascii="Times New Roman" w:hAnsi="Times New Roman" w:eastAsia="宋体" w:cs="Times New Roman"/>
          <w:color w:val="auto"/>
        </w:rPr>
        <w:t>水和废水监测分析方法</w:t>
      </w:r>
      <w:r>
        <w:rPr>
          <w:rFonts w:hint="eastAsia" w:cs="Times New Roman"/>
          <w:color w:val="auto"/>
          <w:lang w:eastAsia="zh-CN"/>
        </w:rPr>
        <w:t>》《</w:t>
      </w:r>
      <w:r>
        <w:rPr>
          <w:rFonts w:ascii="Times New Roman" w:hAnsi="Times New Roman" w:eastAsia="宋体" w:cs="Times New Roman"/>
          <w:color w:val="auto"/>
        </w:rPr>
        <w:t>地下水环境监测技术规范</w:t>
      </w:r>
      <w:r>
        <w:rPr>
          <w:rFonts w:hint="eastAsia" w:cs="Times New Roman"/>
          <w:color w:val="auto"/>
          <w:lang w:eastAsia="zh-CN"/>
        </w:rPr>
        <w:t>》《</w:t>
      </w:r>
      <w:r>
        <w:rPr>
          <w:rFonts w:ascii="Times New Roman" w:hAnsi="Times New Roman" w:eastAsia="宋体" w:cs="Times New Roman"/>
          <w:color w:val="auto"/>
        </w:rPr>
        <w:t>工业企业厂界环境噪声排放标准》等监测技术规范要求执行。</w:t>
      </w:r>
    </w:p>
    <w:p w14:paraId="234D7ACF">
      <w:pPr>
        <w:pStyle w:val="2"/>
        <w:bidi w:val="0"/>
        <w:rPr>
          <w:rFonts w:hint="default"/>
          <w:color w:val="auto"/>
          <w:lang w:val="en-US" w:eastAsia="zh-CN"/>
        </w:rPr>
      </w:pPr>
      <w:bookmarkStart w:id="357" w:name="_Toc8418"/>
      <w:r>
        <w:rPr>
          <w:rFonts w:hint="eastAsia"/>
          <w:color w:val="auto"/>
          <w:lang w:val="en-US" w:eastAsia="zh-CN"/>
        </w:rPr>
        <w:t>8.4竣工环保验收</w:t>
      </w:r>
      <w:bookmarkEnd w:id="357"/>
    </w:p>
    <w:p w14:paraId="6767CB5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（1）环境工程设计</w:t>
      </w:r>
    </w:p>
    <w:p w14:paraId="05DE4CB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①必须按照环评文件及批复要求，落实项目环境工程设计，确保“三废”稳定达标排放；按要求制定环境风险事故应急预案。</w:t>
      </w:r>
    </w:p>
    <w:p w14:paraId="1669676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②建立健全环境管理组织机构、各项环保规章制度。</w:t>
      </w:r>
    </w:p>
    <w:p w14:paraId="74942B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③项目污染防治设施必须与主体工程“三同时”。</w:t>
      </w:r>
    </w:p>
    <w:p w14:paraId="6CBAF1E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（2）环境设施验收建议</w:t>
      </w:r>
    </w:p>
    <w:p w14:paraId="0A85385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①验收范围</w:t>
      </w:r>
    </w:p>
    <w:p w14:paraId="0A050D1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与项目有关的各项环保设施，包括为防治污染和保护环境所配套建成的治理工程、设备和装置，以及各项生态保护设施等；环评文件及批复文件和有关设计文件规定应采取的环保措施。</w:t>
      </w:r>
    </w:p>
    <w:p w14:paraId="3E56A88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②验收条件</w:t>
      </w:r>
    </w:p>
    <w:p w14:paraId="2EE635C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根据《建设项目环境保护管理条例》（国务院令</w:t>
      </w:r>
      <w:r>
        <w:rPr>
          <w:rFonts w:hint="default" w:ascii="Times New Roman" w:hAnsi="Times New Roman" w:eastAsia="宋体" w:cs="Times New Roman"/>
          <w:color w:val="auto"/>
          <w:sz w:val="24"/>
          <w:szCs w:val="24"/>
        </w:rPr>
        <w:t>682</w:t>
      </w:r>
      <w:r>
        <w:rPr>
          <w:rFonts w:ascii="宋体" w:hAnsi="宋体" w:eastAsia="宋体" w:cs="宋体"/>
          <w:color w:val="auto"/>
          <w:sz w:val="24"/>
          <w:szCs w:val="24"/>
        </w:rPr>
        <w:t>号）中有关规定，编制环境影响报告书、环境影响报告表的建设项目竣工后，</w:t>
      </w:r>
      <w:r>
        <w:rPr>
          <w:rFonts w:hint="eastAsia" w:ascii="宋体" w:hAnsi="宋体" w:eastAsia="宋体" w:cs="宋体"/>
          <w:color w:val="auto"/>
          <w:sz w:val="24"/>
          <w:szCs w:val="24"/>
          <w:lang w:val="en-US" w:eastAsia="zh-CN"/>
        </w:rPr>
        <w:t>建设单位</w:t>
      </w:r>
      <w:r>
        <w:rPr>
          <w:rFonts w:ascii="宋体" w:hAnsi="宋体" w:eastAsia="宋体" w:cs="宋体"/>
          <w:color w:val="auto"/>
          <w:sz w:val="24"/>
          <w:szCs w:val="24"/>
        </w:rPr>
        <w:t>应当按照生态环境部规定的标准和程序，对配套建设的环境保护设施进行验收，编制验收报告。在环境保护设施验收过程中，应当如实查验、监测、记载建设项目环境保护设施的建设和调试情况，不得弄虚作假。</w:t>
      </w:r>
    </w:p>
    <w:p w14:paraId="0805D4F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hint="eastAsia" w:ascii="宋体" w:hAnsi="宋体" w:eastAsia="宋体" w:cs="宋体"/>
          <w:color w:val="auto"/>
          <w:sz w:val="24"/>
          <w:szCs w:val="24"/>
          <w:lang w:val="en-US" w:eastAsia="zh-CN"/>
        </w:rPr>
        <w:t>建设单位</w:t>
      </w:r>
      <w:r>
        <w:rPr>
          <w:rFonts w:ascii="宋体" w:hAnsi="宋体" w:eastAsia="宋体" w:cs="宋体"/>
          <w:color w:val="auto"/>
          <w:sz w:val="24"/>
          <w:szCs w:val="24"/>
        </w:rPr>
        <w:t>对项目进行自主验收，或者其委托的第三方技术机构应当依照国家有关法律法规及相关技术规范等要求，编制竣工环境保护验收报告，验收报告编制完成后，应组织成立验收工作组。除按照国家规定需要保密的情形外，应当依法向社会公开验收报告。编制环境影响报告书的建设项目，其配套建设的环境保护设施经验收合格，方可投入生产或者使用；未经验收或者验收不合格的，不得投入生产或者使用。</w:t>
      </w:r>
    </w:p>
    <w:p w14:paraId="2FC3A1C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③建设项目环境保护“三同时”验收内容</w:t>
      </w:r>
    </w:p>
    <w:p w14:paraId="13F8E2D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8"/>
          <w:lang w:val="en-US" w:eastAsia="zh-CN"/>
        </w:rPr>
      </w:pPr>
      <w:r>
        <w:rPr>
          <w:rFonts w:ascii="宋体" w:hAnsi="宋体" w:eastAsia="宋体" w:cs="宋体"/>
          <w:color w:val="auto"/>
          <w:sz w:val="24"/>
          <w:szCs w:val="24"/>
        </w:rPr>
        <w:t>根据建设项目“三同时”原则，在项目建设过程中，环境污染防治设施与主体工程同时设计、同时施工、同时投入使用，拟建项目建成运行时，应对环保设施进行验收</w:t>
      </w:r>
      <w:r>
        <w:rPr>
          <w:rFonts w:hint="eastAsia" w:ascii="宋体" w:hAnsi="宋体" w:eastAsia="宋体" w:cs="宋体"/>
          <w:color w:val="auto"/>
          <w:sz w:val="24"/>
          <w:szCs w:val="24"/>
          <w:lang w:eastAsia="zh-CN"/>
        </w:rPr>
        <w:t>。</w:t>
      </w:r>
    </w:p>
    <w:p w14:paraId="4D3E1FFB">
      <w:pPr>
        <w:pStyle w:val="11"/>
        <w:keepNext w:val="0"/>
        <w:keepLines w:val="0"/>
        <w:pageBreakBefore w:val="0"/>
        <w:widowControl/>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环境保护验收调查建议清单见表8.4-1。</w:t>
      </w:r>
    </w:p>
    <w:p w14:paraId="4301D5C5">
      <w:pPr>
        <w:pStyle w:val="32"/>
        <w:bidi w:val="0"/>
        <w:rPr>
          <w:rFonts w:hint="default"/>
          <w:color w:val="auto"/>
          <w:lang w:val="en-US" w:eastAsia="zh-CN"/>
        </w:rPr>
      </w:pPr>
      <w:r>
        <w:rPr>
          <w:rFonts w:hint="eastAsia"/>
          <w:color w:val="auto"/>
          <w:lang w:val="en-US" w:eastAsia="zh-CN"/>
        </w:rPr>
        <w:t>表8.4-1  环境保护竣工验收调查清单一览表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061"/>
        <w:gridCol w:w="1300"/>
        <w:gridCol w:w="2543"/>
        <w:gridCol w:w="2933"/>
      </w:tblGrid>
      <w:tr w14:paraId="3DE3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Align w:val="center"/>
          </w:tcPr>
          <w:p w14:paraId="4FB6C976">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分类</w:t>
            </w:r>
          </w:p>
        </w:tc>
        <w:tc>
          <w:tcPr>
            <w:tcW w:w="1061" w:type="dxa"/>
            <w:vAlign w:val="center"/>
          </w:tcPr>
          <w:p w14:paraId="5062446C">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污染类别</w:t>
            </w:r>
          </w:p>
        </w:tc>
        <w:tc>
          <w:tcPr>
            <w:tcW w:w="1300" w:type="dxa"/>
            <w:vAlign w:val="center"/>
          </w:tcPr>
          <w:p w14:paraId="5CB8FDB0">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污染源</w:t>
            </w:r>
          </w:p>
        </w:tc>
        <w:tc>
          <w:tcPr>
            <w:tcW w:w="2543" w:type="dxa"/>
            <w:vAlign w:val="center"/>
          </w:tcPr>
          <w:p w14:paraId="6843BF85">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防治措施</w:t>
            </w:r>
          </w:p>
        </w:tc>
        <w:tc>
          <w:tcPr>
            <w:tcW w:w="2933" w:type="dxa"/>
            <w:vAlign w:val="center"/>
          </w:tcPr>
          <w:p w14:paraId="2B300562">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验收标准</w:t>
            </w:r>
          </w:p>
        </w:tc>
      </w:tr>
      <w:tr w14:paraId="4B29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restart"/>
            <w:vAlign w:val="center"/>
          </w:tcPr>
          <w:p w14:paraId="5A35BD43">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w:t>
            </w:r>
          </w:p>
        </w:tc>
        <w:tc>
          <w:tcPr>
            <w:tcW w:w="1061" w:type="dxa"/>
            <w:vMerge w:val="restart"/>
            <w:vAlign w:val="center"/>
          </w:tcPr>
          <w:p w14:paraId="57AD3445">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w:t>
            </w:r>
          </w:p>
        </w:tc>
        <w:tc>
          <w:tcPr>
            <w:tcW w:w="1300" w:type="dxa"/>
            <w:vAlign w:val="center"/>
          </w:tcPr>
          <w:p w14:paraId="2E0B0B7B">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扬尘</w:t>
            </w:r>
          </w:p>
        </w:tc>
        <w:tc>
          <w:tcPr>
            <w:tcW w:w="2543" w:type="dxa"/>
            <w:vAlign w:val="center"/>
          </w:tcPr>
          <w:p w14:paraId="7FF5060F">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降低车速，遮盖，洒水抑尘等</w:t>
            </w:r>
          </w:p>
        </w:tc>
        <w:tc>
          <w:tcPr>
            <w:tcW w:w="2933" w:type="dxa"/>
            <w:vAlign w:val="center"/>
          </w:tcPr>
          <w:p w14:paraId="1A5BEE9A">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 w:val="21"/>
                <w:szCs w:val="21"/>
                <w:vertAlign w:val="baseline"/>
                <w:lang w:eastAsia="zh-CN"/>
              </w:rPr>
              <w:t>《</w:t>
            </w:r>
            <w:r>
              <w:rPr>
                <w:rFonts w:hint="eastAsia"/>
                <w:color w:val="auto"/>
                <w:sz w:val="21"/>
                <w:szCs w:val="21"/>
                <w:vertAlign w:val="baseline"/>
                <w:lang w:val="en-US" w:eastAsia="zh-CN"/>
              </w:rPr>
              <w:t>大气污染物综合排放标准</w:t>
            </w:r>
            <w:r>
              <w:rPr>
                <w:rFonts w:hint="eastAsia"/>
                <w:color w:val="auto"/>
                <w:sz w:val="21"/>
                <w:szCs w:val="21"/>
                <w:vertAlign w:val="baseline"/>
                <w:lang w:eastAsia="zh-CN"/>
              </w:rPr>
              <w:t>》（</w:t>
            </w:r>
            <w:r>
              <w:rPr>
                <w:rFonts w:hint="eastAsia"/>
                <w:color w:val="auto"/>
                <w:sz w:val="21"/>
                <w:szCs w:val="21"/>
                <w:vertAlign w:val="baseline"/>
                <w:lang w:val="en-US" w:eastAsia="zh-CN"/>
              </w:rPr>
              <w:t>GB16297-1996</w:t>
            </w:r>
            <w:r>
              <w:rPr>
                <w:rFonts w:hint="eastAsia"/>
                <w:color w:val="auto"/>
                <w:sz w:val="21"/>
                <w:szCs w:val="21"/>
                <w:vertAlign w:val="baseline"/>
                <w:lang w:eastAsia="zh-CN"/>
              </w:rPr>
              <w:t>）</w:t>
            </w:r>
          </w:p>
        </w:tc>
      </w:tr>
      <w:tr w14:paraId="2D93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4A5589F8">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Merge w:val="continue"/>
            <w:vAlign w:val="center"/>
          </w:tcPr>
          <w:p w14:paraId="3921ED3C">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300" w:type="dxa"/>
            <w:vAlign w:val="center"/>
          </w:tcPr>
          <w:p w14:paraId="3E71DCE6">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机械废气、车辆尾气、焊接烟尘</w:t>
            </w:r>
          </w:p>
        </w:tc>
        <w:tc>
          <w:tcPr>
            <w:tcW w:w="2543" w:type="dxa"/>
            <w:vAlign w:val="center"/>
          </w:tcPr>
          <w:p w14:paraId="12D3929A">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使用合格的油品，设备进行维护和保养</w:t>
            </w:r>
          </w:p>
        </w:tc>
        <w:tc>
          <w:tcPr>
            <w:tcW w:w="2933" w:type="dxa"/>
            <w:vAlign w:val="center"/>
          </w:tcPr>
          <w:p w14:paraId="43769282">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67E2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1FB67B31">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Align w:val="center"/>
          </w:tcPr>
          <w:p w14:paraId="4D7B2F74">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1300" w:type="dxa"/>
            <w:vAlign w:val="center"/>
          </w:tcPr>
          <w:p w14:paraId="5F6D92A0">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试压废水</w:t>
            </w:r>
          </w:p>
        </w:tc>
        <w:tc>
          <w:tcPr>
            <w:tcW w:w="2543" w:type="dxa"/>
            <w:vAlign w:val="center"/>
          </w:tcPr>
          <w:p w14:paraId="2F248EA9">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进百联站采出水处理系统处理达标后回注</w:t>
            </w:r>
          </w:p>
        </w:tc>
        <w:tc>
          <w:tcPr>
            <w:tcW w:w="2933" w:type="dxa"/>
            <w:vAlign w:val="center"/>
          </w:tcPr>
          <w:p w14:paraId="600E370D">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废水妥善处置</w:t>
            </w:r>
          </w:p>
        </w:tc>
      </w:tr>
      <w:tr w14:paraId="7CDC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6A7D2C9E">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Align w:val="center"/>
          </w:tcPr>
          <w:p w14:paraId="03C0F0B2">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噪声</w:t>
            </w:r>
          </w:p>
        </w:tc>
        <w:tc>
          <w:tcPr>
            <w:tcW w:w="1300" w:type="dxa"/>
            <w:vAlign w:val="center"/>
          </w:tcPr>
          <w:p w14:paraId="2844480F">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施工噪声</w:t>
            </w:r>
          </w:p>
        </w:tc>
        <w:tc>
          <w:tcPr>
            <w:tcW w:w="2543" w:type="dxa"/>
            <w:vAlign w:val="center"/>
          </w:tcPr>
          <w:p w14:paraId="247EF530">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选用低噪声设备，定期维护和保养</w:t>
            </w:r>
          </w:p>
        </w:tc>
        <w:tc>
          <w:tcPr>
            <w:tcW w:w="2933" w:type="dxa"/>
            <w:vAlign w:val="center"/>
          </w:tcPr>
          <w:p w14:paraId="632937E3">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《建筑施工场界环境噪声排放标准》（GB12523-2011）</w:t>
            </w:r>
          </w:p>
        </w:tc>
      </w:tr>
      <w:tr w14:paraId="7363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309F94FB">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Align w:val="center"/>
          </w:tcPr>
          <w:p w14:paraId="09759638">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固废</w:t>
            </w:r>
          </w:p>
        </w:tc>
        <w:tc>
          <w:tcPr>
            <w:tcW w:w="1300" w:type="dxa"/>
            <w:vAlign w:val="center"/>
          </w:tcPr>
          <w:p w14:paraId="2692AEE5">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施工废料</w:t>
            </w:r>
          </w:p>
        </w:tc>
        <w:tc>
          <w:tcPr>
            <w:tcW w:w="2543" w:type="dxa"/>
            <w:vAlign w:val="center"/>
          </w:tcPr>
          <w:p w14:paraId="1BC03741">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集中收集后送至乌尔禾建筑垃圾填埋场</w:t>
            </w:r>
          </w:p>
        </w:tc>
        <w:tc>
          <w:tcPr>
            <w:tcW w:w="2933" w:type="dxa"/>
            <w:vAlign w:val="center"/>
          </w:tcPr>
          <w:p w14:paraId="253A27BD">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转运记录清晰，处置率100%</w:t>
            </w:r>
          </w:p>
        </w:tc>
      </w:tr>
      <w:tr w14:paraId="2EB7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00D1D5B8">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Merge w:val="restart"/>
            <w:vAlign w:val="center"/>
          </w:tcPr>
          <w:p w14:paraId="3CB7FCB8">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w:t>
            </w:r>
          </w:p>
        </w:tc>
        <w:tc>
          <w:tcPr>
            <w:tcW w:w="1300" w:type="dxa"/>
            <w:vAlign w:val="center"/>
          </w:tcPr>
          <w:p w14:paraId="7B496D49">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生态恢复</w:t>
            </w:r>
          </w:p>
        </w:tc>
        <w:tc>
          <w:tcPr>
            <w:tcW w:w="2543" w:type="dxa"/>
            <w:vAlign w:val="center"/>
          </w:tcPr>
          <w:p w14:paraId="4E6AD315">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临时占地植被恢复</w:t>
            </w:r>
          </w:p>
        </w:tc>
        <w:tc>
          <w:tcPr>
            <w:tcW w:w="2933" w:type="dxa"/>
            <w:vAlign w:val="center"/>
          </w:tcPr>
          <w:p w14:paraId="6E4D2CA5">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植被恢复率达到90%以上</w:t>
            </w:r>
          </w:p>
        </w:tc>
      </w:tr>
      <w:tr w14:paraId="3CE5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770755B2">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Merge w:val="continue"/>
            <w:vAlign w:val="center"/>
          </w:tcPr>
          <w:p w14:paraId="726B0691">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300" w:type="dxa"/>
            <w:vAlign w:val="center"/>
          </w:tcPr>
          <w:p w14:paraId="085C8B7F">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占地情况</w:t>
            </w:r>
          </w:p>
        </w:tc>
        <w:tc>
          <w:tcPr>
            <w:tcW w:w="2543" w:type="dxa"/>
            <w:vAlign w:val="center"/>
          </w:tcPr>
          <w:p w14:paraId="43A0DB78">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根据征地文件进行经济补偿</w:t>
            </w:r>
          </w:p>
        </w:tc>
        <w:tc>
          <w:tcPr>
            <w:tcW w:w="2933" w:type="dxa"/>
            <w:vAlign w:val="center"/>
          </w:tcPr>
          <w:p w14:paraId="52761CEE">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查阅征地文件及相关经济补偿资料</w:t>
            </w:r>
          </w:p>
        </w:tc>
      </w:tr>
      <w:tr w14:paraId="1C98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restart"/>
            <w:vAlign w:val="center"/>
          </w:tcPr>
          <w:p w14:paraId="78DE1929">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运营期</w:t>
            </w:r>
          </w:p>
        </w:tc>
        <w:tc>
          <w:tcPr>
            <w:tcW w:w="1061" w:type="dxa"/>
            <w:vAlign w:val="center"/>
          </w:tcPr>
          <w:p w14:paraId="5D2DFFBA">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w:t>
            </w:r>
          </w:p>
        </w:tc>
        <w:tc>
          <w:tcPr>
            <w:tcW w:w="1300" w:type="dxa"/>
            <w:vAlign w:val="center"/>
          </w:tcPr>
          <w:p w14:paraId="7679804E">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非甲烷总烃</w:t>
            </w:r>
          </w:p>
        </w:tc>
        <w:tc>
          <w:tcPr>
            <w:tcW w:w="2543" w:type="dxa"/>
            <w:vAlign w:val="center"/>
          </w:tcPr>
          <w:p w14:paraId="5DD62F91">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密闭集输，伴生气综合利用</w:t>
            </w:r>
          </w:p>
        </w:tc>
        <w:tc>
          <w:tcPr>
            <w:tcW w:w="2933" w:type="dxa"/>
            <w:vAlign w:val="center"/>
          </w:tcPr>
          <w:p w14:paraId="5E7D98F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 w:val="21"/>
                <w:szCs w:val="21"/>
                <w:vertAlign w:val="baseline"/>
                <w:lang w:val="en-US" w:eastAsia="zh-CN"/>
              </w:rPr>
              <w:t>《陆上石油天然气开采工业大气污染物排放标准》（GB39728-2020）企业边界污染物控制要求</w:t>
            </w:r>
          </w:p>
        </w:tc>
      </w:tr>
      <w:tr w14:paraId="34C4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3E60271D">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Merge w:val="restart"/>
            <w:vAlign w:val="center"/>
          </w:tcPr>
          <w:p w14:paraId="7D47C258">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1300" w:type="dxa"/>
            <w:vAlign w:val="center"/>
          </w:tcPr>
          <w:p w14:paraId="2C5BB8BD">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采出水</w:t>
            </w:r>
          </w:p>
        </w:tc>
        <w:tc>
          <w:tcPr>
            <w:tcW w:w="2543" w:type="dxa"/>
            <w:vMerge w:val="restart"/>
            <w:vAlign w:val="center"/>
          </w:tcPr>
          <w:p w14:paraId="33A5CF49">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依托油区现有采出水处理设施处理达标后回用</w:t>
            </w:r>
          </w:p>
        </w:tc>
        <w:tc>
          <w:tcPr>
            <w:tcW w:w="2933" w:type="dxa"/>
            <w:vMerge w:val="restart"/>
            <w:vAlign w:val="center"/>
          </w:tcPr>
          <w:p w14:paraId="7433B21D">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经处理后废水妥善处置</w:t>
            </w:r>
          </w:p>
        </w:tc>
      </w:tr>
      <w:tr w14:paraId="427B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0CAEC363">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Merge w:val="continue"/>
            <w:vAlign w:val="center"/>
          </w:tcPr>
          <w:p w14:paraId="7F47C17F">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300" w:type="dxa"/>
            <w:vAlign w:val="center"/>
          </w:tcPr>
          <w:p w14:paraId="1E6E3B15">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井下作业废水</w:t>
            </w:r>
          </w:p>
        </w:tc>
        <w:tc>
          <w:tcPr>
            <w:tcW w:w="2543" w:type="dxa"/>
            <w:vMerge w:val="continue"/>
            <w:vAlign w:val="center"/>
          </w:tcPr>
          <w:p w14:paraId="4BEDE1DF">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2933" w:type="dxa"/>
            <w:vMerge w:val="continue"/>
            <w:vAlign w:val="center"/>
          </w:tcPr>
          <w:p w14:paraId="64DCFD1C">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r>
      <w:tr w14:paraId="208E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004C8302">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Align w:val="center"/>
          </w:tcPr>
          <w:p w14:paraId="268F2D98">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噪声</w:t>
            </w:r>
          </w:p>
        </w:tc>
        <w:tc>
          <w:tcPr>
            <w:tcW w:w="1300" w:type="dxa"/>
            <w:vAlign w:val="center"/>
          </w:tcPr>
          <w:p w14:paraId="0B2388CB">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设备</w:t>
            </w:r>
          </w:p>
        </w:tc>
        <w:tc>
          <w:tcPr>
            <w:tcW w:w="2543" w:type="dxa"/>
            <w:vAlign w:val="center"/>
          </w:tcPr>
          <w:p w14:paraId="2122CDD4">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低噪声设备、基础减振，定期维护和保养</w:t>
            </w:r>
          </w:p>
        </w:tc>
        <w:tc>
          <w:tcPr>
            <w:tcW w:w="2933" w:type="dxa"/>
            <w:vAlign w:val="center"/>
          </w:tcPr>
          <w:p w14:paraId="5C3916F2">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b w:val="0"/>
                <w:bCs w:val="0"/>
                <w:color w:val="auto"/>
                <w:sz w:val="21"/>
                <w:szCs w:val="21"/>
                <w:vertAlign w:val="baseline"/>
                <w:lang w:val="en-US" w:eastAsia="zh-CN"/>
              </w:rPr>
              <w:t>《工业企业厂界环境噪声排放标准》（GB12348-2008）2类限值要求</w:t>
            </w:r>
          </w:p>
        </w:tc>
      </w:tr>
      <w:tr w14:paraId="2228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254BFB91">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Merge w:val="restart"/>
            <w:vAlign w:val="center"/>
          </w:tcPr>
          <w:p w14:paraId="16A63382">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固废</w:t>
            </w:r>
          </w:p>
        </w:tc>
        <w:tc>
          <w:tcPr>
            <w:tcW w:w="1300" w:type="dxa"/>
            <w:vAlign w:val="center"/>
          </w:tcPr>
          <w:p w14:paraId="7F8AF0D7">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含油污泥</w:t>
            </w:r>
          </w:p>
        </w:tc>
        <w:tc>
          <w:tcPr>
            <w:tcW w:w="2543" w:type="dxa"/>
            <w:vMerge w:val="restart"/>
            <w:vAlign w:val="center"/>
          </w:tcPr>
          <w:p w14:paraId="2A182EA5">
            <w:pPr>
              <w:pStyle w:val="1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收集后定期交有资质的单位处置</w:t>
            </w:r>
          </w:p>
        </w:tc>
        <w:tc>
          <w:tcPr>
            <w:tcW w:w="2933" w:type="dxa"/>
            <w:vMerge w:val="restart"/>
            <w:vAlign w:val="center"/>
          </w:tcPr>
          <w:p w14:paraId="010A1D60">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查看转移联单，交有资质的单位处置</w:t>
            </w:r>
          </w:p>
        </w:tc>
      </w:tr>
      <w:tr w14:paraId="5F3C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5353A5E8">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Merge w:val="continue"/>
            <w:vAlign w:val="center"/>
          </w:tcPr>
          <w:p w14:paraId="0591CB43">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300" w:type="dxa"/>
            <w:vAlign w:val="center"/>
          </w:tcPr>
          <w:p w14:paraId="7D880168">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落地油</w:t>
            </w:r>
          </w:p>
        </w:tc>
        <w:tc>
          <w:tcPr>
            <w:tcW w:w="2543" w:type="dxa"/>
            <w:vMerge w:val="continue"/>
            <w:vAlign w:val="center"/>
          </w:tcPr>
          <w:p w14:paraId="59CDE8D3">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2933" w:type="dxa"/>
            <w:vMerge w:val="continue"/>
            <w:vAlign w:val="center"/>
          </w:tcPr>
          <w:p w14:paraId="4AD03984">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b w:val="0"/>
                <w:bCs w:val="0"/>
                <w:color w:val="auto"/>
                <w:sz w:val="21"/>
                <w:szCs w:val="21"/>
                <w:vertAlign w:val="baseline"/>
                <w:lang w:val="en-US" w:eastAsia="zh-CN"/>
              </w:rPr>
            </w:pPr>
          </w:p>
        </w:tc>
      </w:tr>
      <w:tr w14:paraId="4CE0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6C29165B">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61" w:type="dxa"/>
            <w:vMerge w:val="continue"/>
            <w:vAlign w:val="center"/>
          </w:tcPr>
          <w:p w14:paraId="603DC5DB">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300" w:type="dxa"/>
            <w:vAlign w:val="center"/>
          </w:tcPr>
          <w:p w14:paraId="4B09BB93">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沾油废物</w:t>
            </w:r>
          </w:p>
        </w:tc>
        <w:tc>
          <w:tcPr>
            <w:tcW w:w="2543" w:type="dxa"/>
            <w:vMerge w:val="continue"/>
            <w:vAlign w:val="center"/>
          </w:tcPr>
          <w:p w14:paraId="5311C014">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2933" w:type="dxa"/>
            <w:vMerge w:val="continue"/>
            <w:vAlign w:val="center"/>
          </w:tcPr>
          <w:p w14:paraId="66228440">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b w:val="0"/>
                <w:bCs w:val="0"/>
                <w:color w:val="auto"/>
                <w:sz w:val="21"/>
                <w:szCs w:val="21"/>
                <w:vertAlign w:val="baseline"/>
                <w:lang w:val="en-US" w:eastAsia="zh-CN"/>
              </w:rPr>
            </w:pPr>
          </w:p>
        </w:tc>
      </w:tr>
      <w:tr w14:paraId="7DE1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Merge w:val="continue"/>
            <w:vAlign w:val="center"/>
          </w:tcPr>
          <w:p w14:paraId="2B4F9930">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2361" w:type="dxa"/>
            <w:gridSpan w:val="2"/>
            <w:vAlign w:val="center"/>
          </w:tcPr>
          <w:p w14:paraId="70F82F0C">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环境风险</w:t>
            </w:r>
          </w:p>
        </w:tc>
        <w:tc>
          <w:tcPr>
            <w:tcW w:w="2543" w:type="dxa"/>
            <w:vAlign w:val="center"/>
          </w:tcPr>
          <w:p w14:paraId="147469D2">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制定、修订环境风险应急预案，储备应急物资，定期进行演练</w:t>
            </w:r>
          </w:p>
        </w:tc>
        <w:tc>
          <w:tcPr>
            <w:tcW w:w="2933" w:type="dxa"/>
            <w:vAlign w:val="center"/>
          </w:tcPr>
          <w:p w14:paraId="2EDBB37E">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按要求进行配备应急物资，查阅演练记录</w:t>
            </w:r>
          </w:p>
        </w:tc>
      </w:tr>
      <w:tr w14:paraId="080A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46" w:type="dxa"/>
            <w:gridSpan w:val="3"/>
            <w:vAlign w:val="center"/>
          </w:tcPr>
          <w:p w14:paraId="52BE73E6">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环境管理</w:t>
            </w:r>
          </w:p>
        </w:tc>
        <w:tc>
          <w:tcPr>
            <w:tcW w:w="5476" w:type="dxa"/>
            <w:gridSpan w:val="2"/>
            <w:vAlign w:val="center"/>
          </w:tcPr>
          <w:p w14:paraId="1FD9BE04">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both"/>
              <w:textAlignment w:val="auto"/>
              <w:rPr>
                <w:rFonts w:hint="eastAsia" w:eastAsia="宋体"/>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建立健全施工期环境保护各项管理制度</w:t>
            </w:r>
            <w:r>
              <w:rPr>
                <w:rFonts w:hint="eastAsia"/>
                <w:b w:val="0"/>
                <w:bCs w:val="0"/>
                <w:color w:val="auto"/>
                <w:sz w:val="21"/>
                <w:szCs w:val="21"/>
                <w:vertAlign w:val="baseline"/>
                <w:lang w:val="en-US" w:eastAsia="zh-CN"/>
              </w:rPr>
              <w:t>，施工期是否有相应的环保措施资料（例如：影像资料）；</w:t>
            </w:r>
            <w:r>
              <w:rPr>
                <w:rFonts w:ascii="宋体" w:hAnsi="宋体" w:eastAsia="宋体" w:cs="宋体"/>
                <w:color w:val="auto"/>
                <w:sz w:val="21"/>
                <w:szCs w:val="21"/>
              </w:rPr>
              <w:t>根据《建设项目环境影响后评价管理办法(试行)</w:t>
            </w:r>
            <w:r>
              <w:rPr>
                <w:rFonts w:hint="eastAsia" w:ascii="宋体" w:hAnsi="宋体" w:cs="宋体"/>
                <w:color w:val="auto"/>
                <w:sz w:val="21"/>
                <w:szCs w:val="21"/>
                <w:lang w:eastAsia="zh-CN"/>
              </w:rPr>
              <w:t>》《</w:t>
            </w:r>
            <w:r>
              <w:rPr>
                <w:rFonts w:ascii="宋体" w:hAnsi="宋体" w:eastAsia="宋体" w:cs="宋体"/>
                <w:color w:val="auto"/>
                <w:sz w:val="21"/>
                <w:szCs w:val="21"/>
              </w:rPr>
              <w:t>关于进一步加强和规范油气田开发项目环境保护管理工作的通知》等文件组织开展环境影响后评价</w:t>
            </w:r>
          </w:p>
        </w:tc>
      </w:tr>
      <w:tr w14:paraId="2EC4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46" w:type="dxa"/>
            <w:gridSpan w:val="3"/>
            <w:vAlign w:val="center"/>
          </w:tcPr>
          <w:p w14:paraId="575703E6">
            <w:pPr>
              <w:pStyle w:val="11"/>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服务期满</w:t>
            </w:r>
          </w:p>
        </w:tc>
        <w:tc>
          <w:tcPr>
            <w:tcW w:w="5476" w:type="dxa"/>
            <w:gridSpan w:val="2"/>
            <w:vAlign w:val="center"/>
          </w:tcPr>
          <w:p w14:paraId="7B40C959">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b w:val="0"/>
                <w:bCs w:val="0"/>
                <w:color w:val="auto"/>
                <w:sz w:val="21"/>
                <w:szCs w:val="21"/>
                <w:vertAlign w:val="baseline"/>
                <w:lang w:val="en-US" w:eastAsia="zh-CN"/>
              </w:rPr>
            </w:pPr>
            <w:r>
              <w:rPr>
                <w:rFonts w:hint="default" w:ascii="Times New Roman" w:hAnsi="Times New Roman" w:eastAsia="宋体" w:cs="Times New Roman"/>
                <w:color w:val="auto"/>
                <w:sz w:val="21"/>
                <w:szCs w:val="21"/>
              </w:rPr>
              <w:t>按照《废弃井封井回填技术指南（试行）》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环办土壤函〔2020〕72号</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对废弃井</w:t>
            </w:r>
            <w:r>
              <w:rPr>
                <w:rFonts w:hint="default" w:ascii="Times New Roman" w:hAnsi="Times New Roman" w:eastAsia="宋体" w:cs="Times New Roman"/>
                <w:color w:val="auto"/>
                <w:sz w:val="21"/>
                <w:szCs w:val="21"/>
              </w:rPr>
              <w:t>拆除地面设施、</w:t>
            </w:r>
            <w:r>
              <w:rPr>
                <w:rFonts w:hint="default" w:ascii="Times New Roman" w:hAnsi="Times New Roman" w:eastAsia="宋体" w:cs="Times New Roman"/>
                <w:color w:val="auto"/>
                <w:sz w:val="21"/>
                <w:szCs w:val="21"/>
                <w:lang w:val="en-US" w:eastAsia="zh-CN"/>
              </w:rPr>
              <w:t>封井</w:t>
            </w:r>
            <w:r>
              <w:rPr>
                <w:rFonts w:hint="default" w:ascii="Times New Roman" w:hAnsi="Times New Roman" w:eastAsia="宋体" w:cs="Times New Roman"/>
                <w:color w:val="auto"/>
                <w:sz w:val="21"/>
                <w:szCs w:val="21"/>
              </w:rPr>
              <w:t>，恢复原有自然状况</w:t>
            </w:r>
          </w:p>
        </w:tc>
      </w:tr>
    </w:tbl>
    <w:p w14:paraId="191A2F7D">
      <w:pPr>
        <w:pStyle w:val="33"/>
        <w:bidi w:val="0"/>
        <w:rPr>
          <w:rFonts w:ascii="Times New Roman" w:hAnsi="Times New Roman" w:eastAsia="宋体" w:cs="Times New Roman"/>
          <w:color w:val="auto"/>
        </w:rPr>
      </w:pPr>
    </w:p>
    <w:p w14:paraId="349043C6">
      <w:pPr>
        <w:pStyle w:val="33"/>
        <w:bidi w:val="0"/>
        <w:rPr>
          <w:rFonts w:ascii="Times New Roman" w:hAnsi="Times New Roman" w:eastAsia="宋体" w:cs="Times New Roman"/>
          <w:color w:val="auto"/>
        </w:rPr>
      </w:pPr>
    </w:p>
    <w:p w14:paraId="6AD977DD">
      <w:pPr>
        <w:pStyle w:val="33"/>
        <w:bidi w:val="0"/>
        <w:rPr>
          <w:rFonts w:ascii="Times New Roman" w:hAnsi="Times New Roman" w:eastAsia="宋体" w:cs="Times New Roman"/>
          <w:color w:val="auto"/>
        </w:rPr>
      </w:pPr>
    </w:p>
    <w:p w14:paraId="160F5FCC">
      <w:pPr>
        <w:rPr>
          <w:color w:val="auto"/>
        </w:rPr>
      </w:pPr>
      <w:r>
        <w:rPr>
          <w:color w:val="auto"/>
        </w:rPr>
        <w:br w:type="page"/>
      </w:r>
    </w:p>
    <w:p w14:paraId="0056F3C7">
      <w:pPr>
        <w:pStyle w:val="3"/>
        <w:bidi w:val="0"/>
        <w:rPr>
          <w:rFonts w:hint="default"/>
          <w:color w:val="auto"/>
          <w:lang w:val="en-US" w:eastAsia="zh-CN"/>
        </w:rPr>
      </w:pPr>
      <w:bookmarkStart w:id="358" w:name="_Toc18291"/>
      <w:bookmarkStart w:id="359" w:name="_Toc3010"/>
      <w:bookmarkStart w:id="360" w:name="_Toc8644"/>
      <w:bookmarkStart w:id="361" w:name="_Toc4501"/>
      <w:bookmarkStart w:id="362" w:name="_Toc10713"/>
      <w:r>
        <w:rPr>
          <w:rFonts w:hint="eastAsia"/>
          <w:color w:val="auto"/>
          <w:lang w:val="en-US" w:eastAsia="zh-CN"/>
        </w:rPr>
        <w:t>9环境影响评价结论</w:t>
      </w:r>
      <w:bookmarkEnd w:id="358"/>
      <w:bookmarkEnd w:id="359"/>
      <w:bookmarkEnd w:id="360"/>
      <w:bookmarkEnd w:id="361"/>
      <w:bookmarkEnd w:id="362"/>
    </w:p>
    <w:p w14:paraId="189591A5">
      <w:pPr>
        <w:pStyle w:val="2"/>
        <w:bidi w:val="0"/>
        <w:rPr>
          <w:rFonts w:hint="default"/>
          <w:color w:val="auto"/>
          <w:lang w:val="en-US" w:eastAsia="zh-CN"/>
        </w:rPr>
      </w:pPr>
      <w:bookmarkStart w:id="363" w:name="_Toc31494"/>
      <w:bookmarkStart w:id="364" w:name="_Toc9711"/>
      <w:bookmarkStart w:id="365" w:name="_Toc21046"/>
      <w:bookmarkStart w:id="366" w:name="_Toc8454"/>
      <w:bookmarkStart w:id="367" w:name="_Toc12883"/>
      <w:r>
        <w:rPr>
          <w:rFonts w:hint="eastAsia"/>
          <w:color w:val="auto"/>
          <w:lang w:val="en-US" w:eastAsia="zh-CN"/>
        </w:rPr>
        <w:t>9.1项目概况</w:t>
      </w:r>
      <w:bookmarkEnd w:id="363"/>
      <w:bookmarkEnd w:id="364"/>
      <w:bookmarkEnd w:id="365"/>
      <w:bookmarkEnd w:id="366"/>
      <w:bookmarkEnd w:id="367"/>
    </w:p>
    <w:p w14:paraId="49294C24">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val="en-US" w:eastAsia="zh-CN"/>
        </w:rPr>
      </w:pPr>
      <w:r>
        <w:rPr>
          <w:rFonts w:hint="eastAsia" w:eastAsia="宋体"/>
          <w:color w:val="auto"/>
          <w:sz w:val="24"/>
          <w:szCs w:val="24"/>
          <w:lang w:val="en-US" w:eastAsia="zh-CN"/>
        </w:rPr>
        <w:t>为了提高油区油气开采力度，并减少油气挥发，实现气液密闭集输，百口泉采油厂拟在克拉玛依市乌尔禾区G217以北和塔城地区和布克赛尔蒙古自治县实施</w:t>
      </w:r>
      <w:r>
        <w:rPr>
          <w:rFonts w:hint="eastAsia" w:ascii="宋体" w:hAnsi="宋体" w:eastAsia="宋体" w:cs="宋体"/>
          <w:color w:val="auto"/>
          <w:sz w:val="24"/>
          <w:szCs w:val="24"/>
          <w:lang w:val="en-US" w:eastAsia="zh-CN"/>
        </w:rPr>
        <w:t>“</w:t>
      </w:r>
      <w:r>
        <w:rPr>
          <w:rFonts w:hint="eastAsia" w:eastAsia="宋体"/>
          <w:color w:val="auto"/>
          <w:sz w:val="24"/>
          <w:szCs w:val="24"/>
          <w:lang w:val="en-US" w:eastAsia="zh-CN"/>
        </w:rPr>
        <w:t>百口泉采油厂单罐井治理工程</w:t>
      </w:r>
      <w:r>
        <w:rPr>
          <w:rFonts w:hint="eastAsia" w:ascii="宋体" w:hAnsi="宋体" w:eastAsia="宋体" w:cs="宋体"/>
          <w:color w:val="auto"/>
          <w:sz w:val="24"/>
          <w:szCs w:val="24"/>
          <w:lang w:val="en-US" w:eastAsia="zh-CN"/>
        </w:rPr>
        <w:t>”</w:t>
      </w:r>
      <w:r>
        <w:rPr>
          <w:rFonts w:hint="eastAsia" w:eastAsia="宋体"/>
          <w:color w:val="auto"/>
          <w:sz w:val="24"/>
          <w:szCs w:val="24"/>
          <w:lang w:val="en-US" w:eastAsia="zh-CN"/>
        </w:rPr>
        <w:t>，主要建设内容为：①部署</w:t>
      </w:r>
      <w:r>
        <w:rPr>
          <w:rFonts w:hint="eastAsia"/>
          <w:color w:val="auto"/>
          <w:sz w:val="24"/>
          <w:szCs w:val="24"/>
          <w:lang w:val="en-US" w:eastAsia="zh-CN"/>
        </w:rPr>
        <w:t>10</w:t>
      </w:r>
      <w:r>
        <w:rPr>
          <w:rFonts w:hint="eastAsia" w:eastAsia="宋体"/>
          <w:color w:val="auto"/>
          <w:sz w:val="24"/>
          <w:szCs w:val="24"/>
          <w:lang w:val="en-US" w:eastAsia="zh-CN"/>
        </w:rPr>
        <w:t>口采油井（均为评价</w:t>
      </w:r>
      <w:r>
        <w:rPr>
          <w:rFonts w:hint="eastAsia"/>
          <w:color w:val="auto"/>
          <w:sz w:val="24"/>
          <w:szCs w:val="24"/>
          <w:lang w:val="en-US" w:eastAsia="zh-CN"/>
        </w:rPr>
        <w:t>/预探</w:t>
      </w:r>
      <w:r>
        <w:rPr>
          <w:rFonts w:hint="eastAsia" w:eastAsia="宋体"/>
          <w:color w:val="auto"/>
          <w:sz w:val="24"/>
          <w:szCs w:val="24"/>
          <w:lang w:val="en-US" w:eastAsia="zh-CN"/>
        </w:rPr>
        <w:t>井转产能井），并对区域内已投产的</w:t>
      </w:r>
      <w:r>
        <w:rPr>
          <w:rFonts w:hint="eastAsia"/>
          <w:color w:val="auto"/>
          <w:sz w:val="24"/>
          <w:szCs w:val="24"/>
          <w:lang w:val="en-US" w:eastAsia="zh-CN"/>
        </w:rPr>
        <w:t>8</w:t>
      </w:r>
      <w:r>
        <w:rPr>
          <w:rFonts w:hint="eastAsia" w:eastAsia="宋体"/>
          <w:color w:val="auto"/>
          <w:sz w:val="24"/>
          <w:szCs w:val="24"/>
          <w:lang w:val="en-US" w:eastAsia="zh-CN"/>
        </w:rPr>
        <w:t>口产能井进行密闭集输改造；②新建</w:t>
      </w:r>
      <w:r>
        <w:rPr>
          <w:rFonts w:hint="eastAsia"/>
          <w:color w:val="auto"/>
          <w:sz w:val="24"/>
          <w:szCs w:val="24"/>
          <w:lang w:val="en-US" w:eastAsia="zh-CN"/>
        </w:rPr>
        <w:t>单井集油</w:t>
      </w:r>
      <w:r>
        <w:rPr>
          <w:rFonts w:hint="eastAsia" w:eastAsia="宋体"/>
          <w:color w:val="auto"/>
          <w:sz w:val="24"/>
          <w:szCs w:val="24"/>
          <w:lang w:val="en-US" w:eastAsia="zh-CN"/>
        </w:rPr>
        <w:t>管线</w:t>
      </w:r>
      <w:r>
        <w:rPr>
          <w:rFonts w:hint="eastAsia"/>
          <w:color w:val="auto"/>
          <w:sz w:val="24"/>
          <w:szCs w:val="24"/>
          <w:lang w:val="en-US" w:eastAsia="zh-CN"/>
        </w:rPr>
        <w:t>20.71</w:t>
      </w:r>
      <w:r>
        <w:rPr>
          <w:rFonts w:hint="default" w:eastAsia="宋体"/>
          <w:color w:val="auto"/>
          <w:sz w:val="24"/>
          <w:szCs w:val="24"/>
          <w:lang w:val="en-US" w:eastAsia="zh-CN"/>
        </w:rPr>
        <w:t>km</w:t>
      </w:r>
      <w:r>
        <w:rPr>
          <w:rFonts w:hint="eastAsia" w:eastAsia="宋体"/>
          <w:color w:val="auto"/>
          <w:sz w:val="24"/>
          <w:szCs w:val="24"/>
          <w:lang w:val="en-US" w:eastAsia="zh-CN"/>
        </w:rPr>
        <w:t>（其中乌尔禾区内</w:t>
      </w:r>
      <w:r>
        <w:rPr>
          <w:rFonts w:hint="eastAsia"/>
          <w:color w:val="auto"/>
          <w:sz w:val="24"/>
          <w:szCs w:val="24"/>
          <w:lang w:val="en-US" w:eastAsia="zh-CN"/>
        </w:rPr>
        <w:t>7.92</w:t>
      </w:r>
      <w:r>
        <w:rPr>
          <w:rFonts w:hint="default" w:eastAsia="宋体"/>
          <w:color w:val="auto"/>
          <w:sz w:val="24"/>
          <w:szCs w:val="24"/>
          <w:lang w:val="en-US" w:eastAsia="zh-CN"/>
        </w:rPr>
        <w:t>km</w:t>
      </w:r>
      <w:r>
        <w:rPr>
          <w:rFonts w:hint="eastAsia" w:eastAsia="宋体"/>
          <w:color w:val="auto"/>
          <w:sz w:val="24"/>
          <w:szCs w:val="24"/>
          <w:lang w:val="en-US" w:eastAsia="zh-CN"/>
        </w:rPr>
        <w:t>，和布克赛尔蒙古自治县内</w:t>
      </w:r>
      <w:r>
        <w:rPr>
          <w:rFonts w:hint="eastAsia"/>
          <w:color w:val="auto"/>
          <w:sz w:val="24"/>
          <w:szCs w:val="24"/>
          <w:lang w:val="en-US" w:eastAsia="zh-CN"/>
        </w:rPr>
        <w:t>12.79</w:t>
      </w:r>
      <w:r>
        <w:rPr>
          <w:rFonts w:hint="default" w:eastAsia="宋体"/>
          <w:color w:val="auto"/>
          <w:sz w:val="24"/>
          <w:szCs w:val="24"/>
          <w:lang w:val="en-US" w:eastAsia="zh-CN"/>
        </w:rPr>
        <w:t>km</w:t>
      </w:r>
      <w:r>
        <w:rPr>
          <w:rFonts w:hint="eastAsia" w:eastAsia="宋体"/>
          <w:color w:val="auto"/>
          <w:sz w:val="24"/>
          <w:szCs w:val="24"/>
          <w:lang w:val="en-US" w:eastAsia="zh-CN"/>
        </w:rPr>
        <w:t>）；③配套建设供配电、通信、消防、道路、仪表自动化、防腐等辅助工程。项目建成后，新增</w:t>
      </w:r>
      <w:r>
        <w:rPr>
          <w:rFonts w:hint="eastAsia"/>
          <w:color w:val="auto"/>
          <w:sz w:val="24"/>
          <w:szCs w:val="24"/>
          <w:lang w:val="en-US" w:eastAsia="zh-CN"/>
        </w:rPr>
        <w:t>原油</w:t>
      </w:r>
      <w:r>
        <w:rPr>
          <w:rFonts w:hint="eastAsia" w:eastAsia="宋体"/>
          <w:color w:val="auto"/>
          <w:sz w:val="24"/>
          <w:szCs w:val="24"/>
          <w:lang w:val="en-US" w:eastAsia="zh-CN"/>
        </w:rPr>
        <w:t>产能</w:t>
      </w:r>
      <w:r>
        <w:rPr>
          <w:rFonts w:hint="eastAsia"/>
          <w:color w:val="auto"/>
          <w:sz w:val="24"/>
          <w:szCs w:val="24"/>
          <w:lang w:val="en-US" w:eastAsia="zh-CN"/>
        </w:rPr>
        <w:t>7.72</w:t>
      </w:r>
      <w:r>
        <w:rPr>
          <w:rFonts w:hint="default" w:eastAsia="宋体"/>
          <w:color w:val="auto"/>
          <w:sz w:val="24"/>
          <w:szCs w:val="24"/>
          <w:lang w:val="en-US" w:eastAsia="zh-CN"/>
        </w:rPr>
        <w:t>×10</w:t>
      </w:r>
      <w:r>
        <w:rPr>
          <w:rFonts w:hint="default" w:eastAsia="宋体"/>
          <w:color w:val="auto"/>
          <w:sz w:val="24"/>
          <w:szCs w:val="24"/>
          <w:vertAlign w:val="superscript"/>
          <w:lang w:val="en-US" w:eastAsia="zh-CN"/>
        </w:rPr>
        <w:t>4</w:t>
      </w:r>
      <w:r>
        <w:rPr>
          <w:rFonts w:hint="default" w:eastAsia="宋体"/>
          <w:color w:val="auto"/>
          <w:sz w:val="24"/>
          <w:szCs w:val="24"/>
          <w:lang w:val="en-US" w:eastAsia="zh-CN"/>
        </w:rPr>
        <w:t>t/a</w:t>
      </w:r>
      <w:r>
        <w:rPr>
          <w:rFonts w:hint="eastAsia" w:eastAsia="宋体"/>
          <w:color w:val="auto"/>
          <w:sz w:val="24"/>
          <w:szCs w:val="24"/>
          <w:lang w:val="en-US" w:eastAsia="zh-CN"/>
        </w:rPr>
        <w:t>。</w:t>
      </w:r>
    </w:p>
    <w:p w14:paraId="42018693">
      <w:pPr>
        <w:pStyle w:val="33"/>
        <w:bidi w:val="0"/>
        <w:rPr>
          <w:color w:val="auto"/>
        </w:rPr>
      </w:pPr>
      <w:r>
        <w:rPr>
          <w:rFonts w:hint="eastAsia" w:cs="Times New Roman"/>
          <w:color w:val="auto"/>
          <w:sz w:val="24"/>
          <w:szCs w:val="24"/>
          <w:lang w:val="en-US" w:eastAsia="zh-CN"/>
        </w:rPr>
        <w:t>本工程总投资492.16万元，其中环保投资76万元，占总投资的15.4%。</w:t>
      </w:r>
    </w:p>
    <w:p w14:paraId="4B3B8536">
      <w:pPr>
        <w:pStyle w:val="2"/>
        <w:bidi w:val="0"/>
        <w:rPr>
          <w:rFonts w:hint="default"/>
          <w:color w:val="auto"/>
          <w:lang w:val="en-US" w:eastAsia="zh-CN"/>
        </w:rPr>
      </w:pPr>
      <w:bookmarkStart w:id="368" w:name="_Toc21664"/>
      <w:bookmarkStart w:id="369" w:name="_Toc4649"/>
      <w:bookmarkStart w:id="370" w:name="_Toc27266"/>
      <w:r>
        <w:rPr>
          <w:rFonts w:hint="eastAsia"/>
          <w:color w:val="auto"/>
          <w:lang w:val="en-US" w:eastAsia="zh-CN"/>
        </w:rPr>
        <w:t>9.2产业政策及规划符合性</w:t>
      </w:r>
      <w:bookmarkEnd w:id="368"/>
      <w:bookmarkEnd w:id="369"/>
      <w:bookmarkEnd w:id="370"/>
    </w:p>
    <w:p w14:paraId="202B31A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对照《产业结构调整指导目录（2024年本）》，属于其中鼓励类第七项</w:t>
      </w:r>
      <w:r>
        <w:rPr>
          <w:rFonts w:hint="eastAsia" w:ascii="宋体" w:hAnsi="宋体" w:eastAsia="宋体" w:cs="宋体"/>
          <w:color w:val="auto"/>
          <w:sz w:val="24"/>
          <w:szCs w:val="24"/>
        </w:rPr>
        <w:t>“石油天然气”</w:t>
      </w:r>
      <w:r>
        <w:rPr>
          <w:rFonts w:hint="default" w:ascii="Times New Roman" w:hAnsi="Times New Roman" w:eastAsia="宋体" w:cs="Times New Roman"/>
          <w:color w:val="auto"/>
          <w:sz w:val="24"/>
          <w:szCs w:val="24"/>
        </w:rPr>
        <w:t>中第1条</w:t>
      </w:r>
      <w:r>
        <w:rPr>
          <w:rFonts w:hint="eastAsia" w:ascii="宋体" w:hAnsi="宋体" w:eastAsia="宋体" w:cs="宋体"/>
          <w:color w:val="auto"/>
          <w:sz w:val="24"/>
          <w:szCs w:val="24"/>
        </w:rPr>
        <w:t>“常规石油、天然气勘探与开采</w:t>
      </w:r>
      <w:r>
        <w:rPr>
          <w:rFonts w:hint="default" w:ascii="Times New Roman" w:hAnsi="Times New Roman" w:cs="Times New Roman"/>
          <w:color w:val="auto"/>
          <w:sz w:val="24"/>
          <w:szCs w:val="32"/>
        </w:rPr>
        <w:t>和第2条：油气管网建设中原油、天然气、液化天然气、成品油的储存和管道输送设施建</w:t>
      </w:r>
      <w:r>
        <w:rPr>
          <w:rFonts w:hint="eastAsia" w:ascii="宋体" w:hAnsi="宋体" w:eastAsia="宋体" w:cs="宋体"/>
          <w:color w:val="auto"/>
          <w:sz w:val="24"/>
          <w:szCs w:val="32"/>
        </w:rPr>
        <w:t>设”</w:t>
      </w:r>
      <w:r>
        <w:rPr>
          <w:rFonts w:hint="default" w:ascii="Times New Roman" w:hAnsi="Times New Roman" w:cs="Times New Roman"/>
          <w:color w:val="auto"/>
          <w:sz w:val="24"/>
          <w:szCs w:val="32"/>
        </w:rPr>
        <w:t>，属于鼓励类项目</w:t>
      </w:r>
      <w:r>
        <w:rPr>
          <w:color w:val="auto"/>
          <w:kern w:val="0"/>
          <w:sz w:val="24"/>
        </w:rPr>
        <w:t>，</w:t>
      </w:r>
      <w:r>
        <w:rPr>
          <w:rFonts w:hint="default" w:ascii="Times New Roman" w:hAnsi="Times New Roman" w:eastAsia="宋体" w:cs="Times New Roman"/>
          <w:color w:val="auto"/>
          <w:sz w:val="24"/>
          <w:szCs w:val="24"/>
        </w:rPr>
        <w:t>项目建设符合国家产业政策</w:t>
      </w:r>
      <w:r>
        <w:rPr>
          <w:rFonts w:hint="eastAsia" w:ascii="Times New Roman" w:hAnsi="Times New Roman" w:eastAsia="宋体" w:cs="Times New Roman"/>
          <w:color w:val="auto"/>
          <w:sz w:val="24"/>
          <w:szCs w:val="24"/>
          <w:lang w:val="en-US" w:eastAsia="zh-CN"/>
        </w:rPr>
        <w:t>和相关规划要求</w:t>
      </w:r>
      <w:r>
        <w:rPr>
          <w:rFonts w:hint="default" w:ascii="Times New Roman" w:hAnsi="Times New Roman" w:eastAsia="宋体" w:cs="Times New Roman"/>
          <w:color w:val="auto"/>
          <w:sz w:val="24"/>
          <w:szCs w:val="24"/>
          <w:lang w:eastAsia="zh-CN"/>
        </w:rPr>
        <w:t>。</w:t>
      </w:r>
    </w:p>
    <w:p w14:paraId="7109D1E7">
      <w:pPr>
        <w:pStyle w:val="2"/>
        <w:bidi w:val="0"/>
        <w:rPr>
          <w:rFonts w:hint="default"/>
          <w:color w:val="auto"/>
          <w:lang w:val="en-US" w:eastAsia="zh-CN"/>
        </w:rPr>
      </w:pPr>
      <w:bookmarkStart w:id="371" w:name="_Toc4648"/>
      <w:bookmarkStart w:id="372" w:name="_Toc24"/>
      <w:bookmarkStart w:id="373" w:name="_Toc17476"/>
      <w:r>
        <w:rPr>
          <w:rFonts w:hint="eastAsia"/>
          <w:color w:val="auto"/>
          <w:lang w:val="en-US" w:eastAsia="zh-CN"/>
        </w:rPr>
        <w:t>9.3环境质量现状</w:t>
      </w:r>
      <w:bookmarkEnd w:id="371"/>
      <w:bookmarkEnd w:id="372"/>
      <w:bookmarkEnd w:id="373"/>
    </w:p>
    <w:p w14:paraId="200D3E5B">
      <w:pPr>
        <w:pStyle w:val="5"/>
        <w:bidi w:val="0"/>
        <w:rPr>
          <w:rFonts w:hint="default"/>
          <w:color w:val="auto"/>
          <w:lang w:val="en-US" w:eastAsia="zh-CN"/>
        </w:rPr>
      </w:pPr>
      <w:bookmarkStart w:id="374" w:name="_Toc7045"/>
      <w:bookmarkStart w:id="375" w:name="_Hlk33711157"/>
      <w:r>
        <w:rPr>
          <w:rFonts w:hint="eastAsia"/>
          <w:color w:val="auto"/>
          <w:lang w:val="en-US" w:eastAsia="zh-CN"/>
        </w:rPr>
        <w:t>9.3.1环境空气质量现状</w:t>
      </w:r>
      <w:bookmarkEnd w:id="374"/>
    </w:p>
    <w:p w14:paraId="6C439F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rPr>
      </w:pPr>
      <w:r>
        <w:rPr>
          <w:rFonts w:hint="eastAsia"/>
          <w:color w:val="auto"/>
          <w:sz w:val="24"/>
          <w:szCs w:val="28"/>
        </w:rPr>
        <w:t>项目所在区域</w:t>
      </w:r>
      <w:bookmarkEnd w:id="375"/>
      <w:r>
        <w:rPr>
          <w:rFonts w:hint="eastAsia"/>
          <w:color w:val="auto"/>
          <w:sz w:val="24"/>
          <w:szCs w:val="28"/>
        </w:rPr>
        <w:t>克拉玛依市</w:t>
      </w:r>
      <w:r>
        <w:rPr>
          <w:color w:val="auto"/>
          <w:sz w:val="24"/>
          <w:szCs w:val="28"/>
        </w:rPr>
        <w:t>SO</w:t>
      </w:r>
      <w:r>
        <w:rPr>
          <w:color w:val="auto"/>
          <w:sz w:val="24"/>
          <w:szCs w:val="28"/>
          <w:vertAlign w:val="subscript"/>
        </w:rPr>
        <w:t>2</w:t>
      </w:r>
      <w:r>
        <w:rPr>
          <w:rFonts w:hint="eastAsia"/>
          <w:color w:val="auto"/>
          <w:sz w:val="24"/>
          <w:szCs w:val="28"/>
        </w:rPr>
        <w:t>、</w:t>
      </w:r>
      <w:r>
        <w:rPr>
          <w:color w:val="auto"/>
          <w:sz w:val="24"/>
          <w:szCs w:val="28"/>
        </w:rPr>
        <w:t>NO</w:t>
      </w:r>
      <w:r>
        <w:rPr>
          <w:color w:val="auto"/>
          <w:sz w:val="24"/>
          <w:szCs w:val="28"/>
          <w:vertAlign w:val="subscript"/>
        </w:rPr>
        <w:t>2</w:t>
      </w:r>
      <w:r>
        <w:rPr>
          <w:rFonts w:hint="eastAsia"/>
          <w:color w:val="auto"/>
          <w:sz w:val="24"/>
          <w:szCs w:val="28"/>
        </w:rPr>
        <w:t>、</w:t>
      </w:r>
      <w:r>
        <w:rPr>
          <w:color w:val="auto"/>
          <w:sz w:val="24"/>
          <w:szCs w:val="28"/>
        </w:rPr>
        <w:t>CO、O</w:t>
      </w:r>
      <w:r>
        <w:rPr>
          <w:color w:val="auto"/>
          <w:sz w:val="24"/>
          <w:szCs w:val="28"/>
          <w:vertAlign w:val="subscript"/>
        </w:rPr>
        <w:t>3</w:t>
      </w:r>
      <w:r>
        <w:rPr>
          <w:rFonts w:hint="eastAsia"/>
          <w:color w:val="auto"/>
          <w:sz w:val="24"/>
          <w:szCs w:val="28"/>
        </w:rPr>
        <w:t>、</w:t>
      </w:r>
      <w:r>
        <w:rPr>
          <w:color w:val="auto"/>
          <w:sz w:val="24"/>
          <w:szCs w:val="28"/>
        </w:rPr>
        <w:t>PM</w:t>
      </w:r>
      <w:r>
        <w:rPr>
          <w:color w:val="auto"/>
          <w:sz w:val="24"/>
          <w:szCs w:val="28"/>
          <w:vertAlign w:val="subscript"/>
        </w:rPr>
        <w:t>10</w:t>
      </w:r>
      <w:r>
        <w:rPr>
          <w:rFonts w:hint="eastAsia"/>
          <w:color w:val="auto"/>
          <w:sz w:val="24"/>
          <w:szCs w:val="28"/>
        </w:rPr>
        <w:t>、</w:t>
      </w:r>
      <w:r>
        <w:rPr>
          <w:color w:val="auto"/>
          <w:sz w:val="24"/>
          <w:szCs w:val="28"/>
        </w:rPr>
        <w:t>PM</w:t>
      </w:r>
      <w:r>
        <w:rPr>
          <w:color w:val="auto"/>
          <w:sz w:val="24"/>
          <w:szCs w:val="28"/>
          <w:vertAlign w:val="subscript"/>
        </w:rPr>
        <w:t>2.5</w:t>
      </w:r>
      <w:r>
        <w:rPr>
          <w:rFonts w:hint="eastAsia"/>
          <w:color w:val="auto"/>
          <w:sz w:val="24"/>
          <w:szCs w:val="28"/>
        </w:rPr>
        <w:t>长期浓度可满足《环境空气质量标准》（</w:t>
      </w:r>
      <w:r>
        <w:rPr>
          <w:color w:val="auto"/>
          <w:sz w:val="24"/>
          <w:szCs w:val="28"/>
        </w:rPr>
        <w:t>GB3095-2012）中二级标准限值</w:t>
      </w:r>
      <w:r>
        <w:rPr>
          <w:rFonts w:hint="eastAsia"/>
          <w:color w:val="auto"/>
          <w:sz w:val="24"/>
          <w:szCs w:val="28"/>
        </w:rPr>
        <w:t>，为环境空气质量达标区。项目区</w:t>
      </w:r>
      <w:r>
        <w:rPr>
          <w:rFonts w:hint="eastAsia"/>
          <w:color w:val="auto"/>
          <w:sz w:val="24"/>
          <w:szCs w:val="28"/>
          <w:lang w:val="en-US" w:eastAsia="zh-CN"/>
        </w:rPr>
        <w:t>非甲烷总烃</w:t>
      </w:r>
      <w:r>
        <w:rPr>
          <w:rFonts w:hint="eastAsia"/>
          <w:color w:val="auto"/>
          <w:sz w:val="24"/>
          <w:szCs w:val="28"/>
        </w:rPr>
        <w:t>监测浓度</w:t>
      </w:r>
      <w:r>
        <w:rPr>
          <w:color w:val="auto"/>
          <w:sz w:val="24"/>
          <w:szCs w:val="28"/>
        </w:rPr>
        <w:t>满足《大气污染物综合排放标准详解》中推荐值2.0mg/m</w:t>
      </w:r>
      <w:r>
        <w:rPr>
          <w:color w:val="auto"/>
          <w:sz w:val="24"/>
          <w:szCs w:val="28"/>
          <w:vertAlign w:val="superscript"/>
        </w:rPr>
        <w:t>3</w:t>
      </w:r>
      <w:r>
        <w:rPr>
          <w:color w:val="auto"/>
          <w:sz w:val="24"/>
          <w:szCs w:val="28"/>
        </w:rPr>
        <w:t>要求</w:t>
      </w:r>
      <w:r>
        <w:rPr>
          <w:rFonts w:hint="eastAsia"/>
          <w:color w:val="auto"/>
          <w:sz w:val="24"/>
          <w:szCs w:val="28"/>
        </w:rPr>
        <w:t>。</w:t>
      </w:r>
      <w:r>
        <w:rPr>
          <w:rFonts w:hint="eastAsia"/>
          <w:color w:val="auto"/>
          <w:sz w:val="24"/>
          <w:szCs w:val="28"/>
          <w:lang w:val="en-US" w:eastAsia="zh-CN"/>
        </w:rPr>
        <w:t>硫化氢</w:t>
      </w:r>
      <w:r>
        <w:rPr>
          <w:rFonts w:hint="eastAsia"/>
          <w:color w:val="auto"/>
          <w:sz w:val="24"/>
          <w:szCs w:val="28"/>
        </w:rPr>
        <w:t>监测浓度</w:t>
      </w:r>
      <w:r>
        <w:rPr>
          <w:color w:val="auto"/>
          <w:sz w:val="24"/>
          <w:szCs w:val="28"/>
        </w:rPr>
        <w:t>满足</w:t>
      </w:r>
      <w:r>
        <w:rPr>
          <w:rFonts w:hint="eastAsia"/>
          <w:color w:val="auto"/>
          <w:sz w:val="24"/>
          <w:szCs w:val="28"/>
        </w:rPr>
        <w:t>《环境影响评价技术导则</w:t>
      </w:r>
      <w:r>
        <w:rPr>
          <w:rFonts w:hint="eastAsia"/>
          <w:color w:val="auto"/>
          <w:sz w:val="24"/>
          <w:szCs w:val="28"/>
          <w:lang w:val="en-US" w:eastAsia="zh-CN"/>
        </w:rPr>
        <w:t xml:space="preserve"> </w:t>
      </w:r>
      <w:r>
        <w:rPr>
          <w:rFonts w:hint="eastAsia"/>
          <w:color w:val="auto"/>
          <w:sz w:val="24"/>
          <w:szCs w:val="28"/>
        </w:rPr>
        <w:t>大气环境》（</w:t>
      </w:r>
      <w:r>
        <w:rPr>
          <w:color w:val="auto"/>
          <w:sz w:val="24"/>
          <w:szCs w:val="28"/>
        </w:rPr>
        <w:t>HJ2.2-2018）附录D中</w:t>
      </w:r>
      <w:r>
        <w:rPr>
          <w:rFonts w:hint="eastAsia"/>
          <w:color w:val="auto"/>
          <w:sz w:val="24"/>
          <w:szCs w:val="28"/>
        </w:rPr>
        <w:t>推荐值</w:t>
      </w:r>
      <w:r>
        <w:rPr>
          <w:color w:val="auto"/>
          <w:sz w:val="24"/>
          <w:szCs w:val="28"/>
        </w:rPr>
        <w:t>10</w:t>
      </w:r>
      <w:r>
        <w:rPr>
          <w:rFonts w:hint="default" w:ascii="Arial" w:hAnsi="Arial" w:cs="Arial"/>
          <w:color w:val="auto"/>
          <w:sz w:val="24"/>
          <w:szCs w:val="28"/>
        </w:rPr>
        <w:t>μ</w:t>
      </w:r>
      <w:r>
        <w:rPr>
          <w:color w:val="auto"/>
          <w:sz w:val="24"/>
          <w:szCs w:val="28"/>
        </w:rPr>
        <w:t>g/m</w:t>
      </w:r>
      <w:r>
        <w:rPr>
          <w:color w:val="auto"/>
          <w:sz w:val="24"/>
          <w:szCs w:val="28"/>
          <w:vertAlign w:val="superscript"/>
        </w:rPr>
        <w:t>3</w:t>
      </w:r>
      <w:r>
        <w:rPr>
          <w:color w:val="auto"/>
          <w:sz w:val="24"/>
          <w:szCs w:val="28"/>
        </w:rPr>
        <w:t>要求</w:t>
      </w:r>
      <w:r>
        <w:rPr>
          <w:rFonts w:hint="eastAsia"/>
          <w:color w:val="auto"/>
          <w:sz w:val="24"/>
          <w:szCs w:val="28"/>
        </w:rPr>
        <w:t>。</w:t>
      </w:r>
    </w:p>
    <w:p w14:paraId="3D7EC2D0">
      <w:pPr>
        <w:pStyle w:val="5"/>
        <w:bidi w:val="0"/>
        <w:rPr>
          <w:rFonts w:hint="default"/>
          <w:color w:val="auto"/>
          <w:lang w:val="en-US" w:eastAsia="zh-CN"/>
        </w:rPr>
      </w:pPr>
      <w:bookmarkStart w:id="376" w:name="_Toc18615"/>
      <w:r>
        <w:rPr>
          <w:rFonts w:hint="eastAsia"/>
          <w:color w:val="auto"/>
          <w:lang w:val="en-US" w:eastAsia="zh-CN"/>
        </w:rPr>
        <w:t>9.3.2地下水环境质量现状</w:t>
      </w:r>
      <w:bookmarkEnd w:id="376"/>
    </w:p>
    <w:p w14:paraId="5A8BF361">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ascii="Times New Roman" w:hAnsi="Times New Roman" w:cs="Times New Roman"/>
          <w:color w:val="auto"/>
          <w:sz w:val="24"/>
        </w:rPr>
        <w:t>监测项目总硬度、溶解性总固体、氯化物、</w:t>
      </w:r>
      <w:r>
        <w:rPr>
          <w:rFonts w:hint="eastAsia" w:ascii="Times New Roman" w:hAnsi="Times New Roman" w:cs="Times New Roman"/>
          <w:color w:val="auto"/>
          <w:sz w:val="24"/>
          <w:lang w:val="en-US" w:eastAsia="zh-CN"/>
        </w:rPr>
        <w:t>硝酸盐氮、</w:t>
      </w:r>
      <w:r>
        <w:rPr>
          <w:rFonts w:ascii="Times New Roman" w:hAnsi="Times New Roman" w:cs="Times New Roman"/>
          <w:color w:val="auto"/>
          <w:sz w:val="24"/>
        </w:rPr>
        <w:t>硫酸盐</w:t>
      </w:r>
      <w:r>
        <w:rPr>
          <w:rFonts w:hint="eastAsia" w:ascii="Times New Roman" w:hAnsi="Times New Roman" w:cs="Times New Roman"/>
          <w:color w:val="auto"/>
          <w:sz w:val="24"/>
        </w:rPr>
        <w:t>和钠</w:t>
      </w:r>
      <w:r>
        <w:rPr>
          <w:rFonts w:ascii="Times New Roman" w:hAnsi="Times New Roman" w:cs="Times New Roman"/>
          <w:color w:val="auto"/>
          <w:sz w:val="24"/>
        </w:rPr>
        <w:t>有超标现象，其余监测项目能够满足《地下水质量标准》（GB/T14848-2017）Ⅲ类标准的要求，石油类满足《地表水环境质量标准》（GB3838-2002）Ⅲ类标准；超标原因：由于水文地球化学原因，地下水补给、径流与排泄条件不利于地下水富集且浅部蒸发作用强烈，在地层岩性及水文地质条件综合作用下，导致局部区域地下水环境本底值较高且不同区域之间呈差异性。</w:t>
      </w:r>
    </w:p>
    <w:p w14:paraId="38CE6388">
      <w:pPr>
        <w:pStyle w:val="33"/>
        <w:bidi w:val="0"/>
        <w:rPr>
          <w:color w:val="auto"/>
        </w:rPr>
      </w:pPr>
      <w:r>
        <w:rPr>
          <w:rFonts w:hint="eastAsia"/>
          <w:color w:val="auto"/>
          <w:lang w:val="en-US" w:eastAsia="zh-CN"/>
        </w:rPr>
        <w:t>根据包气带污染</w:t>
      </w:r>
      <w:r>
        <w:rPr>
          <w:color w:val="auto"/>
        </w:rPr>
        <w:t>监测结果，</w:t>
      </w:r>
      <w:r>
        <w:rPr>
          <w:rFonts w:hint="eastAsia"/>
          <w:color w:val="auto"/>
          <w:lang w:val="en-US" w:eastAsia="zh-CN"/>
        </w:rPr>
        <w:t>二</w:t>
      </w:r>
      <w:r>
        <w:rPr>
          <w:color w:val="auto"/>
        </w:rPr>
        <w:t>组对照结果显示井场内石油类</w:t>
      </w:r>
      <w:r>
        <w:rPr>
          <w:rFonts w:hint="eastAsia"/>
          <w:color w:val="auto"/>
          <w:lang w:val="en-US" w:eastAsia="zh-CN"/>
        </w:rPr>
        <w:t>浓度</w:t>
      </w:r>
      <w:r>
        <w:rPr>
          <w:color w:val="auto"/>
        </w:rPr>
        <w:t>与井场外背景值相差不大，表明现有工程未造成包气带土壤污染，包气带现状较好。</w:t>
      </w:r>
    </w:p>
    <w:p w14:paraId="0A1597E5">
      <w:pPr>
        <w:pStyle w:val="5"/>
        <w:bidi w:val="0"/>
        <w:rPr>
          <w:rFonts w:hint="default"/>
          <w:color w:val="auto"/>
          <w:lang w:val="en-US" w:eastAsia="zh-CN"/>
        </w:rPr>
      </w:pPr>
      <w:bookmarkStart w:id="377" w:name="_Toc22451"/>
      <w:r>
        <w:rPr>
          <w:rFonts w:hint="eastAsia"/>
          <w:color w:val="auto"/>
          <w:lang w:val="en-US" w:eastAsia="zh-CN"/>
        </w:rPr>
        <w:t>9.3.3声环境质量现状</w:t>
      </w:r>
      <w:bookmarkEnd w:id="377"/>
    </w:p>
    <w:p w14:paraId="24980A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8"/>
        </w:rPr>
      </w:pPr>
      <w:r>
        <w:rPr>
          <w:color w:val="auto"/>
          <w:sz w:val="24"/>
          <w:szCs w:val="28"/>
        </w:rPr>
        <w:t>各噪声监测点位均满足《声环境质量标准》（GB3096-2008）2类声功能区标准限值，项目所在区域背景声环境质量现状较好。</w:t>
      </w:r>
    </w:p>
    <w:p w14:paraId="5999957A">
      <w:pPr>
        <w:pStyle w:val="5"/>
        <w:bidi w:val="0"/>
        <w:rPr>
          <w:rFonts w:hint="eastAsia"/>
          <w:color w:val="auto"/>
          <w:lang w:val="en-US" w:eastAsia="zh-CN"/>
        </w:rPr>
      </w:pPr>
      <w:bookmarkStart w:id="378" w:name="_Toc28865"/>
      <w:r>
        <w:rPr>
          <w:rFonts w:hint="eastAsia"/>
          <w:color w:val="auto"/>
          <w:lang w:val="en-US" w:eastAsia="zh-CN"/>
        </w:rPr>
        <w:t>9.3.4土壤环境质量现状</w:t>
      </w:r>
      <w:bookmarkEnd w:id="378"/>
    </w:p>
    <w:p w14:paraId="14711EB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default" w:ascii="Times New Roman" w:hAnsi="Times New Roman" w:cs="Times New Roman"/>
          <w:color w:val="auto"/>
          <w:sz w:val="24"/>
          <w:szCs w:val="28"/>
        </w:rPr>
        <w:t>项目区</w:t>
      </w:r>
      <w:r>
        <w:rPr>
          <w:rFonts w:hint="eastAsia" w:ascii="Times New Roman" w:hAnsi="Times New Roman" w:cs="Times New Roman"/>
          <w:color w:val="auto"/>
          <w:sz w:val="24"/>
          <w:szCs w:val="28"/>
          <w:lang w:val="en-US" w:eastAsia="zh-CN"/>
        </w:rPr>
        <w:t>占地范围内</w:t>
      </w:r>
      <w:r>
        <w:rPr>
          <w:rFonts w:hint="default" w:ascii="Times New Roman" w:hAnsi="Times New Roman" w:cs="Times New Roman"/>
          <w:color w:val="auto"/>
          <w:sz w:val="24"/>
          <w:szCs w:val="28"/>
        </w:rPr>
        <w:t>土壤环境各监测因子监测值均可</w:t>
      </w:r>
      <w:r>
        <w:rPr>
          <w:rFonts w:hint="default" w:ascii="Times New Roman" w:hAnsi="Times New Roman" w:eastAsia="宋体" w:cs="Times New Roman"/>
          <w:color w:val="auto"/>
          <w:sz w:val="24"/>
          <w:szCs w:val="24"/>
        </w:rPr>
        <w:t>满足《土壤环境质量 建设用地土壤污染风险管控标准（试行）》（GB36600-2018）第二类用地筛选值标准；项目区占地范围外各监测点小于《土壤环境质量</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农用地土壤污染风险管控标准（试行）》（GB15618-2018）</w:t>
      </w:r>
      <w:r>
        <w:rPr>
          <w:rFonts w:hint="eastAsia" w:ascii="宋体" w:hAnsi="宋体" w:eastAsia="宋体" w:cs="宋体"/>
          <w:color w:val="auto"/>
          <w:sz w:val="24"/>
          <w:szCs w:val="24"/>
        </w:rPr>
        <w:t>中“表</w:t>
      </w:r>
      <w:r>
        <w:rPr>
          <w:rFonts w:hint="default" w:ascii="Times New Roman" w:hAnsi="Times New Roman" w:eastAsia="宋体" w:cs="Times New Roman"/>
          <w:color w:val="auto"/>
          <w:sz w:val="24"/>
          <w:szCs w:val="24"/>
        </w:rPr>
        <w:t>1农</w:t>
      </w:r>
      <w:r>
        <w:rPr>
          <w:rFonts w:hint="eastAsia" w:ascii="宋体" w:hAnsi="宋体" w:eastAsia="宋体" w:cs="宋体"/>
          <w:color w:val="auto"/>
          <w:sz w:val="24"/>
          <w:szCs w:val="24"/>
        </w:rPr>
        <w:t>用地土壤污染风险筛选值（基本项目）”</w:t>
      </w:r>
      <w:r>
        <w:rPr>
          <w:rFonts w:hint="default" w:ascii="Times New Roman" w:hAnsi="Times New Roman" w:eastAsia="宋体" w:cs="Times New Roman"/>
          <w:color w:val="auto"/>
          <w:sz w:val="24"/>
          <w:szCs w:val="24"/>
        </w:rPr>
        <w:t>的pH&gt;7.5所列标准；土壤中石油烃含量较低，满足《土壤环境质量</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建设用地土壤污染风险管控标准（试行）》（GB36600-2018）第二类用地风险筛选值要求。</w:t>
      </w:r>
    </w:p>
    <w:p w14:paraId="274D849B">
      <w:pPr>
        <w:pStyle w:val="2"/>
        <w:bidi w:val="0"/>
        <w:rPr>
          <w:rFonts w:hint="default"/>
          <w:color w:val="auto"/>
          <w:lang w:val="en-US" w:eastAsia="zh-CN"/>
        </w:rPr>
      </w:pPr>
      <w:bookmarkStart w:id="379" w:name="_Toc15010"/>
      <w:bookmarkStart w:id="380" w:name="_Toc31089"/>
      <w:bookmarkStart w:id="381" w:name="_Toc373"/>
      <w:r>
        <w:rPr>
          <w:rFonts w:hint="eastAsia"/>
          <w:color w:val="auto"/>
          <w:lang w:val="en-US" w:eastAsia="zh-CN"/>
        </w:rPr>
        <w:t>9.4污染物排放情况</w:t>
      </w:r>
      <w:bookmarkEnd w:id="379"/>
      <w:bookmarkEnd w:id="380"/>
      <w:bookmarkEnd w:id="381"/>
    </w:p>
    <w:p w14:paraId="42196FB2">
      <w:pPr>
        <w:pStyle w:val="5"/>
        <w:bidi w:val="0"/>
        <w:rPr>
          <w:rFonts w:hint="default"/>
          <w:color w:val="auto"/>
          <w:lang w:val="en-US" w:eastAsia="zh-CN"/>
        </w:rPr>
      </w:pPr>
      <w:bookmarkStart w:id="382" w:name="_Toc29263"/>
      <w:r>
        <w:rPr>
          <w:rFonts w:hint="eastAsia"/>
          <w:color w:val="auto"/>
          <w:lang w:val="en-US" w:eastAsia="zh-CN"/>
        </w:rPr>
        <w:t>9.4.1施工期污染物排放情况</w:t>
      </w:r>
      <w:bookmarkEnd w:id="382"/>
    </w:p>
    <w:p w14:paraId="42D7D1E4">
      <w:pPr>
        <w:pStyle w:val="33"/>
        <w:bidi w:val="0"/>
        <w:rPr>
          <w:rFonts w:ascii="Times New Roman" w:hAnsi="Times New Roman" w:eastAsia="宋体" w:cs="Times New Roman"/>
          <w:color w:val="auto"/>
        </w:rPr>
      </w:pPr>
      <w:r>
        <w:rPr>
          <w:rFonts w:ascii="Times New Roman" w:hAnsi="Times New Roman" w:eastAsia="宋体" w:cs="Times New Roman"/>
          <w:color w:val="auto"/>
        </w:rPr>
        <w:t>1、施工废气</w:t>
      </w:r>
    </w:p>
    <w:p w14:paraId="144FFE08">
      <w:pPr>
        <w:pStyle w:val="33"/>
        <w:bidi w:val="0"/>
        <w:rPr>
          <w:rFonts w:hint="eastAsia" w:ascii="Times New Roman" w:hAnsi="Times New Roman" w:eastAsia="宋体" w:cs="Times New Roman"/>
          <w:color w:val="auto"/>
          <w:lang w:val="en-US" w:eastAsia="zh-CN"/>
        </w:rPr>
      </w:pPr>
      <w:r>
        <w:rPr>
          <w:rFonts w:ascii="Times New Roman" w:hAnsi="Times New Roman" w:eastAsia="宋体" w:cs="Times New Roman"/>
          <w:color w:val="auto"/>
        </w:rPr>
        <w:t>施工期大气污染主要为施工期平整场地、地面及管沟开挖、车辆行驶产生的无组织排放的扬尘、施工机械和运输车辆排放的尾气，属于无组织排放，产生量较少。</w:t>
      </w:r>
    </w:p>
    <w:p w14:paraId="1D8BF116">
      <w:pPr>
        <w:pStyle w:val="33"/>
        <w:bidi w:val="0"/>
        <w:rPr>
          <w:rFonts w:ascii="Times New Roman" w:hAnsi="Times New Roman" w:eastAsia="宋体" w:cs="Times New Roman"/>
          <w:color w:val="auto"/>
        </w:rPr>
      </w:pPr>
      <w:r>
        <w:rPr>
          <w:rFonts w:ascii="Times New Roman" w:hAnsi="Times New Roman" w:eastAsia="宋体" w:cs="Times New Roman"/>
          <w:color w:val="auto"/>
        </w:rPr>
        <w:t>2、施工废水</w:t>
      </w:r>
    </w:p>
    <w:p w14:paraId="13BB40D7">
      <w:pPr>
        <w:pStyle w:val="33"/>
        <w:bidi w:val="0"/>
        <w:rPr>
          <w:rFonts w:ascii="Times New Roman" w:hAnsi="Times New Roman" w:eastAsia="宋体" w:cs="Times New Roman"/>
          <w:color w:val="auto"/>
        </w:rPr>
      </w:pPr>
      <w:r>
        <w:rPr>
          <w:rFonts w:ascii="Times New Roman" w:hAnsi="Times New Roman" w:eastAsia="宋体" w:cs="Times New Roman"/>
          <w:color w:val="auto"/>
        </w:rPr>
        <w:t>施工期废水包括管道试压废水、施工人员生活污水。本工程管道试压废水经</w:t>
      </w:r>
      <w:r>
        <w:rPr>
          <w:rFonts w:hint="eastAsia" w:ascii="Times New Roman" w:hAnsi="Times New Roman" w:eastAsia="宋体" w:cs="Times New Roman"/>
          <w:color w:val="auto"/>
          <w:lang w:val="en-US" w:eastAsia="zh-CN"/>
        </w:rPr>
        <w:t>管线输送至采出水</w:t>
      </w:r>
      <w:r>
        <w:rPr>
          <w:rFonts w:ascii="Times New Roman" w:hAnsi="Times New Roman" w:eastAsia="宋体" w:cs="Times New Roman"/>
          <w:color w:val="auto"/>
        </w:rPr>
        <w:t>处理系统处理达标后回注；施工生活污水</w:t>
      </w:r>
      <w:r>
        <w:rPr>
          <w:rFonts w:hint="eastAsia" w:ascii="Times New Roman" w:hAnsi="Times New Roman" w:eastAsia="宋体" w:cs="Times New Roman"/>
          <w:color w:val="auto"/>
          <w:lang w:val="en-US" w:eastAsia="zh-CN"/>
        </w:rPr>
        <w:t>依托生活基地内既有设施，最终进入乌尔禾区生活污水处理厂处理</w:t>
      </w:r>
      <w:r>
        <w:rPr>
          <w:rFonts w:ascii="Times New Roman" w:hAnsi="Times New Roman" w:eastAsia="宋体" w:cs="Times New Roman"/>
          <w:color w:val="auto"/>
        </w:rPr>
        <w:t>。</w:t>
      </w:r>
    </w:p>
    <w:p w14:paraId="2F5B719B">
      <w:pPr>
        <w:pStyle w:val="33"/>
        <w:bidi w:val="0"/>
        <w:rPr>
          <w:rFonts w:ascii="Times New Roman" w:hAnsi="Times New Roman" w:eastAsia="宋体" w:cs="Times New Roman"/>
          <w:color w:val="auto"/>
        </w:rPr>
      </w:pPr>
      <w:r>
        <w:rPr>
          <w:rFonts w:ascii="Times New Roman" w:hAnsi="Times New Roman" w:eastAsia="宋体" w:cs="Times New Roman"/>
          <w:color w:val="auto"/>
        </w:rPr>
        <w:t>3、施工噪声</w:t>
      </w:r>
    </w:p>
    <w:p w14:paraId="378AD7D7">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井场</w:t>
      </w:r>
      <w:r>
        <w:rPr>
          <w:rFonts w:ascii="Times New Roman" w:hAnsi="Times New Roman" w:eastAsia="宋体" w:cs="Times New Roman"/>
          <w:color w:val="auto"/>
        </w:rPr>
        <w:t>、管线施工噪声主要来源于井场设备安装，管线建设过程中施工机械、运输车辆，噪声源强为</w:t>
      </w:r>
      <w:r>
        <w:rPr>
          <w:rFonts w:hint="eastAsia" w:ascii="Times New Roman" w:hAnsi="Times New Roman" w:eastAsia="宋体" w:cs="Times New Roman"/>
          <w:color w:val="auto"/>
          <w:lang w:val="en-US" w:eastAsia="zh-CN"/>
        </w:rPr>
        <w:t>90</w:t>
      </w:r>
      <w:r>
        <w:rPr>
          <w:rFonts w:ascii="Times New Roman" w:hAnsi="Times New Roman" w:eastAsia="宋体" w:cs="Times New Roman"/>
          <w:color w:val="auto"/>
        </w:rPr>
        <w:t>~</w:t>
      </w:r>
      <w:r>
        <w:rPr>
          <w:rFonts w:hint="eastAsia" w:ascii="Times New Roman" w:hAnsi="Times New Roman" w:eastAsia="宋体" w:cs="Times New Roman"/>
          <w:color w:val="auto"/>
          <w:lang w:val="en-US" w:eastAsia="zh-CN"/>
        </w:rPr>
        <w:t>95</w:t>
      </w:r>
      <w:r>
        <w:rPr>
          <w:rFonts w:ascii="Times New Roman" w:hAnsi="Times New Roman" w:eastAsia="宋体" w:cs="Times New Roman"/>
          <w:color w:val="auto"/>
        </w:rPr>
        <w:t>dB(A)。</w:t>
      </w:r>
    </w:p>
    <w:p w14:paraId="3B97038D">
      <w:pPr>
        <w:pStyle w:val="33"/>
        <w:bidi w:val="0"/>
        <w:rPr>
          <w:rFonts w:ascii="Times New Roman" w:hAnsi="Times New Roman" w:eastAsia="宋体" w:cs="Times New Roman"/>
          <w:color w:val="auto"/>
        </w:rPr>
      </w:pPr>
      <w:r>
        <w:rPr>
          <w:rFonts w:ascii="Times New Roman" w:hAnsi="Times New Roman" w:eastAsia="宋体" w:cs="Times New Roman"/>
          <w:color w:val="auto"/>
        </w:rPr>
        <w:t>4、施工固废</w:t>
      </w:r>
    </w:p>
    <w:p w14:paraId="0E842447">
      <w:pPr>
        <w:pStyle w:val="33"/>
        <w:bidi w:val="0"/>
        <w:rPr>
          <w:rFonts w:ascii="Times New Roman" w:hAnsi="Times New Roman" w:eastAsia="宋体" w:cs="Times New Roman"/>
          <w:color w:val="auto"/>
        </w:rPr>
      </w:pPr>
      <w:r>
        <w:rPr>
          <w:rFonts w:ascii="Times New Roman" w:hAnsi="Times New Roman" w:eastAsia="宋体" w:cs="Times New Roman"/>
          <w:color w:val="auto"/>
        </w:rPr>
        <w:t>施工期固废主要为</w:t>
      </w:r>
      <w:r>
        <w:rPr>
          <w:rFonts w:hint="eastAsia" w:ascii="Times New Roman" w:hAnsi="Times New Roman" w:eastAsia="宋体" w:cs="Times New Roman"/>
          <w:color w:val="auto"/>
          <w:lang w:val="en-US" w:eastAsia="zh-CN"/>
        </w:rPr>
        <w:t>施工土方、施工废料和施工人员生活垃圾</w:t>
      </w:r>
      <w:r>
        <w:rPr>
          <w:rFonts w:ascii="Times New Roman" w:hAnsi="Times New Roman" w:eastAsia="宋体" w:cs="Times New Roman"/>
          <w:color w:val="auto"/>
        </w:rPr>
        <w:t>。</w:t>
      </w:r>
    </w:p>
    <w:p w14:paraId="3D94A593">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施工土方全部回填至管堤及周边，无弃土产生；施工废料集中收集后可回收利用的再利用，不可回收利用的拉运至乌尔禾建筑垃圾填埋场；施工人员生活垃圾收集至垃圾箱中，拉运至乌尔禾生活垃圾填埋场处置</w:t>
      </w:r>
      <w:r>
        <w:rPr>
          <w:rFonts w:ascii="Times New Roman" w:hAnsi="Times New Roman" w:eastAsia="宋体" w:cs="Times New Roman"/>
          <w:color w:val="auto"/>
        </w:rPr>
        <w:t>。</w:t>
      </w:r>
    </w:p>
    <w:p w14:paraId="457EE0A9">
      <w:pPr>
        <w:pStyle w:val="33"/>
        <w:bidi w:val="0"/>
        <w:rPr>
          <w:rFonts w:ascii="Times New Roman" w:hAnsi="Times New Roman" w:eastAsia="宋体" w:cs="Times New Roman"/>
          <w:color w:val="auto"/>
        </w:rPr>
      </w:pPr>
      <w:r>
        <w:rPr>
          <w:rFonts w:ascii="Times New Roman" w:hAnsi="Times New Roman" w:eastAsia="宋体" w:cs="Times New Roman"/>
          <w:color w:val="auto"/>
        </w:rPr>
        <w:t>施工期固废合理处置率100%。</w:t>
      </w:r>
    </w:p>
    <w:p w14:paraId="43AA7223">
      <w:pPr>
        <w:pStyle w:val="5"/>
        <w:bidi w:val="0"/>
        <w:rPr>
          <w:rFonts w:hint="default"/>
          <w:color w:val="auto"/>
          <w:lang w:val="en-US" w:eastAsia="zh-CN"/>
        </w:rPr>
      </w:pPr>
      <w:r>
        <w:rPr>
          <w:rFonts w:hint="eastAsia"/>
          <w:color w:val="auto"/>
          <w:lang w:val="en-US" w:eastAsia="zh-CN"/>
        </w:rPr>
        <w:t>9.4.2运营期污染物排放情况</w:t>
      </w:r>
    </w:p>
    <w:p w14:paraId="570A798B">
      <w:pPr>
        <w:pStyle w:val="33"/>
        <w:bidi w:val="0"/>
        <w:rPr>
          <w:rFonts w:ascii="Times New Roman" w:hAnsi="Times New Roman" w:eastAsia="宋体" w:cs="Times New Roman"/>
          <w:color w:val="auto"/>
        </w:rPr>
      </w:pPr>
      <w:r>
        <w:rPr>
          <w:rFonts w:ascii="Times New Roman" w:hAnsi="Times New Roman" w:eastAsia="宋体" w:cs="Times New Roman"/>
          <w:color w:val="auto"/>
        </w:rPr>
        <w:t>1、废气</w:t>
      </w:r>
    </w:p>
    <w:p w14:paraId="7C7D7968">
      <w:pPr>
        <w:pStyle w:val="33"/>
        <w:bidi w:val="0"/>
        <w:rPr>
          <w:rFonts w:ascii="Times New Roman" w:hAnsi="Times New Roman" w:eastAsia="宋体" w:cs="Times New Roman"/>
          <w:color w:val="auto"/>
        </w:rPr>
      </w:pPr>
      <w:r>
        <w:rPr>
          <w:rFonts w:ascii="Times New Roman" w:hAnsi="Times New Roman" w:eastAsia="宋体" w:cs="Times New Roman"/>
          <w:color w:val="auto"/>
        </w:rPr>
        <w:t>主要为油气集输过程中的烃类无组织排放，通过优化操作，减少跑冒滴漏等措施，排放浓度可以满足《陆上石油天然气开采工业大气污染物排放标准》（GB39728-2020）中企业边界污染物控制要求。</w:t>
      </w:r>
    </w:p>
    <w:p w14:paraId="4688128C">
      <w:pPr>
        <w:pStyle w:val="33"/>
        <w:bidi w:val="0"/>
        <w:rPr>
          <w:rFonts w:ascii="Times New Roman" w:hAnsi="Times New Roman" w:eastAsia="宋体" w:cs="Times New Roman"/>
          <w:color w:val="auto"/>
        </w:rPr>
      </w:pPr>
      <w:r>
        <w:rPr>
          <w:rFonts w:ascii="Times New Roman" w:hAnsi="Times New Roman" w:eastAsia="宋体" w:cs="Times New Roman"/>
          <w:color w:val="auto"/>
        </w:rPr>
        <w:t>2、废水</w:t>
      </w:r>
    </w:p>
    <w:p w14:paraId="0E3ED1EB">
      <w:pPr>
        <w:pStyle w:val="33"/>
        <w:bidi w:val="0"/>
        <w:rPr>
          <w:rFonts w:ascii="Times New Roman" w:hAnsi="Times New Roman" w:eastAsia="宋体" w:cs="Times New Roman"/>
          <w:color w:val="auto"/>
        </w:rPr>
      </w:pPr>
      <w:r>
        <w:rPr>
          <w:rFonts w:ascii="Times New Roman" w:hAnsi="Times New Roman" w:eastAsia="宋体" w:cs="Times New Roman"/>
          <w:color w:val="auto"/>
        </w:rPr>
        <w:t>油田采出水</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井下作业废水</w:t>
      </w:r>
      <w:r>
        <w:rPr>
          <w:rFonts w:ascii="Times New Roman" w:hAnsi="Times New Roman" w:eastAsia="宋体" w:cs="Times New Roman"/>
          <w:color w:val="auto"/>
        </w:rPr>
        <w:t>经</w:t>
      </w:r>
      <w:r>
        <w:rPr>
          <w:rFonts w:hint="eastAsia" w:ascii="Times New Roman" w:hAnsi="Times New Roman" w:eastAsia="宋体" w:cs="Times New Roman"/>
          <w:color w:val="auto"/>
          <w:lang w:val="en-US" w:eastAsia="zh-CN"/>
        </w:rPr>
        <w:t>百联站</w:t>
      </w:r>
      <w:r>
        <w:rPr>
          <w:rFonts w:ascii="Times New Roman" w:hAnsi="Times New Roman" w:eastAsia="宋体" w:cs="Times New Roman"/>
          <w:color w:val="auto"/>
        </w:rPr>
        <w:t>内采出水处理系统处理达到《碎屑岩油藏注水水质指标技术要求及分析方法》（SY/T5329-2022）要求后同层回注。</w:t>
      </w:r>
    </w:p>
    <w:p w14:paraId="79892F89">
      <w:pPr>
        <w:pStyle w:val="33"/>
        <w:bidi w:val="0"/>
        <w:rPr>
          <w:rFonts w:ascii="Times New Roman" w:hAnsi="Times New Roman" w:eastAsia="宋体" w:cs="Times New Roman"/>
          <w:color w:val="auto"/>
        </w:rPr>
      </w:pPr>
      <w:r>
        <w:rPr>
          <w:rFonts w:ascii="Times New Roman" w:hAnsi="Times New Roman" w:eastAsia="宋体" w:cs="Times New Roman"/>
          <w:color w:val="auto"/>
        </w:rPr>
        <w:t>3、噪声</w:t>
      </w:r>
    </w:p>
    <w:p w14:paraId="648AB20A">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噪声污染源主要有井场抽油机，声源强度为</w:t>
      </w:r>
      <w:r>
        <w:rPr>
          <w:rFonts w:hint="eastAsia" w:ascii="Times New Roman" w:hAnsi="Times New Roman" w:eastAsia="宋体" w:cs="Times New Roman"/>
          <w:color w:val="auto"/>
          <w:lang w:val="en-US" w:eastAsia="zh-CN"/>
        </w:rPr>
        <w:t>75</w:t>
      </w:r>
      <w:r>
        <w:rPr>
          <w:rFonts w:ascii="Times New Roman" w:hAnsi="Times New Roman" w:eastAsia="宋体" w:cs="Times New Roman"/>
          <w:color w:val="auto"/>
        </w:rPr>
        <w:t>～80dB(A)。</w:t>
      </w:r>
    </w:p>
    <w:p w14:paraId="38650A8C">
      <w:pPr>
        <w:pStyle w:val="33"/>
        <w:bidi w:val="0"/>
        <w:rPr>
          <w:rFonts w:ascii="Times New Roman" w:hAnsi="Times New Roman" w:eastAsia="宋体" w:cs="Times New Roman"/>
          <w:color w:val="auto"/>
        </w:rPr>
      </w:pPr>
      <w:r>
        <w:rPr>
          <w:rFonts w:ascii="Times New Roman" w:hAnsi="Times New Roman" w:eastAsia="宋体" w:cs="Times New Roman"/>
          <w:color w:val="auto"/>
        </w:rPr>
        <w:t>4、固废</w:t>
      </w:r>
    </w:p>
    <w:p w14:paraId="3141FAED">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运营期</w:t>
      </w:r>
      <w:r>
        <w:rPr>
          <w:rFonts w:ascii="Times New Roman" w:hAnsi="Times New Roman" w:eastAsia="宋体" w:cs="Times New Roman"/>
          <w:color w:val="auto"/>
        </w:rPr>
        <w:t>固废主要为落地油、含油污泥、</w:t>
      </w:r>
      <w:r>
        <w:rPr>
          <w:rFonts w:hint="eastAsia" w:ascii="Times New Roman" w:hAnsi="Times New Roman" w:eastAsia="宋体" w:cs="Times New Roman"/>
          <w:color w:val="auto"/>
          <w:lang w:val="en-US" w:eastAsia="zh-CN"/>
        </w:rPr>
        <w:t>沾油废物</w:t>
      </w:r>
      <w:r>
        <w:rPr>
          <w:rFonts w:ascii="Times New Roman" w:hAnsi="Times New Roman" w:eastAsia="宋体" w:cs="Times New Roman"/>
          <w:color w:val="auto"/>
        </w:rPr>
        <w:t>。其中井下作业时采</w:t>
      </w:r>
      <w:r>
        <w:rPr>
          <w:rFonts w:hint="eastAsia" w:ascii="宋体" w:hAnsi="宋体" w:eastAsia="宋体" w:cs="宋体"/>
          <w:color w:val="auto"/>
        </w:rPr>
        <w:t>用“铺设作业、带罐上岗”的</w:t>
      </w:r>
      <w:r>
        <w:rPr>
          <w:rFonts w:hint="default" w:ascii="Times New Roman" w:hAnsi="Times New Roman" w:eastAsia="宋体" w:cs="Times New Roman"/>
          <w:color w:val="auto"/>
        </w:rPr>
        <w:t>模式，落地油100%回收。</w:t>
      </w:r>
      <w:r>
        <w:rPr>
          <w:rFonts w:ascii="Times New Roman" w:hAnsi="Times New Roman" w:eastAsia="宋体" w:cs="Times New Roman"/>
          <w:color w:val="auto"/>
        </w:rPr>
        <w:t>含油污泥定期交有资质单位合理处置。</w:t>
      </w:r>
      <w:r>
        <w:rPr>
          <w:rFonts w:hint="eastAsia" w:ascii="Times New Roman" w:hAnsi="Times New Roman" w:eastAsia="宋体" w:cs="Times New Roman"/>
          <w:color w:val="auto"/>
          <w:lang w:val="en-US" w:eastAsia="zh-CN"/>
        </w:rPr>
        <w:t>沾油废物</w:t>
      </w:r>
      <w:r>
        <w:rPr>
          <w:rFonts w:ascii="Times New Roman" w:hAnsi="Times New Roman" w:eastAsia="宋体" w:cs="Times New Roman"/>
          <w:color w:val="auto"/>
        </w:rPr>
        <w:t>收集后送至现有</w:t>
      </w:r>
      <w:r>
        <w:rPr>
          <w:rFonts w:hint="eastAsia" w:ascii="Times New Roman" w:hAnsi="Times New Roman" w:eastAsia="宋体" w:cs="Times New Roman"/>
          <w:color w:val="auto"/>
          <w:lang w:val="en-US" w:eastAsia="zh-CN"/>
        </w:rPr>
        <w:t>危险废物储</w:t>
      </w:r>
      <w:r>
        <w:rPr>
          <w:rFonts w:ascii="Times New Roman" w:hAnsi="Times New Roman" w:eastAsia="宋体" w:cs="Times New Roman"/>
          <w:color w:val="auto"/>
        </w:rPr>
        <w:t>存点暂存，定期交有资质单位合理处置。</w:t>
      </w:r>
    </w:p>
    <w:p w14:paraId="11E64D23">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期固废合理处置，处置率100%。</w:t>
      </w:r>
    </w:p>
    <w:p w14:paraId="7EB6FD53">
      <w:pPr>
        <w:pStyle w:val="2"/>
        <w:bidi w:val="0"/>
        <w:rPr>
          <w:rFonts w:hint="default"/>
          <w:color w:val="auto"/>
          <w:lang w:val="en-US" w:eastAsia="zh-CN"/>
        </w:rPr>
      </w:pPr>
      <w:bookmarkStart w:id="383" w:name="_Toc11345"/>
      <w:bookmarkStart w:id="384" w:name="_Toc28534"/>
      <w:bookmarkStart w:id="385" w:name="_Toc10905"/>
      <w:r>
        <w:rPr>
          <w:rFonts w:hint="eastAsia"/>
          <w:color w:val="auto"/>
          <w:lang w:val="en-US" w:eastAsia="zh-CN"/>
        </w:rPr>
        <w:t>9.5主要环境影响</w:t>
      </w:r>
      <w:bookmarkEnd w:id="383"/>
      <w:bookmarkEnd w:id="384"/>
      <w:bookmarkEnd w:id="385"/>
    </w:p>
    <w:p w14:paraId="4B9CF118">
      <w:pPr>
        <w:pStyle w:val="5"/>
        <w:bidi w:val="0"/>
        <w:rPr>
          <w:rFonts w:hint="default"/>
          <w:color w:val="auto"/>
          <w:lang w:val="en-US" w:eastAsia="zh-CN"/>
        </w:rPr>
      </w:pPr>
      <w:bookmarkStart w:id="386" w:name="_Toc7655"/>
      <w:r>
        <w:rPr>
          <w:rFonts w:hint="eastAsia"/>
          <w:color w:val="auto"/>
          <w:lang w:val="en-US" w:eastAsia="zh-CN"/>
        </w:rPr>
        <w:t>9.5.1施工期环境影响</w:t>
      </w:r>
      <w:bookmarkEnd w:id="386"/>
    </w:p>
    <w:p w14:paraId="7CC959C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bookmarkStart w:id="387" w:name="_Toc29778"/>
      <w:r>
        <w:rPr>
          <w:rFonts w:hint="eastAsia" w:ascii="Times New Roman" w:hAnsi="Times New Roman" w:eastAsia="宋体" w:cs="Times New Roman"/>
          <w:color w:val="auto"/>
          <w:sz w:val="24"/>
          <w:szCs w:val="28"/>
          <w:lang w:val="en-US" w:eastAsia="zh-CN"/>
        </w:rPr>
        <w:t>1、废气</w:t>
      </w:r>
      <w:bookmarkEnd w:id="387"/>
    </w:p>
    <w:p w14:paraId="53858AD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1）施工扬尘一般粒径较大，具有沉降快，影响范围小的特点。通过影响分析，本工程施工期工程开挖范围小，运输车辆及施工机械数量少且分布分散，加之产生的建筑扬尘颗粒物粒径较大，故施工扬尘飘移距离短，影响范围有限。项目管线分段施工，扬尘影响分散，影响范围有限。</w:t>
      </w:r>
    </w:p>
    <w:p w14:paraId="452B733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（2）本工程施工期运输车辆以及施工机械范围及数量少</w:t>
      </w:r>
      <w:r>
        <w:rPr>
          <w:rFonts w:hint="eastAsia" w:cs="Times New Roman"/>
          <w:color w:val="auto"/>
          <w:sz w:val="24"/>
          <w:szCs w:val="28"/>
          <w:lang w:val="en-US" w:eastAsia="zh-CN"/>
        </w:rPr>
        <w:t>且</w:t>
      </w:r>
      <w:r>
        <w:rPr>
          <w:rFonts w:hint="eastAsia" w:ascii="Times New Roman" w:hAnsi="Times New Roman" w:eastAsia="宋体" w:cs="Times New Roman"/>
          <w:color w:val="auto"/>
          <w:sz w:val="24"/>
          <w:szCs w:val="28"/>
          <w:lang w:val="en-US" w:eastAsia="zh-CN"/>
        </w:rPr>
        <w:t>分布分散，所以尾气排放对环境影响小。</w:t>
      </w:r>
    </w:p>
    <w:p w14:paraId="2EF0693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（3）由于项目开发区域风速较大，利于污染物扩散，因此施工过程中，焊接烟尘、防腐废气对大气环境影响很小。</w:t>
      </w:r>
    </w:p>
    <w:p w14:paraId="65871FF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bookmarkStart w:id="388" w:name="_Toc26195"/>
      <w:r>
        <w:rPr>
          <w:rFonts w:hint="eastAsia"/>
          <w:color w:val="auto"/>
          <w:sz w:val="24"/>
          <w:szCs w:val="28"/>
          <w:lang w:val="en-US" w:eastAsia="zh-CN"/>
        </w:rPr>
        <w:t>2、废水</w:t>
      </w:r>
      <w:bookmarkEnd w:id="388"/>
    </w:p>
    <w:p w14:paraId="024B7E0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eastAsia="zh-CN"/>
        </w:rPr>
        <w:t>（</w:t>
      </w:r>
      <w:r>
        <w:rPr>
          <w:rFonts w:hint="eastAsia" w:ascii="Times New Roman" w:hAnsi="Times New Roman" w:eastAsia="宋体" w:cs="Times New Roman"/>
          <w:color w:val="auto"/>
          <w:sz w:val="24"/>
          <w:szCs w:val="28"/>
          <w:lang w:val="en-US" w:eastAsia="zh-CN"/>
        </w:rPr>
        <w:t>1</w:t>
      </w:r>
      <w:r>
        <w:rPr>
          <w:rFonts w:hint="eastAsia"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试压水由管道</w:t>
      </w:r>
      <w:r>
        <w:rPr>
          <w:rFonts w:hint="eastAsia" w:ascii="Times New Roman" w:hAnsi="Times New Roman" w:eastAsia="宋体" w:cs="Times New Roman"/>
          <w:color w:val="auto"/>
          <w:sz w:val="24"/>
          <w:szCs w:val="28"/>
          <w:lang w:val="en-US" w:eastAsia="zh-CN"/>
        </w:rPr>
        <w:t>输送至百联站采出水处理系统处理达标后回注</w:t>
      </w:r>
      <w:r>
        <w:rPr>
          <w:rFonts w:hint="eastAsia" w:ascii="Times New Roman" w:hAnsi="Times New Roman" w:eastAsia="宋体" w:cs="Times New Roman"/>
          <w:color w:val="auto"/>
          <w:sz w:val="24"/>
          <w:szCs w:val="28"/>
          <w:lang w:eastAsia="zh-CN"/>
        </w:rPr>
        <w:t>。</w:t>
      </w:r>
    </w:p>
    <w:p w14:paraId="3D6B8E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（2）施工人员生活污水依托生活基地内既有设施，最终进入乌尔禾区生活污水处理厂处理。</w:t>
      </w:r>
    </w:p>
    <w:p w14:paraId="08BFAB7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采取上述措施后，项目施工对地表水的环境影响很小。</w:t>
      </w:r>
    </w:p>
    <w:p w14:paraId="688CAC0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bookmarkStart w:id="389" w:name="_Toc18237"/>
      <w:r>
        <w:rPr>
          <w:rFonts w:hint="eastAsia"/>
          <w:color w:val="auto"/>
          <w:sz w:val="24"/>
          <w:szCs w:val="28"/>
          <w:lang w:val="en-US" w:eastAsia="zh-CN"/>
        </w:rPr>
        <w:t>3、噪声</w:t>
      </w:r>
      <w:bookmarkEnd w:id="389"/>
    </w:p>
    <w:p w14:paraId="1C7AB52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施工过程的噪声源主要包括挖掘机、推土机等。根据现场踏勘，施工区域200m范围内无声环境敏感目标，施工对区域声环境影响较小，施工作业时间较短，施工结束后影响消失。</w:t>
      </w:r>
    </w:p>
    <w:p w14:paraId="2A836F0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在工程建设过程中，由于运输、平整场地、管沟开挖及回填</w:t>
      </w:r>
      <w:r>
        <w:rPr>
          <w:rFonts w:hint="eastAsia" w:cs="Times New Roman"/>
          <w:color w:val="auto"/>
          <w:sz w:val="24"/>
          <w:szCs w:val="28"/>
          <w:lang w:val="en-US" w:eastAsia="zh-CN"/>
        </w:rPr>
        <w:t>等需</w:t>
      </w:r>
      <w:r>
        <w:rPr>
          <w:rFonts w:hint="eastAsia" w:ascii="Times New Roman" w:hAnsi="Times New Roman" w:eastAsia="宋体" w:cs="Times New Roman"/>
          <w:color w:val="auto"/>
          <w:sz w:val="24"/>
          <w:szCs w:val="28"/>
          <w:lang w:val="en-US" w:eastAsia="zh-CN"/>
        </w:rPr>
        <w:t>要使用各种车辆和机械，其产生的噪声，对施工区周围的环境将产生一定的影响。根据预测分析，井场、管线施工会产生一定的噪声，由于管道属于线性工程，局部地段的施工停留周期较短，因此，施工噪声只对局部环境造成短时影响。</w:t>
      </w:r>
    </w:p>
    <w:p w14:paraId="7228E64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8"/>
          <w:lang w:val="en-US" w:eastAsia="zh-CN"/>
        </w:rPr>
      </w:pPr>
      <w:bookmarkStart w:id="390" w:name="_Toc5546"/>
      <w:r>
        <w:rPr>
          <w:rFonts w:hint="eastAsia"/>
          <w:color w:val="auto"/>
          <w:sz w:val="24"/>
          <w:szCs w:val="28"/>
          <w:lang w:val="en-US" w:eastAsia="zh-CN"/>
        </w:rPr>
        <w:t>4、固体废物</w:t>
      </w:r>
      <w:bookmarkEnd w:id="390"/>
    </w:p>
    <w:p w14:paraId="1ACA02D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施工期固废主要为施工土方、施工废料和施工人员生活垃圾。施工期固废合理处置率100%，对周围环境影响小。</w:t>
      </w:r>
    </w:p>
    <w:p w14:paraId="52DBEB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bookmarkStart w:id="391" w:name="_Toc21783"/>
      <w:r>
        <w:rPr>
          <w:rFonts w:hint="eastAsia" w:ascii="Times New Roman" w:hAnsi="Times New Roman" w:eastAsia="宋体" w:cs="Times New Roman"/>
          <w:color w:val="auto"/>
          <w:sz w:val="24"/>
          <w:szCs w:val="28"/>
          <w:lang w:val="en-US" w:eastAsia="zh-CN"/>
        </w:rPr>
        <w:t>5、生态环境影响</w:t>
      </w:r>
      <w:bookmarkEnd w:id="391"/>
    </w:p>
    <w:p w14:paraId="59D4BEE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本项目施工期工程内容包括井场地面工程、管线工程，对生态环境造成一定影响。施工结束后对施工场地地表植被进行恢复，可有效减轻建设过程中对生态环境的影响。</w:t>
      </w:r>
    </w:p>
    <w:p w14:paraId="73473F41">
      <w:pPr>
        <w:pStyle w:val="5"/>
        <w:bidi w:val="0"/>
        <w:rPr>
          <w:rFonts w:hint="default"/>
          <w:color w:val="auto"/>
          <w:lang w:val="en-US" w:eastAsia="zh-CN"/>
        </w:rPr>
      </w:pPr>
      <w:bookmarkStart w:id="392" w:name="_Toc24664"/>
      <w:bookmarkStart w:id="393" w:name="_Toc23591"/>
      <w:r>
        <w:rPr>
          <w:rFonts w:hint="eastAsia"/>
          <w:color w:val="auto"/>
          <w:lang w:val="en-US" w:eastAsia="zh-CN"/>
        </w:rPr>
        <w:t>9.5.2运营期环境影响</w:t>
      </w:r>
      <w:bookmarkEnd w:id="392"/>
      <w:bookmarkEnd w:id="393"/>
    </w:p>
    <w:p w14:paraId="1AD14F6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bookmarkStart w:id="394" w:name="_Toc26270"/>
      <w:r>
        <w:rPr>
          <w:rFonts w:hint="eastAsia" w:ascii="Times New Roman" w:hAnsi="Times New Roman" w:eastAsia="宋体" w:cs="Times New Roman"/>
          <w:color w:val="auto"/>
          <w:sz w:val="24"/>
          <w:szCs w:val="28"/>
          <w:lang w:val="en-US" w:eastAsia="zh-CN"/>
        </w:rPr>
        <w:t>1、废气</w:t>
      </w:r>
      <w:bookmarkEnd w:id="394"/>
    </w:p>
    <w:p w14:paraId="6ADFF25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本项目投入运行后，油气集输会产生少量无组织气体排放，采取优化操作、减少跑冒滴漏等措施后，可以实现达标排放，对周围大气环境影响较小。</w:t>
      </w:r>
    </w:p>
    <w:p w14:paraId="2C61D2B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bookmarkStart w:id="395" w:name="_Toc22836"/>
      <w:r>
        <w:rPr>
          <w:rFonts w:hint="eastAsia" w:ascii="Times New Roman" w:hAnsi="Times New Roman" w:eastAsia="宋体" w:cs="Times New Roman"/>
          <w:color w:val="auto"/>
          <w:sz w:val="24"/>
          <w:szCs w:val="28"/>
          <w:lang w:val="en-US" w:eastAsia="zh-CN"/>
        </w:rPr>
        <w:t>2、废水</w:t>
      </w:r>
      <w:bookmarkEnd w:id="395"/>
    </w:p>
    <w:p w14:paraId="3FDDBD4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油田采出水、井下作业废水依托已建采出水处理系统处理达到《碎屑岩油藏注水水质指标技术要求及分析方法》（SY/T5329-2022）标准后回注。</w:t>
      </w:r>
    </w:p>
    <w:p w14:paraId="34B316D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bookmarkStart w:id="396" w:name="_Toc14515"/>
      <w:r>
        <w:rPr>
          <w:rFonts w:hint="eastAsia" w:ascii="Times New Roman" w:hAnsi="Times New Roman" w:eastAsia="宋体" w:cs="Times New Roman"/>
          <w:color w:val="auto"/>
          <w:sz w:val="24"/>
          <w:szCs w:val="28"/>
          <w:lang w:val="en-US" w:eastAsia="zh-CN"/>
        </w:rPr>
        <w:t>3、噪声</w:t>
      </w:r>
      <w:bookmarkEnd w:id="396"/>
    </w:p>
    <w:p w14:paraId="5580E5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根据预测结果，井场厂界各预测点位昼间、夜间厂界噪声贡献值均符合《工业企业厂界环境噪声排放标准》（GB12348－2008）2类标准要求。因此，本工程井场在运营期间对周边声环境影响较小。</w:t>
      </w:r>
    </w:p>
    <w:p w14:paraId="4CDF98C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bookmarkStart w:id="397" w:name="_Toc27869"/>
      <w:r>
        <w:rPr>
          <w:rFonts w:hint="eastAsia" w:ascii="Times New Roman" w:hAnsi="Times New Roman" w:eastAsia="宋体" w:cs="Times New Roman"/>
          <w:color w:val="auto"/>
          <w:sz w:val="24"/>
          <w:szCs w:val="28"/>
          <w:lang w:val="en-US" w:eastAsia="zh-CN"/>
        </w:rPr>
        <w:t>4、固体废物</w:t>
      </w:r>
      <w:bookmarkEnd w:id="397"/>
    </w:p>
    <w:p w14:paraId="38F51CE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本工程运营期产生的落地油、含油污泥、沾油废物，定期委托有资质单位处理。企业在认真落实评价提出的安全存放、转移处理的各项措施的基础上，固体废物对区域环境影响较小，加之采取必要的管理措施，固体废物对环境影响很小。</w:t>
      </w:r>
    </w:p>
    <w:p w14:paraId="2E639BF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bookmarkStart w:id="398" w:name="_Toc12062"/>
      <w:r>
        <w:rPr>
          <w:rFonts w:hint="eastAsia" w:ascii="Times New Roman" w:hAnsi="Times New Roman" w:eastAsia="宋体" w:cs="Times New Roman"/>
          <w:color w:val="auto"/>
          <w:sz w:val="24"/>
          <w:szCs w:val="28"/>
          <w:lang w:val="en-US" w:eastAsia="zh-CN"/>
        </w:rPr>
        <w:t>5、土壤环境影响</w:t>
      </w:r>
      <w:bookmarkEnd w:id="398"/>
    </w:p>
    <w:p w14:paraId="3E644EB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lang w:val="en-US" w:eastAsia="zh-CN"/>
        </w:rPr>
      </w:pPr>
      <w:r>
        <w:rPr>
          <w:rFonts w:hint="eastAsia" w:ascii="Times New Roman" w:hAnsi="Times New Roman" w:eastAsia="宋体" w:cs="Times New Roman"/>
          <w:color w:val="auto"/>
          <w:sz w:val="24"/>
          <w:szCs w:val="28"/>
          <w:lang w:val="en-US" w:eastAsia="zh-CN"/>
        </w:rPr>
        <w:t>在项目建设和使用过程中，加强管理，重视土壤现状保障和建设过程防控措施的实施，项目对土壤环境的负面影响将很轻微。</w:t>
      </w:r>
    </w:p>
    <w:p w14:paraId="1F721707">
      <w:pPr>
        <w:pStyle w:val="5"/>
        <w:bidi w:val="0"/>
        <w:rPr>
          <w:rFonts w:hint="default"/>
          <w:color w:val="auto"/>
          <w:lang w:val="en-US" w:eastAsia="zh-CN"/>
        </w:rPr>
      </w:pPr>
      <w:r>
        <w:rPr>
          <w:rFonts w:hint="eastAsia"/>
          <w:color w:val="auto"/>
          <w:lang w:val="en-US" w:eastAsia="zh-CN"/>
        </w:rPr>
        <w:t>9.5.3生态影响</w:t>
      </w:r>
    </w:p>
    <w:p w14:paraId="0E6CF944">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ascii="Times New Roman" w:hAnsi="Times New Roman" w:eastAsia="宋体" w:cs="Times New Roman"/>
          <w:color w:val="auto"/>
        </w:rPr>
        <w:t>环境影响</w:t>
      </w:r>
    </w:p>
    <w:p w14:paraId="4D231C1D">
      <w:pPr>
        <w:pStyle w:val="33"/>
        <w:bidi w:val="0"/>
        <w:rPr>
          <w:rFonts w:hint="eastAsia" w:ascii="Times New Roman" w:hAnsi="Times New Roman" w:eastAsia="宋体" w:cs="Times New Roman"/>
          <w:color w:val="auto"/>
          <w:lang w:val="en-US" w:eastAsia="zh-CN"/>
        </w:rPr>
      </w:pPr>
      <w:r>
        <w:rPr>
          <w:rFonts w:ascii="Times New Roman" w:hAnsi="Times New Roman" w:eastAsia="宋体" w:cs="Times New Roman"/>
          <w:color w:val="auto"/>
        </w:rPr>
        <w:t>工程对生态环境影响主要在施工期，主要体现在土地利用、土壤、动植物、水土流失等方面，其中管线施工对土壤、水土流失、植被的影响比较大。</w:t>
      </w:r>
      <w:r>
        <w:rPr>
          <w:rFonts w:hint="eastAsia" w:ascii="Times New Roman" w:hAnsi="Times New Roman" w:eastAsia="宋体" w:cs="Times New Roman"/>
          <w:color w:val="auto"/>
          <w:lang w:val="en-US" w:eastAsia="zh-CN"/>
        </w:rPr>
        <w:t>运营</w:t>
      </w:r>
      <w:r>
        <w:rPr>
          <w:rFonts w:ascii="Times New Roman" w:hAnsi="Times New Roman" w:eastAsia="宋体" w:cs="Times New Roman"/>
          <w:color w:val="auto"/>
        </w:rPr>
        <w:t>期植被恢复后影响相对较小。通过采取相应的生态保护、恢复措施后，工程建设对生态环境的</w:t>
      </w:r>
      <w:r>
        <w:rPr>
          <w:rFonts w:hint="eastAsia" w:cs="Times New Roman"/>
          <w:color w:val="auto"/>
          <w:lang w:eastAsia="zh-CN"/>
        </w:rPr>
        <w:t>影响</w:t>
      </w:r>
      <w:r>
        <w:rPr>
          <w:rFonts w:ascii="Times New Roman" w:hAnsi="Times New Roman" w:eastAsia="宋体" w:cs="Times New Roman"/>
          <w:color w:val="auto"/>
        </w:rPr>
        <w:t>可得到有效减缓，不会改变当地的生态环境功能，对生态环境的影响在可接受范围内。</w:t>
      </w:r>
    </w:p>
    <w:p w14:paraId="070BEDBC">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2、生态保护</w:t>
      </w:r>
      <w:r>
        <w:rPr>
          <w:rFonts w:ascii="Times New Roman" w:hAnsi="Times New Roman" w:eastAsia="宋体" w:cs="Times New Roman"/>
          <w:color w:val="auto"/>
        </w:rPr>
        <w:t>措施</w:t>
      </w:r>
    </w:p>
    <w:p w14:paraId="45566C87">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生态环境影响避让措施</w:t>
      </w:r>
    </w:p>
    <w:p w14:paraId="766C9661">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阀池</w:t>
      </w:r>
      <w:r>
        <w:rPr>
          <w:rFonts w:ascii="Times New Roman" w:hAnsi="Times New Roman" w:eastAsia="宋体" w:cs="Times New Roman"/>
          <w:color w:val="auto"/>
        </w:rPr>
        <w:t>、管线建设应尽可能避让林地、草地。</w:t>
      </w:r>
    </w:p>
    <w:p w14:paraId="4D644679">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生态环境保护与恢复措施</w:t>
      </w:r>
    </w:p>
    <w:p w14:paraId="3BA86973">
      <w:pPr>
        <w:pStyle w:val="33"/>
        <w:bidi w:val="0"/>
        <w:rPr>
          <w:rFonts w:ascii="Times New Roman" w:hAnsi="Times New Roman" w:eastAsia="宋体" w:cs="Times New Roman"/>
          <w:color w:val="auto"/>
        </w:rPr>
      </w:pPr>
      <w:r>
        <w:rPr>
          <w:rFonts w:ascii="Times New Roman" w:hAnsi="Times New Roman" w:eastAsia="宋体" w:cs="Times New Roman"/>
          <w:color w:val="auto"/>
        </w:rPr>
        <w:t>按照不同功能类型，采取工程措施、植物措施和临时措施相结合的方法进行保护。</w:t>
      </w:r>
    </w:p>
    <w:p w14:paraId="197461CA">
      <w:pPr>
        <w:pStyle w:val="33"/>
        <w:bidi w:val="0"/>
        <w:rPr>
          <w:rFonts w:ascii="Times New Roman" w:hAnsi="Times New Roman" w:eastAsia="宋体" w:cs="Times New Roman"/>
          <w:color w:val="auto"/>
        </w:rPr>
      </w:pPr>
      <w:r>
        <w:rPr>
          <w:rFonts w:ascii="Times New Roman" w:hAnsi="Times New Roman" w:eastAsia="宋体" w:cs="Times New Roman"/>
          <w:color w:val="auto"/>
        </w:rPr>
        <w:t>管线施工时应避开</w:t>
      </w:r>
      <w:r>
        <w:rPr>
          <w:rFonts w:hint="eastAsia" w:ascii="Times New Roman" w:hAnsi="Times New Roman" w:eastAsia="宋体" w:cs="Times New Roman"/>
          <w:color w:val="auto"/>
          <w:lang w:val="en-US" w:eastAsia="zh-CN"/>
        </w:rPr>
        <w:t>植物</w:t>
      </w:r>
      <w:r>
        <w:rPr>
          <w:rFonts w:ascii="Times New Roman" w:hAnsi="Times New Roman" w:eastAsia="宋体" w:cs="Times New Roman"/>
          <w:color w:val="auto"/>
        </w:rPr>
        <w:t>生长季节，无法避开时应分层开挖、分层堆放、分层回填；施工结束后，在施工作业带播撒草籽或适宜植物种子。</w:t>
      </w:r>
    </w:p>
    <w:p w14:paraId="40CA2598">
      <w:pPr>
        <w:pStyle w:val="33"/>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生态环境补偿措施在管线采取不同的植物恢复措施对生态进行补偿。</w:t>
      </w:r>
    </w:p>
    <w:p w14:paraId="36F44923">
      <w:pPr>
        <w:pStyle w:val="5"/>
        <w:bidi w:val="0"/>
        <w:rPr>
          <w:rFonts w:hint="default"/>
          <w:color w:val="auto"/>
          <w:lang w:val="en-US" w:eastAsia="zh-CN"/>
        </w:rPr>
      </w:pPr>
      <w:r>
        <w:rPr>
          <w:rFonts w:hint="eastAsia"/>
          <w:color w:val="auto"/>
          <w:lang w:val="en-US" w:eastAsia="zh-CN"/>
        </w:rPr>
        <w:t>9.5.4环境风险评价</w:t>
      </w:r>
    </w:p>
    <w:p w14:paraId="46F5D68D">
      <w:pPr>
        <w:pStyle w:val="33"/>
        <w:bidi w:val="0"/>
        <w:rPr>
          <w:rFonts w:ascii="Times New Roman" w:hAnsi="Times New Roman" w:eastAsia="宋体" w:cs="Times New Roman"/>
          <w:color w:val="auto"/>
        </w:rPr>
      </w:pPr>
      <w:r>
        <w:rPr>
          <w:rFonts w:ascii="Times New Roman" w:hAnsi="Times New Roman" w:eastAsia="宋体" w:cs="Times New Roman"/>
          <w:color w:val="auto"/>
        </w:rPr>
        <w:t>本</w:t>
      </w:r>
      <w:r>
        <w:rPr>
          <w:rFonts w:hint="eastAsia" w:ascii="Times New Roman" w:hAnsi="Times New Roman" w:eastAsia="宋体" w:cs="Times New Roman"/>
          <w:color w:val="auto"/>
          <w:lang w:val="en-US" w:eastAsia="zh-CN"/>
        </w:rPr>
        <w:t>工程</w:t>
      </w:r>
      <w:r>
        <w:rPr>
          <w:rFonts w:ascii="Times New Roman" w:hAnsi="Times New Roman" w:eastAsia="宋体" w:cs="Times New Roman"/>
          <w:color w:val="auto"/>
        </w:rPr>
        <w:t>涉及的主要危险物质为原油及其伴生气，通过制定并落实切实可行的事故防范措施和应急预案，项目能够将事故风险降到最低限度，其最大事故风险值小于同行业平均水平，风险程度可以接受。</w:t>
      </w:r>
    </w:p>
    <w:p w14:paraId="59AAE8CB">
      <w:pPr>
        <w:pStyle w:val="2"/>
        <w:bidi w:val="0"/>
        <w:rPr>
          <w:rFonts w:hint="default"/>
          <w:color w:val="auto"/>
          <w:lang w:val="en-US" w:eastAsia="zh-CN"/>
        </w:rPr>
      </w:pPr>
      <w:bookmarkStart w:id="399" w:name="_Toc11666"/>
      <w:r>
        <w:rPr>
          <w:rFonts w:hint="eastAsia"/>
          <w:color w:val="auto"/>
          <w:lang w:val="en-US" w:eastAsia="zh-CN"/>
        </w:rPr>
        <w:t>9.6环境经济损益分析</w:t>
      </w:r>
      <w:bookmarkEnd w:id="399"/>
    </w:p>
    <w:p w14:paraId="60B12014">
      <w:pPr>
        <w:pStyle w:val="33"/>
        <w:bidi w:val="0"/>
        <w:rPr>
          <w:color w:val="auto"/>
        </w:rPr>
      </w:pPr>
      <w:r>
        <w:rPr>
          <w:color w:val="auto"/>
        </w:rPr>
        <w:t>总体上看，本</w:t>
      </w:r>
      <w:r>
        <w:rPr>
          <w:rFonts w:hint="eastAsia"/>
          <w:color w:val="auto"/>
          <w:lang w:val="en-US" w:eastAsia="zh-CN"/>
        </w:rPr>
        <w:t>工程</w:t>
      </w:r>
      <w:r>
        <w:rPr>
          <w:color w:val="auto"/>
        </w:rPr>
        <w:t>有较好的经济效益和社会效益，当确保污染治理设施正常运转、污染物达标排放时，项目</w:t>
      </w:r>
      <w:r>
        <w:rPr>
          <w:rFonts w:hint="eastAsia"/>
          <w:color w:val="auto"/>
          <w:lang w:eastAsia="zh-CN"/>
        </w:rPr>
        <w:t>基本</w:t>
      </w:r>
      <w:r>
        <w:rPr>
          <w:color w:val="auto"/>
        </w:rPr>
        <w:t>实现社会、经济和环境效益的统一，环境效益显著。</w:t>
      </w:r>
    </w:p>
    <w:p w14:paraId="725E9886">
      <w:pPr>
        <w:pStyle w:val="2"/>
        <w:bidi w:val="0"/>
        <w:rPr>
          <w:rFonts w:hint="default"/>
          <w:color w:val="auto"/>
          <w:lang w:val="en-US" w:eastAsia="zh-CN"/>
        </w:rPr>
      </w:pPr>
      <w:bookmarkStart w:id="400" w:name="_Toc14401"/>
      <w:r>
        <w:rPr>
          <w:rFonts w:hint="eastAsia"/>
          <w:color w:val="auto"/>
          <w:lang w:val="en-US" w:eastAsia="zh-CN"/>
        </w:rPr>
        <w:t>9.7环境管理与监测计划</w:t>
      </w:r>
      <w:bookmarkEnd w:id="400"/>
    </w:p>
    <w:p w14:paraId="555B9765">
      <w:pPr>
        <w:pStyle w:val="33"/>
        <w:bidi w:val="0"/>
        <w:rPr>
          <w:rFonts w:ascii="Times New Roman" w:hAnsi="Times New Roman" w:eastAsia="宋体" w:cs="Times New Roman"/>
          <w:color w:val="auto"/>
        </w:rPr>
      </w:pPr>
      <w:r>
        <w:rPr>
          <w:rFonts w:ascii="Times New Roman" w:hAnsi="Times New Roman" w:eastAsia="宋体" w:cs="Times New Roman"/>
          <w:color w:val="auto"/>
        </w:rPr>
        <w:t>根据工程排污特点及项目实际情况，由质量安全环保</w:t>
      </w:r>
      <w:r>
        <w:rPr>
          <w:rFonts w:hint="eastAsia" w:ascii="Times New Roman" w:hAnsi="Times New Roman" w:eastAsia="宋体" w:cs="Times New Roman"/>
          <w:color w:val="auto"/>
          <w:lang w:val="en-US" w:eastAsia="zh-CN"/>
        </w:rPr>
        <w:t>部</w:t>
      </w:r>
      <w:r>
        <w:rPr>
          <w:rFonts w:ascii="Times New Roman" w:hAnsi="Times New Roman" w:eastAsia="宋体" w:cs="Times New Roman"/>
          <w:color w:val="auto"/>
        </w:rPr>
        <w:t>负责项目运行期的环保设施正常运营、环保措施的落实及环境监测计划的完成。</w:t>
      </w:r>
    </w:p>
    <w:p w14:paraId="6DFD0240">
      <w:pPr>
        <w:pStyle w:val="2"/>
        <w:bidi w:val="0"/>
        <w:rPr>
          <w:rFonts w:hint="default"/>
          <w:color w:val="auto"/>
          <w:lang w:val="en-US" w:eastAsia="zh-CN"/>
        </w:rPr>
      </w:pPr>
      <w:bookmarkStart w:id="401" w:name="_Toc28939"/>
      <w:r>
        <w:rPr>
          <w:rFonts w:hint="eastAsia"/>
          <w:color w:val="auto"/>
          <w:lang w:val="en-US" w:eastAsia="zh-CN"/>
        </w:rPr>
        <w:t>9.8公众意见采纳情况</w:t>
      </w:r>
      <w:bookmarkEnd w:id="401"/>
    </w:p>
    <w:p w14:paraId="375D30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本环评根据《中华人民共和国环境影响评价法</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环境影响评价公众参与办法》（生态环境部令第4号）等</w:t>
      </w:r>
      <w:r>
        <w:rPr>
          <w:rFonts w:hint="eastAsia" w:cs="Times New Roman"/>
          <w:color w:val="auto"/>
          <w:sz w:val="24"/>
          <w:szCs w:val="24"/>
          <w:lang w:val="en-US" w:eastAsia="zh-CN"/>
        </w:rPr>
        <w:t>法律法规</w:t>
      </w:r>
      <w:r>
        <w:rPr>
          <w:rFonts w:hint="default" w:ascii="Times New Roman" w:hAnsi="Times New Roman" w:eastAsia="宋体" w:cs="Times New Roman"/>
          <w:color w:val="auto"/>
          <w:sz w:val="24"/>
          <w:szCs w:val="24"/>
          <w:lang w:val="en-US" w:eastAsia="zh-CN"/>
        </w:rPr>
        <w:t>及有关规定，建设单位利用网络、报纸等方式就项目建设的意义、项目情况、对环境可能造成的影响、预防或减轻不良环境影响的对策和措施等问题向公众发布信息，并进行了环境影响评价简本的公示，供公众查阅。</w:t>
      </w:r>
    </w:p>
    <w:p w14:paraId="629A87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在公示期间，未收到任何反馈信息。</w:t>
      </w:r>
    </w:p>
    <w:p w14:paraId="1359E915">
      <w:pPr>
        <w:pStyle w:val="2"/>
        <w:bidi w:val="0"/>
        <w:rPr>
          <w:rFonts w:hint="default"/>
          <w:color w:val="auto"/>
          <w:lang w:val="en-US" w:eastAsia="zh-CN"/>
        </w:rPr>
      </w:pPr>
      <w:bookmarkStart w:id="402" w:name="_Toc28570"/>
      <w:r>
        <w:rPr>
          <w:rFonts w:hint="eastAsia"/>
          <w:color w:val="auto"/>
          <w:lang w:val="en-US" w:eastAsia="zh-CN"/>
        </w:rPr>
        <w:t>9.9评价结论</w:t>
      </w:r>
      <w:bookmarkEnd w:id="402"/>
    </w:p>
    <w:p w14:paraId="0358647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ascii="宋体" w:hAnsi="宋体" w:eastAsia="宋体" w:cs="宋体"/>
          <w:color w:val="auto"/>
          <w:sz w:val="24"/>
          <w:szCs w:val="24"/>
        </w:rPr>
        <w:t>本</w:t>
      </w:r>
      <w:r>
        <w:rPr>
          <w:rFonts w:hint="eastAsia" w:ascii="宋体" w:hAnsi="宋体" w:eastAsia="宋体" w:cs="宋体"/>
          <w:color w:val="auto"/>
          <w:sz w:val="24"/>
          <w:szCs w:val="24"/>
          <w:lang w:val="en-US" w:eastAsia="zh-CN"/>
        </w:rPr>
        <w:t>工程</w:t>
      </w:r>
      <w:r>
        <w:rPr>
          <w:rFonts w:ascii="宋体" w:hAnsi="宋体" w:eastAsia="宋体" w:cs="宋体"/>
          <w:color w:val="auto"/>
          <w:sz w:val="24"/>
          <w:szCs w:val="24"/>
        </w:rPr>
        <w:t>为石油天然气产业中的“常规石油、天然气勘探与开采”，</w:t>
      </w:r>
      <w:r>
        <w:rPr>
          <w:rFonts w:hint="default" w:ascii="Times New Roman" w:hAnsi="Times New Roman" w:eastAsia="宋体" w:cs="Times New Roman"/>
          <w:color w:val="auto"/>
          <w:sz w:val="24"/>
          <w:szCs w:val="24"/>
        </w:rPr>
        <w:t>对照《产业结构调整指导目录（2024年本）》，属于其中鼓励类第七项</w:t>
      </w:r>
      <w:r>
        <w:rPr>
          <w:rFonts w:hint="eastAsia" w:ascii="宋体" w:hAnsi="宋体" w:eastAsia="宋体" w:cs="宋体"/>
          <w:color w:val="auto"/>
          <w:sz w:val="24"/>
          <w:szCs w:val="24"/>
        </w:rPr>
        <w:t>“石油天然气”</w:t>
      </w:r>
      <w:r>
        <w:rPr>
          <w:rFonts w:hint="default" w:ascii="Times New Roman" w:hAnsi="Times New Roman" w:eastAsia="宋体" w:cs="Times New Roman"/>
          <w:color w:val="auto"/>
          <w:sz w:val="24"/>
          <w:szCs w:val="24"/>
        </w:rPr>
        <w:t>中第1条</w:t>
      </w:r>
      <w:r>
        <w:rPr>
          <w:rFonts w:hint="eastAsia" w:ascii="宋体" w:hAnsi="宋体" w:eastAsia="宋体" w:cs="宋体"/>
          <w:color w:val="auto"/>
          <w:sz w:val="24"/>
          <w:szCs w:val="24"/>
        </w:rPr>
        <w:t>“常规石油、天然气勘探与开采”</w:t>
      </w:r>
      <w:r>
        <w:rPr>
          <w:rFonts w:hint="default" w:ascii="Times New Roman" w:hAnsi="Times New Roman" w:cs="Times New Roman"/>
          <w:color w:val="auto"/>
          <w:sz w:val="24"/>
          <w:szCs w:val="32"/>
        </w:rPr>
        <w:t>和第2条：油气管网建设中原油、天然气、液化天然气、成品油的储存和管道输送设施建</w:t>
      </w:r>
      <w:r>
        <w:rPr>
          <w:rFonts w:hint="eastAsia" w:ascii="宋体" w:hAnsi="宋体" w:eastAsia="宋体" w:cs="宋体"/>
          <w:color w:val="auto"/>
          <w:sz w:val="24"/>
          <w:szCs w:val="32"/>
        </w:rPr>
        <w:t>设”</w:t>
      </w:r>
      <w:r>
        <w:rPr>
          <w:rFonts w:hint="default" w:ascii="Times New Roman" w:hAnsi="Times New Roman" w:eastAsia="宋体" w:cs="Times New Roman"/>
          <w:color w:val="auto"/>
          <w:sz w:val="24"/>
          <w:szCs w:val="24"/>
        </w:rPr>
        <w:t>，项目建设符合国家产业政策</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项目的实施符合相关规划要求，有利于当地产业结构调整和社会经济发展。</w:t>
      </w:r>
    </w:p>
    <w:p w14:paraId="0BDFA18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ascii="宋体" w:hAnsi="宋体" w:eastAsia="宋体" w:cs="宋体"/>
          <w:color w:val="auto"/>
          <w:sz w:val="24"/>
          <w:szCs w:val="24"/>
        </w:rPr>
        <w:t>本</w:t>
      </w:r>
      <w:r>
        <w:rPr>
          <w:rFonts w:hint="eastAsia" w:ascii="宋体" w:hAnsi="宋体" w:eastAsia="宋体" w:cs="宋体"/>
          <w:color w:val="auto"/>
          <w:sz w:val="24"/>
          <w:szCs w:val="24"/>
          <w:lang w:val="en-US" w:eastAsia="zh-CN"/>
        </w:rPr>
        <w:t>工程</w:t>
      </w:r>
      <w:r>
        <w:rPr>
          <w:rFonts w:ascii="宋体" w:hAnsi="宋体" w:eastAsia="宋体" w:cs="宋体"/>
          <w:color w:val="auto"/>
          <w:sz w:val="24"/>
          <w:szCs w:val="24"/>
        </w:rPr>
        <w:t>达到清洁生产企业国内先进水平，在按照“三同时”制度认真落实工程设计、本报告提出改进措施并强化环境管理后，各项污染防治、生态保护及环境风险防范与应急措施基本可行，生产污水处理后</w:t>
      </w:r>
      <w:r>
        <w:rPr>
          <w:rFonts w:hint="eastAsia" w:ascii="宋体" w:hAnsi="宋体" w:eastAsia="宋体" w:cs="宋体"/>
          <w:color w:val="auto"/>
          <w:sz w:val="24"/>
          <w:szCs w:val="24"/>
          <w:lang w:val="en-US" w:eastAsia="zh-CN"/>
        </w:rPr>
        <w:t>回注</w:t>
      </w:r>
      <w:r>
        <w:rPr>
          <w:rFonts w:ascii="宋体" w:hAnsi="宋体" w:eastAsia="宋体" w:cs="宋体"/>
          <w:color w:val="auto"/>
          <w:sz w:val="24"/>
          <w:szCs w:val="24"/>
        </w:rPr>
        <w:t>，废气污染源及井场厂界噪声达标排放，固体废物得到合理贮存、处置或利用，工程对环境的污染较小，满足环境质量目标的要求；生态环境影响得到有效控制、恢复、补偿，并减至最小程度，可以实现生态系统结构功能不降低的生态环境保护目标；环境风险可防控；项目的实施可实现经济效益、社会效益和环境效益的协调统一。从满足环境质量目标和生态环境保护要求的角度，工程建设可行。</w:t>
      </w:r>
    </w:p>
    <w:p w14:paraId="3DC04AC8">
      <w:pPr>
        <w:pStyle w:val="2"/>
        <w:bidi w:val="0"/>
        <w:rPr>
          <w:rFonts w:hint="default"/>
          <w:color w:val="auto"/>
          <w:lang w:val="en-US" w:eastAsia="zh-CN"/>
        </w:rPr>
      </w:pPr>
      <w:bookmarkStart w:id="403" w:name="_Toc7892"/>
      <w:r>
        <w:rPr>
          <w:rFonts w:hint="eastAsia"/>
          <w:color w:val="auto"/>
          <w:lang w:val="en-US" w:eastAsia="zh-CN"/>
        </w:rPr>
        <w:t>9.10要求与建议</w:t>
      </w:r>
      <w:bookmarkEnd w:id="403"/>
    </w:p>
    <w:p w14:paraId="234845B8">
      <w:pPr>
        <w:pStyle w:val="5"/>
        <w:bidi w:val="0"/>
        <w:rPr>
          <w:rFonts w:hint="default"/>
          <w:color w:val="auto"/>
          <w:lang w:val="en-US" w:eastAsia="zh-CN"/>
        </w:rPr>
      </w:pPr>
      <w:bookmarkStart w:id="404" w:name="_Toc31470"/>
      <w:bookmarkStart w:id="405" w:name="_Toc31794"/>
      <w:bookmarkStart w:id="406" w:name="_Toc17865"/>
      <w:r>
        <w:rPr>
          <w:rFonts w:hint="eastAsia"/>
          <w:color w:val="auto"/>
          <w:lang w:val="en-US" w:eastAsia="zh-CN"/>
        </w:rPr>
        <w:t>9.10.1要求</w:t>
      </w:r>
      <w:bookmarkEnd w:id="404"/>
      <w:bookmarkEnd w:id="405"/>
      <w:bookmarkEnd w:id="406"/>
    </w:p>
    <w:p w14:paraId="5114759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、将</w:t>
      </w:r>
      <w:r>
        <w:rPr>
          <w:rFonts w:hint="eastAsia" w:ascii="Times New Roman" w:hAnsi="Times New Roman" w:eastAsia="宋体" w:cs="Times New Roman"/>
          <w:color w:val="auto"/>
          <w:sz w:val="24"/>
          <w:szCs w:val="24"/>
          <w:lang w:val="en-US" w:eastAsia="zh-CN"/>
        </w:rPr>
        <w:t>本次产能建设</w:t>
      </w:r>
      <w:r>
        <w:rPr>
          <w:rFonts w:hint="default" w:ascii="Times New Roman" w:hAnsi="Times New Roman" w:eastAsia="宋体" w:cs="Times New Roman"/>
          <w:color w:val="auto"/>
          <w:sz w:val="24"/>
          <w:szCs w:val="24"/>
        </w:rPr>
        <w:t>项目的环境风险应急预案纳入</w:t>
      </w:r>
      <w:r>
        <w:rPr>
          <w:rFonts w:hint="default" w:ascii="Times New Roman" w:hAnsi="Times New Roman" w:eastAsia="宋体" w:cs="Times New Roman"/>
          <w:color w:val="auto"/>
          <w:sz w:val="24"/>
          <w:szCs w:val="24"/>
          <w:lang w:val="en-US" w:eastAsia="zh-CN"/>
        </w:rPr>
        <w:t>建设单位</w:t>
      </w:r>
      <w:r>
        <w:rPr>
          <w:rFonts w:hint="default" w:ascii="Times New Roman" w:hAnsi="Times New Roman" w:eastAsia="宋体" w:cs="Times New Roman"/>
          <w:color w:val="auto"/>
          <w:sz w:val="24"/>
          <w:szCs w:val="24"/>
        </w:rPr>
        <w:t>突发环境事件应急预案，定期进行预案演练。</w:t>
      </w:r>
    </w:p>
    <w:p w14:paraId="2F73DA6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、做好施工期的管理工作，严格规范施工作业带，严禁随意扩大施工范围，做好临时占地</w:t>
      </w:r>
      <w:r>
        <w:rPr>
          <w:rFonts w:ascii="宋体" w:hAnsi="宋体" w:eastAsia="宋体" w:cs="宋体"/>
          <w:color w:val="auto"/>
          <w:sz w:val="24"/>
          <w:szCs w:val="24"/>
        </w:rPr>
        <w:t>的生态恢复，严格落实生态恢复措施，加强水土保持，认真落实环保</w:t>
      </w:r>
      <w:r>
        <w:rPr>
          <w:rFonts w:hint="eastAsia" w:ascii="宋体" w:hAnsi="宋体" w:eastAsia="宋体" w:cs="宋体"/>
          <w:color w:val="auto"/>
          <w:sz w:val="24"/>
          <w:szCs w:val="24"/>
        </w:rPr>
        <w:t>“三同时”</w:t>
      </w:r>
      <w:r>
        <w:rPr>
          <w:rFonts w:ascii="宋体" w:hAnsi="宋体" w:eastAsia="宋体" w:cs="宋体"/>
          <w:color w:val="auto"/>
          <w:sz w:val="24"/>
          <w:szCs w:val="24"/>
        </w:rPr>
        <w:t>验收制度。</w:t>
      </w:r>
    </w:p>
    <w:p w14:paraId="0A033CE0">
      <w:pPr>
        <w:pStyle w:val="5"/>
        <w:bidi w:val="0"/>
        <w:rPr>
          <w:rFonts w:hint="default"/>
          <w:color w:val="auto"/>
          <w:lang w:val="en-US" w:eastAsia="zh-CN"/>
        </w:rPr>
      </w:pPr>
      <w:bookmarkStart w:id="407" w:name="_Toc15681"/>
      <w:bookmarkStart w:id="408" w:name="_Toc11315"/>
      <w:bookmarkStart w:id="409" w:name="_Toc2827"/>
      <w:r>
        <w:rPr>
          <w:rFonts w:hint="eastAsia"/>
          <w:color w:val="auto"/>
          <w:lang w:val="en-US" w:eastAsia="zh-CN"/>
        </w:rPr>
        <w:t>9.10.2建议</w:t>
      </w:r>
      <w:bookmarkEnd w:id="407"/>
      <w:bookmarkEnd w:id="408"/>
      <w:bookmarkEnd w:id="409"/>
    </w:p>
    <w:p w14:paraId="0C58898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）项目退役期在拆除原油开采与处理设备后，根据立</w:t>
      </w:r>
      <w:r>
        <w:rPr>
          <w:rFonts w:hint="eastAsia" w:ascii="宋体" w:hAnsi="宋体" w:eastAsia="宋体" w:cs="宋体"/>
          <w:color w:val="auto"/>
          <w:sz w:val="24"/>
          <w:szCs w:val="24"/>
        </w:rPr>
        <w:t>地条件和“因地制宜，宜林则林，宜草则草，大力恢复林草植被”的原则</w:t>
      </w:r>
      <w:r>
        <w:rPr>
          <w:rFonts w:hint="default" w:ascii="Times New Roman" w:hAnsi="Times New Roman" w:eastAsia="宋体" w:cs="Times New Roman"/>
          <w:color w:val="auto"/>
          <w:sz w:val="24"/>
          <w:szCs w:val="24"/>
        </w:rPr>
        <w:t>，对生态环境进行恢复和重建。</w:t>
      </w:r>
    </w:p>
    <w:p w14:paraId="0C1C4B9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）完善石油开采、集输突发环境污染事故应急预案和事故防范、减缓措施，加强对运油车辆管理，严格规范各项生产操作规程，防止油田污染事故的发生。</w:t>
      </w:r>
    </w:p>
    <w:p w14:paraId="182482B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加强工程的安全综合管理，强化对员工的职业素质教育，杜绝违章作业。</w:t>
      </w:r>
    </w:p>
    <w:p w14:paraId="36AECAA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涉及的环境保护措施落实后，尽早实施项目竣工环境保护验收工作。</w:t>
      </w:r>
    </w:p>
    <w:p w14:paraId="407DA03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p>
    <w:p w14:paraId="376E1BCB">
      <w:pPr>
        <w:pStyle w:val="33"/>
        <w:bidi w:val="0"/>
        <w:rPr>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im Sun">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auto"/>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A6D2D">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183F88">
                          <w:pPr>
                            <w:pStyle w:val="16"/>
                          </w:pPr>
                          <w:r>
                            <w:fldChar w:fldCharType="begin"/>
                          </w:r>
                          <w:r>
                            <w:instrText xml:space="preserve"> PAGE  \* MERGEFORMAT </w:instrText>
                          </w:r>
                          <w:r>
                            <w:fldChar w:fldCharType="separate"/>
                          </w:r>
                          <w:r>
                            <w:t xml:space="preserve">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14:paraId="63183F88">
                    <w:pPr>
                      <w:pStyle w:val="16"/>
                    </w:pPr>
                    <w:r>
                      <w:fldChar w:fldCharType="begin"/>
                    </w:r>
                    <w:r>
                      <w:instrText xml:space="preserve"> PAGE  \* MERGEFORMAT </w:instrText>
                    </w:r>
                    <w:r>
                      <w:fldChar w:fldCharType="separate"/>
                    </w:r>
                    <w:r>
                      <w:t xml:space="preserve">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3F45A">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6D8A6">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1D7C5">
                          <w:pPr>
                            <w:pStyle w:val="16"/>
                            <w:rPr>
                              <w:rFonts w:hint="default" w:ascii="Times New Roman" w:hAnsi="Times New Roman" w:cs="Times New Roman"/>
                              <w:sz w:val="21"/>
                              <w:szCs w:val="21"/>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601D7C5">
                    <w:pPr>
                      <w:pStyle w:val="16"/>
                      <w:rPr>
                        <w:rFonts w:hint="default" w:ascii="Times New Roman" w:hAnsi="Times New Roman" w:cs="Times New Roman"/>
                        <w:sz w:val="21"/>
                        <w:szCs w:val="21"/>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32110">
    <w:pPr>
      <w:pStyle w:val="17"/>
      <w:pBdr>
        <w:bottom w:val="none" w:color="auto" w:sz="0" w:space="1"/>
      </w:pBdr>
      <w:rPr>
        <w:rFonts w:hint="default" w:eastAsia="宋体"/>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1492">
    <w:pPr>
      <w:pStyle w:val="17"/>
      <w:pBdr>
        <w:bottom w:val="none" w:color="auto" w:sz="0" w:space="1"/>
      </w:pBdr>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8F6A3"/>
    <w:multiLevelType w:val="singleLevel"/>
    <w:tmpl w:val="0448F6A3"/>
    <w:lvl w:ilvl="0" w:tentative="0">
      <w:start w:val="19"/>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2117A"/>
    <w:rsid w:val="00046CA0"/>
    <w:rsid w:val="00076791"/>
    <w:rsid w:val="000B0AC6"/>
    <w:rsid w:val="000D68C5"/>
    <w:rsid w:val="000E3FC3"/>
    <w:rsid w:val="001C66E0"/>
    <w:rsid w:val="00247F63"/>
    <w:rsid w:val="00283022"/>
    <w:rsid w:val="00292BAB"/>
    <w:rsid w:val="00303F39"/>
    <w:rsid w:val="0038613C"/>
    <w:rsid w:val="003C11E0"/>
    <w:rsid w:val="00577718"/>
    <w:rsid w:val="00613F9E"/>
    <w:rsid w:val="006A6DF8"/>
    <w:rsid w:val="006B4F71"/>
    <w:rsid w:val="007200AE"/>
    <w:rsid w:val="00776FEE"/>
    <w:rsid w:val="007C0387"/>
    <w:rsid w:val="007C2CDB"/>
    <w:rsid w:val="007D6A53"/>
    <w:rsid w:val="007D7BE2"/>
    <w:rsid w:val="007E4762"/>
    <w:rsid w:val="008102F1"/>
    <w:rsid w:val="00852378"/>
    <w:rsid w:val="008B4210"/>
    <w:rsid w:val="00906786"/>
    <w:rsid w:val="00947FAE"/>
    <w:rsid w:val="009F4C1B"/>
    <w:rsid w:val="00A10993"/>
    <w:rsid w:val="00A21455"/>
    <w:rsid w:val="00A567CB"/>
    <w:rsid w:val="00A81265"/>
    <w:rsid w:val="00A81D22"/>
    <w:rsid w:val="00A97E40"/>
    <w:rsid w:val="00AD10E6"/>
    <w:rsid w:val="00B06073"/>
    <w:rsid w:val="00BA7CA7"/>
    <w:rsid w:val="00C12FAC"/>
    <w:rsid w:val="00C1755E"/>
    <w:rsid w:val="00C50D44"/>
    <w:rsid w:val="00CA613C"/>
    <w:rsid w:val="00CB3C62"/>
    <w:rsid w:val="00CC0B22"/>
    <w:rsid w:val="00D91EDB"/>
    <w:rsid w:val="00DB141A"/>
    <w:rsid w:val="00DE1E4D"/>
    <w:rsid w:val="00E30FAC"/>
    <w:rsid w:val="00EB7E60"/>
    <w:rsid w:val="00F07968"/>
    <w:rsid w:val="00F46D15"/>
    <w:rsid w:val="00F933CD"/>
    <w:rsid w:val="00FB25AF"/>
    <w:rsid w:val="00FD7651"/>
    <w:rsid w:val="0100390C"/>
    <w:rsid w:val="010541FC"/>
    <w:rsid w:val="0106590A"/>
    <w:rsid w:val="010E7AE0"/>
    <w:rsid w:val="011253ED"/>
    <w:rsid w:val="011358BC"/>
    <w:rsid w:val="01150B21"/>
    <w:rsid w:val="01161381"/>
    <w:rsid w:val="012610EC"/>
    <w:rsid w:val="01282E62"/>
    <w:rsid w:val="01284C10"/>
    <w:rsid w:val="01287593"/>
    <w:rsid w:val="012A73B0"/>
    <w:rsid w:val="01303AC5"/>
    <w:rsid w:val="01326E05"/>
    <w:rsid w:val="013A0DB1"/>
    <w:rsid w:val="013B4944"/>
    <w:rsid w:val="013C06BC"/>
    <w:rsid w:val="014063FE"/>
    <w:rsid w:val="01453A14"/>
    <w:rsid w:val="01505F15"/>
    <w:rsid w:val="016043AA"/>
    <w:rsid w:val="01626374"/>
    <w:rsid w:val="016C71F3"/>
    <w:rsid w:val="016E531D"/>
    <w:rsid w:val="01785B98"/>
    <w:rsid w:val="017D31AE"/>
    <w:rsid w:val="017D7AFA"/>
    <w:rsid w:val="017F69D3"/>
    <w:rsid w:val="018207C5"/>
    <w:rsid w:val="018A2791"/>
    <w:rsid w:val="01922277"/>
    <w:rsid w:val="01967DCC"/>
    <w:rsid w:val="019D73AC"/>
    <w:rsid w:val="01A27940"/>
    <w:rsid w:val="01AA1AC9"/>
    <w:rsid w:val="01B14C06"/>
    <w:rsid w:val="01CA5CC8"/>
    <w:rsid w:val="01D32DCE"/>
    <w:rsid w:val="01DB7ED5"/>
    <w:rsid w:val="01DE01EE"/>
    <w:rsid w:val="01E4322D"/>
    <w:rsid w:val="01E5212E"/>
    <w:rsid w:val="01FC4409"/>
    <w:rsid w:val="02021905"/>
    <w:rsid w:val="02054F52"/>
    <w:rsid w:val="02092C94"/>
    <w:rsid w:val="020C408B"/>
    <w:rsid w:val="0213141D"/>
    <w:rsid w:val="02182ED7"/>
    <w:rsid w:val="021A27AB"/>
    <w:rsid w:val="02203B3A"/>
    <w:rsid w:val="022413A0"/>
    <w:rsid w:val="0224362A"/>
    <w:rsid w:val="022574C5"/>
    <w:rsid w:val="02296E92"/>
    <w:rsid w:val="022A49B8"/>
    <w:rsid w:val="022B2C0A"/>
    <w:rsid w:val="022E44A8"/>
    <w:rsid w:val="02306473"/>
    <w:rsid w:val="02377801"/>
    <w:rsid w:val="023A4BFB"/>
    <w:rsid w:val="023B4A81"/>
    <w:rsid w:val="023F66B6"/>
    <w:rsid w:val="024141DC"/>
    <w:rsid w:val="02460EBC"/>
    <w:rsid w:val="024737BC"/>
    <w:rsid w:val="024A5B02"/>
    <w:rsid w:val="02551A35"/>
    <w:rsid w:val="025A704C"/>
    <w:rsid w:val="025B75AD"/>
    <w:rsid w:val="025C1016"/>
    <w:rsid w:val="025C7268"/>
    <w:rsid w:val="02626540"/>
    <w:rsid w:val="02676957"/>
    <w:rsid w:val="026F6E91"/>
    <w:rsid w:val="02704AC1"/>
    <w:rsid w:val="02721E6A"/>
    <w:rsid w:val="02792478"/>
    <w:rsid w:val="02866831"/>
    <w:rsid w:val="02897931"/>
    <w:rsid w:val="028A6724"/>
    <w:rsid w:val="028C42D4"/>
    <w:rsid w:val="028F65D7"/>
    <w:rsid w:val="02902A6D"/>
    <w:rsid w:val="02922DB8"/>
    <w:rsid w:val="0295277A"/>
    <w:rsid w:val="029D33DC"/>
    <w:rsid w:val="02BA21E0"/>
    <w:rsid w:val="02BA3F8E"/>
    <w:rsid w:val="02BC7D06"/>
    <w:rsid w:val="02C66BAA"/>
    <w:rsid w:val="02C73530"/>
    <w:rsid w:val="02C92423"/>
    <w:rsid w:val="02CE3596"/>
    <w:rsid w:val="02CF7A3A"/>
    <w:rsid w:val="02D84414"/>
    <w:rsid w:val="02E132C9"/>
    <w:rsid w:val="02E5725D"/>
    <w:rsid w:val="02E828A9"/>
    <w:rsid w:val="02E910F0"/>
    <w:rsid w:val="02EA7AB7"/>
    <w:rsid w:val="02EC2F6F"/>
    <w:rsid w:val="02EC4595"/>
    <w:rsid w:val="02EC54FC"/>
    <w:rsid w:val="02ED1C6E"/>
    <w:rsid w:val="02F3629E"/>
    <w:rsid w:val="02F57CEF"/>
    <w:rsid w:val="02F76F90"/>
    <w:rsid w:val="02FE6D1D"/>
    <w:rsid w:val="03015719"/>
    <w:rsid w:val="030376E3"/>
    <w:rsid w:val="030516AD"/>
    <w:rsid w:val="0305187A"/>
    <w:rsid w:val="030D0562"/>
    <w:rsid w:val="03195159"/>
    <w:rsid w:val="031B2C7F"/>
    <w:rsid w:val="031C69F7"/>
    <w:rsid w:val="03256790"/>
    <w:rsid w:val="0328539C"/>
    <w:rsid w:val="034321D6"/>
    <w:rsid w:val="03433852"/>
    <w:rsid w:val="03465822"/>
    <w:rsid w:val="034B2E38"/>
    <w:rsid w:val="034B4BE6"/>
    <w:rsid w:val="035112B1"/>
    <w:rsid w:val="03575C81"/>
    <w:rsid w:val="03593F8E"/>
    <w:rsid w:val="035B751F"/>
    <w:rsid w:val="03616C6C"/>
    <w:rsid w:val="03653EFA"/>
    <w:rsid w:val="03681C3C"/>
    <w:rsid w:val="036839EA"/>
    <w:rsid w:val="036B7036"/>
    <w:rsid w:val="036E42B8"/>
    <w:rsid w:val="0374238F"/>
    <w:rsid w:val="037979A5"/>
    <w:rsid w:val="037E4FBC"/>
    <w:rsid w:val="037F5936"/>
    <w:rsid w:val="03824AAC"/>
    <w:rsid w:val="03836A76"/>
    <w:rsid w:val="03883137"/>
    <w:rsid w:val="038B78DB"/>
    <w:rsid w:val="038C592B"/>
    <w:rsid w:val="03947AFF"/>
    <w:rsid w:val="03975C7F"/>
    <w:rsid w:val="039D0FA0"/>
    <w:rsid w:val="039E740C"/>
    <w:rsid w:val="03A9642F"/>
    <w:rsid w:val="03AA7B5F"/>
    <w:rsid w:val="03AC1B29"/>
    <w:rsid w:val="03B431D8"/>
    <w:rsid w:val="03BB1D6C"/>
    <w:rsid w:val="03C2134C"/>
    <w:rsid w:val="03C86237"/>
    <w:rsid w:val="03DD0363"/>
    <w:rsid w:val="03DF18E1"/>
    <w:rsid w:val="03DF737A"/>
    <w:rsid w:val="03E43670"/>
    <w:rsid w:val="03F02791"/>
    <w:rsid w:val="03F139E0"/>
    <w:rsid w:val="03F60FF6"/>
    <w:rsid w:val="03F817A6"/>
    <w:rsid w:val="03F875A9"/>
    <w:rsid w:val="03FB485E"/>
    <w:rsid w:val="0402799B"/>
    <w:rsid w:val="040354C1"/>
    <w:rsid w:val="04074FB1"/>
    <w:rsid w:val="040F3E66"/>
    <w:rsid w:val="04131BA8"/>
    <w:rsid w:val="04134B5D"/>
    <w:rsid w:val="04163446"/>
    <w:rsid w:val="041651F4"/>
    <w:rsid w:val="04185410"/>
    <w:rsid w:val="041B280B"/>
    <w:rsid w:val="041E66C9"/>
    <w:rsid w:val="04243DB5"/>
    <w:rsid w:val="04277401"/>
    <w:rsid w:val="042B5143"/>
    <w:rsid w:val="04390EE3"/>
    <w:rsid w:val="043D09D3"/>
    <w:rsid w:val="043F299D"/>
    <w:rsid w:val="0442423B"/>
    <w:rsid w:val="04447FB3"/>
    <w:rsid w:val="04477AA3"/>
    <w:rsid w:val="044C2EB2"/>
    <w:rsid w:val="044C330C"/>
    <w:rsid w:val="04506958"/>
    <w:rsid w:val="04545D1C"/>
    <w:rsid w:val="04565F0C"/>
    <w:rsid w:val="045A09FE"/>
    <w:rsid w:val="04625643"/>
    <w:rsid w:val="04657F2A"/>
    <w:rsid w:val="046A643B"/>
    <w:rsid w:val="04732647"/>
    <w:rsid w:val="0473320E"/>
    <w:rsid w:val="04743DAC"/>
    <w:rsid w:val="0475016D"/>
    <w:rsid w:val="04784101"/>
    <w:rsid w:val="0479335F"/>
    <w:rsid w:val="047A748A"/>
    <w:rsid w:val="047F0FEB"/>
    <w:rsid w:val="047F723D"/>
    <w:rsid w:val="04854128"/>
    <w:rsid w:val="04874344"/>
    <w:rsid w:val="048C3708"/>
    <w:rsid w:val="049031F8"/>
    <w:rsid w:val="04956A61"/>
    <w:rsid w:val="04983E5B"/>
    <w:rsid w:val="049973F4"/>
    <w:rsid w:val="049A4077"/>
    <w:rsid w:val="049C1B9D"/>
    <w:rsid w:val="04A14D61"/>
    <w:rsid w:val="04A22F2C"/>
    <w:rsid w:val="04A237E6"/>
    <w:rsid w:val="04A40A52"/>
    <w:rsid w:val="04A66578"/>
    <w:rsid w:val="04A8197C"/>
    <w:rsid w:val="04A942BA"/>
    <w:rsid w:val="04AB1B35"/>
    <w:rsid w:val="04AD224F"/>
    <w:rsid w:val="04B7631D"/>
    <w:rsid w:val="04BA6DFA"/>
    <w:rsid w:val="04BF1FE7"/>
    <w:rsid w:val="04BF3ADE"/>
    <w:rsid w:val="04C2712A"/>
    <w:rsid w:val="04C335CE"/>
    <w:rsid w:val="04C42EA2"/>
    <w:rsid w:val="04C80BE4"/>
    <w:rsid w:val="04C82992"/>
    <w:rsid w:val="04C9495C"/>
    <w:rsid w:val="04DB2141"/>
    <w:rsid w:val="04DD675D"/>
    <w:rsid w:val="04E13A54"/>
    <w:rsid w:val="04E452F2"/>
    <w:rsid w:val="04E6106A"/>
    <w:rsid w:val="04E83035"/>
    <w:rsid w:val="04E86B91"/>
    <w:rsid w:val="04EA6DAD"/>
    <w:rsid w:val="04F05A45"/>
    <w:rsid w:val="04F364ED"/>
    <w:rsid w:val="04F45844"/>
    <w:rsid w:val="04F73278"/>
    <w:rsid w:val="04FA2D68"/>
    <w:rsid w:val="04FB7281"/>
    <w:rsid w:val="05036DCB"/>
    <w:rsid w:val="050634BB"/>
    <w:rsid w:val="050B287F"/>
    <w:rsid w:val="050E7056"/>
    <w:rsid w:val="051A6F66"/>
    <w:rsid w:val="05241B93"/>
    <w:rsid w:val="05247B63"/>
    <w:rsid w:val="052878D5"/>
    <w:rsid w:val="05322502"/>
    <w:rsid w:val="05340028"/>
    <w:rsid w:val="05353DA0"/>
    <w:rsid w:val="053578FC"/>
    <w:rsid w:val="053B7608"/>
    <w:rsid w:val="0549072E"/>
    <w:rsid w:val="054C3101"/>
    <w:rsid w:val="05500BDA"/>
    <w:rsid w:val="05502988"/>
    <w:rsid w:val="055E50A5"/>
    <w:rsid w:val="056A3686"/>
    <w:rsid w:val="056C5A14"/>
    <w:rsid w:val="057817B9"/>
    <w:rsid w:val="057B470A"/>
    <w:rsid w:val="057C19CF"/>
    <w:rsid w:val="057E7745"/>
    <w:rsid w:val="058308BC"/>
    <w:rsid w:val="05860158"/>
    <w:rsid w:val="05894959"/>
    <w:rsid w:val="0593365C"/>
    <w:rsid w:val="05940D63"/>
    <w:rsid w:val="0594648D"/>
    <w:rsid w:val="059565ED"/>
    <w:rsid w:val="05972365"/>
    <w:rsid w:val="05A21435"/>
    <w:rsid w:val="05A4392C"/>
    <w:rsid w:val="05A744A0"/>
    <w:rsid w:val="05A84572"/>
    <w:rsid w:val="05AC4062"/>
    <w:rsid w:val="05AF25AB"/>
    <w:rsid w:val="05AF3B52"/>
    <w:rsid w:val="05B15E99"/>
    <w:rsid w:val="05B178CA"/>
    <w:rsid w:val="05B42F17"/>
    <w:rsid w:val="05BB42A5"/>
    <w:rsid w:val="05C313AC"/>
    <w:rsid w:val="05C33A96"/>
    <w:rsid w:val="05C70E9C"/>
    <w:rsid w:val="05CD2691"/>
    <w:rsid w:val="05D47115"/>
    <w:rsid w:val="05D830A9"/>
    <w:rsid w:val="05D84E57"/>
    <w:rsid w:val="05DB04A3"/>
    <w:rsid w:val="05E01F5E"/>
    <w:rsid w:val="05E03D0C"/>
    <w:rsid w:val="05E226C8"/>
    <w:rsid w:val="05EC26B0"/>
    <w:rsid w:val="05EC445F"/>
    <w:rsid w:val="05F61781"/>
    <w:rsid w:val="05FA1D9D"/>
    <w:rsid w:val="05FD48BE"/>
    <w:rsid w:val="06071298"/>
    <w:rsid w:val="060914B4"/>
    <w:rsid w:val="060C6D01"/>
    <w:rsid w:val="060F3F56"/>
    <w:rsid w:val="06125CFF"/>
    <w:rsid w:val="061369AD"/>
    <w:rsid w:val="061439B5"/>
    <w:rsid w:val="061614DB"/>
    <w:rsid w:val="061A5470"/>
    <w:rsid w:val="062220DC"/>
    <w:rsid w:val="062260D2"/>
    <w:rsid w:val="062937AB"/>
    <w:rsid w:val="062C51A3"/>
    <w:rsid w:val="062E1DC0"/>
    <w:rsid w:val="063522A9"/>
    <w:rsid w:val="06370767"/>
    <w:rsid w:val="063E0174"/>
    <w:rsid w:val="064103B2"/>
    <w:rsid w:val="064249C6"/>
    <w:rsid w:val="06445916"/>
    <w:rsid w:val="06497B03"/>
    <w:rsid w:val="064A387B"/>
    <w:rsid w:val="06500E91"/>
    <w:rsid w:val="065A1D10"/>
    <w:rsid w:val="065B1A57"/>
    <w:rsid w:val="065B5A88"/>
    <w:rsid w:val="06606BFB"/>
    <w:rsid w:val="06621664"/>
    <w:rsid w:val="066606B5"/>
    <w:rsid w:val="06673ED9"/>
    <w:rsid w:val="06695AAF"/>
    <w:rsid w:val="066E57BB"/>
    <w:rsid w:val="066E7569"/>
    <w:rsid w:val="0673692E"/>
    <w:rsid w:val="0676641E"/>
    <w:rsid w:val="067A7597"/>
    <w:rsid w:val="067A7CBC"/>
    <w:rsid w:val="067D77AC"/>
    <w:rsid w:val="0683645F"/>
    <w:rsid w:val="06913258"/>
    <w:rsid w:val="069B5E85"/>
    <w:rsid w:val="06A0349B"/>
    <w:rsid w:val="06A05C22"/>
    <w:rsid w:val="06A10421"/>
    <w:rsid w:val="06A116ED"/>
    <w:rsid w:val="06AD0F44"/>
    <w:rsid w:val="06AE2FA5"/>
    <w:rsid w:val="06B6188A"/>
    <w:rsid w:val="06BD160A"/>
    <w:rsid w:val="06C566BF"/>
    <w:rsid w:val="06D33870"/>
    <w:rsid w:val="06D51397"/>
    <w:rsid w:val="06DC6022"/>
    <w:rsid w:val="06DF0467"/>
    <w:rsid w:val="06DF3FC3"/>
    <w:rsid w:val="06E23AB3"/>
    <w:rsid w:val="06EB4F90"/>
    <w:rsid w:val="06F2019A"/>
    <w:rsid w:val="06F21536"/>
    <w:rsid w:val="06F23CF7"/>
    <w:rsid w:val="06F4086A"/>
    <w:rsid w:val="06F55595"/>
    <w:rsid w:val="06F86E33"/>
    <w:rsid w:val="06F876A2"/>
    <w:rsid w:val="07027CB2"/>
    <w:rsid w:val="070B2C3A"/>
    <w:rsid w:val="070B4DB8"/>
    <w:rsid w:val="0719368F"/>
    <w:rsid w:val="071A149F"/>
    <w:rsid w:val="071C5ED2"/>
    <w:rsid w:val="071D4ED9"/>
    <w:rsid w:val="0728596A"/>
    <w:rsid w:val="07350087"/>
    <w:rsid w:val="07351E35"/>
    <w:rsid w:val="0737795B"/>
    <w:rsid w:val="07397B77"/>
    <w:rsid w:val="074307AC"/>
    <w:rsid w:val="07481042"/>
    <w:rsid w:val="07481B68"/>
    <w:rsid w:val="074A3B33"/>
    <w:rsid w:val="074B2F2B"/>
    <w:rsid w:val="0757624F"/>
    <w:rsid w:val="0765096C"/>
    <w:rsid w:val="076A2778"/>
    <w:rsid w:val="076D1500"/>
    <w:rsid w:val="07723089"/>
    <w:rsid w:val="077E1A2E"/>
    <w:rsid w:val="078D3A1F"/>
    <w:rsid w:val="078F59E9"/>
    <w:rsid w:val="079528D4"/>
    <w:rsid w:val="079610C8"/>
    <w:rsid w:val="07A1396F"/>
    <w:rsid w:val="07B026C9"/>
    <w:rsid w:val="07B05960"/>
    <w:rsid w:val="07B13BB2"/>
    <w:rsid w:val="07C05BA3"/>
    <w:rsid w:val="07C531B9"/>
    <w:rsid w:val="07C66F31"/>
    <w:rsid w:val="07CC70A8"/>
    <w:rsid w:val="07D23B28"/>
    <w:rsid w:val="07D63618"/>
    <w:rsid w:val="07D8516A"/>
    <w:rsid w:val="07DB509F"/>
    <w:rsid w:val="07DC220E"/>
    <w:rsid w:val="07E85E2B"/>
    <w:rsid w:val="07EF6488"/>
    <w:rsid w:val="07F817E1"/>
    <w:rsid w:val="07FC2953"/>
    <w:rsid w:val="07FE2B6F"/>
    <w:rsid w:val="08002443"/>
    <w:rsid w:val="080261BB"/>
    <w:rsid w:val="080812F8"/>
    <w:rsid w:val="080C0DE8"/>
    <w:rsid w:val="080F2686"/>
    <w:rsid w:val="08162DC2"/>
    <w:rsid w:val="0817778D"/>
    <w:rsid w:val="081952B3"/>
    <w:rsid w:val="08236132"/>
    <w:rsid w:val="082500FC"/>
    <w:rsid w:val="082D5BAF"/>
    <w:rsid w:val="08320D8F"/>
    <w:rsid w:val="08326375"/>
    <w:rsid w:val="08346591"/>
    <w:rsid w:val="083640B7"/>
    <w:rsid w:val="08386081"/>
    <w:rsid w:val="083B16CD"/>
    <w:rsid w:val="083D3697"/>
    <w:rsid w:val="08471E20"/>
    <w:rsid w:val="085142E9"/>
    <w:rsid w:val="0854278F"/>
    <w:rsid w:val="08601134"/>
    <w:rsid w:val="08615FD9"/>
    <w:rsid w:val="08640C24"/>
    <w:rsid w:val="0865674A"/>
    <w:rsid w:val="086A1FB2"/>
    <w:rsid w:val="0874020F"/>
    <w:rsid w:val="08780DE9"/>
    <w:rsid w:val="087B41C0"/>
    <w:rsid w:val="08887574"/>
    <w:rsid w:val="088A5A8D"/>
    <w:rsid w:val="088A61B1"/>
    <w:rsid w:val="089B03BE"/>
    <w:rsid w:val="08A13C26"/>
    <w:rsid w:val="08A90D2D"/>
    <w:rsid w:val="08AA23AF"/>
    <w:rsid w:val="08B576D2"/>
    <w:rsid w:val="08B66FA6"/>
    <w:rsid w:val="08BB280E"/>
    <w:rsid w:val="08C211F0"/>
    <w:rsid w:val="08C43471"/>
    <w:rsid w:val="08C57954"/>
    <w:rsid w:val="08CF159B"/>
    <w:rsid w:val="08CF469D"/>
    <w:rsid w:val="08D02949"/>
    <w:rsid w:val="08DC4C5E"/>
    <w:rsid w:val="08E25FED"/>
    <w:rsid w:val="08E43B13"/>
    <w:rsid w:val="08F10553"/>
    <w:rsid w:val="08F16230"/>
    <w:rsid w:val="08F5187C"/>
    <w:rsid w:val="08F71A98"/>
    <w:rsid w:val="09000221"/>
    <w:rsid w:val="09025EC2"/>
    <w:rsid w:val="090A6721"/>
    <w:rsid w:val="090C58D8"/>
    <w:rsid w:val="09197AA3"/>
    <w:rsid w:val="091A12E3"/>
    <w:rsid w:val="091A5787"/>
    <w:rsid w:val="091A7535"/>
    <w:rsid w:val="091B505B"/>
    <w:rsid w:val="091D0DD3"/>
    <w:rsid w:val="092959CA"/>
    <w:rsid w:val="092E1232"/>
    <w:rsid w:val="09302C28"/>
    <w:rsid w:val="09304FAA"/>
    <w:rsid w:val="09354EC8"/>
    <w:rsid w:val="0935611C"/>
    <w:rsid w:val="093C56FD"/>
    <w:rsid w:val="093F64EB"/>
    <w:rsid w:val="094E3682"/>
    <w:rsid w:val="095011A8"/>
    <w:rsid w:val="09532A47"/>
    <w:rsid w:val="09540539"/>
    <w:rsid w:val="095617CB"/>
    <w:rsid w:val="095C57F5"/>
    <w:rsid w:val="09630EDC"/>
    <w:rsid w:val="096867B1"/>
    <w:rsid w:val="0970184A"/>
    <w:rsid w:val="097035F9"/>
    <w:rsid w:val="097053A7"/>
    <w:rsid w:val="09706943"/>
    <w:rsid w:val="09724846"/>
    <w:rsid w:val="097F2B6C"/>
    <w:rsid w:val="097F383C"/>
    <w:rsid w:val="09815580"/>
    <w:rsid w:val="09842C00"/>
    <w:rsid w:val="09866978"/>
    <w:rsid w:val="099C263F"/>
    <w:rsid w:val="09A432A2"/>
    <w:rsid w:val="09A43E33"/>
    <w:rsid w:val="09A950D4"/>
    <w:rsid w:val="09AA4D5C"/>
    <w:rsid w:val="09AB4631"/>
    <w:rsid w:val="09AD65FB"/>
    <w:rsid w:val="09B278C7"/>
    <w:rsid w:val="09B41187"/>
    <w:rsid w:val="09BA0456"/>
    <w:rsid w:val="09BC3490"/>
    <w:rsid w:val="09BC7DF2"/>
    <w:rsid w:val="09C3197A"/>
    <w:rsid w:val="09C63218"/>
    <w:rsid w:val="09C851E3"/>
    <w:rsid w:val="09D04097"/>
    <w:rsid w:val="09D122E9"/>
    <w:rsid w:val="09D5345C"/>
    <w:rsid w:val="09E97BEC"/>
    <w:rsid w:val="09EA5159"/>
    <w:rsid w:val="09F45FD8"/>
    <w:rsid w:val="09F61D50"/>
    <w:rsid w:val="09F63AFE"/>
    <w:rsid w:val="0A05148E"/>
    <w:rsid w:val="0A086F7F"/>
    <w:rsid w:val="0A0A75A9"/>
    <w:rsid w:val="0A1026E6"/>
    <w:rsid w:val="0A187F18"/>
    <w:rsid w:val="0A1C49E3"/>
    <w:rsid w:val="0A1D552E"/>
    <w:rsid w:val="0A215939"/>
    <w:rsid w:val="0A2220A9"/>
    <w:rsid w:val="0A261F09"/>
    <w:rsid w:val="0A2D3298"/>
    <w:rsid w:val="0A32761B"/>
    <w:rsid w:val="0A342878"/>
    <w:rsid w:val="0A3B3C06"/>
    <w:rsid w:val="0A3E36F7"/>
    <w:rsid w:val="0A402FCB"/>
    <w:rsid w:val="0A515E64"/>
    <w:rsid w:val="0A544CC8"/>
    <w:rsid w:val="0A631954"/>
    <w:rsid w:val="0A636CB9"/>
    <w:rsid w:val="0A674743"/>
    <w:rsid w:val="0A6F38B0"/>
    <w:rsid w:val="0A726EFC"/>
    <w:rsid w:val="0A7669ED"/>
    <w:rsid w:val="0A7A49B2"/>
    <w:rsid w:val="0A876E4C"/>
    <w:rsid w:val="0A885FF6"/>
    <w:rsid w:val="0A913A42"/>
    <w:rsid w:val="0A96708F"/>
    <w:rsid w:val="0A9B28F7"/>
    <w:rsid w:val="0A9D041D"/>
    <w:rsid w:val="0AA34D2A"/>
    <w:rsid w:val="0AA64A48"/>
    <w:rsid w:val="0AA91D84"/>
    <w:rsid w:val="0AAC027A"/>
    <w:rsid w:val="0AAC3766"/>
    <w:rsid w:val="0AB063A2"/>
    <w:rsid w:val="0AB37C41"/>
    <w:rsid w:val="0AB614DF"/>
    <w:rsid w:val="0ABD0ABF"/>
    <w:rsid w:val="0ABF0394"/>
    <w:rsid w:val="0AC459AA"/>
    <w:rsid w:val="0AC52C44"/>
    <w:rsid w:val="0AC97464"/>
    <w:rsid w:val="0ACB31DC"/>
    <w:rsid w:val="0AD007F3"/>
    <w:rsid w:val="0ADC3A6D"/>
    <w:rsid w:val="0AE20526"/>
    <w:rsid w:val="0AE72A95"/>
    <w:rsid w:val="0AEC6CAF"/>
    <w:rsid w:val="0AF23548"/>
    <w:rsid w:val="0AF357DC"/>
    <w:rsid w:val="0AFA2EAC"/>
    <w:rsid w:val="0AFB5144"/>
    <w:rsid w:val="0AFE5977"/>
    <w:rsid w:val="0B016BFE"/>
    <w:rsid w:val="0B065FC2"/>
    <w:rsid w:val="0B0B35D9"/>
    <w:rsid w:val="0B0B7DBA"/>
    <w:rsid w:val="0B196E69"/>
    <w:rsid w:val="0B1A6FD6"/>
    <w:rsid w:val="0B1B1342"/>
    <w:rsid w:val="0B224D72"/>
    <w:rsid w:val="0B2E5D5D"/>
    <w:rsid w:val="0B2E72C7"/>
    <w:rsid w:val="0B3226E4"/>
    <w:rsid w:val="0B350656"/>
    <w:rsid w:val="0B3510F2"/>
    <w:rsid w:val="0B3568A8"/>
    <w:rsid w:val="0B386398"/>
    <w:rsid w:val="0B475BA6"/>
    <w:rsid w:val="0B495EAF"/>
    <w:rsid w:val="0B4D1E43"/>
    <w:rsid w:val="0B5C5CED"/>
    <w:rsid w:val="0B601E7F"/>
    <w:rsid w:val="0B6158EF"/>
    <w:rsid w:val="0B664CB3"/>
    <w:rsid w:val="0B6727D9"/>
    <w:rsid w:val="0B6B051B"/>
    <w:rsid w:val="0B6E5916"/>
    <w:rsid w:val="0B801A96"/>
    <w:rsid w:val="0B8415DD"/>
    <w:rsid w:val="0B884C29"/>
    <w:rsid w:val="0B9400BC"/>
    <w:rsid w:val="0B9730BE"/>
    <w:rsid w:val="0B9B3F91"/>
    <w:rsid w:val="0B9F3D21"/>
    <w:rsid w:val="0BAD28E2"/>
    <w:rsid w:val="0BB06BD5"/>
    <w:rsid w:val="0BB27EF8"/>
    <w:rsid w:val="0BB319F7"/>
    <w:rsid w:val="0BB51797"/>
    <w:rsid w:val="0BB772BD"/>
    <w:rsid w:val="0BBB748F"/>
    <w:rsid w:val="0BC11EE9"/>
    <w:rsid w:val="0BC5744E"/>
    <w:rsid w:val="0BC70130"/>
    <w:rsid w:val="0BCB0FBA"/>
    <w:rsid w:val="0BCB2D68"/>
    <w:rsid w:val="0BCD4D32"/>
    <w:rsid w:val="0BD936D7"/>
    <w:rsid w:val="0BE1433A"/>
    <w:rsid w:val="0BEB6F66"/>
    <w:rsid w:val="0BED0F30"/>
    <w:rsid w:val="0BF24799"/>
    <w:rsid w:val="0C01678A"/>
    <w:rsid w:val="0C016A5C"/>
    <w:rsid w:val="0C022856"/>
    <w:rsid w:val="0C05627A"/>
    <w:rsid w:val="0C060244"/>
    <w:rsid w:val="0C126BE9"/>
    <w:rsid w:val="0C1404FD"/>
    <w:rsid w:val="0C1741FF"/>
    <w:rsid w:val="0C1B3CF0"/>
    <w:rsid w:val="0C1C16A9"/>
    <w:rsid w:val="0C1F7B9B"/>
    <w:rsid w:val="0C201306"/>
    <w:rsid w:val="0C2B1A59"/>
    <w:rsid w:val="0C2C169E"/>
    <w:rsid w:val="0C2F32F7"/>
    <w:rsid w:val="0C340393"/>
    <w:rsid w:val="0C344DB1"/>
    <w:rsid w:val="0C357C33"/>
    <w:rsid w:val="0C360B29"/>
    <w:rsid w:val="0C3E353A"/>
    <w:rsid w:val="0C3E71D6"/>
    <w:rsid w:val="0C540FAF"/>
    <w:rsid w:val="0C566AD6"/>
    <w:rsid w:val="0C5C1C12"/>
    <w:rsid w:val="0C6134A9"/>
    <w:rsid w:val="0C6805B7"/>
    <w:rsid w:val="0C692CAD"/>
    <w:rsid w:val="0C6B4A65"/>
    <w:rsid w:val="0C7B653C"/>
    <w:rsid w:val="0C7E427E"/>
    <w:rsid w:val="0C913FB2"/>
    <w:rsid w:val="0C9366DC"/>
    <w:rsid w:val="0C945850"/>
    <w:rsid w:val="0C982640"/>
    <w:rsid w:val="0C9B098C"/>
    <w:rsid w:val="0CA02447"/>
    <w:rsid w:val="0CA5180B"/>
    <w:rsid w:val="0CA77331"/>
    <w:rsid w:val="0CAA4779"/>
    <w:rsid w:val="0CAA6E21"/>
    <w:rsid w:val="0CB81608"/>
    <w:rsid w:val="0CBB102F"/>
    <w:rsid w:val="0CBF0B1F"/>
    <w:rsid w:val="0CC021A1"/>
    <w:rsid w:val="0CC533AF"/>
    <w:rsid w:val="0CC9374C"/>
    <w:rsid w:val="0CCC4FEA"/>
    <w:rsid w:val="0CCE0D62"/>
    <w:rsid w:val="0CD76380"/>
    <w:rsid w:val="0CDA7707"/>
    <w:rsid w:val="0CDF45F2"/>
    <w:rsid w:val="0CEA36C2"/>
    <w:rsid w:val="0CF62067"/>
    <w:rsid w:val="0CF956B3"/>
    <w:rsid w:val="0CFA1B57"/>
    <w:rsid w:val="0CFD51A3"/>
    <w:rsid w:val="0D0B3D64"/>
    <w:rsid w:val="0D0B5B12"/>
    <w:rsid w:val="0D186481"/>
    <w:rsid w:val="0D1F15BD"/>
    <w:rsid w:val="0D211A66"/>
    <w:rsid w:val="0D246BD4"/>
    <w:rsid w:val="0D26294C"/>
    <w:rsid w:val="0D2C7836"/>
    <w:rsid w:val="0D2F6ABB"/>
    <w:rsid w:val="0D341A6B"/>
    <w:rsid w:val="0D411534"/>
    <w:rsid w:val="0D4252AC"/>
    <w:rsid w:val="0D462888"/>
    <w:rsid w:val="0D464D9C"/>
    <w:rsid w:val="0D4B549C"/>
    <w:rsid w:val="0D4E3C51"/>
    <w:rsid w:val="0D51729D"/>
    <w:rsid w:val="0D5374B9"/>
    <w:rsid w:val="0D576FA9"/>
    <w:rsid w:val="0D58687D"/>
    <w:rsid w:val="0D5D4B4C"/>
    <w:rsid w:val="0D5E33E9"/>
    <w:rsid w:val="0D5F7C0C"/>
    <w:rsid w:val="0D613984"/>
    <w:rsid w:val="0D643474"/>
    <w:rsid w:val="0D6E584A"/>
    <w:rsid w:val="0D7611AE"/>
    <w:rsid w:val="0D766D04"/>
    <w:rsid w:val="0D814026"/>
    <w:rsid w:val="0D8458C4"/>
    <w:rsid w:val="0D8D61C7"/>
    <w:rsid w:val="0D8E04F1"/>
    <w:rsid w:val="0D8E4FFE"/>
    <w:rsid w:val="0D916980"/>
    <w:rsid w:val="0D921D8F"/>
    <w:rsid w:val="0D9773A6"/>
    <w:rsid w:val="0D980C24"/>
    <w:rsid w:val="0D9F44AC"/>
    <w:rsid w:val="0DA25D4B"/>
    <w:rsid w:val="0DA35530"/>
    <w:rsid w:val="0DA47D15"/>
    <w:rsid w:val="0DA90E87"/>
    <w:rsid w:val="0DB066B9"/>
    <w:rsid w:val="0DB55A7E"/>
    <w:rsid w:val="0DBA3094"/>
    <w:rsid w:val="0DBF06AB"/>
    <w:rsid w:val="0DC36A25"/>
    <w:rsid w:val="0DC45CC1"/>
    <w:rsid w:val="0DC83A03"/>
    <w:rsid w:val="0DCD726B"/>
    <w:rsid w:val="0DD34156"/>
    <w:rsid w:val="0DE14AC5"/>
    <w:rsid w:val="0DE246BD"/>
    <w:rsid w:val="0DE620DB"/>
    <w:rsid w:val="0DE85E53"/>
    <w:rsid w:val="0DEC1520"/>
    <w:rsid w:val="0DEE4981"/>
    <w:rsid w:val="0DF30354"/>
    <w:rsid w:val="0DFA3B07"/>
    <w:rsid w:val="0DFA5954"/>
    <w:rsid w:val="0DFB2326"/>
    <w:rsid w:val="0DFE11D3"/>
    <w:rsid w:val="0DFE5677"/>
    <w:rsid w:val="0DFF319D"/>
    <w:rsid w:val="0E0407B3"/>
    <w:rsid w:val="0E042561"/>
    <w:rsid w:val="0E0A0A2B"/>
    <w:rsid w:val="0E121122"/>
    <w:rsid w:val="0E1A2709"/>
    <w:rsid w:val="0E1E3F90"/>
    <w:rsid w:val="0E26697C"/>
    <w:rsid w:val="0E3043B4"/>
    <w:rsid w:val="0E323572"/>
    <w:rsid w:val="0E344BF5"/>
    <w:rsid w:val="0E3A72CC"/>
    <w:rsid w:val="0E3D24A9"/>
    <w:rsid w:val="0E3F3599"/>
    <w:rsid w:val="0E460DCC"/>
    <w:rsid w:val="0E4B1F3E"/>
    <w:rsid w:val="0E4B63E2"/>
    <w:rsid w:val="0E5139F9"/>
    <w:rsid w:val="0E5232CD"/>
    <w:rsid w:val="0E531C1A"/>
    <w:rsid w:val="0E5E7EC3"/>
    <w:rsid w:val="0E6064EE"/>
    <w:rsid w:val="0E6354DA"/>
    <w:rsid w:val="0E657812"/>
    <w:rsid w:val="0E6D45AA"/>
    <w:rsid w:val="0E715E49"/>
    <w:rsid w:val="0E7C47EE"/>
    <w:rsid w:val="0E820056"/>
    <w:rsid w:val="0E8F025E"/>
    <w:rsid w:val="0E903981"/>
    <w:rsid w:val="0E947667"/>
    <w:rsid w:val="0E947D89"/>
    <w:rsid w:val="0E96765D"/>
    <w:rsid w:val="0E9D6C3E"/>
    <w:rsid w:val="0EA33B28"/>
    <w:rsid w:val="0EC0292C"/>
    <w:rsid w:val="0EC25721"/>
    <w:rsid w:val="0EC73CBB"/>
    <w:rsid w:val="0EC87963"/>
    <w:rsid w:val="0ECA5559"/>
    <w:rsid w:val="0ED65CAC"/>
    <w:rsid w:val="0EDB1514"/>
    <w:rsid w:val="0EF16F8A"/>
    <w:rsid w:val="0EF645A0"/>
    <w:rsid w:val="0F07055B"/>
    <w:rsid w:val="0F0719FF"/>
    <w:rsid w:val="0F1B5DB5"/>
    <w:rsid w:val="0F20161D"/>
    <w:rsid w:val="0F2412A4"/>
    <w:rsid w:val="0F2729AB"/>
    <w:rsid w:val="0F2B249C"/>
    <w:rsid w:val="0F2C05BA"/>
    <w:rsid w:val="0F2C6214"/>
    <w:rsid w:val="0F30058E"/>
    <w:rsid w:val="0F3330FE"/>
    <w:rsid w:val="0F3357EC"/>
    <w:rsid w:val="0F3375A2"/>
    <w:rsid w:val="0F3B1FB3"/>
    <w:rsid w:val="0F3B6457"/>
    <w:rsid w:val="0F470958"/>
    <w:rsid w:val="0F4E6CC3"/>
    <w:rsid w:val="0F5372FC"/>
    <w:rsid w:val="0F557518"/>
    <w:rsid w:val="0F587009"/>
    <w:rsid w:val="0F5D017B"/>
    <w:rsid w:val="0F5F3EF3"/>
    <w:rsid w:val="0F6C4862"/>
    <w:rsid w:val="0F6C61B8"/>
    <w:rsid w:val="0F6E4136"/>
    <w:rsid w:val="0F6E6334"/>
    <w:rsid w:val="0F6F7F34"/>
    <w:rsid w:val="0F803E6A"/>
    <w:rsid w:val="0F84395A"/>
    <w:rsid w:val="0F8C280E"/>
    <w:rsid w:val="0F947BD4"/>
    <w:rsid w:val="0F9718DF"/>
    <w:rsid w:val="0F9A050E"/>
    <w:rsid w:val="0F9E5FF1"/>
    <w:rsid w:val="0FA67D74"/>
    <w:rsid w:val="0FA933C0"/>
    <w:rsid w:val="0FA9581F"/>
    <w:rsid w:val="0FB57FB7"/>
    <w:rsid w:val="0FB81855"/>
    <w:rsid w:val="0FBA55CD"/>
    <w:rsid w:val="0FBA737B"/>
    <w:rsid w:val="0FBC1346"/>
    <w:rsid w:val="0FBC7598"/>
    <w:rsid w:val="0FBF71DA"/>
    <w:rsid w:val="0FC85F3C"/>
    <w:rsid w:val="0FD541B5"/>
    <w:rsid w:val="0FD85A54"/>
    <w:rsid w:val="0FD868F1"/>
    <w:rsid w:val="0FDA17CC"/>
    <w:rsid w:val="0FE268D2"/>
    <w:rsid w:val="0FE91A0F"/>
    <w:rsid w:val="0FEF1FD3"/>
    <w:rsid w:val="0FF420EE"/>
    <w:rsid w:val="0FF77BAD"/>
    <w:rsid w:val="0FF843AF"/>
    <w:rsid w:val="1001144E"/>
    <w:rsid w:val="1001302C"/>
    <w:rsid w:val="10066A65"/>
    <w:rsid w:val="100E76C7"/>
    <w:rsid w:val="10141182"/>
    <w:rsid w:val="101F18D4"/>
    <w:rsid w:val="102962AF"/>
    <w:rsid w:val="102D3FF1"/>
    <w:rsid w:val="1030442F"/>
    <w:rsid w:val="10315240"/>
    <w:rsid w:val="10345380"/>
    <w:rsid w:val="10354C54"/>
    <w:rsid w:val="104B091B"/>
    <w:rsid w:val="104B1727"/>
    <w:rsid w:val="104D4694"/>
    <w:rsid w:val="10507CE0"/>
    <w:rsid w:val="1053332C"/>
    <w:rsid w:val="1054157E"/>
    <w:rsid w:val="10606175"/>
    <w:rsid w:val="10613889"/>
    <w:rsid w:val="10710408"/>
    <w:rsid w:val="10732EF6"/>
    <w:rsid w:val="10771710"/>
    <w:rsid w:val="107B51BB"/>
    <w:rsid w:val="107F704E"/>
    <w:rsid w:val="10802373"/>
    <w:rsid w:val="1081433D"/>
    <w:rsid w:val="10884ECE"/>
    <w:rsid w:val="108A4FA0"/>
    <w:rsid w:val="109220A6"/>
    <w:rsid w:val="10935FD6"/>
    <w:rsid w:val="10991687"/>
    <w:rsid w:val="109C2F25"/>
    <w:rsid w:val="10A33159"/>
    <w:rsid w:val="10A36062"/>
    <w:rsid w:val="10AA73F0"/>
    <w:rsid w:val="10AC760C"/>
    <w:rsid w:val="10AD0C8E"/>
    <w:rsid w:val="10B169D0"/>
    <w:rsid w:val="10B44B4B"/>
    <w:rsid w:val="10B60B86"/>
    <w:rsid w:val="10C1473A"/>
    <w:rsid w:val="10C304B2"/>
    <w:rsid w:val="10C5422A"/>
    <w:rsid w:val="10C55FD8"/>
    <w:rsid w:val="10C61D50"/>
    <w:rsid w:val="10C81F6C"/>
    <w:rsid w:val="10C8637A"/>
    <w:rsid w:val="10D162FE"/>
    <w:rsid w:val="10D17073"/>
    <w:rsid w:val="10D426BF"/>
    <w:rsid w:val="10D95F27"/>
    <w:rsid w:val="10E5667A"/>
    <w:rsid w:val="10F16C99"/>
    <w:rsid w:val="10F20D97"/>
    <w:rsid w:val="10F42295"/>
    <w:rsid w:val="10F71CF1"/>
    <w:rsid w:val="10FB40F0"/>
    <w:rsid w:val="10FB5E9E"/>
    <w:rsid w:val="110034B4"/>
    <w:rsid w:val="11020FDA"/>
    <w:rsid w:val="1107004B"/>
    <w:rsid w:val="110C1E59"/>
    <w:rsid w:val="11131439"/>
    <w:rsid w:val="111725AC"/>
    <w:rsid w:val="11252F1A"/>
    <w:rsid w:val="112E0021"/>
    <w:rsid w:val="112F1F07"/>
    <w:rsid w:val="113A2D14"/>
    <w:rsid w:val="113B273E"/>
    <w:rsid w:val="11423ACC"/>
    <w:rsid w:val="114C66F9"/>
    <w:rsid w:val="114F7F97"/>
    <w:rsid w:val="115144BB"/>
    <w:rsid w:val="11553800"/>
    <w:rsid w:val="11580205"/>
    <w:rsid w:val="116577BB"/>
    <w:rsid w:val="11671785"/>
    <w:rsid w:val="1170063A"/>
    <w:rsid w:val="11823EC9"/>
    <w:rsid w:val="118434C0"/>
    <w:rsid w:val="11851C0B"/>
    <w:rsid w:val="119500A0"/>
    <w:rsid w:val="119836EC"/>
    <w:rsid w:val="11991213"/>
    <w:rsid w:val="119A3908"/>
    <w:rsid w:val="119A56B6"/>
    <w:rsid w:val="119F2CCD"/>
    <w:rsid w:val="11A16A45"/>
    <w:rsid w:val="11A77DD3"/>
    <w:rsid w:val="11AA3420"/>
    <w:rsid w:val="11AD363C"/>
    <w:rsid w:val="11AE4CBE"/>
    <w:rsid w:val="11AE4EED"/>
    <w:rsid w:val="11B554EA"/>
    <w:rsid w:val="11BB27B8"/>
    <w:rsid w:val="11CC783A"/>
    <w:rsid w:val="11D87F8D"/>
    <w:rsid w:val="11D97628"/>
    <w:rsid w:val="11DD7773"/>
    <w:rsid w:val="11F3162F"/>
    <w:rsid w:val="11F8062F"/>
    <w:rsid w:val="11FC5AF2"/>
    <w:rsid w:val="11FC604A"/>
    <w:rsid w:val="11FD5C45"/>
    <w:rsid w:val="11FE3E97"/>
    <w:rsid w:val="11FE4DC2"/>
    <w:rsid w:val="12015B1D"/>
    <w:rsid w:val="12053225"/>
    <w:rsid w:val="120668A8"/>
    <w:rsid w:val="12072620"/>
    <w:rsid w:val="12096398"/>
    <w:rsid w:val="12103BCB"/>
    <w:rsid w:val="12120035"/>
    <w:rsid w:val="12152F8F"/>
    <w:rsid w:val="1220406C"/>
    <w:rsid w:val="12217839"/>
    <w:rsid w:val="1222745A"/>
    <w:rsid w:val="122431D2"/>
    <w:rsid w:val="12260CF8"/>
    <w:rsid w:val="12274A70"/>
    <w:rsid w:val="122B630F"/>
    <w:rsid w:val="12372F05"/>
    <w:rsid w:val="12374CB3"/>
    <w:rsid w:val="12380A2C"/>
    <w:rsid w:val="123A47A4"/>
    <w:rsid w:val="123E24E6"/>
    <w:rsid w:val="12411FD6"/>
    <w:rsid w:val="124B075F"/>
    <w:rsid w:val="124E225E"/>
    <w:rsid w:val="12507863"/>
    <w:rsid w:val="12522A79"/>
    <w:rsid w:val="12543AB7"/>
    <w:rsid w:val="125A525A"/>
    <w:rsid w:val="125D38E9"/>
    <w:rsid w:val="125E66E4"/>
    <w:rsid w:val="125E6EA8"/>
    <w:rsid w:val="12655CC4"/>
    <w:rsid w:val="1266501F"/>
    <w:rsid w:val="126E2906"/>
    <w:rsid w:val="1274321C"/>
    <w:rsid w:val="12744861"/>
    <w:rsid w:val="127F6982"/>
    <w:rsid w:val="1289734F"/>
    <w:rsid w:val="128B4FFF"/>
    <w:rsid w:val="128F377D"/>
    <w:rsid w:val="1290149D"/>
    <w:rsid w:val="12902616"/>
    <w:rsid w:val="12971BF6"/>
    <w:rsid w:val="129A3494"/>
    <w:rsid w:val="129B16E6"/>
    <w:rsid w:val="12A32349"/>
    <w:rsid w:val="12B26A30"/>
    <w:rsid w:val="12B74046"/>
    <w:rsid w:val="12B94041"/>
    <w:rsid w:val="12BB249D"/>
    <w:rsid w:val="12BC340B"/>
    <w:rsid w:val="12BD7B3D"/>
    <w:rsid w:val="12C16C73"/>
    <w:rsid w:val="12C42D67"/>
    <w:rsid w:val="12C81DAF"/>
    <w:rsid w:val="12CC5D44"/>
    <w:rsid w:val="12D13580"/>
    <w:rsid w:val="12D20E80"/>
    <w:rsid w:val="12D44BF8"/>
    <w:rsid w:val="12ED279D"/>
    <w:rsid w:val="12EE333C"/>
    <w:rsid w:val="12F11306"/>
    <w:rsid w:val="12F26E2C"/>
    <w:rsid w:val="12F928B1"/>
    <w:rsid w:val="13031039"/>
    <w:rsid w:val="13051255"/>
    <w:rsid w:val="13070B2A"/>
    <w:rsid w:val="130D2041"/>
    <w:rsid w:val="13116090"/>
    <w:rsid w:val="13141499"/>
    <w:rsid w:val="13177405"/>
    <w:rsid w:val="13182D37"/>
    <w:rsid w:val="13191A65"/>
    <w:rsid w:val="131A6D6F"/>
    <w:rsid w:val="131C20FB"/>
    <w:rsid w:val="131D034D"/>
    <w:rsid w:val="13201BEB"/>
    <w:rsid w:val="13207E3D"/>
    <w:rsid w:val="13225964"/>
    <w:rsid w:val="1324792E"/>
    <w:rsid w:val="132A2A6A"/>
    <w:rsid w:val="132C0590"/>
    <w:rsid w:val="132C67E2"/>
    <w:rsid w:val="132F62D2"/>
    <w:rsid w:val="13307FAC"/>
    <w:rsid w:val="1335224D"/>
    <w:rsid w:val="133D1D6C"/>
    <w:rsid w:val="1340403C"/>
    <w:rsid w:val="134D3E90"/>
    <w:rsid w:val="13511DA5"/>
    <w:rsid w:val="13515B86"/>
    <w:rsid w:val="13525B1D"/>
    <w:rsid w:val="13545D39"/>
    <w:rsid w:val="13596EAB"/>
    <w:rsid w:val="13666F17"/>
    <w:rsid w:val="136E0BA9"/>
    <w:rsid w:val="13702B73"/>
    <w:rsid w:val="13720B9C"/>
    <w:rsid w:val="1373302C"/>
    <w:rsid w:val="13734411"/>
    <w:rsid w:val="1374583F"/>
    <w:rsid w:val="13763F01"/>
    <w:rsid w:val="137C0BAD"/>
    <w:rsid w:val="13847195"/>
    <w:rsid w:val="13983E78"/>
    <w:rsid w:val="139B5716"/>
    <w:rsid w:val="13A04821"/>
    <w:rsid w:val="13A27A23"/>
    <w:rsid w:val="13A4281C"/>
    <w:rsid w:val="13A445CA"/>
    <w:rsid w:val="13A66595"/>
    <w:rsid w:val="13A740BB"/>
    <w:rsid w:val="13AA3A07"/>
    <w:rsid w:val="13AF4D1D"/>
    <w:rsid w:val="13B14F39"/>
    <w:rsid w:val="13C54C6C"/>
    <w:rsid w:val="13C94031"/>
    <w:rsid w:val="13CE5AEB"/>
    <w:rsid w:val="13D053C0"/>
    <w:rsid w:val="13DA4490"/>
    <w:rsid w:val="13DC1FB6"/>
    <w:rsid w:val="13E56991"/>
    <w:rsid w:val="13F37300"/>
    <w:rsid w:val="13F4249E"/>
    <w:rsid w:val="13F518F9"/>
    <w:rsid w:val="13F866C4"/>
    <w:rsid w:val="13FF7A53"/>
    <w:rsid w:val="14011A1D"/>
    <w:rsid w:val="140137CB"/>
    <w:rsid w:val="1403313B"/>
    <w:rsid w:val="14067033"/>
    <w:rsid w:val="140C5C8F"/>
    <w:rsid w:val="14153FD6"/>
    <w:rsid w:val="14164D9C"/>
    <w:rsid w:val="141F6347"/>
    <w:rsid w:val="14223741"/>
    <w:rsid w:val="142474B9"/>
    <w:rsid w:val="142F2A6F"/>
    <w:rsid w:val="143376FC"/>
    <w:rsid w:val="1437543F"/>
    <w:rsid w:val="143C2A55"/>
    <w:rsid w:val="143D057B"/>
    <w:rsid w:val="1441733B"/>
    <w:rsid w:val="14445DAD"/>
    <w:rsid w:val="14461796"/>
    <w:rsid w:val="14495172"/>
    <w:rsid w:val="144B2C98"/>
    <w:rsid w:val="144E4536"/>
    <w:rsid w:val="14504752"/>
    <w:rsid w:val="14553B17"/>
    <w:rsid w:val="145853B5"/>
    <w:rsid w:val="145C30F7"/>
    <w:rsid w:val="145F631B"/>
    <w:rsid w:val="1466261F"/>
    <w:rsid w:val="146A5814"/>
    <w:rsid w:val="14720225"/>
    <w:rsid w:val="14755F67"/>
    <w:rsid w:val="14795A57"/>
    <w:rsid w:val="147976DB"/>
    <w:rsid w:val="147A357D"/>
    <w:rsid w:val="147F6DE6"/>
    <w:rsid w:val="14802DD3"/>
    <w:rsid w:val="148443FC"/>
    <w:rsid w:val="14883EEC"/>
    <w:rsid w:val="14885C9A"/>
    <w:rsid w:val="148A7C64"/>
    <w:rsid w:val="148D6FE1"/>
    <w:rsid w:val="148E5193"/>
    <w:rsid w:val="14904B4F"/>
    <w:rsid w:val="14983A03"/>
    <w:rsid w:val="149E726C"/>
    <w:rsid w:val="14A20651"/>
    <w:rsid w:val="14A34EBA"/>
    <w:rsid w:val="14AA2285"/>
    <w:rsid w:val="14AC4326"/>
    <w:rsid w:val="14B05CE9"/>
    <w:rsid w:val="14B40B38"/>
    <w:rsid w:val="14B46A8F"/>
    <w:rsid w:val="14BE346A"/>
    <w:rsid w:val="14BF29AF"/>
    <w:rsid w:val="14C116E2"/>
    <w:rsid w:val="14CB5B87"/>
    <w:rsid w:val="14D233B9"/>
    <w:rsid w:val="14D617AF"/>
    <w:rsid w:val="14D83059"/>
    <w:rsid w:val="14ED7840"/>
    <w:rsid w:val="1504069F"/>
    <w:rsid w:val="151412DC"/>
    <w:rsid w:val="151B6B0E"/>
    <w:rsid w:val="15234885"/>
    <w:rsid w:val="1525798D"/>
    <w:rsid w:val="152E4A94"/>
    <w:rsid w:val="153100E0"/>
    <w:rsid w:val="15393438"/>
    <w:rsid w:val="153F3306"/>
    <w:rsid w:val="15400323"/>
    <w:rsid w:val="154445A7"/>
    <w:rsid w:val="15455939"/>
    <w:rsid w:val="154871D8"/>
    <w:rsid w:val="15510782"/>
    <w:rsid w:val="15545B7C"/>
    <w:rsid w:val="155B515D"/>
    <w:rsid w:val="155E4C4D"/>
    <w:rsid w:val="15632263"/>
    <w:rsid w:val="156C736A"/>
    <w:rsid w:val="156F08C5"/>
    <w:rsid w:val="156F266A"/>
    <w:rsid w:val="15752510"/>
    <w:rsid w:val="157649D1"/>
    <w:rsid w:val="15864359"/>
    <w:rsid w:val="15877D00"/>
    <w:rsid w:val="158F27E5"/>
    <w:rsid w:val="15916DD0"/>
    <w:rsid w:val="1594066F"/>
    <w:rsid w:val="159B19FD"/>
    <w:rsid w:val="15A75E43"/>
    <w:rsid w:val="15A85EC8"/>
    <w:rsid w:val="15AF5E60"/>
    <w:rsid w:val="15B00333"/>
    <w:rsid w:val="15BB209F"/>
    <w:rsid w:val="15C40F54"/>
    <w:rsid w:val="15C471A6"/>
    <w:rsid w:val="15C47892"/>
    <w:rsid w:val="15C947BC"/>
    <w:rsid w:val="15CC3C83"/>
    <w:rsid w:val="15D44BEB"/>
    <w:rsid w:val="15DE408C"/>
    <w:rsid w:val="15E2587E"/>
    <w:rsid w:val="15EA7CB0"/>
    <w:rsid w:val="15EC2259"/>
    <w:rsid w:val="15EC5929"/>
    <w:rsid w:val="15F31BF6"/>
    <w:rsid w:val="15F35395"/>
    <w:rsid w:val="15FA4976"/>
    <w:rsid w:val="15FE75FE"/>
    <w:rsid w:val="15FF01DE"/>
    <w:rsid w:val="1603178E"/>
    <w:rsid w:val="160A26DF"/>
    <w:rsid w:val="160E21CF"/>
    <w:rsid w:val="16133FDF"/>
    <w:rsid w:val="161F262E"/>
    <w:rsid w:val="16247C45"/>
    <w:rsid w:val="162639BD"/>
    <w:rsid w:val="162C7035"/>
    <w:rsid w:val="162E2871"/>
    <w:rsid w:val="162E461F"/>
    <w:rsid w:val="16312BEA"/>
    <w:rsid w:val="16314110"/>
    <w:rsid w:val="16331C36"/>
    <w:rsid w:val="1636461D"/>
    <w:rsid w:val="16375ECF"/>
    <w:rsid w:val="163A7468"/>
    <w:rsid w:val="164125A5"/>
    <w:rsid w:val="1642740B"/>
    <w:rsid w:val="16445BF1"/>
    <w:rsid w:val="16460C5B"/>
    <w:rsid w:val="16526560"/>
    <w:rsid w:val="16551BAC"/>
    <w:rsid w:val="165A5414"/>
    <w:rsid w:val="165F1806"/>
    <w:rsid w:val="166444E5"/>
    <w:rsid w:val="16692514"/>
    <w:rsid w:val="16753FFC"/>
    <w:rsid w:val="1685435D"/>
    <w:rsid w:val="16881F81"/>
    <w:rsid w:val="168C501E"/>
    <w:rsid w:val="168D57EA"/>
    <w:rsid w:val="1696382F"/>
    <w:rsid w:val="169C5A2D"/>
    <w:rsid w:val="169C683C"/>
    <w:rsid w:val="169D3553"/>
    <w:rsid w:val="169F551D"/>
    <w:rsid w:val="16A61AE9"/>
    <w:rsid w:val="16AA0613"/>
    <w:rsid w:val="16AD19E8"/>
    <w:rsid w:val="16B014D8"/>
    <w:rsid w:val="16B03D23"/>
    <w:rsid w:val="16B26FFE"/>
    <w:rsid w:val="16B843EF"/>
    <w:rsid w:val="16BC409B"/>
    <w:rsid w:val="16C3745D"/>
    <w:rsid w:val="16CA07EC"/>
    <w:rsid w:val="16D01B7A"/>
    <w:rsid w:val="16D72F09"/>
    <w:rsid w:val="16DB47A7"/>
    <w:rsid w:val="16DC4449"/>
    <w:rsid w:val="16E41182"/>
    <w:rsid w:val="16E573D4"/>
    <w:rsid w:val="16E80C72"/>
    <w:rsid w:val="16ED0D48"/>
    <w:rsid w:val="16ED44DA"/>
    <w:rsid w:val="16F05A82"/>
    <w:rsid w:val="16FE53A5"/>
    <w:rsid w:val="1706617A"/>
    <w:rsid w:val="17090456"/>
    <w:rsid w:val="170B670F"/>
    <w:rsid w:val="170F2F19"/>
    <w:rsid w:val="17123F41"/>
    <w:rsid w:val="17145BC9"/>
    <w:rsid w:val="1716691C"/>
    <w:rsid w:val="171F3867"/>
    <w:rsid w:val="1726591C"/>
    <w:rsid w:val="172A4DE7"/>
    <w:rsid w:val="172B1D9B"/>
    <w:rsid w:val="172D0D7B"/>
    <w:rsid w:val="173D7210"/>
    <w:rsid w:val="17400AAE"/>
    <w:rsid w:val="17417784"/>
    <w:rsid w:val="17465999"/>
    <w:rsid w:val="1752433D"/>
    <w:rsid w:val="17575DF8"/>
    <w:rsid w:val="175C5856"/>
    <w:rsid w:val="17604CAC"/>
    <w:rsid w:val="17681DB3"/>
    <w:rsid w:val="17695920"/>
    <w:rsid w:val="176A7FF2"/>
    <w:rsid w:val="17716EB9"/>
    <w:rsid w:val="17766715"/>
    <w:rsid w:val="177C621C"/>
    <w:rsid w:val="177D585E"/>
    <w:rsid w:val="1780534F"/>
    <w:rsid w:val="178070FD"/>
    <w:rsid w:val="17822E75"/>
    <w:rsid w:val="17854713"/>
    <w:rsid w:val="178F5592"/>
    <w:rsid w:val="17A27073"/>
    <w:rsid w:val="17AC4F25"/>
    <w:rsid w:val="17AD77C6"/>
    <w:rsid w:val="17B172B6"/>
    <w:rsid w:val="17B67D6F"/>
    <w:rsid w:val="17BD20FF"/>
    <w:rsid w:val="17C0399D"/>
    <w:rsid w:val="17C70888"/>
    <w:rsid w:val="17CA481C"/>
    <w:rsid w:val="17CA65CA"/>
    <w:rsid w:val="17D04D35"/>
    <w:rsid w:val="17D15BAA"/>
    <w:rsid w:val="17D44B46"/>
    <w:rsid w:val="17D5222F"/>
    <w:rsid w:val="17D64F6F"/>
    <w:rsid w:val="17DB5730"/>
    <w:rsid w:val="17DF2075"/>
    <w:rsid w:val="17E72CD8"/>
    <w:rsid w:val="17EA0A1A"/>
    <w:rsid w:val="17F3167D"/>
    <w:rsid w:val="17F6116D"/>
    <w:rsid w:val="17F83137"/>
    <w:rsid w:val="17F92A0B"/>
    <w:rsid w:val="17FB2C27"/>
    <w:rsid w:val="18055854"/>
    <w:rsid w:val="1807337A"/>
    <w:rsid w:val="1807717B"/>
    <w:rsid w:val="18090EA0"/>
    <w:rsid w:val="18146146"/>
    <w:rsid w:val="182201B4"/>
    <w:rsid w:val="182C2DE0"/>
    <w:rsid w:val="182E4DAB"/>
    <w:rsid w:val="182F01A3"/>
    <w:rsid w:val="18371EB1"/>
    <w:rsid w:val="18381785"/>
    <w:rsid w:val="183A374F"/>
    <w:rsid w:val="183D0B4A"/>
    <w:rsid w:val="183F400D"/>
    <w:rsid w:val="18422604"/>
    <w:rsid w:val="18493992"/>
    <w:rsid w:val="184E2D57"/>
    <w:rsid w:val="18506ACF"/>
    <w:rsid w:val="185077B6"/>
    <w:rsid w:val="185145F5"/>
    <w:rsid w:val="185A16FC"/>
    <w:rsid w:val="185A794E"/>
    <w:rsid w:val="185D743E"/>
    <w:rsid w:val="18722EE9"/>
    <w:rsid w:val="18784278"/>
    <w:rsid w:val="187D1E98"/>
    <w:rsid w:val="18801EFE"/>
    <w:rsid w:val="188449CB"/>
    <w:rsid w:val="188D1AD1"/>
    <w:rsid w:val="188E21CD"/>
    <w:rsid w:val="18934C0E"/>
    <w:rsid w:val="189B3AC2"/>
    <w:rsid w:val="18A45726"/>
    <w:rsid w:val="18A64941"/>
    <w:rsid w:val="18A961DF"/>
    <w:rsid w:val="18AB189C"/>
    <w:rsid w:val="18AC5CCF"/>
    <w:rsid w:val="18B8001D"/>
    <w:rsid w:val="18B81958"/>
    <w:rsid w:val="18B90B18"/>
    <w:rsid w:val="18BE612E"/>
    <w:rsid w:val="18C64FE3"/>
    <w:rsid w:val="18DB20A2"/>
    <w:rsid w:val="18E15979"/>
    <w:rsid w:val="18E80CA3"/>
    <w:rsid w:val="18E90CD1"/>
    <w:rsid w:val="18EA3597"/>
    <w:rsid w:val="18ED68FA"/>
    <w:rsid w:val="18F7519C"/>
    <w:rsid w:val="18FA2EDF"/>
    <w:rsid w:val="18FD242D"/>
    <w:rsid w:val="1901601B"/>
    <w:rsid w:val="19084B5B"/>
    <w:rsid w:val="190865B8"/>
    <w:rsid w:val="190F115F"/>
    <w:rsid w:val="1912647A"/>
    <w:rsid w:val="19145D4E"/>
    <w:rsid w:val="19197809"/>
    <w:rsid w:val="191B532F"/>
    <w:rsid w:val="19221828"/>
    <w:rsid w:val="19265A82"/>
    <w:rsid w:val="192A37C4"/>
    <w:rsid w:val="192F0DDA"/>
    <w:rsid w:val="19314B52"/>
    <w:rsid w:val="19394701"/>
    <w:rsid w:val="193D0FE7"/>
    <w:rsid w:val="193E101D"/>
    <w:rsid w:val="19406B43"/>
    <w:rsid w:val="194303E2"/>
    <w:rsid w:val="19434886"/>
    <w:rsid w:val="19483C4A"/>
    <w:rsid w:val="194D74B2"/>
    <w:rsid w:val="195001CE"/>
    <w:rsid w:val="19566367"/>
    <w:rsid w:val="1957112E"/>
    <w:rsid w:val="195E6FCA"/>
    <w:rsid w:val="196547FC"/>
    <w:rsid w:val="196D36B1"/>
    <w:rsid w:val="196F567B"/>
    <w:rsid w:val="197467ED"/>
    <w:rsid w:val="197C38F4"/>
    <w:rsid w:val="198D5B01"/>
    <w:rsid w:val="198D78AF"/>
    <w:rsid w:val="19946B32"/>
    <w:rsid w:val="199D21E8"/>
    <w:rsid w:val="199D3F96"/>
    <w:rsid w:val="19A215AC"/>
    <w:rsid w:val="19A30E80"/>
    <w:rsid w:val="19AB3E81"/>
    <w:rsid w:val="19AD1853"/>
    <w:rsid w:val="19AF6752"/>
    <w:rsid w:val="19B1359D"/>
    <w:rsid w:val="19B60BB4"/>
    <w:rsid w:val="19B66E06"/>
    <w:rsid w:val="19C31523"/>
    <w:rsid w:val="19C808E7"/>
    <w:rsid w:val="19CA465F"/>
    <w:rsid w:val="19D11E91"/>
    <w:rsid w:val="19D11F4B"/>
    <w:rsid w:val="19D2231C"/>
    <w:rsid w:val="19E020D4"/>
    <w:rsid w:val="19E716B5"/>
    <w:rsid w:val="19E971DB"/>
    <w:rsid w:val="19F142E2"/>
    <w:rsid w:val="19F33BB6"/>
    <w:rsid w:val="19F53DD2"/>
    <w:rsid w:val="19F618F8"/>
    <w:rsid w:val="19FA7B06"/>
    <w:rsid w:val="19FD67E3"/>
    <w:rsid w:val="1A004525"/>
    <w:rsid w:val="1A02029D"/>
    <w:rsid w:val="1A0538E9"/>
    <w:rsid w:val="1A057D8D"/>
    <w:rsid w:val="1A077661"/>
    <w:rsid w:val="1A0A0EFF"/>
    <w:rsid w:val="1A0D279E"/>
    <w:rsid w:val="1A0F6516"/>
    <w:rsid w:val="1A143B2C"/>
    <w:rsid w:val="1A165AF6"/>
    <w:rsid w:val="1A1A6D9F"/>
    <w:rsid w:val="1A1D50D7"/>
    <w:rsid w:val="1A2F6BB8"/>
    <w:rsid w:val="1A310B82"/>
    <w:rsid w:val="1A3441CE"/>
    <w:rsid w:val="1A366198"/>
    <w:rsid w:val="1A383CBF"/>
    <w:rsid w:val="1A393593"/>
    <w:rsid w:val="1A3B37AF"/>
    <w:rsid w:val="1A3D7527"/>
    <w:rsid w:val="1A4E34E2"/>
    <w:rsid w:val="1A5D54D3"/>
    <w:rsid w:val="1A626F8D"/>
    <w:rsid w:val="1A6C71F3"/>
    <w:rsid w:val="1A7016AA"/>
    <w:rsid w:val="1A725422"/>
    <w:rsid w:val="1A756CC1"/>
    <w:rsid w:val="1A824F3A"/>
    <w:rsid w:val="1A8B64E4"/>
    <w:rsid w:val="1A8D03AD"/>
    <w:rsid w:val="1A8E7D82"/>
    <w:rsid w:val="1A9058A9"/>
    <w:rsid w:val="1A954694"/>
    <w:rsid w:val="1A9609E5"/>
    <w:rsid w:val="1A976C37"/>
    <w:rsid w:val="1AA40E51"/>
    <w:rsid w:val="1AAB5500"/>
    <w:rsid w:val="1AAD645B"/>
    <w:rsid w:val="1AAE1DD1"/>
    <w:rsid w:val="1ABD2416"/>
    <w:rsid w:val="1ABD5F72"/>
    <w:rsid w:val="1AC07A12"/>
    <w:rsid w:val="1AC369FF"/>
    <w:rsid w:val="1AC921AE"/>
    <w:rsid w:val="1AD05CA5"/>
    <w:rsid w:val="1AD559B1"/>
    <w:rsid w:val="1ADC3F6E"/>
    <w:rsid w:val="1ADC6D40"/>
    <w:rsid w:val="1ADE294C"/>
    <w:rsid w:val="1AE11A39"/>
    <w:rsid w:val="1AE31E7C"/>
    <w:rsid w:val="1AE37CBC"/>
    <w:rsid w:val="1AE6371B"/>
    <w:rsid w:val="1AE654C9"/>
    <w:rsid w:val="1AEE25CF"/>
    <w:rsid w:val="1AF000F5"/>
    <w:rsid w:val="1AF37BE5"/>
    <w:rsid w:val="1AFD2812"/>
    <w:rsid w:val="1B0167A6"/>
    <w:rsid w:val="1B03607B"/>
    <w:rsid w:val="1B046FF5"/>
    <w:rsid w:val="1B065B6B"/>
    <w:rsid w:val="1B0C0687"/>
    <w:rsid w:val="1B0C2C4E"/>
    <w:rsid w:val="1B0E4A1F"/>
    <w:rsid w:val="1B103198"/>
    <w:rsid w:val="1B154000"/>
    <w:rsid w:val="1B19675F"/>
    <w:rsid w:val="1B222279"/>
    <w:rsid w:val="1B2B3823"/>
    <w:rsid w:val="1B2E0C1E"/>
    <w:rsid w:val="1B351FAC"/>
    <w:rsid w:val="1B3F2E2B"/>
    <w:rsid w:val="1B46240B"/>
    <w:rsid w:val="1B474D2A"/>
    <w:rsid w:val="1B4B1205"/>
    <w:rsid w:val="1B4B2131"/>
    <w:rsid w:val="1B4C5243"/>
    <w:rsid w:val="1B4D379A"/>
    <w:rsid w:val="1B5508A0"/>
    <w:rsid w:val="1B5C39DD"/>
    <w:rsid w:val="1B707488"/>
    <w:rsid w:val="1B762CF0"/>
    <w:rsid w:val="1B8232EB"/>
    <w:rsid w:val="1B83540D"/>
    <w:rsid w:val="1B8D1DE8"/>
    <w:rsid w:val="1B901B60"/>
    <w:rsid w:val="1B934D56"/>
    <w:rsid w:val="1B9D18EB"/>
    <w:rsid w:val="1BA50EE0"/>
    <w:rsid w:val="1BAA0BEC"/>
    <w:rsid w:val="1BAD2BF6"/>
    <w:rsid w:val="1BAD4238"/>
    <w:rsid w:val="1BB0532E"/>
    <w:rsid w:val="1BB47375"/>
    <w:rsid w:val="1BB6133F"/>
    <w:rsid w:val="1BB85133"/>
    <w:rsid w:val="1BB92BDD"/>
    <w:rsid w:val="1BBF231A"/>
    <w:rsid w:val="1BC53330"/>
    <w:rsid w:val="1BC82E20"/>
    <w:rsid w:val="1BCA303C"/>
    <w:rsid w:val="1BD01CD5"/>
    <w:rsid w:val="1BD96DDB"/>
    <w:rsid w:val="1BDD389E"/>
    <w:rsid w:val="1BDE43F2"/>
    <w:rsid w:val="1BE532B5"/>
    <w:rsid w:val="1BE959CC"/>
    <w:rsid w:val="1BEC6B0F"/>
    <w:rsid w:val="1BF9122C"/>
    <w:rsid w:val="1BFC2CD6"/>
    <w:rsid w:val="1BFE6F3C"/>
    <w:rsid w:val="1C02130A"/>
    <w:rsid w:val="1C042A47"/>
    <w:rsid w:val="1C054074"/>
    <w:rsid w:val="1C071B0A"/>
    <w:rsid w:val="1C0A168B"/>
    <w:rsid w:val="1C13630F"/>
    <w:rsid w:val="1C166281"/>
    <w:rsid w:val="1C1D02DE"/>
    <w:rsid w:val="1C210150"/>
    <w:rsid w:val="1C2564C4"/>
    <w:rsid w:val="1C2838BF"/>
    <w:rsid w:val="1C2C33AF"/>
    <w:rsid w:val="1C2C7853"/>
    <w:rsid w:val="1C3109C5"/>
    <w:rsid w:val="1C327E6A"/>
    <w:rsid w:val="1C446B02"/>
    <w:rsid w:val="1C485D0F"/>
    <w:rsid w:val="1C5648D0"/>
    <w:rsid w:val="1C570795"/>
    <w:rsid w:val="1C5841A4"/>
    <w:rsid w:val="1C5B5A42"/>
    <w:rsid w:val="1C5E3E4E"/>
    <w:rsid w:val="1C6012AB"/>
    <w:rsid w:val="1C663543"/>
    <w:rsid w:val="1C667B0E"/>
    <w:rsid w:val="1C67088B"/>
    <w:rsid w:val="1C6963B1"/>
    <w:rsid w:val="1C7F3E27"/>
    <w:rsid w:val="1C8431EB"/>
    <w:rsid w:val="1C844F99"/>
    <w:rsid w:val="1C891576"/>
    <w:rsid w:val="1C8925AF"/>
    <w:rsid w:val="1C8A6F02"/>
    <w:rsid w:val="1C931680"/>
    <w:rsid w:val="1C962F1E"/>
    <w:rsid w:val="1C9F6277"/>
    <w:rsid w:val="1CA05B4B"/>
    <w:rsid w:val="1CA218C3"/>
    <w:rsid w:val="1CA70C88"/>
    <w:rsid w:val="1CA90EA4"/>
    <w:rsid w:val="1CB25FAA"/>
    <w:rsid w:val="1CB63986"/>
    <w:rsid w:val="1CC052B0"/>
    <w:rsid w:val="1CC730D8"/>
    <w:rsid w:val="1CD06430"/>
    <w:rsid w:val="1CD85DCD"/>
    <w:rsid w:val="1CE912A0"/>
    <w:rsid w:val="1CEE2D5A"/>
    <w:rsid w:val="1CF540E9"/>
    <w:rsid w:val="1CF57C45"/>
    <w:rsid w:val="1CFB620A"/>
    <w:rsid w:val="1D047E88"/>
    <w:rsid w:val="1D0E51AB"/>
    <w:rsid w:val="1D1C78C7"/>
    <w:rsid w:val="1D234B94"/>
    <w:rsid w:val="1D24677C"/>
    <w:rsid w:val="1D2F75FB"/>
    <w:rsid w:val="1D360EA3"/>
    <w:rsid w:val="1D37200B"/>
    <w:rsid w:val="1D3A1AFC"/>
    <w:rsid w:val="1D4806BC"/>
    <w:rsid w:val="1D4A4435"/>
    <w:rsid w:val="1D4B3D09"/>
    <w:rsid w:val="1D4B5AB7"/>
    <w:rsid w:val="1D547061"/>
    <w:rsid w:val="1D554B87"/>
    <w:rsid w:val="1D5675C9"/>
    <w:rsid w:val="1D570900"/>
    <w:rsid w:val="1D590393"/>
    <w:rsid w:val="1D5B3953"/>
    <w:rsid w:val="1D5D57EA"/>
    <w:rsid w:val="1D652A2D"/>
    <w:rsid w:val="1D6B7F07"/>
    <w:rsid w:val="1D772D50"/>
    <w:rsid w:val="1D7C3EC2"/>
    <w:rsid w:val="1D8965DF"/>
    <w:rsid w:val="1D8B67FB"/>
    <w:rsid w:val="1D8D60CF"/>
    <w:rsid w:val="1D903E12"/>
    <w:rsid w:val="1D94745E"/>
    <w:rsid w:val="1D951428"/>
    <w:rsid w:val="1D9A07EC"/>
    <w:rsid w:val="1DA8115B"/>
    <w:rsid w:val="1DAB47A7"/>
    <w:rsid w:val="1DBE097F"/>
    <w:rsid w:val="1DC046F7"/>
    <w:rsid w:val="1DC43CB7"/>
    <w:rsid w:val="1DC772EF"/>
    <w:rsid w:val="1DCF0496"/>
    <w:rsid w:val="1DD106B2"/>
    <w:rsid w:val="1DD14F6F"/>
    <w:rsid w:val="1DD43CFE"/>
    <w:rsid w:val="1DD51824"/>
    <w:rsid w:val="1DD864BE"/>
    <w:rsid w:val="1DD97567"/>
    <w:rsid w:val="1DDC2BB3"/>
    <w:rsid w:val="1DEC5E37"/>
    <w:rsid w:val="1DEF0B38"/>
    <w:rsid w:val="1DF32FB4"/>
    <w:rsid w:val="1DF60118"/>
    <w:rsid w:val="1DF76786"/>
    <w:rsid w:val="1DFB376C"/>
    <w:rsid w:val="1DFB74DD"/>
    <w:rsid w:val="1DFC5003"/>
    <w:rsid w:val="1E002D45"/>
    <w:rsid w:val="1E025426"/>
    <w:rsid w:val="1E085D3E"/>
    <w:rsid w:val="1E122A78"/>
    <w:rsid w:val="1E161F2C"/>
    <w:rsid w:val="1E1660C5"/>
    <w:rsid w:val="1E1B7B7F"/>
    <w:rsid w:val="1E1D189E"/>
    <w:rsid w:val="1E1D2D07"/>
    <w:rsid w:val="1E236A34"/>
    <w:rsid w:val="1E2E78B2"/>
    <w:rsid w:val="1E3173A3"/>
    <w:rsid w:val="1E37603B"/>
    <w:rsid w:val="1E430E84"/>
    <w:rsid w:val="1E546BED"/>
    <w:rsid w:val="1E566E09"/>
    <w:rsid w:val="1E594203"/>
    <w:rsid w:val="1E5B61CE"/>
    <w:rsid w:val="1E610087"/>
    <w:rsid w:val="1E682698"/>
    <w:rsid w:val="1E6C0BF3"/>
    <w:rsid w:val="1E71779F"/>
    <w:rsid w:val="1E731769"/>
    <w:rsid w:val="1E7F010E"/>
    <w:rsid w:val="1E8A260F"/>
    <w:rsid w:val="1E8C45D9"/>
    <w:rsid w:val="1E91399D"/>
    <w:rsid w:val="1E9309CA"/>
    <w:rsid w:val="1E960FB4"/>
    <w:rsid w:val="1E9B246D"/>
    <w:rsid w:val="1EA71413"/>
    <w:rsid w:val="1EB678A8"/>
    <w:rsid w:val="1EB8717C"/>
    <w:rsid w:val="1EBB6C6C"/>
    <w:rsid w:val="1EBE3EF5"/>
    <w:rsid w:val="1EC7286D"/>
    <w:rsid w:val="1ED6721D"/>
    <w:rsid w:val="1EDC26EE"/>
    <w:rsid w:val="1EDC4FB1"/>
    <w:rsid w:val="1EE14925"/>
    <w:rsid w:val="1EE2069D"/>
    <w:rsid w:val="1EE241F9"/>
    <w:rsid w:val="1EEB1B44"/>
    <w:rsid w:val="1EEB6F36"/>
    <w:rsid w:val="1EEC32CA"/>
    <w:rsid w:val="1EF351FB"/>
    <w:rsid w:val="1EFA59E6"/>
    <w:rsid w:val="1EFC175F"/>
    <w:rsid w:val="1F0060BE"/>
    <w:rsid w:val="1F010B23"/>
    <w:rsid w:val="1F037128"/>
    <w:rsid w:val="1F046865"/>
    <w:rsid w:val="1F0B3750"/>
    <w:rsid w:val="1F0C17D8"/>
    <w:rsid w:val="1F0E261F"/>
    <w:rsid w:val="1F120F82"/>
    <w:rsid w:val="1F1620F4"/>
    <w:rsid w:val="1F182311"/>
    <w:rsid w:val="1F1A1BE5"/>
    <w:rsid w:val="1F2962CC"/>
    <w:rsid w:val="1F3A7811"/>
    <w:rsid w:val="1F3D1FFA"/>
    <w:rsid w:val="1F403A40"/>
    <w:rsid w:val="1F413791"/>
    <w:rsid w:val="1F43743A"/>
    <w:rsid w:val="1F44616C"/>
    <w:rsid w:val="1F483424"/>
    <w:rsid w:val="1F4A34C4"/>
    <w:rsid w:val="1F4B0664"/>
    <w:rsid w:val="1F4B590F"/>
    <w:rsid w:val="1F4E7AE0"/>
    <w:rsid w:val="1F504474"/>
    <w:rsid w:val="1F505606"/>
    <w:rsid w:val="1F5144D6"/>
    <w:rsid w:val="1F536EA5"/>
    <w:rsid w:val="1F572E39"/>
    <w:rsid w:val="1F574BE7"/>
    <w:rsid w:val="1F5F3A9B"/>
    <w:rsid w:val="1F6368EB"/>
    <w:rsid w:val="1F664E2A"/>
    <w:rsid w:val="1F707A57"/>
    <w:rsid w:val="1F7310A3"/>
    <w:rsid w:val="1F73268A"/>
    <w:rsid w:val="1F7D0EBD"/>
    <w:rsid w:val="1F833C2E"/>
    <w:rsid w:val="1F841754"/>
    <w:rsid w:val="1F882FF2"/>
    <w:rsid w:val="1F9130AA"/>
    <w:rsid w:val="1F923E71"/>
    <w:rsid w:val="1F966A12"/>
    <w:rsid w:val="1F973235"/>
    <w:rsid w:val="1FA16094"/>
    <w:rsid w:val="1FA616CA"/>
    <w:rsid w:val="1FA6791C"/>
    <w:rsid w:val="1FB843E7"/>
    <w:rsid w:val="1FB86255"/>
    <w:rsid w:val="1FB90D87"/>
    <w:rsid w:val="1FC55FF4"/>
    <w:rsid w:val="1FCA00DB"/>
    <w:rsid w:val="1FCA360B"/>
    <w:rsid w:val="1FCB7383"/>
    <w:rsid w:val="1FD04999"/>
    <w:rsid w:val="1FD20711"/>
    <w:rsid w:val="1FD60202"/>
    <w:rsid w:val="1FD6702A"/>
    <w:rsid w:val="1FD81371"/>
    <w:rsid w:val="1FDC333E"/>
    <w:rsid w:val="1FE02E2E"/>
    <w:rsid w:val="1FE30F60"/>
    <w:rsid w:val="1FE60DE2"/>
    <w:rsid w:val="1FED554B"/>
    <w:rsid w:val="1FF42436"/>
    <w:rsid w:val="1FF561AE"/>
    <w:rsid w:val="20014B53"/>
    <w:rsid w:val="20052895"/>
    <w:rsid w:val="200D799B"/>
    <w:rsid w:val="20144886"/>
    <w:rsid w:val="20166850"/>
    <w:rsid w:val="20170100"/>
    <w:rsid w:val="20234BAC"/>
    <w:rsid w:val="20250841"/>
    <w:rsid w:val="20277BF5"/>
    <w:rsid w:val="202A40A9"/>
    <w:rsid w:val="202F7912"/>
    <w:rsid w:val="20315438"/>
    <w:rsid w:val="20337402"/>
    <w:rsid w:val="20396F45"/>
    <w:rsid w:val="2040536C"/>
    <w:rsid w:val="20431FFE"/>
    <w:rsid w:val="204A0C9D"/>
    <w:rsid w:val="204C04C4"/>
    <w:rsid w:val="204F1D62"/>
    <w:rsid w:val="204F3B10"/>
    <w:rsid w:val="20525924"/>
    <w:rsid w:val="20562863"/>
    <w:rsid w:val="205A7E51"/>
    <w:rsid w:val="205C7FDB"/>
    <w:rsid w:val="206222A6"/>
    <w:rsid w:val="206550E2"/>
    <w:rsid w:val="206C2914"/>
    <w:rsid w:val="206D21E8"/>
    <w:rsid w:val="206D6493"/>
    <w:rsid w:val="20717F2A"/>
    <w:rsid w:val="20730A5A"/>
    <w:rsid w:val="20745325"/>
    <w:rsid w:val="207615CD"/>
    <w:rsid w:val="20766A93"/>
    <w:rsid w:val="2078600D"/>
    <w:rsid w:val="207B66B3"/>
    <w:rsid w:val="207F2647"/>
    <w:rsid w:val="20825C93"/>
    <w:rsid w:val="208C549D"/>
    <w:rsid w:val="20943C19"/>
    <w:rsid w:val="20987265"/>
    <w:rsid w:val="20A7394C"/>
    <w:rsid w:val="20A756FA"/>
    <w:rsid w:val="20A83220"/>
    <w:rsid w:val="20A94E3B"/>
    <w:rsid w:val="20A976C4"/>
    <w:rsid w:val="20AC4ABE"/>
    <w:rsid w:val="20B34EB6"/>
    <w:rsid w:val="20B816B5"/>
    <w:rsid w:val="20B93996"/>
    <w:rsid w:val="20BD4F1E"/>
    <w:rsid w:val="20C55B80"/>
    <w:rsid w:val="20C8111F"/>
    <w:rsid w:val="20CA3197"/>
    <w:rsid w:val="20CE0ED9"/>
    <w:rsid w:val="20CF368D"/>
    <w:rsid w:val="20D364EF"/>
    <w:rsid w:val="20D67D8D"/>
    <w:rsid w:val="20DD2ECA"/>
    <w:rsid w:val="20DD55C0"/>
    <w:rsid w:val="20E34258"/>
    <w:rsid w:val="20E86866"/>
    <w:rsid w:val="20EE3329"/>
    <w:rsid w:val="20F52909"/>
    <w:rsid w:val="20FB1609"/>
    <w:rsid w:val="20FB5A46"/>
    <w:rsid w:val="21004E0A"/>
    <w:rsid w:val="210B5C89"/>
    <w:rsid w:val="210C1A01"/>
    <w:rsid w:val="210E39CB"/>
    <w:rsid w:val="211762CF"/>
    <w:rsid w:val="211A10FC"/>
    <w:rsid w:val="211A411E"/>
    <w:rsid w:val="211B1C44"/>
    <w:rsid w:val="211F34E2"/>
    <w:rsid w:val="2123166E"/>
    <w:rsid w:val="21274A8D"/>
    <w:rsid w:val="212D0990"/>
    <w:rsid w:val="21354AB4"/>
    <w:rsid w:val="2136082C"/>
    <w:rsid w:val="215C18AC"/>
    <w:rsid w:val="215D400B"/>
    <w:rsid w:val="2164183D"/>
    <w:rsid w:val="216929AF"/>
    <w:rsid w:val="217001E2"/>
    <w:rsid w:val="217A1CED"/>
    <w:rsid w:val="217A2E0F"/>
    <w:rsid w:val="21881CE4"/>
    <w:rsid w:val="218840B3"/>
    <w:rsid w:val="218A33B2"/>
    <w:rsid w:val="218D48F0"/>
    <w:rsid w:val="219C0FD7"/>
    <w:rsid w:val="219E4D4F"/>
    <w:rsid w:val="21A25092"/>
    <w:rsid w:val="21A34113"/>
    <w:rsid w:val="21A659B2"/>
    <w:rsid w:val="21A954A2"/>
    <w:rsid w:val="21B31E7D"/>
    <w:rsid w:val="21B405C0"/>
    <w:rsid w:val="21B75E11"/>
    <w:rsid w:val="21B87493"/>
    <w:rsid w:val="21BD7368"/>
    <w:rsid w:val="21C44FBB"/>
    <w:rsid w:val="21CB0F86"/>
    <w:rsid w:val="21DF2C72"/>
    <w:rsid w:val="21E85FCA"/>
    <w:rsid w:val="21ED0F5B"/>
    <w:rsid w:val="21F20BF7"/>
    <w:rsid w:val="21F93D33"/>
    <w:rsid w:val="21FE134A"/>
    <w:rsid w:val="22065300"/>
    <w:rsid w:val="220821C8"/>
    <w:rsid w:val="220A4192"/>
    <w:rsid w:val="220F3557"/>
    <w:rsid w:val="22124FE4"/>
    <w:rsid w:val="22146DBF"/>
    <w:rsid w:val="221768AF"/>
    <w:rsid w:val="221943D6"/>
    <w:rsid w:val="2221772E"/>
    <w:rsid w:val="22244B28"/>
    <w:rsid w:val="22257003"/>
    <w:rsid w:val="222A0391"/>
    <w:rsid w:val="222A213F"/>
    <w:rsid w:val="222F1E4B"/>
    <w:rsid w:val="22364F87"/>
    <w:rsid w:val="223B259E"/>
    <w:rsid w:val="223C0251"/>
    <w:rsid w:val="223E3E3C"/>
    <w:rsid w:val="22457E73"/>
    <w:rsid w:val="224C13B4"/>
    <w:rsid w:val="225418B2"/>
    <w:rsid w:val="225B679C"/>
    <w:rsid w:val="225C5EA6"/>
    <w:rsid w:val="225E1181"/>
    <w:rsid w:val="226338A3"/>
    <w:rsid w:val="226513C9"/>
    <w:rsid w:val="2274785E"/>
    <w:rsid w:val="227B6E3E"/>
    <w:rsid w:val="227C2F3E"/>
    <w:rsid w:val="227C4964"/>
    <w:rsid w:val="228201CD"/>
    <w:rsid w:val="229121BE"/>
    <w:rsid w:val="22943A5C"/>
    <w:rsid w:val="229E2B2D"/>
    <w:rsid w:val="229E48DB"/>
    <w:rsid w:val="22A2261D"/>
    <w:rsid w:val="22A85012"/>
    <w:rsid w:val="22AD2D70"/>
    <w:rsid w:val="22B27228"/>
    <w:rsid w:val="22B42350"/>
    <w:rsid w:val="22B504F7"/>
    <w:rsid w:val="22B8599C"/>
    <w:rsid w:val="22BE4F7D"/>
    <w:rsid w:val="22C00CF5"/>
    <w:rsid w:val="22C57D2D"/>
    <w:rsid w:val="22C617A0"/>
    <w:rsid w:val="22C75BE0"/>
    <w:rsid w:val="22C87E82"/>
    <w:rsid w:val="22CA1B74"/>
    <w:rsid w:val="22CD6F6E"/>
    <w:rsid w:val="22CF1EAE"/>
    <w:rsid w:val="22D84291"/>
    <w:rsid w:val="22E569AE"/>
    <w:rsid w:val="22E6302E"/>
    <w:rsid w:val="22E76168"/>
    <w:rsid w:val="22ED0263"/>
    <w:rsid w:val="22F015DA"/>
    <w:rsid w:val="22F95FB5"/>
    <w:rsid w:val="230A4F03"/>
    <w:rsid w:val="230F7587"/>
    <w:rsid w:val="23164DB9"/>
    <w:rsid w:val="231A6657"/>
    <w:rsid w:val="231B5F2B"/>
    <w:rsid w:val="231D1CA3"/>
    <w:rsid w:val="23201794"/>
    <w:rsid w:val="232142F5"/>
    <w:rsid w:val="23226F32"/>
    <w:rsid w:val="23240E85"/>
    <w:rsid w:val="23270D74"/>
    <w:rsid w:val="232C1EE7"/>
    <w:rsid w:val="23386ADD"/>
    <w:rsid w:val="233A0AA7"/>
    <w:rsid w:val="233D0598"/>
    <w:rsid w:val="233F60BE"/>
    <w:rsid w:val="23405992"/>
    <w:rsid w:val="23447230"/>
    <w:rsid w:val="23492A98"/>
    <w:rsid w:val="2351194D"/>
    <w:rsid w:val="23676746"/>
    <w:rsid w:val="236B6EB3"/>
    <w:rsid w:val="23706277"/>
    <w:rsid w:val="23841D23"/>
    <w:rsid w:val="23957A8C"/>
    <w:rsid w:val="239857CE"/>
    <w:rsid w:val="239A32F4"/>
    <w:rsid w:val="239B0E1A"/>
    <w:rsid w:val="239D1036"/>
    <w:rsid w:val="239D4B92"/>
    <w:rsid w:val="239F2BE0"/>
    <w:rsid w:val="23A45F21"/>
    <w:rsid w:val="23AB7491"/>
    <w:rsid w:val="23AE0B4E"/>
    <w:rsid w:val="23B26890"/>
    <w:rsid w:val="23B45270"/>
    <w:rsid w:val="23BA5744"/>
    <w:rsid w:val="23BD6FE3"/>
    <w:rsid w:val="23BE3486"/>
    <w:rsid w:val="23C87E61"/>
    <w:rsid w:val="23CE11F0"/>
    <w:rsid w:val="23CE3702"/>
    <w:rsid w:val="23D42CAA"/>
    <w:rsid w:val="23D5257E"/>
    <w:rsid w:val="23D9206E"/>
    <w:rsid w:val="23D9480E"/>
    <w:rsid w:val="23DF33FD"/>
    <w:rsid w:val="23DF51AB"/>
    <w:rsid w:val="23E33096"/>
    <w:rsid w:val="23E427C1"/>
    <w:rsid w:val="23E629DD"/>
    <w:rsid w:val="23E9602A"/>
    <w:rsid w:val="23EB16FF"/>
    <w:rsid w:val="23EE54AF"/>
    <w:rsid w:val="24015121"/>
    <w:rsid w:val="240864B0"/>
    <w:rsid w:val="240B677B"/>
    <w:rsid w:val="24156E1F"/>
    <w:rsid w:val="24165E61"/>
    <w:rsid w:val="241A4435"/>
    <w:rsid w:val="241D0191"/>
    <w:rsid w:val="241F1A4B"/>
    <w:rsid w:val="2423153B"/>
    <w:rsid w:val="2423778D"/>
    <w:rsid w:val="24294678"/>
    <w:rsid w:val="242A0B1C"/>
    <w:rsid w:val="24303C58"/>
    <w:rsid w:val="243C25FD"/>
    <w:rsid w:val="243E45C7"/>
    <w:rsid w:val="24450BC8"/>
    <w:rsid w:val="244F2331"/>
    <w:rsid w:val="24501B02"/>
    <w:rsid w:val="245060A9"/>
    <w:rsid w:val="245636BF"/>
    <w:rsid w:val="24596D0B"/>
    <w:rsid w:val="245E4322"/>
    <w:rsid w:val="2467075D"/>
    <w:rsid w:val="246F620E"/>
    <w:rsid w:val="24757506"/>
    <w:rsid w:val="247A77CD"/>
    <w:rsid w:val="247E2C16"/>
    <w:rsid w:val="247E53BA"/>
    <w:rsid w:val="248D4C07"/>
    <w:rsid w:val="248E31CC"/>
    <w:rsid w:val="248F7D52"/>
    <w:rsid w:val="24973CD7"/>
    <w:rsid w:val="249E5066"/>
    <w:rsid w:val="24A26904"/>
    <w:rsid w:val="24A94093"/>
    <w:rsid w:val="24AC7783"/>
    <w:rsid w:val="24B403E6"/>
    <w:rsid w:val="24B91BCE"/>
    <w:rsid w:val="24C4748D"/>
    <w:rsid w:val="24CA19B7"/>
    <w:rsid w:val="24CF521F"/>
    <w:rsid w:val="24E011DB"/>
    <w:rsid w:val="24E0742D"/>
    <w:rsid w:val="24E22A16"/>
    <w:rsid w:val="24E826C5"/>
    <w:rsid w:val="24F353CE"/>
    <w:rsid w:val="24F37160"/>
    <w:rsid w:val="24F66C50"/>
    <w:rsid w:val="24F84776"/>
    <w:rsid w:val="25010F47"/>
    <w:rsid w:val="250445D2"/>
    <w:rsid w:val="25047C0A"/>
    <w:rsid w:val="250970B4"/>
    <w:rsid w:val="250A6257"/>
    <w:rsid w:val="250F386E"/>
    <w:rsid w:val="25113A8A"/>
    <w:rsid w:val="251610A0"/>
    <w:rsid w:val="25186BC6"/>
    <w:rsid w:val="251B66B7"/>
    <w:rsid w:val="252217F3"/>
    <w:rsid w:val="25231339"/>
    <w:rsid w:val="25253091"/>
    <w:rsid w:val="252F7103"/>
    <w:rsid w:val="2536529E"/>
    <w:rsid w:val="25387269"/>
    <w:rsid w:val="253B2D06"/>
    <w:rsid w:val="253D487F"/>
    <w:rsid w:val="253F6ADE"/>
    <w:rsid w:val="2541451C"/>
    <w:rsid w:val="25435A82"/>
    <w:rsid w:val="254C061E"/>
    <w:rsid w:val="254F010E"/>
    <w:rsid w:val="255319AC"/>
    <w:rsid w:val="25596D1B"/>
    <w:rsid w:val="256B339F"/>
    <w:rsid w:val="256C0CC0"/>
    <w:rsid w:val="256E4A38"/>
    <w:rsid w:val="256F2171"/>
    <w:rsid w:val="25706A02"/>
    <w:rsid w:val="25710085"/>
    <w:rsid w:val="25787CCC"/>
    <w:rsid w:val="258A5D2C"/>
    <w:rsid w:val="258C1362"/>
    <w:rsid w:val="259113A8"/>
    <w:rsid w:val="259C15A5"/>
    <w:rsid w:val="25A0096A"/>
    <w:rsid w:val="25AB7A3A"/>
    <w:rsid w:val="25AC5561"/>
    <w:rsid w:val="25B06DFF"/>
    <w:rsid w:val="25B20DC9"/>
    <w:rsid w:val="25BC1C48"/>
    <w:rsid w:val="25C64874"/>
    <w:rsid w:val="25C74149"/>
    <w:rsid w:val="25CB1E8B"/>
    <w:rsid w:val="25CB59E7"/>
    <w:rsid w:val="25CE197B"/>
    <w:rsid w:val="25D32AED"/>
    <w:rsid w:val="25D36F91"/>
    <w:rsid w:val="25D6287C"/>
    <w:rsid w:val="25D845A8"/>
    <w:rsid w:val="25DD571A"/>
    <w:rsid w:val="25DF56C4"/>
    <w:rsid w:val="25E20F82"/>
    <w:rsid w:val="25E62821"/>
    <w:rsid w:val="25E8152E"/>
    <w:rsid w:val="25EB6089"/>
    <w:rsid w:val="25EE7927"/>
    <w:rsid w:val="25F136F5"/>
    <w:rsid w:val="25F211C5"/>
    <w:rsid w:val="25F5515A"/>
    <w:rsid w:val="25F717E6"/>
    <w:rsid w:val="25F725B9"/>
    <w:rsid w:val="26013AFE"/>
    <w:rsid w:val="26054AC5"/>
    <w:rsid w:val="26087C2F"/>
    <w:rsid w:val="2609650F"/>
    <w:rsid w:val="260F621B"/>
    <w:rsid w:val="2610789E"/>
    <w:rsid w:val="2614352A"/>
    <w:rsid w:val="26192BF6"/>
    <w:rsid w:val="261C4494"/>
    <w:rsid w:val="261D1282"/>
    <w:rsid w:val="261F00B7"/>
    <w:rsid w:val="26270255"/>
    <w:rsid w:val="262C72F4"/>
    <w:rsid w:val="263317DE"/>
    <w:rsid w:val="263537A8"/>
    <w:rsid w:val="263712CE"/>
    <w:rsid w:val="263A4E7A"/>
    <w:rsid w:val="2641067D"/>
    <w:rsid w:val="2641214D"/>
    <w:rsid w:val="264D464E"/>
    <w:rsid w:val="264D6D44"/>
    <w:rsid w:val="2657220F"/>
    <w:rsid w:val="26597496"/>
    <w:rsid w:val="266B0F78"/>
    <w:rsid w:val="266F6CBA"/>
    <w:rsid w:val="267442D0"/>
    <w:rsid w:val="26753BA5"/>
    <w:rsid w:val="26773DC1"/>
    <w:rsid w:val="26793695"/>
    <w:rsid w:val="267C13D7"/>
    <w:rsid w:val="267F67D1"/>
    <w:rsid w:val="268169ED"/>
    <w:rsid w:val="268362C1"/>
    <w:rsid w:val="2685203A"/>
    <w:rsid w:val="26881B2A"/>
    <w:rsid w:val="268838D8"/>
    <w:rsid w:val="268D77A3"/>
    <w:rsid w:val="269009DE"/>
    <w:rsid w:val="26946721"/>
    <w:rsid w:val="269A0A37"/>
    <w:rsid w:val="269A360B"/>
    <w:rsid w:val="269B7AAF"/>
    <w:rsid w:val="26B9340C"/>
    <w:rsid w:val="26C3004D"/>
    <w:rsid w:val="26C40BDF"/>
    <w:rsid w:val="26C708A4"/>
    <w:rsid w:val="26CC7C68"/>
    <w:rsid w:val="26CD231B"/>
    <w:rsid w:val="26D22DA5"/>
    <w:rsid w:val="26D25C1B"/>
    <w:rsid w:val="26D502BF"/>
    <w:rsid w:val="26D62895"/>
    <w:rsid w:val="26E33204"/>
    <w:rsid w:val="26E72CF4"/>
    <w:rsid w:val="26EC30F2"/>
    <w:rsid w:val="26F251F8"/>
    <w:rsid w:val="26F31699"/>
    <w:rsid w:val="26FB67A0"/>
    <w:rsid w:val="26FD2518"/>
    <w:rsid w:val="2702368A"/>
    <w:rsid w:val="27027B2E"/>
    <w:rsid w:val="2707038B"/>
    <w:rsid w:val="27070CA1"/>
    <w:rsid w:val="27096AD1"/>
    <w:rsid w:val="270F7B55"/>
    <w:rsid w:val="27127645"/>
    <w:rsid w:val="27133AE9"/>
    <w:rsid w:val="27135897"/>
    <w:rsid w:val="271A7958"/>
    <w:rsid w:val="27207788"/>
    <w:rsid w:val="272514F0"/>
    <w:rsid w:val="272730F1"/>
    <w:rsid w:val="2737475D"/>
    <w:rsid w:val="273E6BEE"/>
    <w:rsid w:val="27414187"/>
    <w:rsid w:val="274F0899"/>
    <w:rsid w:val="275006DD"/>
    <w:rsid w:val="27572D88"/>
    <w:rsid w:val="275B723E"/>
    <w:rsid w:val="275F6D2E"/>
    <w:rsid w:val="276056B5"/>
    <w:rsid w:val="27606603"/>
    <w:rsid w:val="27661C05"/>
    <w:rsid w:val="276F1C0A"/>
    <w:rsid w:val="27702CEA"/>
    <w:rsid w:val="27750300"/>
    <w:rsid w:val="2778394C"/>
    <w:rsid w:val="277F13CF"/>
    <w:rsid w:val="27813ED7"/>
    <w:rsid w:val="278C73F8"/>
    <w:rsid w:val="278E3170"/>
    <w:rsid w:val="278E5ACD"/>
    <w:rsid w:val="27901611"/>
    <w:rsid w:val="27942B3C"/>
    <w:rsid w:val="279544FE"/>
    <w:rsid w:val="279D1605"/>
    <w:rsid w:val="27A10E15"/>
    <w:rsid w:val="27A26C1B"/>
    <w:rsid w:val="27A47FDD"/>
    <w:rsid w:val="27A71F78"/>
    <w:rsid w:val="27A961FC"/>
    <w:rsid w:val="27B22717"/>
    <w:rsid w:val="27BF157B"/>
    <w:rsid w:val="27BF15BC"/>
    <w:rsid w:val="27C070C8"/>
    <w:rsid w:val="27D56FF1"/>
    <w:rsid w:val="27D60B9D"/>
    <w:rsid w:val="27DA4607"/>
    <w:rsid w:val="27E14ABB"/>
    <w:rsid w:val="27F40D52"/>
    <w:rsid w:val="27F73E2C"/>
    <w:rsid w:val="27FC080F"/>
    <w:rsid w:val="27FC457D"/>
    <w:rsid w:val="280149CB"/>
    <w:rsid w:val="280B656E"/>
    <w:rsid w:val="280C22E7"/>
    <w:rsid w:val="280D0539"/>
    <w:rsid w:val="2810627B"/>
    <w:rsid w:val="2818512F"/>
    <w:rsid w:val="28186EDD"/>
    <w:rsid w:val="281C69CE"/>
    <w:rsid w:val="281F026C"/>
    <w:rsid w:val="28235FAE"/>
    <w:rsid w:val="28243AD4"/>
    <w:rsid w:val="282835C4"/>
    <w:rsid w:val="28292E99"/>
    <w:rsid w:val="282B45DC"/>
    <w:rsid w:val="282C578E"/>
    <w:rsid w:val="28302479"/>
    <w:rsid w:val="28333D17"/>
    <w:rsid w:val="28346F78"/>
    <w:rsid w:val="283537E0"/>
    <w:rsid w:val="28375750"/>
    <w:rsid w:val="283C7070"/>
    <w:rsid w:val="283E4B96"/>
    <w:rsid w:val="28441A80"/>
    <w:rsid w:val="285443B9"/>
    <w:rsid w:val="285C14C0"/>
    <w:rsid w:val="28642123"/>
    <w:rsid w:val="286E6AFD"/>
    <w:rsid w:val="287560DE"/>
    <w:rsid w:val="287E4F92"/>
    <w:rsid w:val="28814A83"/>
    <w:rsid w:val="288A1B89"/>
    <w:rsid w:val="288B5901"/>
    <w:rsid w:val="288D78CB"/>
    <w:rsid w:val="288F53F1"/>
    <w:rsid w:val="288F719F"/>
    <w:rsid w:val="28904CC6"/>
    <w:rsid w:val="28925FE6"/>
    <w:rsid w:val="28926C90"/>
    <w:rsid w:val="28942A08"/>
    <w:rsid w:val="2895052E"/>
    <w:rsid w:val="2898484E"/>
    <w:rsid w:val="28A075FF"/>
    <w:rsid w:val="28A349F9"/>
    <w:rsid w:val="28A644E9"/>
    <w:rsid w:val="28AD37CB"/>
    <w:rsid w:val="28AD5878"/>
    <w:rsid w:val="28B4655D"/>
    <w:rsid w:val="28BA7F95"/>
    <w:rsid w:val="28BE1833"/>
    <w:rsid w:val="28C52BC1"/>
    <w:rsid w:val="28C97059"/>
    <w:rsid w:val="28D30187"/>
    <w:rsid w:val="28D555A5"/>
    <w:rsid w:val="28D728F5"/>
    <w:rsid w:val="28DE0127"/>
    <w:rsid w:val="28E014E4"/>
    <w:rsid w:val="28E514B5"/>
    <w:rsid w:val="28E62B38"/>
    <w:rsid w:val="28F434A6"/>
    <w:rsid w:val="28F6721F"/>
    <w:rsid w:val="28F67E79"/>
    <w:rsid w:val="28F811E9"/>
    <w:rsid w:val="28FE4325"/>
    <w:rsid w:val="2907242C"/>
    <w:rsid w:val="290744F5"/>
    <w:rsid w:val="29101564"/>
    <w:rsid w:val="29160628"/>
    <w:rsid w:val="291711F9"/>
    <w:rsid w:val="293F0416"/>
    <w:rsid w:val="294C32E2"/>
    <w:rsid w:val="29583A35"/>
    <w:rsid w:val="296028EA"/>
    <w:rsid w:val="29622B06"/>
    <w:rsid w:val="29641065"/>
    <w:rsid w:val="296548E8"/>
    <w:rsid w:val="296A3769"/>
    <w:rsid w:val="296B4121"/>
    <w:rsid w:val="296E14AB"/>
    <w:rsid w:val="296E7C07"/>
    <w:rsid w:val="29714AF7"/>
    <w:rsid w:val="297369AA"/>
    <w:rsid w:val="29780591"/>
    <w:rsid w:val="29785E86"/>
    <w:rsid w:val="297D524A"/>
    <w:rsid w:val="29802F8C"/>
    <w:rsid w:val="298247DA"/>
    <w:rsid w:val="298A3E0B"/>
    <w:rsid w:val="298F31CF"/>
    <w:rsid w:val="299A22A0"/>
    <w:rsid w:val="299B7DC6"/>
    <w:rsid w:val="29A0362E"/>
    <w:rsid w:val="29A30A29"/>
    <w:rsid w:val="29A749BD"/>
    <w:rsid w:val="29A924E3"/>
    <w:rsid w:val="29B35110"/>
    <w:rsid w:val="29B55BD2"/>
    <w:rsid w:val="29BF153D"/>
    <w:rsid w:val="29C235A5"/>
    <w:rsid w:val="29C27101"/>
    <w:rsid w:val="29C410CB"/>
    <w:rsid w:val="29C54E43"/>
    <w:rsid w:val="29D05CC2"/>
    <w:rsid w:val="29D92EC8"/>
    <w:rsid w:val="29DB6414"/>
    <w:rsid w:val="29E51041"/>
    <w:rsid w:val="29E96D83"/>
    <w:rsid w:val="29EC0622"/>
    <w:rsid w:val="29ED27BF"/>
    <w:rsid w:val="29EE7EF6"/>
    <w:rsid w:val="29EF4F05"/>
    <w:rsid w:val="29F14252"/>
    <w:rsid w:val="29F574D6"/>
    <w:rsid w:val="29F76442"/>
    <w:rsid w:val="2A02722E"/>
    <w:rsid w:val="2A027E45"/>
    <w:rsid w:val="2A043BBD"/>
    <w:rsid w:val="2A04596B"/>
    <w:rsid w:val="2A047719"/>
    <w:rsid w:val="2A070FB7"/>
    <w:rsid w:val="2A0D60EA"/>
    <w:rsid w:val="2A13795C"/>
    <w:rsid w:val="2A1C3D55"/>
    <w:rsid w:val="2A1E5AD8"/>
    <w:rsid w:val="2A22332C"/>
    <w:rsid w:val="2A27165A"/>
    <w:rsid w:val="2A2E4796"/>
    <w:rsid w:val="2A3047AD"/>
    <w:rsid w:val="2A377AEF"/>
    <w:rsid w:val="2A3C5105"/>
    <w:rsid w:val="2A3E70CF"/>
    <w:rsid w:val="2A482069"/>
    <w:rsid w:val="2A4B5348"/>
    <w:rsid w:val="2A4D10C0"/>
    <w:rsid w:val="2A53244F"/>
    <w:rsid w:val="2A5332BC"/>
    <w:rsid w:val="2A573CED"/>
    <w:rsid w:val="2A583989"/>
    <w:rsid w:val="2A61691A"/>
    <w:rsid w:val="2A685C7D"/>
    <w:rsid w:val="2A6E7289"/>
    <w:rsid w:val="2A7523C5"/>
    <w:rsid w:val="2A77438F"/>
    <w:rsid w:val="2A793EB6"/>
    <w:rsid w:val="2A7A3E7F"/>
    <w:rsid w:val="2A8B7F84"/>
    <w:rsid w:val="2A8C41C4"/>
    <w:rsid w:val="2A8F792B"/>
    <w:rsid w:val="2A992557"/>
    <w:rsid w:val="2AAA4765"/>
    <w:rsid w:val="2AAE58D7"/>
    <w:rsid w:val="2AAF1D7B"/>
    <w:rsid w:val="2ABC1DA2"/>
    <w:rsid w:val="2AC33130"/>
    <w:rsid w:val="2ACF5F79"/>
    <w:rsid w:val="2AD258E8"/>
    <w:rsid w:val="2AD27817"/>
    <w:rsid w:val="2AD52E64"/>
    <w:rsid w:val="2AD90BA6"/>
    <w:rsid w:val="2ADA66CC"/>
    <w:rsid w:val="2ADB2B70"/>
    <w:rsid w:val="2AE40E95"/>
    <w:rsid w:val="2AE52CEF"/>
    <w:rsid w:val="2AED7CD6"/>
    <w:rsid w:val="2AF21C68"/>
    <w:rsid w:val="2B006133"/>
    <w:rsid w:val="2B0674C1"/>
    <w:rsid w:val="2B0B4AD7"/>
    <w:rsid w:val="2B110340"/>
    <w:rsid w:val="2B1B2F6C"/>
    <w:rsid w:val="2B1E480B"/>
    <w:rsid w:val="2B22641A"/>
    <w:rsid w:val="2B285689"/>
    <w:rsid w:val="2B2D0EF2"/>
    <w:rsid w:val="2B2F4C6A"/>
    <w:rsid w:val="2B342280"/>
    <w:rsid w:val="2B365FF8"/>
    <w:rsid w:val="2B397896"/>
    <w:rsid w:val="2B404781"/>
    <w:rsid w:val="2B4E089B"/>
    <w:rsid w:val="2B4F2C16"/>
    <w:rsid w:val="2B505F9D"/>
    <w:rsid w:val="2B507F2A"/>
    <w:rsid w:val="2B525912"/>
    <w:rsid w:val="2B5301C1"/>
    <w:rsid w:val="2B536BAA"/>
    <w:rsid w:val="2B53744F"/>
    <w:rsid w:val="2B546E8B"/>
    <w:rsid w:val="2B560448"/>
    <w:rsid w:val="2B577D1D"/>
    <w:rsid w:val="2B591CE7"/>
    <w:rsid w:val="2B5B5A5F"/>
    <w:rsid w:val="2B6D7540"/>
    <w:rsid w:val="2B6F32B8"/>
    <w:rsid w:val="2B786611"/>
    <w:rsid w:val="2B7A22E2"/>
    <w:rsid w:val="2B7B1C5D"/>
    <w:rsid w:val="2B7E5B63"/>
    <w:rsid w:val="2B8529F5"/>
    <w:rsid w:val="2B86061F"/>
    <w:rsid w:val="2B925C1E"/>
    <w:rsid w:val="2B9351F9"/>
    <w:rsid w:val="2B990335"/>
    <w:rsid w:val="2B9920E3"/>
    <w:rsid w:val="2B9D4174"/>
    <w:rsid w:val="2B9D6077"/>
    <w:rsid w:val="2B9E594C"/>
    <w:rsid w:val="2B9F3B9D"/>
    <w:rsid w:val="2BA07916"/>
    <w:rsid w:val="2BA56CDA"/>
    <w:rsid w:val="2BA707AB"/>
    <w:rsid w:val="2BA967CA"/>
    <w:rsid w:val="2BAF1907"/>
    <w:rsid w:val="2BB66F76"/>
    <w:rsid w:val="2BC2788C"/>
    <w:rsid w:val="2BC43604"/>
    <w:rsid w:val="2BC5112A"/>
    <w:rsid w:val="2BCE7FDF"/>
    <w:rsid w:val="2BDB6BA0"/>
    <w:rsid w:val="2BE07D12"/>
    <w:rsid w:val="2BE772F2"/>
    <w:rsid w:val="2BE82AB7"/>
    <w:rsid w:val="2BED68A1"/>
    <w:rsid w:val="2BEF4EFD"/>
    <w:rsid w:val="2BF612E4"/>
    <w:rsid w:val="2BFA5278"/>
    <w:rsid w:val="2BFF463C"/>
    <w:rsid w:val="2C005C05"/>
    <w:rsid w:val="2C047EA4"/>
    <w:rsid w:val="2C0E0D23"/>
    <w:rsid w:val="2C0E2AD1"/>
    <w:rsid w:val="2C183950"/>
    <w:rsid w:val="2C191D45"/>
    <w:rsid w:val="2C2220D9"/>
    <w:rsid w:val="2C2372FA"/>
    <w:rsid w:val="2C251BC9"/>
    <w:rsid w:val="2C2916B9"/>
    <w:rsid w:val="2C387B4E"/>
    <w:rsid w:val="2C3F2C8B"/>
    <w:rsid w:val="2C461797"/>
    <w:rsid w:val="2C4719E7"/>
    <w:rsid w:val="2C491D5B"/>
    <w:rsid w:val="2C5801F0"/>
    <w:rsid w:val="2C5F0740"/>
    <w:rsid w:val="2C6460A1"/>
    <w:rsid w:val="2C6E17C2"/>
    <w:rsid w:val="2C74066F"/>
    <w:rsid w:val="2C752B50"/>
    <w:rsid w:val="2C7D1A05"/>
    <w:rsid w:val="2C82701B"/>
    <w:rsid w:val="2C873B26"/>
    <w:rsid w:val="2C8B02A3"/>
    <w:rsid w:val="2C8E776E"/>
    <w:rsid w:val="2C9254B0"/>
    <w:rsid w:val="2C92725E"/>
    <w:rsid w:val="2C966787"/>
    <w:rsid w:val="2C9F5E1F"/>
    <w:rsid w:val="2CA07E85"/>
    <w:rsid w:val="2CA25CFF"/>
    <w:rsid w:val="2CA62D0A"/>
    <w:rsid w:val="2CA90A4C"/>
    <w:rsid w:val="2CAB494C"/>
    <w:rsid w:val="2CB03B88"/>
    <w:rsid w:val="2CB05936"/>
    <w:rsid w:val="2CBB4661"/>
    <w:rsid w:val="2CBD1932"/>
    <w:rsid w:val="2CBE44F7"/>
    <w:rsid w:val="2CC005BC"/>
    <w:rsid w:val="2CC82C80"/>
    <w:rsid w:val="2CCB451E"/>
    <w:rsid w:val="2CCD3F5D"/>
    <w:rsid w:val="2CCE2260"/>
    <w:rsid w:val="2CCE400E"/>
    <w:rsid w:val="2CD63A00"/>
    <w:rsid w:val="2CD97345"/>
    <w:rsid w:val="2CDA0C05"/>
    <w:rsid w:val="2CDC497D"/>
    <w:rsid w:val="2CF06E2B"/>
    <w:rsid w:val="2CF1527E"/>
    <w:rsid w:val="2CF21CB2"/>
    <w:rsid w:val="2CF53E28"/>
    <w:rsid w:val="2CFA4E04"/>
    <w:rsid w:val="2D010D26"/>
    <w:rsid w:val="2D0126B9"/>
    <w:rsid w:val="2D031F0A"/>
    <w:rsid w:val="2D047A30"/>
    <w:rsid w:val="2D144117"/>
    <w:rsid w:val="2D1D2EED"/>
    <w:rsid w:val="2D1E4F96"/>
    <w:rsid w:val="2D241E80"/>
    <w:rsid w:val="2D2F2CFF"/>
    <w:rsid w:val="2D300825"/>
    <w:rsid w:val="2D340315"/>
    <w:rsid w:val="2D3447B9"/>
    <w:rsid w:val="2D355E3C"/>
    <w:rsid w:val="2D386F9D"/>
    <w:rsid w:val="2D393B7E"/>
    <w:rsid w:val="2D39592C"/>
    <w:rsid w:val="2D412A32"/>
    <w:rsid w:val="2D513B5D"/>
    <w:rsid w:val="2D517119"/>
    <w:rsid w:val="2D5307A3"/>
    <w:rsid w:val="2D546C0A"/>
    <w:rsid w:val="2D572256"/>
    <w:rsid w:val="2D5A3B50"/>
    <w:rsid w:val="2D5B4C0F"/>
    <w:rsid w:val="2D5E35E4"/>
    <w:rsid w:val="2D5E5392"/>
    <w:rsid w:val="2D60110A"/>
    <w:rsid w:val="2D60735C"/>
    <w:rsid w:val="2D613665"/>
    <w:rsid w:val="2D6329A9"/>
    <w:rsid w:val="2D636E4D"/>
    <w:rsid w:val="2D684463"/>
    <w:rsid w:val="2D742E08"/>
    <w:rsid w:val="2D7626DC"/>
    <w:rsid w:val="2D7E77E3"/>
    <w:rsid w:val="2D850DEB"/>
    <w:rsid w:val="2D8B00C8"/>
    <w:rsid w:val="2D8C1F00"/>
    <w:rsid w:val="2D973669"/>
    <w:rsid w:val="2D986AF6"/>
    <w:rsid w:val="2D990AC0"/>
    <w:rsid w:val="2D9B2143"/>
    <w:rsid w:val="2DA51213"/>
    <w:rsid w:val="2DA76D39"/>
    <w:rsid w:val="2DBB27E5"/>
    <w:rsid w:val="2DC06E51"/>
    <w:rsid w:val="2DC07893"/>
    <w:rsid w:val="2DC1698E"/>
    <w:rsid w:val="2DCA2A28"/>
    <w:rsid w:val="2DCF4E7C"/>
    <w:rsid w:val="2DCF6290"/>
    <w:rsid w:val="2DD27913"/>
    <w:rsid w:val="2DD35D80"/>
    <w:rsid w:val="2DDA25AC"/>
    <w:rsid w:val="2DDD09AD"/>
    <w:rsid w:val="2DE33AEA"/>
    <w:rsid w:val="2DE51610"/>
    <w:rsid w:val="2DE735DA"/>
    <w:rsid w:val="2DEA30CA"/>
    <w:rsid w:val="2DF61A6F"/>
    <w:rsid w:val="2DF9330D"/>
    <w:rsid w:val="2DFA12E6"/>
    <w:rsid w:val="2E0221C2"/>
    <w:rsid w:val="2E0C4DEE"/>
    <w:rsid w:val="2E0E6DB8"/>
    <w:rsid w:val="2E112405"/>
    <w:rsid w:val="2E1A3538"/>
    <w:rsid w:val="2E1C29BC"/>
    <w:rsid w:val="2E24482E"/>
    <w:rsid w:val="2E2C723F"/>
    <w:rsid w:val="2E2F6D2F"/>
    <w:rsid w:val="2E330B6B"/>
    <w:rsid w:val="2E351C22"/>
    <w:rsid w:val="2E3C1B78"/>
    <w:rsid w:val="2E4647A4"/>
    <w:rsid w:val="2E494294"/>
    <w:rsid w:val="2E67471B"/>
    <w:rsid w:val="2E682342"/>
    <w:rsid w:val="2E6D2F49"/>
    <w:rsid w:val="2E7F3812"/>
    <w:rsid w:val="2E8062C7"/>
    <w:rsid w:val="2E823302"/>
    <w:rsid w:val="2E861045"/>
    <w:rsid w:val="2E876B6B"/>
    <w:rsid w:val="2E960B5C"/>
    <w:rsid w:val="2E9A664C"/>
    <w:rsid w:val="2EA14510"/>
    <w:rsid w:val="2EA367EC"/>
    <w:rsid w:val="2EA66FF1"/>
    <w:rsid w:val="2EA92E79"/>
    <w:rsid w:val="2EAB2859"/>
    <w:rsid w:val="2EAF4ED6"/>
    <w:rsid w:val="2EB711FE"/>
    <w:rsid w:val="2EBF4557"/>
    <w:rsid w:val="2EC91E34"/>
    <w:rsid w:val="2EC97183"/>
    <w:rsid w:val="2ECB0AAA"/>
    <w:rsid w:val="2ECD0A22"/>
    <w:rsid w:val="2ECE479A"/>
    <w:rsid w:val="2ED522CB"/>
    <w:rsid w:val="2ED61FA6"/>
    <w:rsid w:val="2ED81174"/>
    <w:rsid w:val="2EE171F3"/>
    <w:rsid w:val="2EE6563F"/>
    <w:rsid w:val="2EE67D35"/>
    <w:rsid w:val="2EEB70FA"/>
    <w:rsid w:val="2EF43E97"/>
    <w:rsid w:val="2EF7784D"/>
    <w:rsid w:val="2F002809"/>
    <w:rsid w:val="2F065CE2"/>
    <w:rsid w:val="2F0957D2"/>
    <w:rsid w:val="2F0A0C8E"/>
    <w:rsid w:val="2F0F3FAF"/>
    <w:rsid w:val="2F10090E"/>
    <w:rsid w:val="2F104DB2"/>
    <w:rsid w:val="2F126434"/>
    <w:rsid w:val="2F1403FE"/>
    <w:rsid w:val="2F147CF7"/>
    <w:rsid w:val="2F1877C3"/>
    <w:rsid w:val="2F1A353B"/>
    <w:rsid w:val="2F1F0B51"/>
    <w:rsid w:val="2F1F5CBE"/>
    <w:rsid w:val="2F2B1D5A"/>
    <w:rsid w:val="2F36681B"/>
    <w:rsid w:val="2F3C1703"/>
    <w:rsid w:val="2F452CAE"/>
    <w:rsid w:val="2F452F68"/>
    <w:rsid w:val="2F4C5E70"/>
    <w:rsid w:val="2F4D3910"/>
    <w:rsid w:val="2F544C9F"/>
    <w:rsid w:val="2F57098B"/>
    <w:rsid w:val="2F5B602D"/>
    <w:rsid w:val="2F5E1645"/>
    <w:rsid w:val="2F5E78CC"/>
    <w:rsid w:val="2F6534D3"/>
    <w:rsid w:val="2F77015E"/>
    <w:rsid w:val="2F836E54"/>
    <w:rsid w:val="2F873BA9"/>
    <w:rsid w:val="2F8B61E7"/>
    <w:rsid w:val="2F8C268B"/>
    <w:rsid w:val="2F9652B7"/>
    <w:rsid w:val="2F972DDE"/>
    <w:rsid w:val="2F982F65"/>
    <w:rsid w:val="2F9B0B20"/>
    <w:rsid w:val="2F9E5F1A"/>
    <w:rsid w:val="2F9E7F46"/>
    <w:rsid w:val="2FA02228"/>
    <w:rsid w:val="2FA33530"/>
    <w:rsid w:val="2FA554FB"/>
    <w:rsid w:val="2FA86D99"/>
    <w:rsid w:val="2FAA48BF"/>
    <w:rsid w:val="2FAB0884"/>
    <w:rsid w:val="2FAC4ADB"/>
    <w:rsid w:val="2FAF6379"/>
    <w:rsid w:val="2FB35E69"/>
    <w:rsid w:val="2FBB629E"/>
    <w:rsid w:val="2FBB6ACC"/>
    <w:rsid w:val="2FBC1655"/>
    <w:rsid w:val="2FBC2844"/>
    <w:rsid w:val="2FC17E5A"/>
    <w:rsid w:val="2FC242FE"/>
    <w:rsid w:val="2FC56D5A"/>
    <w:rsid w:val="2FC8743B"/>
    <w:rsid w:val="2FCA6D0F"/>
    <w:rsid w:val="2FCB356C"/>
    <w:rsid w:val="2FCF2577"/>
    <w:rsid w:val="2FD37061"/>
    <w:rsid w:val="2FD86CE5"/>
    <w:rsid w:val="2FDB716E"/>
    <w:rsid w:val="2FF03BDF"/>
    <w:rsid w:val="2FF25B6C"/>
    <w:rsid w:val="2FFD0E93"/>
    <w:rsid w:val="30032221"/>
    <w:rsid w:val="30087837"/>
    <w:rsid w:val="300A7A53"/>
    <w:rsid w:val="301937F3"/>
    <w:rsid w:val="301A5EE8"/>
    <w:rsid w:val="301B756B"/>
    <w:rsid w:val="301C5F69"/>
    <w:rsid w:val="30202DD3"/>
    <w:rsid w:val="302E3742"/>
    <w:rsid w:val="30314FE0"/>
    <w:rsid w:val="30330D58"/>
    <w:rsid w:val="30334B55"/>
    <w:rsid w:val="303625F7"/>
    <w:rsid w:val="303845C1"/>
    <w:rsid w:val="30405223"/>
    <w:rsid w:val="30473135"/>
    <w:rsid w:val="304732FA"/>
    <w:rsid w:val="304B2E80"/>
    <w:rsid w:val="304F36B8"/>
    <w:rsid w:val="3050190A"/>
    <w:rsid w:val="30550CCF"/>
    <w:rsid w:val="30594ACC"/>
    <w:rsid w:val="305A70AA"/>
    <w:rsid w:val="305C2E53"/>
    <w:rsid w:val="305D2219"/>
    <w:rsid w:val="30633985"/>
    <w:rsid w:val="306C6018"/>
    <w:rsid w:val="30701324"/>
    <w:rsid w:val="307408EE"/>
    <w:rsid w:val="30760C45"/>
    <w:rsid w:val="307F1BDF"/>
    <w:rsid w:val="307F5D4C"/>
    <w:rsid w:val="307F78E2"/>
    <w:rsid w:val="3081343B"/>
    <w:rsid w:val="30846421"/>
    <w:rsid w:val="30874B7E"/>
    <w:rsid w:val="30894E1C"/>
    <w:rsid w:val="308A649E"/>
    <w:rsid w:val="309114DE"/>
    <w:rsid w:val="309335A5"/>
    <w:rsid w:val="309D02D8"/>
    <w:rsid w:val="30A12166"/>
    <w:rsid w:val="30A23F3F"/>
    <w:rsid w:val="30A43A04"/>
    <w:rsid w:val="30A457B2"/>
    <w:rsid w:val="30A905E3"/>
    <w:rsid w:val="30A9101A"/>
    <w:rsid w:val="30A97A76"/>
    <w:rsid w:val="30AA3279"/>
    <w:rsid w:val="30B04157"/>
    <w:rsid w:val="30B11C7D"/>
    <w:rsid w:val="30B5176D"/>
    <w:rsid w:val="30B579BF"/>
    <w:rsid w:val="30B874AF"/>
    <w:rsid w:val="30C044B7"/>
    <w:rsid w:val="30C145B6"/>
    <w:rsid w:val="30C61BCC"/>
    <w:rsid w:val="30C64696"/>
    <w:rsid w:val="30D62A4D"/>
    <w:rsid w:val="30D836AE"/>
    <w:rsid w:val="30DD2A72"/>
    <w:rsid w:val="30E107B4"/>
    <w:rsid w:val="30E3277E"/>
    <w:rsid w:val="30E67B79"/>
    <w:rsid w:val="30E9226C"/>
    <w:rsid w:val="30EB33E1"/>
    <w:rsid w:val="30F16368"/>
    <w:rsid w:val="30F524B2"/>
    <w:rsid w:val="310C2E74"/>
    <w:rsid w:val="310E70CF"/>
    <w:rsid w:val="3111148E"/>
    <w:rsid w:val="31181CFC"/>
    <w:rsid w:val="311A63BA"/>
    <w:rsid w:val="311D3D04"/>
    <w:rsid w:val="312349A8"/>
    <w:rsid w:val="31295CB7"/>
    <w:rsid w:val="312C0D1D"/>
    <w:rsid w:val="312D39F9"/>
    <w:rsid w:val="31336B36"/>
    <w:rsid w:val="3138414C"/>
    <w:rsid w:val="313C22FD"/>
    <w:rsid w:val="31475925"/>
    <w:rsid w:val="31480833"/>
    <w:rsid w:val="314D409C"/>
    <w:rsid w:val="314F1BC2"/>
    <w:rsid w:val="315471D8"/>
    <w:rsid w:val="3159147B"/>
    <w:rsid w:val="315C608D"/>
    <w:rsid w:val="31612F97"/>
    <w:rsid w:val="316338F1"/>
    <w:rsid w:val="31666F0B"/>
    <w:rsid w:val="31720214"/>
    <w:rsid w:val="317433D6"/>
    <w:rsid w:val="317609A8"/>
    <w:rsid w:val="31774C75"/>
    <w:rsid w:val="31794E91"/>
    <w:rsid w:val="317F1D7B"/>
    <w:rsid w:val="318074E9"/>
    <w:rsid w:val="31813D45"/>
    <w:rsid w:val="31837ABD"/>
    <w:rsid w:val="318850D4"/>
    <w:rsid w:val="318B24CE"/>
    <w:rsid w:val="318C2A43"/>
    <w:rsid w:val="318D46C1"/>
    <w:rsid w:val="318E35A9"/>
    <w:rsid w:val="31975317"/>
    <w:rsid w:val="31A16195"/>
    <w:rsid w:val="31A35A6A"/>
    <w:rsid w:val="31AF2660"/>
    <w:rsid w:val="31B0547C"/>
    <w:rsid w:val="31B20116"/>
    <w:rsid w:val="31B22151"/>
    <w:rsid w:val="31B934DF"/>
    <w:rsid w:val="31BB2DB3"/>
    <w:rsid w:val="31C3610C"/>
    <w:rsid w:val="31C53C32"/>
    <w:rsid w:val="31C679AA"/>
    <w:rsid w:val="31C81974"/>
    <w:rsid w:val="31D05B91"/>
    <w:rsid w:val="31D976DD"/>
    <w:rsid w:val="31DE6AA2"/>
    <w:rsid w:val="31E0281A"/>
    <w:rsid w:val="31E25EF9"/>
    <w:rsid w:val="31F664E1"/>
    <w:rsid w:val="31FB7654"/>
    <w:rsid w:val="320209E2"/>
    <w:rsid w:val="320656A2"/>
    <w:rsid w:val="320772E9"/>
    <w:rsid w:val="320B61F1"/>
    <w:rsid w:val="320D65A4"/>
    <w:rsid w:val="320F75A3"/>
    <w:rsid w:val="321610B2"/>
    <w:rsid w:val="321721DF"/>
    <w:rsid w:val="32186458"/>
    <w:rsid w:val="322272D6"/>
    <w:rsid w:val="32230959"/>
    <w:rsid w:val="32252923"/>
    <w:rsid w:val="322B09CE"/>
    <w:rsid w:val="322E5C7B"/>
    <w:rsid w:val="322F126E"/>
    <w:rsid w:val="32321DDA"/>
    <w:rsid w:val="323D6EC9"/>
    <w:rsid w:val="324050DD"/>
    <w:rsid w:val="32425283"/>
    <w:rsid w:val="32472899"/>
    <w:rsid w:val="32544FB6"/>
    <w:rsid w:val="325B6344"/>
    <w:rsid w:val="325E7BE3"/>
    <w:rsid w:val="326A2CFA"/>
    <w:rsid w:val="32713DBA"/>
    <w:rsid w:val="32747406"/>
    <w:rsid w:val="327D17AF"/>
    <w:rsid w:val="3287538B"/>
    <w:rsid w:val="328A3DB3"/>
    <w:rsid w:val="32912953"/>
    <w:rsid w:val="329A6E6D"/>
    <w:rsid w:val="329F4483"/>
    <w:rsid w:val="32A47CEB"/>
    <w:rsid w:val="32AA2E28"/>
    <w:rsid w:val="32AF628B"/>
    <w:rsid w:val="32C10836"/>
    <w:rsid w:val="32C71C2C"/>
    <w:rsid w:val="32D0096E"/>
    <w:rsid w:val="32D16607"/>
    <w:rsid w:val="32D3412D"/>
    <w:rsid w:val="32D87995"/>
    <w:rsid w:val="32DD144F"/>
    <w:rsid w:val="32EB4A9A"/>
    <w:rsid w:val="32EE0641"/>
    <w:rsid w:val="32F33022"/>
    <w:rsid w:val="32F50547"/>
    <w:rsid w:val="32F83B93"/>
    <w:rsid w:val="32FE2CD7"/>
    <w:rsid w:val="330865C8"/>
    <w:rsid w:val="33093FF2"/>
    <w:rsid w:val="33114C55"/>
    <w:rsid w:val="331210F9"/>
    <w:rsid w:val="33134E71"/>
    <w:rsid w:val="33137AD9"/>
    <w:rsid w:val="33150BE9"/>
    <w:rsid w:val="33174961"/>
    <w:rsid w:val="331A61FF"/>
    <w:rsid w:val="331D184C"/>
    <w:rsid w:val="331D7A9E"/>
    <w:rsid w:val="331F2E53"/>
    <w:rsid w:val="33287057"/>
    <w:rsid w:val="332B4462"/>
    <w:rsid w:val="333252F7"/>
    <w:rsid w:val="333429AC"/>
    <w:rsid w:val="33381756"/>
    <w:rsid w:val="333A41AC"/>
    <w:rsid w:val="33437504"/>
    <w:rsid w:val="33490893"/>
    <w:rsid w:val="334E5EA9"/>
    <w:rsid w:val="33501F4F"/>
    <w:rsid w:val="3350577D"/>
    <w:rsid w:val="33512084"/>
    <w:rsid w:val="335334BF"/>
    <w:rsid w:val="33543860"/>
    <w:rsid w:val="33557238"/>
    <w:rsid w:val="335C4122"/>
    <w:rsid w:val="336631F3"/>
    <w:rsid w:val="3376732F"/>
    <w:rsid w:val="33784CD4"/>
    <w:rsid w:val="33790079"/>
    <w:rsid w:val="337A6BD3"/>
    <w:rsid w:val="337A6C9E"/>
    <w:rsid w:val="337A751C"/>
    <w:rsid w:val="3381627F"/>
    <w:rsid w:val="33833CB3"/>
    <w:rsid w:val="338418CB"/>
    <w:rsid w:val="33863895"/>
    <w:rsid w:val="33884F17"/>
    <w:rsid w:val="338A5BF7"/>
    <w:rsid w:val="338F274A"/>
    <w:rsid w:val="3397351E"/>
    <w:rsid w:val="339A10EE"/>
    <w:rsid w:val="339A4C4A"/>
    <w:rsid w:val="339D48A3"/>
    <w:rsid w:val="33A2326F"/>
    <w:rsid w:val="33AB32FB"/>
    <w:rsid w:val="33B43F5E"/>
    <w:rsid w:val="33BA709B"/>
    <w:rsid w:val="33C148CD"/>
    <w:rsid w:val="33CD6DCE"/>
    <w:rsid w:val="33CE54C6"/>
    <w:rsid w:val="33DE0FDB"/>
    <w:rsid w:val="33E942A3"/>
    <w:rsid w:val="33EA7980"/>
    <w:rsid w:val="33F22CD8"/>
    <w:rsid w:val="33F43254"/>
    <w:rsid w:val="33F702EF"/>
    <w:rsid w:val="33F95BA3"/>
    <w:rsid w:val="33F97BC3"/>
    <w:rsid w:val="33FE167D"/>
    <w:rsid w:val="34014CC9"/>
    <w:rsid w:val="340622E0"/>
    <w:rsid w:val="340E4C27"/>
    <w:rsid w:val="340F0A54"/>
    <w:rsid w:val="34117602"/>
    <w:rsid w:val="34126ED7"/>
    <w:rsid w:val="341C1B03"/>
    <w:rsid w:val="341F50C6"/>
    <w:rsid w:val="3421711A"/>
    <w:rsid w:val="34303AF9"/>
    <w:rsid w:val="34311273"/>
    <w:rsid w:val="34313801"/>
    <w:rsid w:val="3434509F"/>
    <w:rsid w:val="34431811"/>
    <w:rsid w:val="34441786"/>
    <w:rsid w:val="34473024"/>
    <w:rsid w:val="34493188"/>
    <w:rsid w:val="344A041F"/>
    <w:rsid w:val="344C708C"/>
    <w:rsid w:val="345B087E"/>
    <w:rsid w:val="34607C42"/>
    <w:rsid w:val="34666A21"/>
    <w:rsid w:val="34670FD0"/>
    <w:rsid w:val="346B05EC"/>
    <w:rsid w:val="347100A1"/>
    <w:rsid w:val="34723A7F"/>
    <w:rsid w:val="3478472B"/>
    <w:rsid w:val="347A51A8"/>
    <w:rsid w:val="34833930"/>
    <w:rsid w:val="34842DE4"/>
    <w:rsid w:val="348968A1"/>
    <w:rsid w:val="34967B08"/>
    <w:rsid w:val="349E1D31"/>
    <w:rsid w:val="34A51AF9"/>
    <w:rsid w:val="34A904C7"/>
    <w:rsid w:val="34A9783B"/>
    <w:rsid w:val="34AA710F"/>
    <w:rsid w:val="34AE606B"/>
    <w:rsid w:val="34B41D3C"/>
    <w:rsid w:val="34B67FF5"/>
    <w:rsid w:val="34B90E63"/>
    <w:rsid w:val="34B955A4"/>
    <w:rsid w:val="34C77CC1"/>
    <w:rsid w:val="34C861EB"/>
    <w:rsid w:val="34CB44D4"/>
    <w:rsid w:val="34CC52D7"/>
    <w:rsid w:val="34CF61A8"/>
    <w:rsid w:val="34CF6B76"/>
    <w:rsid w:val="34D16D92"/>
    <w:rsid w:val="34D32B0A"/>
    <w:rsid w:val="34D66156"/>
    <w:rsid w:val="34D85F3A"/>
    <w:rsid w:val="34DA3E98"/>
    <w:rsid w:val="34DD5737"/>
    <w:rsid w:val="34DF2FE2"/>
    <w:rsid w:val="34E22D4D"/>
    <w:rsid w:val="34E46AC5"/>
    <w:rsid w:val="34E56399"/>
    <w:rsid w:val="34E73EBF"/>
    <w:rsid w:val="34EB1C02"/>
    <w:rsid w:val="34F11CC9"/>
    <w:rsid w:val="34FA3927"/>
    <w:rsid w:val="35044A71"/>
    <w:rsid w:val="350727B3"/>
    <w:rsid w:val="350D601C"/>
    <w:rsid w:val="351322D0"/>
    <w:rsid w:val="3518051D"/>
    <w:rsid w:val="351E01E0"/>
    <w:rsid w:val="351F7AFD"/>
    <w:rsid w:val="35262C3A"/>
    <w:rsid w:val="352944D8"/>
    <w:rsid w:val="352E5F92"/>
    <w:rsid w:val="35386E11"/>
    <w:rsid w:val="3543582D"/>
    <w:rsid w:val="354D0149"/>
    <w:rsid w:val="355A7499"/>
    <w:rsid w:val="355E0625"/>
    <w:rsid w:val="35600938"/>
    <w:rsid w:val="35610C3B"/>
    <w:rsid w:val="356279EA"/>
    <w:rsid w:val="35643762"/>
    <w:rsid w:val="356B2D42"/>
    <w:rsid w:val="356B4AF0"/>
    <w:rsid w:val="356C6E11"/>
    <w:rsid w:val="35702107"/>
    <w:rsid w:val="357065AB"/>
    <w:rsid w:val="35731BF7"/>
    <w:rsid w:val="357C6CFE"/>
    <w:rsid w:val="35831E3A"/>
    <w:rsid w:val="35887450"/>
    <w:rsid w:val="358A08C4"/>
    <w:rsid w:val="35956011"/>
    <w:rsid w:val="359C114E"/>
    <w:rsid w:val="359D0A22"/>
    <w:rsid w:val="35A85D44"/>
    <w:rsid w:val="35A973C7"/>
    <w:rsid w:val="35AC5CA7"/>
    <w:rsid w:val="35B44695"/>
    <w:rsid w:val="35B46690"/>
    <w:rsid w:val="35B538E8"/>
    <w:rsid w:val="35C10BB4"/>
    <w:rsid w:val="35C16E06"/>
    <w:rsid w:val="35C44201"/>
    <w:rsid w:val="35D07049"/>
    <w:rsid w:val="35D5640E"/>
    <w:rsid w:val="35E12FA1"/>
    <w:rsid w:val="35E13004"/>
    <w:rsid w:val="35E6701B"/>
    <w:rsid w:val="35E93C67"/>
    <w:rsid w:val="35ED7BFB"/>
    <w:rsid w:val="35F23A0D"/>
    <w:rsid w:val="35F4081D"/>
    <w:rsid w:val="35F5085E"/>
    <w:rsid w:val="35FA7C22"/>
    <w:rsid w:val="35FE5B0C"/>
    <w:rsid w:val="36062A6B"/>
    <w:rsid w:val="360A4309"/>
    <w:rsid w:val="36127662"/>
    <w:rsid w:val="361909F0"/>
    <w:rsid w:val="361B02C4"/>
    <w:rsid w:val="36211653"/>
    <w:rsid w:val="3628478F"/>
    <w:rsid w:val="36321323"/>
    <w:rsid w:val="36344BD7"/>
    <w:rsid w:val="36413AA3"/>
    <w:rsid w:val="36421CF5"/>
    <w:rsid w:val="3645110F"/>
    <w:rsid w:val="364B7538"/>
    <w:rsid w:val="3652180C"/>
    <w:rsid w:val="36525CB0"/>
    <w:rsid w:val="36590DED"/>
    <w:rsid w:val="365929CF"/>
    <w:rsid w:val="36625EF3"/>
    <w:rsid w:val="366307E3"/>
    <w:rsid w:val="36637EBD"/>
    <w:rsid w:val="36661B5F"/>
    <w:rsid w:val="366854D4"/>
    <w:rsid w:val="366F23BE"/>
    <w:rsid w:val="36743E79"/>
    <w:rsid w:val="36754241"/>
    <w:rsid w:val="367E60DF"/>
    <w:rsid w:val="36857E34"/>
    <w:rsid w:val="36897924"/>
    <w:rsid w:val="368C2F70"/>
    <w:rsid w:val="369E4A52"/>
    <w:rsid w:val="36A209E6"/>
    <w:rsid w:val="36AC716F"/>
    <w:rsid w:val="36AD2EE7"/>
    <w:rsid w:val="36B711C4"/>
    <w:rsid w:val="36B95020"/>
    <w:rsid w:val="36BA5D2F"/>
    <w:rsid w:val="36CA5847"/>
    <w:rsid w:val="36CB1B44"/>
    <w:rsid w:val="36CD7A02"/>
    <w:rsid w:val="36D36DF1"/>
    <w:rsid w:val="36D6068F"/>
    <w:rsid w:val="36D84407"/>
    <w:rsid w:val="36DF7544"/>
    <w:rsid w:val="36E7289C"/>
    <w:rsid w:val="36E763F9"/>
    <w:rsid w:val="36EA5EE9"/>
    <w:rsid w:val="36EE59D9"/>
    <w:rsid w:val="36F5685E"/>
    <w:rsid w:val="36FF7BE6"/>
    <w:rsid w:val="370A0339"/>
    <w:rsid w:val="37103BA1"/>
    <w:rsid w:val="371511B8"/>
    <w:rsid w:val="371D2599"/>
    <w:rsid w:val="371E7C57"/>
    <w:rsid w:val="37215DAE"/>
    <w:rsid w:val="37260FD5"/>
    <w:rsid w:val="372B2789"/>
    <w:rsid w:val="372E4027"/>
    <w:rsid w:val="37362EDC"/>
    <w:rsid w:val="373830F8"/>
    <w:rsid w:val="37384EA6"/>
    <w:rsid w:val="37396965"/>
    <w:rsid w:val="37465815"/>
    <w:rsid w:val="374F144B"/>
    <w:rsid w:val="37503F9E"/>
    <w:rsid w:val="37517D16"/>
    <w:rsid w:val="37555A58"/>
    <w:rsid w:val="376828FD"/>
    <w:rsid w:val="376B527C"/>
    <w:rsid w:val="3781684D"/>
    <w:rsid w:val="378400EB"/>
    <w:rsid w:val="37893954"/>
    <w:rsid w:val="378B3002"/>
    <w:rsid w:val="378B76CC"/>
    <w:rsid w:val="3793032E"/>
    <w:rsid w:val="3795143D"/>
    <w:rsid w:val="37976071"/>
    <w:rsid w:val="379876F3"/>
    <w:rsid w:val="37A3652C"/>
    <w:rsid w:val="37A7477F"/>
    <w:rsid w:val="37A771A2"/>
    <w:rsid w:val="37A83DDA"/>
    <w:rsid w:val="37B502A5"/>
    <w:rsid w:val="37B74E9C"/>
    <w:rsid w:val="37B81B43"/>
    <w:rsid w:val="37B87D95"/>
    <w:rsid w:val="37C30C14"/>
    <w:rsid w:val="37C93D50"/>
    <w:rsid w:val="37CB1876"/>
    <w:rsid w:val="37D42E21"/>
    <w:rsid w:val="37D631F9"/>
    <w:rsid w:val="37D85515"/>
    <w:rsid w:val="37DF5322"/>
    <w:rsid w:val="37E172EC"/>
    <w:rsid w:val="37E8067A"/>
    <w:rsid w:val="37EE469F"/>
    <w:rsid w:val="37F60FE9"/>
    <w:rsid w:val="37F94635"/>
    <w:rsid w:val="37FA1204"/>
    <w:rsid w:val="38046C3D"/>
    <w:rsid w:val="3807783E"/>
    <w:rsid w:val="380A6843"/>
    <w:rsid w:val="380A7A04"/>
    <w:rsid w:val="380D00E1"/>
    <w:rsid w:val="3810372D"/>
    <w:rsid w:val="38123949"/>
    <w:rsid w:val="3816748C"/>
    <w:rsid w:val="3827605C"/>
    <w:rsid w:val="38281377"/>
    <w:rsid w:val="38284F1B"/>
    <w:rsid w:val="382A1331"/>
    <w:rsid w:val="382B67B9"/>
    <w:rsid w:val="382D2531"/>
    <w:rsid w:val="38312021"/>
    <w:rsid w:val="3834566E"/>
    <w:rsid w:val="3837515E"/>
    <w:rsid w:val="3845787B"/>
    <w:rsid w:val="38471845"/>
    <w:rsid w:val="384D4981"/>
    <w:rsid w:val="385458E0"/>
    <w:rsid w:val="38564DA4"/>
    <w:rsid w:val="3857135C"/>
    <w:rsid w:val="385C4BC4"/>
    <w:rsid w:val="38606463"/>
    <w:rsid w:val="386817BB"/>
    <w:rsid w:val="386D3A0F"/>
    <w:rsid w:val="38752F40"/>
    <w:rsid w:val="387C7014"/>
    <w:rsid w:val="38806B05"/>
    <w:rsid w:val="388179A5"/>
    <w:rsid w:val="388A7983"/>
    <w:rsid w:val="388F0AF6"/>
    <w:rsid w:val="389337BE"/>
    <w:rsid w:val="38944D46"/>
    <w:rsid w:val="38966328"/>
    <w:rsid w:val="38983E4E"/>
    <w:rsid w:val="38A02D03"/>
    <w:rsid w:val="38A071A7"/>
    <w:rsid w:val="38A24CCD"/>
    <w:rsid w:val="38A345A1"/>
    <w:rsid w:val="38A722E3"/>
    <w:rsid w:val="38A859C8"/>
    <w:rsid w:val="38AA04EC"/>
    <w:rsid w:val="38AD71CE"/>
    <w:rsid w:val="38B90269"/>
    <w:rsid w:val="38BF587F"/>
    <w:rsid w:val="38C474F4"/>
    <w:rsid w:val="38CC3AF8"/>
    <w:rsid w:val="38CD7870"/>
    <w:rsid w:val="38D3668F"/>
    <w:rsid w:val="38D957AB"/>
    <w:rsid w:val="38D97FC3"/>
    <w:rsid w:val="38EC7CF6"/>
    <w:rsid w:val="38ED17A2"/>
    <w:rsid w:val="38EE1CC0"/>
    <w:rsid w:val="38F372D7"/>
    <w:rsid w:val="38F87A81"/>
    <w:rsid w:val="38FF39F5"/>
    <w:rsid w:val="39011E16"/>
    <w:rsid w:val="39074B30"/>
    <w:rsid w:val="390A2872"/>
    <w:rsid w:val="39167469"/>
    <w:rsid w:val="39180AEB"/>
    <w:rsid w:val="39205BF2"/>
    <w:rsid w:val="39243934"/>
    <w:rsid w:val="39253208"/>
    <w:rsid w:val="393578EF"/>
    <w:rsid w:val="393E0217"/>
    <w:rsid w:val="3945176F"/>
    <w:rsid w:val="39475874"/>
    <w:rsid w:val="394A3FA6"/>
    <w:rsid w:val="394E09B1"/>
    <w:rsid w:val="39504729"/>
    <w:rsid w:val="3954558D"/>
    <w:rsid w:val="39627FB8"/>
    <w:rsid w:val="39663F4D"/>
    <w:rsid w:val="39667FBD"/>
    <w:rsid w:val="39696FD5"/>
    <w:rsid w:val="396E2E01"/>
    <w:rsid w:val="397228F1"/>
    <w:rsid w:val="39730417"/>
    <w:rsid w:val="39736669"/>
    <w:rsid w:val="39737E0D"/>
    <w:rsid w:val="397C24FD"/>
    <w:rsid w:val="397D3044"/>
    <w:rsid w:val="397F500E"/>
    <w:rsid w:val="398E34A3"/>
    <w:rsid w:val="398E5251"/>
    <w:rsid w:val="39900FC9"/>
    <w:rsid w:val="39904B26"/>
    <w:rsid w:val="3995038E"/>
    <w:rsid w:val="399F4E45"/>
    <w:rsid w:val="399F745E"/>
    <w:rsid w:val="39A64349"/>
    <w:rsid w:val="39AB5E03"/>
    <w:rsid w:val="39AE7B43"/>
    <w:rsid w:val="39B114B9"/>
    <w:rsid w:val="39B52A0B"/>
    <w:rsid w:val="39B8407C"/>
    <w:rsid w:val="39BA7DF4"/>
    <w:rsid w:val="39C72511"/>
    <w:rsid w:val="39C96289"/>
    <w:rsid w:val="39CB7802"/>
    <w:rsid w:val="39CC2DEE"/>
    <w:rsid w:val="39D709A6"/>
    <w:rsid w:val="39D76BF8"/>
    <w:rsid w:val="39DE7F87"/>
    <w:rsid w:val="39E60BE9"/>
    <w:rsid w:val="39ED7848"/>
    <w:rsid w:val="39F25508"/>
    <w:rsid w:val="39F257E0"/>
    <w:rsid w:val="39F46A0E"/>
    <w:rsid w:val="39F7538F"/>
    <w:rsid w:val="3A0E0140"/>
    <w:rsid w:val="3A0F498B"/>
    <w:rsid w:val="3A103EB8"/>
    <w:rsid w:val="3A160918"/>
    <w:rsid w:val="3A1E0383"/>
    <w:rsid w:val="3A202DA0"/>
    <w:rsid w:val="3A281202"/>
    <w:rsid w:val="3A2E433E"/>
    <w:rsid w:val="3A345DF9"/>
    <w:rsid w:val="3A347BA7"/>
    <w:rsid w:val="3A3E27D3"/>
    <w:rsid w:val="3A437DEA"/>
    <w:rsid w:val="3A4818A4"/>
    <w:rsid w:val="3A4A561C"/>
    <w:rsid w:val="3A4A73CA"/>
    <w:rsid w:val="3A4B3142"/>
    <w:rsid w:val="3A4D6C10"/>
    <w:rsid w:val="3A4E5ED7"/>
    <w:rsid w:val="3A516973"/>
    <w:rsid w:val="3A52627F"/>
    <w:rsid w:val="3A573895"/>
    <w:rsid w:val="3A59760D"/>
    <w:rsid w:val="3A5C7794"/>
    <w:rsid w:val="3A5D3099"/>
    <w:rsid w:val="3A63048C"/>
    <w:rsid w:val="3A6366DE"/>
    <w:rsid w:val="3A687850"/>
    <w:rsid w:val="3A6D30B9"/>
    <w:rsid w:val="3A762867"/>
    <w:rsid w:val="3A775CE5"/>
    <w:rsid w:val="3A781D24"/>
    <w:rsid w:val="3A7C154E"/>
    <w:rsid w:val="3A8B353F"/>
    <w:rsid w:val="3A8F00FA"/>
    <w:rsid w:val="3A900B55"/>
    <w:rsid w:val="3A9248CD"/>
    <w:rsid w:val="3A946897"/>
    <w:rsid w:val="3A9643BE"/>
    <w:rsid w:val="3A9B19D4"/>
    <w:rsid w:val="3A9B45AD"/>
    <w:rsid w:val="3AA0348E"/>
    <w:rsid w:val="3AA52853"/>
    <w:rsid w:val="3AA94AF9"/>
    <w:rsid w:val="3AAA60BB"/>
    <w:rsid w:val="3AAF1923"/>
    <w:rsid w:val="3AAF36D1"/>
    <w:rsid w:val="3AAF547F"/>
    <w:rsid w:val="3AB26D1E"/>
    <w:rsid w:val="3AB40CE8"/>
    <w:rsid w:val="3AB64A60"/>
    <w:rsid w:val="3ABB659B"/>
    <w:rsid w:val="3AC3717D"/>
    <w:rsid w:val="3AD14FE6"/>
    <w:rsid w:val="3AD2116E"/>
    <w:rsid w:val="3AD66EB0"/>
    <w:rsid w:val="3AD969A0"/>
    <w:rsid w:val="3ADE7B13"/>
    <w:rsid w:val="3AE07D2F"/>
    <w:rsid w:val="3AE50EA1"/>
    <w:rsid w:val="3AE863F7"/>
    <w:rsid w:val="3AEE41FA"/>
    <w:rsid w:val="3AEF03E6"/>
    <w:rsid w:val="3AEF7F72"/>
    <w:rsid w:val="3AF23FE5"/>
    <w:rsid w:val="3AF9494C"/>
    <w:rsid w:val="3AFB06C4"/>
    <w:rsid w:val="3AFE01B5"/>
    <w:rsid w:val="3B037846"/>
    <w:rsid w:val="3B043A1D"/>
    <w:rsid w:val="3B102981"/>
    <w:rsid w:val="3B133C60"/>
    <w:rsid w:val="3B141786"/>
    <w:rsid w:val="3B1A334D"/>
    <w:rsid w:val="3B1B329B"/>
    <w:rsid w:val="3B1D4ADF"/>
    <w:rsid w:val="3B2319C9"/>
    <w:rsid w:val="3B2714BA"/>
    <w:rsid w:val="3B304812"/>
    <w:rsid w:val="3B351E28"/>
    <w:rsid w:val="3B3D5CC7"/>
    <w:rsid w:val="3B3F2CA7"/>
    <w:rsid w:val="3B400C3A"/>
    <w:rsid w:val="3B4E4C98"/>
    <w:rsid w:val="3B511953"/>
    <w:rsid w:val="3B516536"/>
    <w:rsid w:val="3B53405D"/>
    <w:rsid w:val="3B5F01BD"/>
    <w:rsid w:val="3B6162CB"/>
    <w:rsid w:val="3B6224F2"/>
    <w:rsid w:val="3B633D30"/>
    <w:rsid w:val="3B645349"/>
    <w:rsid w:val="3B673FAC"/>
    <w:rsid w:val="3B675D5A"/>
    <w:rsid w:val="3B710EC4"/>
    <w:rsid w:val="3B781D15"/>
    <w:rsid w:val="3B7A783B"/>
    <w:rsid w:val="3B7B0376"/>
    <w:rsid w:val="3B81506E"/>
    <w:rsid w:val="3B8E784F"/>
    <w:rsid w:val="3B954675"/>
    <w:rsid w:val="3B985F13"/>
    <w:rsid w:val="3B9B5A04"/>
    <w:rsid w:val="3B9D4A56"/>
    <w:rsid w:val="3BA50D6D"/>
    <w:rsid w:val="3BA518E9"/>
    <w:rsid w:val="3BA945C4"/>
    <w:rsid w:val="3BAC5E63"/>
    <w:rsid w:val="3BB431C5"/>
    <w:rsid w:val="3BB80364"/>
    <w:rsid w:val="3BB865B6"/>
    <w:rsid w:val="3BBB1019"/>
    <w:rsid w:val="3BBC549B"/>
    <w:rsid w:val="3BC46D10"/>
    <w:rsid w:val="3BC66F24"/>
    <w:rsid w:val="3BD333EF"/>
    <w:rsid w:val="3BD3519D"/>
    <w:rsid w:val="3BDA29D0"/>
    <w:rsid w:val="3BE15B0C"/>
    <w:rsid w:val="3BE405A6"/>
    <w:rsid w:val="3BE455FD"/>
    <w:rsid w:val="3BEC3710"/>
    <w:rsid w:val="3BEE0229"/>
    <w:rsid w:val="3BF03FA1"/>
    <w:rsid w:val="3BFA4E20"/>
    <w:rsid w:val="3BFC46F4"/>
    <w:rsid w:val="3BFC64A2"/>
    <w:rsid w:val="3C033CD5"/>
    <w:rsid w:val="3C0A2738"/>
    <w:rsid w:val="3C0B0DDB"/>
    <w:rsid w:val="3C0E2679"/>
    <w:rsid w:val="3C112AF5"/>
    <w:rsid w:val="3C14137D"/>
    <w:rsid w:val="3C1F4887"/>
    <w:rsid w:val="3C221C81"/>
    <w:rsid w:val="3C265C15"/>
    <w:rsid w:val="3C326368"/>
    <w:rsid w:val="3C3E2F5F"/>
    <w:rsid w:val="3C454E83"/>
    <w:rsid w:val="3C506122"/>
    <w:rsid w:val="3C526A0A"/>
    <w:rsid w:val="3C5A4785"/>
    <w:rsid w:val="3C5C2972"/>
    <w:rsid w:val="3C5D26C1"/>
    <w:rsid w:val="3C5F6A31"/>
    <w:rsid w:val="3C636521"/>
    <w:rsid w:val="3C652927"/>
    <w:rsid w:val="3C666012"/>
    <w:rsid w:val="3C681D8A"/>
    <w:rsid w:val="3C700C3E"/>
    <w:rsid w:val="3C771FCD"/>
    <w:rsid w:val="3C7A1ABD"/>
    <w:rsid w:val="3C7A4DFC"/>
    <w:rsid w:val="3C7F70D3"/>
    <w:rsid w:val="3C812E4B"/>
    <w:rsid w:val="3C814BF9"/>
    <w:rsid w:val="3C884F23"/>
    <w:rsid w:val="3C8B3CCA"/>
    <w:rsid w:val="3C8B5A78"/>
    <w:rsid w:val="3C8F37BA"/>
    <w:rsid w:val="3C944744"/>
    <w:rsid w:val="3C94492D"/>
    <w:rsid w:val="3C952CA7"/>
    <w:rsid w:val="3C9B3F0D"/>
    <w:rsid w:val="3C9C5ED7"/>
    <w:rsid w:val="3CAB7EC8"/>
    <w:rsid w:val="3CB72D11"/>
    <w:rsid w:val="3CBD6A6C"/>
    <w:rsid w:val="3CBE19AA"/>
    <w:rsid w:val="3CC52D38"/>
    <w:rsid w:val="3CCC056A"/>
    <w:rsid w:val="3CCD7E3F"/>
    <w:rsid w:val="3CCF3BB7"/>
    <w:rsid w:val="3CD15B81"/>
    <w:rsid w:val="3CD4741F"/>
    <w:rsid w:val="3CDB07AE"/>
    <w:rsid w:val="3CDF541A"/>
    <w:rsid w:val="3CE05BBB"/>
    <w:rsid w:val="3CE31410"/>
    <w:rsid w:val="3CE64969"/>
    <w:rsid w:val="3CE8111C"/>
    <w:rsid w:val="3CE97620"/>
    <w:rsid w:val="3CF4361D"/>
    <w:rsid w:val="3CFB0E50"/>
    <w:rsid w:val="3CFB6F82"/>
    <w:rsid w:val="3D136199"/>
    <w:rsid w:val="3D197528"/>
    <w:rsid w:val="3D1D4B08"/>
    <w:rsid w:val="3D1E68EC"/>
    <w:rsid w:val="3D2739F3"/>
    <w:rsid w:val="3D346110"/>
    <w:rsid w:val="3D3B2FFA"/>
    <w:rsid w:val="3D3C1A85"/>
    <w:rsid w:val="3D402D06"/>
    <w:rsid w:val="3D42082D"/>
    <w:rsid w:val="3D4225DB"/>
    <w:rsid w:val="3D4331CF"/>
    <w:rsid w:val="3D474095"/>
    <w:rsid w:val="3D4B7774"/>
    <w:rsid w:val="3D4F4CF8"/>
    <w:rsid w:val="3D5022C6"/>
    <w:rsid w:val="3D532A3A"/>
    <w:rsid w:val="3D5440BC"/>
    <w:rsid w:val="3D5A265A"/>
    <w:rsid w:val="3D5D7415"/>
    <w:rsid w:val="3D670293"/>
    <w:rsid w:val="3D694C63"/>
    <w:rsid w:val="3D7C7220"/>
    <w:rsid w:val="3D83648B"/>
    <w:rsid w:val="3D8D74B5"/>
    <w:rsid w:val="3D9238A8"/>
    <w:rsid w:val="3D931088"/>
    <w:rsid w:val="3D9E51E8"/>
    <w:rsid w:val="3DA23079"/>
    <w:rsid w:val="3DA43295"/>
    <w:rsid w:val="3DA83401"/>
    <w:rsid w:val="3DAB4624"/>
    <w:rsid w:val="3DB30706"/>
    <w:rsid w:val="3DB662F9"/>
    <w:rsid w:val="3DB934C3"/>
    <w:rsid w:val="3DBF4698"/>
    <w:rsid w:val="3DC12D0A"/>
    <w:rsid w:val="3DC94EB9"/>
    <w:rsid w:val="3DC96858"/>
    <w:rsid w:val="3DCE3E6E"/>
    <w:rsid w:val="3DD31485"/>
    <w:rsid w:val="3DD353F0"/>
    <w:rsid w:val="3DD75419"/>
    <w:rsid w:val="3DD86A9B"/>
    <w:rsid w:val="3DDA0A65"/>
    <w:rsid w:val="3DE10046"/>
    <w:rsid w:val="3DE25B6C"/>
    <w:rsid w:val="3DE360A4"/>
    <w:rsid w:val="3DE6565C"/>
    <w:rsid w:val="3DE73182"/>
    <w:rsid w:val="3DE8490B"/>
    <w:rsid w:val="3DE9514C"/>
    <w:rsid w:val="3DEE2762"/>
    <w:rsid w:val="3DF24001"/>
    <w:rsid w:val="3DF93EE2"/>
    <w:rsid w:val="3DFA4C63"/>
    <w:rsid w:val="3DFF227A"/>
    <w:rsid w:val="3E0211DB"/>
    <w:rsid w:val="3E0368E3"/>
    <w:rsid w:val="3E043D34"/>
    <w:rsid w:val="3E043F4D"/>
    <w:rsid w:val="3E045AE2"/>
    <w:rsid w:val="3E047890"/>
    <w:rsid w:val="3E09759C"/>
    <w:rsid w:val="3E0E070F"/>
    <w:rsid w:val="3E19462D"/>
    <w:rsid w:val="3E1C5433"/>
    <w:rsid w:val="3E1F46CA"/>
    <w:rsid w:val="3E2160A1"/>
    <w:rsid w:val="3E285C74"/>
    <w:rsid w:val="3E295549"/>
    <w:rsid w:val="3E2B306F"/>
    <w:rsid w:val="3E2B70F8"/>
    <w:rsid w:val="3E331E41"/>
    <w:rsid w:val="3E38578C"/>
    <w:rsid w:val="3E3A1504"/>
    <w:rsid w:val="3E3C2092"/>
    <w:rsid w:val="3E3D2DA2"/>
    <w:rsid w:val="3E416033"/>
    <w:rsid w:val="3E432AAE"/>
    <w:rsid w:val="3E4800C5"/>
    <w:rsid w:val="3E4B3711"/>
    <w:rsid w:val="3E4B54BF"/>
    <w:rsid w:val="3E4D56DB"/>
    <w:rsid w:val="3E4E4FAF"/>
    <w:rsid w:val="3E5A5F68"/>
    <w:rsid w:val="3E6447D3"/>
    <w:rsid w:val="3E6E73FF"/>
    <w:rsid w:val="3E6F5651"/>
    <w:rsid w:val="3E7313DF"/>
    <w:rsid w:val="3E7E5894"/>
    <w:rsid w:val="3E886713"/>
    <w:rsid w:val="3E894239"/>
    <w:rsid w:val="3E895FE7"/>
    <w:rsid w:val="3E94330A"/>
    <w:rsid w:val="3E95713F"/>
    <w:rsid w:val="3E9926CE"/>
    <w:rsid w:val="3E9A01F4"/>
    <w:rsid w:val="3E9A0313"/>
    <w:rsid w:val="3E9A0A99"/>
    <w:rsid w:val="3E9E1A93"/>
    <w:rsid w:val="3EA02EC1"/>
    <w:rsid w:val="3EA3354D"/>
    <w:rsid w:val="3EA572C5"/>
    <w:rsid w:val="3EA82911"/>
    <w:rsid w:val="3EAA309E"/>
    <w:rsid w:val="3EAA48DB"/>
    <w:rsid w:val="3EAB0654"/>
    <w:rsid w:val="3EAB4E5B"/>
    <w:rsid w:val="3EB66610"/>
    <w:rsid w:val="3EB70DA6"/>
    <w:rsid w:val="3EB72B91"/>
    <w:rsid w:val="3EB76FF8"/>
    <w:rsid w:val="3EBD46BE"/>
    <w:rsid w:val="3EBF1A09"/>
    <w:rsid w:val="3EC040FF"/>
    <w:rsid w:val="3EC05EAD"/>
    <w:rsid w:val="3EC65000"/>
    <w:rsid w:val="3EC6688D"/>
    <w:rsid w:val="3ECD34FD"/>
    <w:rsid w:val="3ED23E32"/>
    <w:rsid w:val="3EDA6843"/>
    <w:rsid w:val="3EDC25BB"/>
    <w:rsid w:val="3EDC6A5F"/>
    <w:rsid w:val="3EDF3E59"/>
    <w:rsid w:val="3EE63801"/>
    <w:rsid w:val="3EEF22EE"/>
    <w:rsid w:val="3EF1250A"/>
    <w:rsid w:val="3EF80101"/>
    <w:rsid w:val="3F02441F"/>
    <w:rsid w:val="3F067638"/>
    <w:rsid w:val="3F0D4E6A"/>
    <w:rsid w:val="3F0F0BE2"/>
    <w:rsid w:val="3F0F2990"/>
    <w:rsid w:val="3F13479C"/>
    <w:rsid w:val="3F165ACD"/>
    <w:rsid w:val="3F177A97"/>
    <w:rsid w:val="3F19380F"/>
    <w:rsid w:val="3F1C50AD"/>
    <w:rsid w:val="3F20694C"/>
    <w:rsid w:val="3F214472"/>
    <w:rsid w:val="3F2226C4"/>
    <w:rsid w:val="3F2301EA"/>
    <w:rsid w:val="3F2D1069"/>
    <w:rsid w:val="3F32667F"/>
    <w:rsid w:val="3F3B5533"/>
    <w:rsid w:val="3F401D03"/>
    <w:rsid w:val="3F487C50"/>
    <w:rsid w:val="3F4A39C9"/>
    <w:rsid w:val="3F5A279E"/>
    <w:rsid w:val="3F5E5951"/>
    <w:rsid w:val="3F5F5C03"/>
    <w:rsid w:val="3F6727CC"/>
    <w:rsid w:val="3F67457A"/>
    <w:rsid w:val="3F6A406B"/>
    <w:rsid w:val="3F6C393F"/>
    <w:rsid w:val="3F6E5909"/>
    <w:rsid w:val="3F710F55"/>
    <w:rsid w:val="3F732F1F"/>
    <w:rsid w:val="3F762A0F"/>
    <w:rsid w:val="3F79605C"/>
    <w:rsid w:val="3F7E18C4"/>
    <w:rsid w:val="3F80563C"/>
    <w:rsid w:val="3F8E1B07"/>
    <w:rsid w:val="3F9A5609"/>
    <w:rsid w:val="3F9D7F9C"/>
    <w:rsid w:val="3FA27361"/>
    <w:rsid w:val="3FA532F5"/>
    <w:rsid w:val="3FA7706D"/>
    <w:rsid w:val="3FA806EF"/>
    <w:rsid w:val="3FB3156E"/>
    <w:rsid w:val="3FB5178A"/>
    <w:rsid w:val="3FB928FC"/>
    <w:rsid w:val="3FBA65C3"/>
    <w:rsid w:val="3FC76DC7"/>
    <w:rsid w:val="3FD414E4"/>
    <w:rsid w:val="3FD55988"/>
    <w:rsid w:val="3FE21E53"/>
    <w:rsid w:val="3FEA0D08"/>
    <w:rsid w:val="3FF027C2"/>
    <w:rsid w:val="3FF102E8"/>
    <w:rsid w:val="3FFA53EF"/>
    <w:rsid w:val="3FFF0C57"/>
    <w:rsid w:val="40073668"/>
    <w:rsid w:val="400860F2"/>
    <w:rsid w:val="40093884"/>
    <w:rsid w:val="400B3176"/>
    <w:rsid w:val="400C0C7E"/>
    <w:rsid w:val="40116B07"/>
    <w:rsid w:val="40172766"/>
    <w:rsid w:val="40185875"/>
    <w:rsid w:val="402266F3"/>
    <w:rsid w:val="402802E6"/>
    <w:rsid w:val="4037219F"/>
    <w:rsid w:val="403B1563"/>
    <w:rsid w:val="404448BC"/>
    <w:rsid w:val="404B79F8"/>
    <w:rsid w:val="404E74E8"/>
    <w:rsid w:val="405A7C3B"/>
    <w:rsid w:val="405D26E7"/>
    <w:rsid w:val="405F34A4"/>
    <w:rsid w:val="4061546E"/>
    <w:rsid w:val="40694322"/>
    <w:rsid w:val="406B1E48"/>
    <w:rsid w:val="406B3BF6"/>
    <w:rsid w:val="407050F1"/>
    <w:rsid w:val="40721429"/>
    <w:rsid w:val="407451A1"/>
    <w:rsid w:val="407D392A"/>
    <w:rsid w:val="4081341A"/>
    <w:rsid w:val="40955117"/>
    <w:rsid w:val="409F1AF2"/>
    <w:rsid w:val="409F5F96"/>
    <w:rsid w:val="40A62E81"/>
    <w:rsid w:val="40A8309D"/>
    <w:rsid w:val="40A86BF9"/>
    <w:rsid w:val="40AD420F"/>
    <w:rsid w:val="40B21825"/>
    <w:rsid w:val="40BB38DD"/>
    <w:rsid w:val="40BC4452"/>
    <w:rsid w:val="40C77C97"/>
    <w:rsid w:val="40C8729B"/>
    <w:rsid w:val="40CF55A2"/>
    <w:rsid w:val="40D20119"/>
    <w:rsid w:val="40D53766"/>
    <w:rsid w:val="40D72FB1"/>
    <w:rsid w:val="40D8699D"/>
    <w:rsid w:val="40DA6FCE"/>
    <w:rsid w:val="40E26B54"/>
    <w:rsid w:val="40E37C31"/>
    <w:rsid w:val="40E90FBF"/>
    <w:rsid w:val="40EA5463"/>
    <w:rsid w:val="40ED2526"/>
    <w:rsid w:val="40EE65D6"/>
    <w:rsid w:val="40F4263F"/>
    <w:rsid w:val="40F938F8"/>
    <w:rsid w:val="40FC6F44"/>
    <w:rsid w:val="4101455B"/>
    <w:rsid w:val="41032081"/>
    <w:rsid w:val="410A07A5"/>
    <w:rsid w:val="41135982"/>
    <w:rsid w:val="41166258"/>
    <w:rsid w:val="41230975"/>
    <w:rsid w:val="412A3AB2"/>
    <w:rsid w:val="412E12E8"/>
    <w:rsid w:val="412F2E76"/>
    <w:rsid w:val="41306BEE"/>
    <w:rsid w:val="41377F7D"/>
    <w:rsid w:val="414A7CB0"/>
    <w:rsid w:val="4153125A"/>
    <w:rsid w:val="415428DD"/>
    <w:rsid w:val="415B010F"/>
    <w:rsid w:val="415C79E3"/>
    <w:rsid w:val="415D5357"/>
    <w:rsid w:val="415E7BFF"/>
    <w:rsid w:val="41614FF9"/>
    <w:rsid w:val="41653C86"/>
    <w:rsid w:val="4168282C"/>
    <w:rsid w:val="41686388"/>
    <w:rsid w:val="416C231C"/>
    <w:rsid w:val="416F7716"/>
    <w:rsid w:val="41706B70"/>
    <w:rsid w:val="41717932"/>
    <w:rsid w:val="41735459"/>
    <w:rsid w:val="417E7959"/>
    <w:rsid w:val="418307B3"/>
    <w:rsid w:val="4187580D"/>
    <w:rsid w:val="41886A2A"/>
    <w:rsid w:val="41894C7C"/>
    <w:rsid w:val="41923405"/>
    <w:rsid w:val="419378A9"/>
    <w:rsid w:val="41994793"/>
    <w:rsid w:val="419B3797"/>
    <w:rsid w:val="419D0727"/>
    <w:rsid w:val="419D4283"/>
    <w:rsid w:val="41A05B22"/>
    <w:rsid w:val="41A50F7B"/>
    <w:rsid w:val="41A82C28"/>
    <w:rsid w:val="41AC096A"/>
    <w:rsid w:val="41AF3FB7"/>
    <w:rsid w:val="41B617E9"/>
    <w:rsid w:val="41C37A62"/>
    <w:rsid w:val="41CC6917"/>
    <w:rsid w:val="41DB0379"/>
    <w:rsid w:val="41DB7243"/>
    <w:rsid w:val="41E81277"/>
    <w:rsid w:val="41E9571B"/>
    <w:rsid w:val="41F12A49"/>
    <w:rsid w:val="41F1637D"/>
    <w:rsid w:val="41F2680C"/>
    <w:rsid w:val="41F27582"/>
    <w:rsid w:val="41F93E1D"/>
    <w:rsid w:val="41FC384A"/>
    <w:rsid w:val="41FC508C"/>
    <w:rsid w:val="41FF65C1"/>
    <w:rsid w:val="41FF6CEC"/>
    <w:rsid w:val="420460B1"/>
    <w:rsid w:val="420C6BCC"/>
    <w:rsid w:val="42176969"/>
    <w:rsid w:val="4221632B"/>
    <w:rsid w:val="42224F20"/>
    <w:rsid w:val="42240501"/>
    <w:rsid w:val="422E21B8"/>
    <w:rsid w:val="42332E3A"/>
    <w:rsid w:val="423D1B28"/>
    <w:rsid w:val="424010B3"/>
    <w:rsid w:val="42402E61"/>
    <w:rsid w:val="42416164"/>
    <w:rsid w:val="4242307D"/>
    <w:rsid w:val="42424E2B"/>
    <w:rsid w:val="42440BA3"/>
    <w:rsid w:val="42521512"/>
    <w:rsid w:val="425D1C65"/>
    <w:rsid w:val="425F6F6D"/>
    <w:rsid w:val="42611755"/>
    <w:rsid w:val="4269060A"/>
    <w:rsid w:val="426C3C56"/>
    <w:rsid w:val="426D48A0"/>
    <w:rsid w:val="42764C03"/>
    <w:rsid w:val="427B20EB"/>
    <w:rsid w:val="427E2307"/>
    <w:rsid w:val="42815953"/>
    <w:rsid w:val="42903DE8"/>
    <w:rsid w:val="42927D51"/>
    <w:rsid w:val="42940DA9"/>
    <w:rsid w:val="429531AD"/>
    <w:rsid w:val="429733C9"/>
    <w:rsid w:val="42A653BA"/>
    <w:rsid w:val="42A72EE0"/>
    <w:rsid w:val="42AA57B7"/>
    <w:rsid w:val="42AE426E"/>
    <w:rsid w:val="42B20202"/>
    <w:rsid w:val="42B5384F"/>
    <w:rsid w:val="42B75819"/>
    <w:rsid w:val="42B776C3"/>
    <w:rsid w:val="42C121F4"/>
    <w:rsid w:val="42C85CB6"/>
    <w:rsid w:val="42C972FA"/>
    <w:rsid w:val="42CC7BA3"/>
    <w:rsid w:val="42D17F20"/>
    <w:rsid w:val="42D27F5D"/>
    <w:rsid w:val="42DD6902"/>
    <w:rsid w:val="42EB7271"/>
    <w:rsid w:val="42F779C3"/>
    <w:rsid w:val="42FC147E"/>
    <w:rsid w:val="42FE4628"/>
    <w:rsid w:val="4300375D"/>
    <w:rsid w:val="43087E22"/>
    <w:rsid w:val="430B7913"/>
    <w:rsid w:val="431467C7"/>
    <w:rsid w:val="431C742A"/>
    <w:rsid w:val="432033BE"/>
    <w:rsid w:val="43217BEA"/>
    <w:rsid w:val="43236A0A"/>
    <w:rsid w:val="43252782"/>
    <w:rsid w:val="432B58BF"/>
    <w:rsid w:val="432E1E4F"/>
    <w:rsid w:val="432E715D"/>
    <w:rsid w:val="432F1B9E"/>
    <w:rsid w:val="432F53AF"/>
    <w:rsid w:val="434A21E9"/>
    <w:rsid w:val="434A3F97"/>
    <w:rsid w:val="43553439"/>
    <w:rsid w:val="4356153B"/>
    <w:rsid w:val="435B576A"/>
    <w:rsid w:val="435C3CCA"/>
    <w:rsid w:val="43600B3E"/>
    <w:rsid w:val="43661FA0"/>
    <w:rsid w:val="436A288B"/>
    <w:rsid w:val="43790D20"/>
    <w:rsid w:val="437D25BE"/>
    <w:rsid w:val="437E6337"/>
    <w:rsid w:val="43813731"/>
    <w:rsid w:val="4383394D"/>
    <w:rsid w:val="43864324"/>
    <w:rsid w:val="438A4CBD"/>
    <w:rsid w:val="438F5E4E"/>
    <w:rsid w:val="43903853"/>
    <w:rsid w:val="439B2A45"/>
    <w:rsid w:val="439C056B"/>
    <w:rsid w:val="439D67BD"/>
    <w:rsid w:val="439E2535"/>
    <w:rsid w:val="439E507C"/>
    <w:rsid w:val="43A84EFC"/>
    <w:rsid w:val="43AD4526"/>
    <w:rsid w:val="43B14016"/>
    <w:rsid w:val="43B35A16"/>
    <w:rsid w:val="43B37233"/>
    <w:rsid w:val="43B81849"/>
    <w:rsid w:val="43C0001A"/>
    <w:rsid w:val="43C31F9B"/>
    <w:rsid w:val="43C5528A"/>
    <w:rsid w:val="43C95804"/>
    <w:rsid w:val="43CA332A"/>
    <w:rsid w:val="43CA5ECE"/>
    <w:rsid w:val="43CD4BC8"/>
    <w:rsid w:val="43D628D7"/>
    <w:rsid w:val="43DF111F"/>
    <w:rsid w:val="43E268C5"/>
    <w:rsid w:val="43E76FE7"/>
    <w:rsid w:val="43EC14F2"/>
    <w:rsid w:val="43F16B09"/>
    <w:rsid w:val="43F50DA7"/>
    <w:rsid w:val="44150A49"/>
    <w:rsid w:val="441B3B85"/>
    <w:rsid w:val="442944F4"/>
    <w:rsid w:val="442A5418"/>
    <w:rsid w:val="442C7B41"/>
    <w:rsid w:val="442E595A"/>
    <w:rsid w:val="44330ECF"/>
    <w:rsid w:val="443353E1"/>
    <w:rsid w:val="44380293"/>
    <w:rsid w:val="443A225E"/>
    <w:rsid w:val="4441183E"/>
    <w:rsid w:val="44421112"/>
    <w:rsid w:val="444924A1"/>
    <w:rsid w:val="4455188C"/>
    <w:rsid w:val="445B0426"/>
    <w:rsid w:val="445C7473"/>
    <w:rsid w:val="44623562"/>
    <w:rsid w:val="446472DA"/>
    <w:rsid w:val="44663053"/>
    <w:rsid w:val="44677454"/>
    <w:rsid w:val="446B4E6E"/>
    <w:rsid w:val="44705C7F"/>
    <w:rsid w:val="447C53F1"/>
    <w:rsid w:val="448160DE"/>
    <w:rsid w:val="4484172B"/>
    <w:rsid w:val="448750D5"/>
    <w:rsid w:val="44890AEF"/>
    <w:rsid w:val="44894F93"/>
    <w:rsid w:val="448F4363"/>
    <w:rsid w:val="449F6565"/>
    <w:rsid w:val="44A13EB9"/>
    <w:rsid w:val="44A973E3"/>
    <w:rsid w:val="44AC2A30"/>
    <w:rsid w:val="44AD0C81"/>
    <w:rsid w:val="44B32010"/>
    <w:rsid w:val="44B6565C"/>
    <w:rsid w:val="44BF52BA"/>
    <w:rsid w:val="44C304A5"/>
    <w:rsid w:val="44CB735A"/>
    <w:rsid w:val="44CD30D2"/>
    <w:rsid w:val="44CD3C7E"/>
    <w:rsid w:val="44CE0BF8"/>
    <w:rsid w:val="44D34460"/>
    <w:rsid w:val="44D51F86"/>
    <w:rsid w:val="44DE708D"/>
    <w:rsid w:val="44DF1057"/>
    <w:rsid w:val="44F00B6E"/>
    <w:rsid w:val="44F87A23"/>
    <w:rsid w:val="45050ABD"/>
    <w:rsid w:val="45063999"/>
    <w:rsid w:val="45091C30"/>
    <w:rsid w:val="45097749"/>
    <w:rsid w:val="450E5498"/>
    <w:rsid w:val="451231DA"/>
    <w:rsid w:val="45154A79"/>
    <w:rsid w:val="451A5BEB"/>
    <w:rsid w:val="45224D26"/>
    <w:rsid w:val="45232CF2"/>
    <w:rsid w:val="452B429C"/>
    <w:rsid w:val="452D1F50"/>
    <w:rsid w:val="453753B6"/>
    <w:rsid w:val="453D648A"/>
    <w:rsid w:val="453F5652"/>
    <w:rsid w:val="454315E6"/>
    <w:rsid w:val="45441ABB"/>
    <w:rsid w:val="45467A41"/>
    <w:rsid w:val="454809AA"/>
    <w:rsid w:val="455A248C"/>
    <w:rsid w:val="4562477F"/>
    <w:rsid w:val="45684BA8"/>
    <w:rsid w:val="456F4189"/>
    <w:rsid w:val="457269B9"/>
    <w:rsid w:val="45726B02"/>
    <w:rsid w:val="45765517"/>
    <w:rsid w:val="45877724"/>
    <w:rsid w:val="4597548E"/>
    <w:rsid w:val="459A5BC5"/>
    <w:rsid w:val="459D6285"/>
    <w:rsid w:val="459E681C"/>
    <w:rsid w:val="45A100BA"/>
    <w:rsid w:val="45A8769B"/>
    <w:rsid w:val="45AD129C"/>
    <w:rsid w:val="45B20519"/>
    <w:rsid w:val="45B93656"/>
    <w:rsid w:val="45BC0582"/>
    <w:rsid w:val="45C27E15"/>
    <w:rsid w:val="45CA13BF"/>
    <w:rsid w:val="45CA7611"/>
    <w:rsid w:val="45CC15DB"/>
    <w:rsid w:val="45CC1FC2"/>
    <w:rsid w:val="45CD7101"/>
    <w:rsid w:val="45CD7313"/>
    <w:rsid w:val="45D01763"/>
    <w:rsid w:val="45D1274E"/>
    <w:rsid w:val="45DA5116"/>
    <w:rsid w:val="45E216A1"/>
    <w:rsid w:val="45F43872"/>
    <w:rsid w:val="45F823D0"/>
    <w:rsid w:val="45FE550D"/>
    <w:rsid w:val="45FF375F"/>
    <w:rsid w:val="46095888"/>
    <w:rsid w:val="460F771A"/>
    <w:rsid w:val="46111472"/>
    <w:rsid w:val="46190340"/>
    <w:rsid w:val="461B60BF"/>
    <w:rsid w:val="461D3BE5"/>
    <w:rsid w:val="46222FA9"/>
    <w:rsid w:val="46244F73"/>
    <w:rsid w:val="462A00B0"/>
    <w:rsid w:val="46357180"/>
    <w:rsid w:val="463B28A6"/>
    <w:rsid w:val="463B406B"/>
    <w:rsid w:val="4643520B"/>
    <w:rsid w:val="46456C98"/>
    <w:rsid w:val="46530A72"/>
    <w:rsid w:val="465810C1"/>
    <w:rsid w:val="465A4D7A"/>
    <w:rsid w:val="465C2179"/>
    <w:rsid w:val="4661093C"/>
    <w:rsid w:val="466730B2"/>
    <w:rsid w:val="467806FB"/>
    <w:rsid w:val="46780E1B"/>
    <w:rsid w:val="467D0B27"/>
    <w:rsid w:val="468123C6"/>
    <w:rsid w:val="46841EB6"/>
    <w:rsid w:val="46875502"/>
    <w:rsid w:val="468F1CA3"/>
    <w:rsid w:val="469320F9"/>
    <w:rsid w:val="4694480F"/>
    <w:rsid w:val="46970654"/>
    <w:rsid w:val="469A3487"/>
    <w:rsid w:val="469B0FAE"/>
    <w:rsid w:val="469E0520"/>
    <w:rsid w:val="46A71700"/>
    <w:rsid w:val="46A75BA4"/>
    <w:rsid w:val="46A77952"/>
    <w:rsid w:val="46B75DE7"/>
    <w:rsid w:val="46C93D6D"/>
    <w:rsid w:val="46CC1167"/>
    <w:rsid w:val="46D36999"/>
    <w:rsid w:val="46D52711"/>
    <w:rsid w:val="46E37B78"/>
    <w:rsid w:val="46E60C47"/>
    <w:rsid w:val="46EB45E4"/>
    <w:rsid w:val="46FC37FA"/>
    <w:rsid w:val="47000CBE"/>
    <w:rsid w:val="470152B5"/>
    <w:rsid w:val="470B7EE1"/>
    <w:rsid w:val="470D4E2D"/>
    <w:rsid w:val="470D5A07"/>
    <w:rsid w:val="470E79D1"/>
    <w:rsid w:val="4714323A"/>
    <w:rsid w:val="47190850"/>
    <w:rsid w:val="471C191E"/>
    <w:rsid w:val="472745EF"/>
    <w:rsid w:val="472F38FB"/>
    <w:rsid w:val="473A2575"/>
    <w:rsid w:val="47411B55"/>
    <w:rsid w:val="47451645"/>
    <w:rsid w:val="474B7CD0"/>
    <w:rsid w:val="474F22BD"/>
    <w:rsid w:val="47523D62"/>
    <w:rsid w:val="47541888"/>
    <w:rsid w:val="47571378"/>
    <w:rsid w:val="475E04CC"/>
    <w:rsid w:val="47653A95"/>
    <w:rsid w:val="476615BC"/>
    <w:rsid w:val="47694C08"/>
    <w:rsid w:val="476D64A6"/>
    <w:rsid w:val="47706823"/>
    <w:rsid w:val="47740C02"/>
    <w:rsid w:val="47777325"/>
    <w:rsid w:val="47791C8E"/>
    <w:rsid w:val="477B0C21"/>
    <w:rsid w:val="47833F1C"/>
    <w:rsid w:val="47887784"/>
    <w:rsid w:val="478D1745"/>
    <w:rsid w:val="478F28C0"/>
    <w:rsid w:val="47905C32"/>
    <w:rsid w:val="479223B1"/>
    <w:rsid w:val="47925F0D"/>
    <w:rsid w:val="47961EA1"/>
    <w:rsid w:val="479954ED"/>
    <w:rsid w:val="479B1265"/>
    <w:rsid w:val="47A3636C"/>
    <w:rsid w:val="47AA594C"/>
    <w:rsid w:val="47AE3AD2"/>
    <w:rsid w:val="47B75973"/>
    <w:rsid w:val="47BC14CC"/>
    <w:rsid w:val="47BC742D"/>
    <w:rsid w:val="47C56BFB"/>
    <w:rsid w:val="47C87B80"/>
    <w:rsid w:val="47D14C87"/>
    <w:rsid w:val="47D77DC3"/>
    <w:rsid w:val="47D97FDF"/>
    <w:rsid w:val="47E11690"/>
    <w:rsid w:val="47E30E5E"/>
    <w:rsid w:val="47E66258"/>
    <w:rsid w:val="47EC1AC1"/>
    <w:rsid w:val="47F00E85"/>
    <w:rsid w:val="47F26A53"/>
    <w:rsid w:val="47F92430"/>
    <w:rsid w:val="47FB61A8"/>
    <w:rsid w:val="47FC5A7C"/>
    <w:rsid w:val="47FE1C87"/>
    <w:rsid w:val="47FF0B70"/>
    <w:rsid w:val="480037BE"/>
    <w:rsid w:val="480706A9"/>
    <w:rsid w:val="480768FB"/>
    <w:rsid w:val="48086251"/>
    <w:rsid w:val="48117779"/>
    <w:rsid w:val="481D2783"/>
    <w:rsid w:val="48276F9D"/>
    <w:rsid w:val="4828061F"/>
    <w:rsid w:val="482D3E87"/>
    <w:rsid w:val="4835738E"/>
    <w:rsid w:val="48390119"/>
    <w:rsid w:val="483E7E42"/>
    <w:rsid w:val="48425B85"/>
    <w:rsid w:val="484F2050"/>
    <w:rsid w:val="4859110F"/>
    <w:rsid w:val="48592ECE"/>
    <w:rsid w:val="485D35A3"/>
    <w:rsid w:val="48693111"/>
    <w:rsid w:val="48757D08"/>
    <w:rsid w:val="487B2E45"/>
    <w:rsid w:val="48834779"/>
    <w:rsid w:val="488C5052"/>
    <w:rsid w:val="488F1B48"/>
    <w:rsid w:val="48927C32"/>
    <w:rsid w:val="48952158"/>
    <w:rsid w:val="48961A2D"/>
    <w:rsid w:val="489A151D"/>
    <w:rsid w:val="489F5783"/>
    <w:rsid w:val="48A44FA2"/>
    <w:rsid w:val="48AE6D76"/>
    <w:rsid w:val="48B41911"/>
    <w:rsid w:val="48BE3F44"/>
    <w:rsid w:val="48BF0F83"/>
    <w:rsid w:val="48C06AA9"/>
    <w:rsid w:val="48C12F4D"/>
    <w:rsid w:val="48C20A74"/>
    <w:rsid w:val="48C93BB0"/>
    <w:rsid w:val="48DB38E3"/>
    <w:rsid w:val="48E10608"/>
    <w:rsid w:val="48E56510"/>
    <w:rsid w:val="48E704DA"/>
    <w:rsid w:val="48E8622A"/>
    <w:rsid w:val="48F36E7F"/>
    <w:rsid w:val="48FC21D7"/>
    <w:rsid w:val="48FF5824"/>
    <w:rsid w:val="490506B9"/>
    <w:rsid w:val="49120EF3"/>
    <w:rsid w:val="491A265E"/>
    <w:rsid w:val="492139EC"/>
    <w:rsid w:val="4921579A"/>
    <w:rsid w:val="49217723"/>
    <w:rsid w:val="49221512"/>
    <w:rsid w:val="49255EFE"/>
    <w:rsid w:val="49264526"/>
    <w:rsid w:val="49267254"/>
    <w:rsid w:val="49284D7B"/>
    <w:rsid w:val="492D05E3"/>
    <w:rsid w:val="492D2391"/>
    <w:rsid w:val="49311755"/>
    <w:rsid w:val="49374FBE"/>
    <w:rsid w:val="49392550"/>
    <w:rsid w:val="493A2D00"/>
    <w:rsid w:val="493A685C"/>
    <w:rsid w:val="493C4382"/>
    <w:rsid w:val="4941408E"/>
    <w:rsid w:val="494476DB"/>
    <w:rsid w:val="494A6708"/>
    <w:rsid w:val="494E2307"/>
    <w:rsid w:val="4955131E"/>
    <w:rsid w:val="4961028C"/>
    <w:rsid w:val="49615F4E"/>
    <w:rsid w:val="49690EEF"/>
    <w:rsid w:val="496B110B"/>
    <w:rsid w:val="4977185E"/>
    <w:rsid w:val="497A30FC"/>
    <w:rsid w:val="497A75A0"/>
    <w:rsid w:val="497B428F"/>
    <w:rsid w:val="497E26EA"/>
    <w:rsid w:val="4987654E"/>
    <w:rsid w:val="498875C7"/>
    <w:rsid w:val="498B66EB"/>
    <w:rsid w:val="498D1081"/>
    <w:rsid w:val="49952666"/>
    <w:rsid w:val="49996F4C"/>
    <w:rsid w:val="49997A26"/>
    <w:rsid w:val="499A72FA"/>
    <w:rsid w:val="499E328F"/>
    <w:rsid w:val="499F0DB5"/>
    <w:rsid w:val="49A34401"/>
    <w:rsid w:val="49AA39E1"/>
    <w:rsid w:val="49AD1724"/>
    <w:rsid w:val="49AF4E76"/>
    <w:rsid w:val="49B52F11"/>
    <w:rsid w:val="49BC54C3"/>
    <w:rsid w:val="49C02EA4"/>
    <w:rsid w:val="49C03205"/>
    <w:rsid w:val="49C20D29"/>
    <w:rsid w:val="49CD147E"/>
    <w:rsid w:val="49D24CE6"/>
    <w:rsid w:val="49D6446F"/>
    <w:rsid w:val="49DC5B65"/>
    <w:rsid w:val="49DD5ACD"/>
    <w:rsid w:val="49DF57C2"/>
    <w:rsid w:val="49E035A5"/>
    <w:rsid w:val="49E21E05"/>
    <w:rsid w:val="49E44725"/>
    <w:rsid w:val="49E54A1A"/>
    <w:rsid w:val="49EF3AEA"/>
    <w:rsid w:val="49F32D8A"/>
    <w:rsid w:val="49F94A8F"/>
    <w:rsid w:val="49FB73C0"/>
    <w:rsid w:val="49FC1D63"/>
    <w:rsid w:val="4A003A88"/>
    <w:rsid w:val="4A02381D"/>
    <w:rsid w:val="4A0550BC"/>
    <w:rsid w:val="4A062BE2"/>
    <w:rsid w:val="4A0A0924"/>
    <w:rsid w:val="4A0B2510"/>
    <w:rsid w:val="4A111CB3"/>
    <w:rsid w:val="4A162E25"/>
    <w:rsid w:val="4A1B48DF"/>
    <w:rsid w:val="4A207A56"/>
    <w:rsid w:val="4A221625"/>
    <w:rsid w:val="4A25750C"/>
    <w:rsid w:val="4A2D4613"/>
    <w:rsid w:val="4A2E0567"/>
    <w:rsid w:val="4A381DEA"/>
    <w:rsid w:val="4A394D65"/>
    <w:rsid w:val="4A3B288C"/>
    <w:rsid w:val="4A3E05CE"/>
    <w:rsid w:val="4A446ED4"/>
    <w:rsid w:val="4A4A6F73"/>
    <w:rsid w:val="4A4F2DB8"/>
    <w:rsid w:val="4A513E5D"/>
    <w:rsid w:val="4A5271DE"/>
    <w:rsid w:val="4A534079"/>
    <w:rsid w:val="4A561B00"/>
    <w:rsid w:val="4A586DD6"/>
    <w:rsid w:val="4A6242BC"/>
    <w:rsid w:val="4A625D30"/>
    <w:rsid w:val="4A6873F9"/>
    <w:rsid w:val="4A69389D"/>
    <w:rsid w:val="4A7162AD"/>
    <w:rsid w:val="4A722025"/>
    <w:rsid w:val="4A7779CD"/>
    <w:rsid w:val="4A783AE0"/>
    <w:rsid w:val="4A7B35D0"/>
    <w:rsid w:val="4A802994"/>
    <w:rsid w:val="4A802E29"/>
    <w:rsid w:val="4A871F75"/>
    <w:rsid w:val="4A9401EE"/>
    <w:rsid w:val="4A945CC1"/>
    <w:rsid w:val="4A987CDE"/>
    <w:rsid w:val="4A9E2E1A"/>
    <w:rsid w:val="4AA043E7"/>
    <w:rsid w:val="4AA743C5"/>
    <w:rsid w:val="4AA92B38"/>
    <w:rsid w:val="4AAE0FE3"/>
    <w:rsid w:val="4AB34B18"/>
    <w:rsid w:val="4AC42881"/>
    <w:rsid w:val="4ACF1226"/>
    <w:rsid w:val="4AD018E1"/>
    <w:rsid w:val="4AD11442"/>
    <w:rsid w:val="4AD131F0"/>
    <w:rsid w:val="4ADB7BCB"/>
    <w:rsid w:val="4AE16948"/>
    <w:rsid w:val="4AEE78FE"/>
    <w:rsid w:val="4AF05177"/>
    <w:rsid w:val="4AF23F74"/>
    <w:rsid w:val="4AF31F03"/>
    <w:rsid w:val="4AF80091"/>
    <w:rsid w:val="4AFE3E0E"/>
    <w:rsid w:val="4AFF5FAF"/>
    <w:rsid w:val="4B0424FE"/>
    <w:rsid w:val="4B074E64"/>
    <w:rsid w:val="4B0E7FA0"/>
    <w:rsid w:val="4B137364"/>
    <w:rsid w:val="4B294DDA"/>
    <w:rsid w:val="4B2D3281"/>
    <w:rsid w:val="4B2E419E"/>
    <w:rsid w:val="4B35552D"/>
    <w:rsid w:val="4B3612A5"/>
    <w:rsid w:val="4B3774F7"/>
    <w:rsid w:val="4B3A0D95"/>
    <w:rsid w:val="4B3C68D7"/>
    <w:rsid w:val="4B4439C2"/>
    <w:rsid w:val="4B4C0AC8"/>
    <w:rsid w:val="4B502367"/>
    <w:rsid w:val="4B533760"/>
    <w:rsid w:val="4B582D83"/>
    <w:rsid w:val="4B6745FE"/>
    <w:rsid w:val="4B6B0F07"/>
    <w:rsid w:val="4B6C4CC7"/>
    <w:rsid w:val="4B700C5B"/>
    <w:rsid w:val="4B702A09"/>
    <w:rsid w:val="4B773D97"/>
    <w:rsid w:val="4B775B45"/>
    <w:rsid w:val="4B7A5635"/>
    <w:rsid w:val="4B7C315C"/>
    <w:rsid w:val="4B83098E"/>
    <w:rsid w:val="4B845BB1"/>
    <w:rsid w:val="4B8E2E8F"/>
    <w:rsid w:val="4B9304A5"/>
    <w:rsid w:val="4B9433A6"/>
    <w:rsid w:val="4B9761E7"/>
    <w:rsid w:val="4B985ABC"/>
    <w:rsid w:val="4B9C37FE"/>
    <w:rsid w:val="4BAB1C93"/>
    <w:rsid w:val="4BAF1783"/>
    <w:rsid w:val="4BB02E05"/>
    <w:rsid w:val="4BB328F5"/>
    <w:rsid w:val="4BBB616A"/>
    <w:rsid w:val="4BBE0254"/>
    <w:rsid w:val="4BBF74EC"/>
    <w:rsid w:val="4BC32B39"/>
    <w:rsid w:val="4BC44B03"/>
    <w:rsid w:val="4BC567D6"/>
    <w:rsid w:val="4BC641B1"/>
    <w:rsid w:val="4BC90492"/>
    <w:rsid w:val="4BCB5E91"/>
    <w:rsid w:val="4BCB7C3F"/>
    <w:rsid w:val="4BCE14DD"/>
    <w:rsid w:val="4BE8259F"/>
    <w:rsid w:val="4BE86A43"/>
    <w:rsid w:val="4BF6257B"/>
    <w:rsid w:val="4BF74ED8"/>
    <w:rsid w:val="4BF83AF4"/>
    <w:rsid w:val="4BF841D3"/>
    <w:rsid w:val="4BF85AA5"/>
    <w:rsid w:val="4BFB196F"/>
    <w:rsid w:val="4BFB49C8"/>
    <w:rsid w:val="4BFD4B91"/>
    <w:rsid w:val="4C001FDF"/>
    <w:rsid w:val="4C0118B3"/>
    <w:rsid w:val="4C013661"/>
    <w:rsid w:val="4C080E93"/>
    <w:rsid w:val="4C0F1B08"/>
    <w:rsid w:val="4C1B439F"/>
    <w:rsid w:val="4C20442F"/>
    <w:rsid w:val="4C2061DD"/>
    <w:rsid w:val="4C237A7B"/>
    <w:rsid w:val="4C28759A"/>
    <w:rsid w:val="4C2A0E0A"/>
    <w:rsid w:val="4C2D11E1"/>
    <w:rsid w:val="4C324124"/>
    <w:rsid w:val="4C3752D5"/>
    <w:rsid w:val="4C3954F1"/>
    <w:rsid w:val="4C41120B"/>
    <w:rsid w:val="4C43011D"/>
    <w:rsid w:val="4C431C5C"/>
    <w:rsid w:val="4C435AFD"/>
    <w:rsid w:val="4C520360"/>
    <w:rsid w:val="4C577725"/>
    <w:rsid w:val="4C667968"/>
    <w:rsid w:val="4C72455F"/>
    <w:rsid w:val="4C7B78B7"/>
    <w:rsid w:val="4C7E1155"/>
    <w:rsid w:val="4C8428B7"/>
    <w:rsid w:val="4C912C37"/>
    <w:rsid w:val="4C925064"/>
    <w:rsid w:val="4C9444D5"/>
    <w:rsid w:val="4C9E5354"/>
    <w:rsid w:val="4CA010CC"/>
    <w:rsid w:val="4CA0731E"/>
    <w:rsid w:val="4CA309AA"/>
    <w:rsid w:val="4CA50490"/>
    <w:rsid w:val="4CAE1A3B"/>
    <w:rsid w:val="4CAE37E9"/>
    <w:rsid w:val="4CBB5F06"/>
    <w:rsid w:val="4CBB7CB4"/>
    <w:rsid w:val="4CBD1D79"/>
    <w:rsid w:val="4CBE1552"/>
    <w:rsid w:val="4CBE77A4"/>
    <w:rsid w:val="4CC32D5A"/>
    <w:rsid w:val="4CC72AFC"/>
    <w:rsid w:val="4CC8759D"/>
    <w:rsid w:val="4CDD7C2A"/>
    <w:rsid w:val="4CE1714D"/>
    <w:rsid w:val="4CE511D4"/>
    <w:rsid w:val="4CE51825"/>
    <w:rsid w:val="4CF17B79"/>
    <w:rsid w:val="4D0C72D9"/>
    <w:rsid w:val="4D0E4287"/>
    <w:rsid w:val="4D1A2C2C"/>
    <w:rsid w:val="4D1C1AB9"/>
    <w:rsid w:val="4D265A75"/>
    <w:rsid w:val="4D267823"/>
    <w:rsid w:val="4D275349"/>
    <w:rsid w:val="4D290530"/>
    <w:rsid w:val="4D2D60B5"/>
    <w:rsid w:val="4D3028B5"/>
    <w:rsid w:val="4D330192"/>
    <w:rsid w:val="4D341814"/>
    <w:rsid w:val="4D357A66"/>
    <w:rsid w:val="4D3A32CE"/>
    <w:rsid w:val="4D4001B9"/>
    <w:rsid w:val="4D471547"/>
    <w:rsid w:val="4D5D0D6B"/>
    <w:rsid w:val="4D5F2D35"/>
    <w:rsid w:val="4D671BE9"/>
    <w:rsid w:val="4D6B792C"/>
    <w:rsid w:val="4D700A9E"/>
    <w:rsid w:val="4D7560B4"/>
    <w:rsid w:val="4D7A7B6F"/>
    <w:rsid w:val="4D7B7443"/>
    <w:rsid w:val="4D812CAB"/>
    <w:rsid w:val="4D896004"/>
    <w:rsid w:val="4D8B1D7C"/>
    <w:rsid w:val="4D8B58D8"/>
    <w:rsid w:val="4D8D78A2"/>
    <w:rsid w:val="4D970D58"/>
    <w:rsid w:val="4D9D560B"/>
    <w:rsid w:val="4D9F75D5"/>
    <w:rsid w:val="4DA16EA9"/>
    <w:rsid w:val="4DAF2B1C"/>
    <w:rsid w:val="4DB017E2"/>
    <w:rsid w:val="4DB12E65"/>
    <w:rsid w:val="4DB27309"/>
    <w:rsid w:val="4DB33945"/>
    <w:rsid w:val="4DB56DF9"/>
    <w:rsid w:val="4DB7593E"/>
    <w:rsid w:val="4DC1579E"/>
    <w:rsid w:val="4DC62DB4"/>
    <w:rsid w:val="4DC92CD7"/>
    <w:rsid w:val="4DCD7C9F"/>
    <w:rsid w:val="4DD03C33"/>
    <w:rsid w:val="4DE90850"/>
    <w:rsid w:val="4DEA5B15"/>
    <w:rsid w:val="4DEB45C9"/>
    <w:rsid w:val="4DEE5E67"/>
    <w:rsid w:val="4DF14CD4"/>
    <w:rsid w:val="4DF27705"/>
    <w:rsid w:val="4DF3347D"/>
    <w:rsid w:val="4DF55447"/>
    <w:rsid w:val="4DF80A94"/>
    <w:rsid w:val="4E08517B"/>
    <w:rsid w:val="4E094A4F"/>
    <w:rsid w:val="4E0B4C6B"/>
    <w:rsid w:val="4E0B6A19"/>
    <w:rsid w:val="4E0F475B"/>
    <w:rsid w:val="4E192EE4"/>
    <w:rsid w:val="4E193990"/>
    <w:rsid w:val="4E197388"/>
    <w:rsid w:val="4E1A4EAE"/>
    <w:rsid w:val="4E1D2330"/>
    <w:rsid w:val="4E1E674C"/>
    <w:rsid w:val="4E28581D"/>
    <w:rsid w:val="4E2A3103"/>
    <w:rsid w:val="4E2B1C77"/>
    <w:rsid w:val="4E320449"/>
    <w:rsid w:val="4E36480B"/>
    <w:rsid w:val="4E3E6DEE"/>
    <w:rsid w:val="4E3F12FE"/>
    <w:rsid w:val="4E4B27AD"/>
    <w:rsid w:val="4E4B32B9"/>
    <w:rsid w:val="4E4F6905"/>
    <w:rsid w:val="4E5008D0"/>
    <w:rsid w:val="4E5545F3"/>
    <w:rsid w:val="4E573921"/>
    <w:rsid w:val="4E5B34FC"/>
    <w:rsid w:val="4E5E4CC8"/>
    <w:rsid w:val="4E616639"/>
    <w:rsid w:val="4E697477"/>
    <w:rsid w:val="4E7E53CF"/>
    <w:rsid w:val="4E7F5BDC"/>
    <w:rsid w:val="4E810A89"/>
    <w:rsid w:val="4E830CA5"/>
    <w:rsid w:val="4E933326"/>
    <w:rsid w:val="4E9702AC"/>
    <w:rsid w:val="4E992277"/>
    <w:rsid w:val="4E9D0E7A"/>
    <w:rsid w:val="4E9E5ADF"/>
    <w:rsid w:val="4EA74993"/>
    <w:rsid w:val="4EAB059E"/>
    <w:rsid w:val="4EBE1CDD"/>
    <w:rsid w:val="4EC54E1A"/>
    <w:rsid w:val="4EC8490A"/>
    <w:rsid w:val="4ECC7DEF"/>
    <w:rsid w:val="4EDD03B5"/>
    <w:rsid w:val="4EE009A4"/>
    <w:rsid w:val="4EE745DF"/>
    <w:rsid w:val="4EEA48EC"/>
    <w:rsid w:val="4EEF61F4"/>
    <w:rsid w:val="4EF55341"/>
    <w:rsid w:val="4EF876C2"/>
    <w:rsid w:val="4EFF353D"/>
    <w:rsid w:val="4F0040A4"/>
    <w:rsid w:val="4F027D72"/>
    <w:rsid w:val="4F053468"/>
    <w:rsid w:val="4F0C3F06"/>
    <w:rsid w:val="4F15281A"/>
    <w:rsid w:val="4F155DA1"/>
    <w:rsid w:val="4F196F13"/>
    <w:rsid w:val="4F1E452A"/>
    <w:rsid w:val="4F221F2D"/>
    <w:rsid w:val="4F232E9B"/>
    <w:rsid w:val="4F2569F6"/>
    <w:rsid w:val="4F2915E0"/>
    <w:rsid w:val="4F2C4E99"/>
    <w:rsid w:val="4F310701"/>
    <w:rsid w:val="4F391364"/>
    <w:rsid w:val="4F3A4081"/>
    <w:rsid w:val="4F416B96"/>
    <w:rsid w:val="4F4246BC"/>
    <w:rsid w:val="4F481077"/>
    <w:rsid w:val="4F486D6B"/>
    <w:rsid w:val="4F4977F9"/>
    <w:rsid w:val="4F4A3571"/>
    <w:rsid w:val="4F583EE0"/>
    <w:rsid w:val="4F587A3C"/>
    <w:rsid w:val="4F5C20BE"/>
    <w:rsid w:val="4F5D14F6"/>
    <w:rsid w:val="4F6463E1"/>
    <w:rsid w:val="4F672375"/>
    <w:rsid w:val="4F681AF1"/>
    <w:rsid w:val="4F6A776F"/>
    <w:rsid w:val="4F780C81"/>
    <w:rsid w:val="4F7E1030"/>
    <w:rsid w:val="4F840831"/>
    <w:rsid w:val="4F847EF5"/>
    <w:rsid w:val="4F8B6063"/>
    <w:rsid w:val="4F8D1DDB"/>
    <w:rsid w:val="4F8D2ECF"/>
    <w:rsid w:val="4F905428"/>
    <w:rsid w:val="4F9517EC"/>
    <w:rsid w:val="4F9E05C6"/>
    <w:rsid w:val="4FA15887"/>
    <w:rsid w:val="4FA40ED3"/>
    <w:rsid w:val="4FA47125"/>
    <w:rsid w:val="4FA709C3"/>
    <w:rsid w:val="4FB07878"/>
    <w:rsid w:val="4FB17E88"/>
    <w:rsid w:val="4FB530E0"/>
    <w:rsid w:val="4FB85A78"/>
    <w:rsid w:val="4FC21359"/>
    <w:rsid w:val="4FC7696F"/>
    <w:rsid w:val="4FC85E6F"/>
    <w:rsid w:val="4FCD1F58"/>
    <w:rsid w:val="4FD86DCF"/>
    <w:rsid w:val="4FDD43E5"/>
    <w:rsid w:val="4FE70DC0"/>
    <w:rsid w:val="4FEB6B02"/>
    <w:rsid w:val="4FED4628"/>
    <w:rsid w:val="4FF4152A"/>
    <w:rsid w:val="4FF52BAA"/>
    <w:rsid w:val="4FFA6D45"/>
    <w:rsid w:val="4FFC2756"/>
    <w:rsid w:val="4FFF514E"/>
    <w:rsid w:val="500100D3"/>
    <w:rsid w:val="5003644E"/>
    <w:rsid w:val="50041972"/>
    <w:rsid w:val="50083210"/>
    <w:rsid w:val="500D4CCA"/>
    <w:rsid w:val="50100316"/>
    <w:rsid w:val="50110EBE"/>
    <w:rsid w:val="501D5EFF"/>
    <w:rsid w:val="501F67AB"/>
    <w:rsid w:val="502618E8"/>
    <w:rsid w:val="502C0328"/>
    <w:rsid w:val="502F19AF"/>
    <w:rsid w:val="50391753"/>
    <w:rsid w:val="5039786D"/>
    <w:rsid w:val="503B1837"/>
    <w:rsid w:val="50414974"/>
    <w:rsid w:val="504840CC"/>
    <w:rsid w:val="504C2305"/>
    <w:rsid w:val="504F355D"/>
    <w:rsid w:val="50504A55"/>
    <w:rsid w:val="5055341A"/>
    <w:rsid w:val="505C355C"/>
    <w:rsid w:val="50610B72"/>
    <w:rsid w:val="506348EA"/>
    <w:rsid w:val="506F7733"/>
    <w:rsid w:val="507110E8"/>
    <w:rsid w:val="50760AC1"/>
    <w:rsid w:val="50792360"/>
    <w:rsid w:val="507972ED"/>
    <w:rsid w:val="50836D3A"/>
    <w:rsid w:val="5086682B"/>
    <w:rsid w:val="508872DA"/>
    <w:rsid w:val="508E2EE6"/>
    <w:rsid w:val="508F1B83"/>
    <w:rsid w:val="50974594"/>
    <w:rsid w:val="509C03FF"/>
    <w:rsid w:val="50A3118B"/>
    <w:rsid w:val="50A8054F"/>
    <w:rsid w:val="50A849F3"/>
    <w:rsid w:val="50AC44E3"/>
    <w:rsid w:val="50BC3FFA"/>
    <w:rsid w:val="50CD6207"/>
    <w:rsid w:val="50CF3D2E"/>
    <w:rsid w:val="50D15CF8"/>
    <w:rsid w:val="50D476A7"/>
    <w:rsid w:val="50D77086"/>
    <w:rsid w:val="50D91050"/>
    <w:rsid w:val="50DE6667"/>
    <w:rsid w:val="50E0418D"/>
    <w:rsid w:val="50F13E09"/>
    <w:rsid w:val="50F87728"/>
    <w:rsid w:val="50FD3BFD"/>
    <w:rsid w:val="5100482F"/>
    <w:rsid w:val="51022355"/>
    <w:rsid w:val="51031C29"/>
    <w:rsid w:val="510936E3"/>
    <w:rsid w:val="5116436F"/>
    <w:rsid w:val="51173258"/>
    <w:rsid w:val="511A58F1"/>
    <w:rsid w:val="511D0F3D"/>
    <w:rsid w:val="511E4CB5"/>
    <w:rsid w:val="511E6A63"/>
    <w:rsid w:val="51292F08"/>
    <w:rsid w:val="51312C3A"/>
    <w:rsid w:val="51346344"/>
    <w:rsid w:val="5135693B"/>
    <w:rsid w:val="513B1246"/>
    <w:rsid w:val="513B2E22"/>
    <w:rsid w:val="513D15DF"/>
    <w:rsid w:val="513D1987"/>
    <w:rsid w:val="51404C2B"/>
    <w:rsid w:val="5144471C"/>
    <w:rsid w:val="5147420C"/>
    <w:rsid w:val="515240B8"/>
    <w:rsid w:val="515561D0"/>
    <w:rsid w:val="51556929"/>
    <w:rsid w:val="51566FFA"/>
    <w:rsid w:val="51597A9B"/>
    <w:rsid w:val="515D57DD"/>
    <w:rsid w:val="515E1484"/>
    <w:rsid w:val="516052CE"/>
    <w:rsid w:val="51653915"/>
    <w:rsid w:val="516A329F"/>
    <w:rsid w:val="516A6E53"/>
    <w:rsid w:val="51752B27"/>
    <w:rsid w:val="517C2DB3"/>
    <w:rsid w:val="517D19DC"/>
    <w:rsid w:val="5184720E"/>
    <w:rsid w:val="518A5A6E"/>
    <w:rsid w:val="519B6306"/>
    <w:rsid w:val="51A90A23"/>
    <w:rsid w:val="51AA116A"/>
    <w:rsid w:val="51AC22C1"/>
    <w:rsid w:val="51AE428B"/>
    <w:rsid w:val="51AE7DE7"/>
    <w:rsid w:val="51BD44CE"/>
    <w:rsid w:val="51C70EA9"/>
    <w:rsid w:val="51CB6BEB"/>
    <w:rsid w:val="51CD740E"/>
    <w:rsid w:val="51D04201"/>
    <w:rsid w:val="51D37AB0"/>
    <w:rsid w:val="51D435BC"/>
    <w:rsid w:val="51DE3FE9"/>
    <w:rsid w:val="51E67581"/>
    <w:rsid w:val="51E753C7"/>
    <w:rsid w:val="51EB4B97"/>
    <w:rsid w:val="51F15F26"/>
    <w:rsid w:val="51F279EF"/>
    <w:rsid w:val="51F36142"/>
    <w:rsid w:val="51F83758"/>
    <w:rsid w:val="51F94C61"/>
    <w:rsid w:val="51FA127E"/>
    <w:rsid w:val="5201085F"/>
    <w:rsid w:val="5201260D"/>
    <w:rsid w:val="52036385"/>
    <w:rsid w:val="52067C23"/>
    <w:rsid w:val="520B348B"/>
    <w:rsid w:val="52104525"/>
    <w:rsid w:val="52120376"/>
    <w:rsid w:val="52171E30"/>
    <w:rsid w:val="52181A7F"/>
    <w:rsid w:val="521D38D2"/>
    <w:rsid w:val="522B4F1F"/>
    <w:rsid w:val="522B57B2"/>
    <w:rsid w:val="522D720D"/>
    <w:rsid w:val="52374280"/>
    <w:rsid w:val="523F1387"/>
    <w:rsid w:val="52412A09"/>
    <w:rsid w:val="524244DF"/>
    <w:rsid w:val="524336D4"/>
    <w:rsid w:val="524B1ADA"/>
    <w:rsid w:val="524F15CA"/>
    <w:rsid w:val="52500E9E"/>
    <w:rsid w:val="525763AD"/>
    <w:rsid w:val="525C77E7"/>
    <w:rsid w:val="52632A25"/>
    <w:rsid w:val="526D1A50"/>
    <w:rsid w:val="526F57C8"/>
    <w:rsid w:val="527C6137"/>
    <w:rsid w:val="527F70E7"/>
    <w:rsid w:val="52831274"/>
    <w:rsid w:val="52972F71"/>
    <w:rsid w:val="52975A76"/>
    <w:rsid w:val="52976ACD"/>
    <w:rsid w:val="529B480F"/>
    <w:rsid w:val="52A116FA"/>
    <w:rsid w:val="52A1794C"/>
    <w:rsid w:val="52A93CA3"/>
    <w:rsid w:val="52AB397F"/>
    <w:rsid w:val="52AC6214"/>
    <w:rsid w:val="52AF2069"/>
    <w:rsid w:val="52B07B8F"/>
    <w:rsid w:val="52B11F76"/>
    <w:rsid w:val="52B4767F"/>
    <w:rsid w:val="52B551A5"/>
    <w:rsid w:val="52B96A43"/>
    <w:rsid w:val="52BC4786"/>
    <w:rsid w:val="52C118CB"/>
    <w:rsid w:val="52C25F43"/>
    <w:rsid w:val="52C27FEE"/>
    <w:rsid w:val="52C84ED8"/>
    <w:rsid w:val="52CA29FF"/>
    <w:rsid w:val="52CA50F4"/>
    <w:rsid w:val="52CB1675"/>
    <w:rsid w:val="52CF270B"/>
    <w:rsid w:val="52D118D8"/>
    <w:rsid w:val="52D970E6"/>
    <w:rsid w:val="52DD61F2"/>
    <w:rsid w:val="52F2351E"/>
    <w:rsid w:val="52F4373C"/>
    <w:rsid w:val="52F537F4"/>
    <w:rsid w:val="52F60BC6"/>
    <w:rsid w:val="52FB3500"/>
    <w:rsid w:val="53071EA5"/>
    <w:rsid w:val="53081779"/>
    <w:rsid w:val="53083527"/>
    <w:rsid w:val="530C3017"/>
    <w:rsid w:val="530F0D59"/>
    <w:rsid w:val="53102992"/>
    <w:rsid w:val="5311637C"/>
    <w:rsid w:val="53155765"/>
    <w:rsid w:val="53195734"/>
    <w:rsid w:val="531B5950"/>
    <w:rsid w:val="532C5467"/>
    <w:rsid w:val="532E7431"/>
    <w:rsid w:val="532F27EE"/>
    <w:rsid w:val="53314906"/>
    <w:rsid w:val="53364538"/>
    <w:rsid w:val="5338205E"/>
    <w:rsid w:val="53446C55"/>
    <w:rsid w:val="534529CD"/>
    <w:rsid w:val="534C3D5B"/>
    <w:rsid w:val="534D53DE"/>
    <w:rsid w:val="5350423D"/>
    <w:rsid w:val="53547C35"/>
    <w:rsid w:val="53560736"/>
    <w:rsid w:val="53650979"/>
    <w:rsid w:val="53652F43"/>
    <w:rsid w:val="536C7F5A"/>
    <w:rsid w:val="53751DF0"/>
    <w:rsid w:val="5375269A"/>
    <w:rsid w:val="53787030"/>
    <w:rsid w:val="53832F3F"/>
    <w:rsid w:val="5385101B"/>
    <w:rsid w:val="53876B42"/>
    <w:rsid w:val="53896967"/>
    <w:rsid w:val="53933738"/>
    <w:rsid w:val="53937294"/>
    <w:rsid w:val="53986FA1"/>
    <w:rsid w:val="539B439B"/>
    <w:rsid w:val="539E7596"/>
    <w:rsid w:val="53A5150B"/>
    <w:rsid w:val="53A92F5C"/>
    <w:rsid w:val="53AB6CD4"/>
    <w:rsid w:val="53B35B89"/>
    <w:rsid w:val="53B8319F"/>
    <w:rsid w:val="53B86B6C"/>
    <w:rsid w:val="53BA6DE3"/>
    <w:rsid w:val="53C669E9"/>
    <w:rsid w:val="53C75190"/>
    <w:rsid w:val="53CE651E"/>
    <w:rsid w:val="53D43F6B"/>
    <w:rsid w:val="53DB0F9E"/>
    <w:rsid w:val="53DF5896"/>
    <w:rsid w:val="53ED7A05"/>
    <w:rsid w:val="53EE6BC1"/>
    <w:rsid w:val="53FC752F"/>
    <w:rsid w:val="53FF2B7C"/>
    <w:rsid w:val="5402266C"/>
    <w:rsid w:val="5402441A"/>
    <w:rsid w:val="5404305A"/>
    <w:rsid w:val="54052ACA"/>
    <w:rsid w:val="54077C82"/>
    <w:rsid w:val="54085D73"/>
    <w:rsid w:val="540D34EB"/>
    <w:rsid w:val="540E1011"/>
    <w:rsid w:val="54154040"/>
    <w:rsid w:val="541C372E"/>
    <w:rsid w:val="5422686A"/>
    <w:rsid w:val="542720D3"/>
    <w:rsid w:val="54290643"/>
    <w:rsid w:val="542B1BC3"/>
    <w:rsid w:val="54300F87"/>
    <w:rsid w:val="54332825"/>
    <w:rsid w:val="54346027"/>
    <w:rsid w:val="54352A41"/>
    <w:rsid w:val="543A1E06"/>
    <w:rsid w:val="543B42DA"/>
    <w:rsid w:val="54413194"/>
    <w:rsid w:val="544669FD"/>
    <w:rsid w:val="5452714F"/>
    <w:rsid w:val="5459184D"/>
    <w:rsid w:val="54670726"/>
    <w:rsid w:val="546D3F89"/>
    <w:rsid w:val="547B0005"/>
    <w:rsid w:val="547C5F7A"/>
    <w:rsid w:val="547E083F"/>
    <w:rsid w:val="547F1F0F"/>
    <w:rsid w:val="54815C87"/>
    <w:rsid w:val="548472CC"/>
    <w:rsid w:val="5486329D"/>
    <w:rsid w:val="5486504B"/>
    <w:rsid w:val="54880DC3"/>
    <w:rsid w:val="548844AE"/>
    <w:rsid w:val="548A4B3B"/>
    <w:rsid w:val="548F5C4F"/>
    <w:rsid w:val="5494689A"/>
    <w:rsid w:val="54992FD0"/>
    <w:rsid w:val="5499417C"/>
    <w:rsid w:val="549A4653"/>
    <w:rsid w:val="549D5FB3"/>
    <w:rsid w:val="54A55D8E"/>
    <w:rsid w:val="54AA6F8B"/>
    <w:rsid w:val="54B02BF8"/>
    <w:rsid w:val="54B24092"/>
    <w:rsid w:val="54B5148C"/>
    <w:rsid w:val="54B73456"/>
    <w:rsid w:val="54BB00D4"/>
    <w:rsid w:val="54BC281B"/>
    <w:rsid w:val="54C17E31"/>
    <w:rsid w:val="54CC5154"/>
    <w:rsid w:val="54CF07A0"/>
    <w:rsid w:val="54CF254E"/>
    <w:rsid w:val="54D140A0"/>
    <w:rsid w:val="54D264E2"/>
    <w:rsid w:val="54D747A4"/>
    <w:rsid w:val="54E3249D"/>
    <w:rsid w:val="54E44363"/>
    <w:rsid w:val="54E57FC4"/>
    <w:rsid w:val="54EA55DA"/>
    <w:rsid w:val="54EB661A"/>
    <w:rsid w:val="54ED6E78"/>
    <w:rsid w:val="54EF2619"/>
    <w:rsid w:val="54F20CFF"/>
    <w:rsid w:val="54F40207"/>
    <w:rsid w:val="55006BAB"/>
    <w:rsid w:val="55015040"/>
    <w:rsid w:val="550348EE"/>
    <w:rsid w:val="55061CE8"/>
    <w:rsid w:val="55085A60"/>
    <w:rsid w:val="550B5550"/>
    <w:rsid w:val="5511700B"/>
    <w:rsid w:val="5512068D"/>
    <w:rsid w:val="55180399"/>
    <w:rsid w:val="55197C6D"/>
    <w:rsid w:val="551B5793"/>
    <w:rsid w:val="55254864"/>
    <w:rsid w:val="552D0476"/>
    <w:rsid w:val="5536081F"/>
    <w:rsid w:val="55376345"/>
    <w:rsid w:val="553B4087"/>
    <w:rsid w:val="553B5E36"/>
    <w:rsid w:val="553D3D10"/>
    <w:rsid w:val="553E76D4"/>
    <w:rsid w:val="55446516"/>
    <w:rsid w:val="55482300"/>
    <w:rsid w:val="554A42CB"/>
    <w:rsid w:val="554C3B9F"/>
    <w:rsid w:val="554D361A"/>
    <w:rsid w:val="554D5B69"/>
    <w:rsid w:val="55581E8F"/>
    <w:rsid w:val="555962BC"/>
    <w:rsid w:val="555B64D8"/>
    <w:rsid w:val="555C4981"/>
    <w:rsid w:val="555D3FFE"/>
    <w:rsid w:val="5563538C"/>
    <w:rsid w:val="55667B2D"/>
    <w:rsid w:val="5569324E"/>
    <w:rsid w:val="55794BB0"/>
    <w:rsid w:val="557D01FC"/>
    <w:rsid w:val="557D644E"/>
    <w:rsid w:val="5585321C"/>
    <w:rsid w:val="558566DC"/>
    <w:rsid w:val="558C6760"/>
    <w:rsid w:val="558E065B"/>
    <w:rsid w:val="558F1CDD"/>
    <w:rsid w:val="55915A56"/>
    <w:rsid w:val="5595176A"/>
    <w:rsid w:val="55A2552E"/>
    <w:rsid w:val="55A25EB5"/>
    <w:rsid w:val="55A35789"/>
    <w:rsid w:val="55A64908"/>
    <w:rsid w:val="55AA4D69"/>
    <w:rsid w:val="55AA58ED"/>
    <w:rsid w:val="55AD5535"/>
    <w:rsid w:val="55AE6607"/>
    <w:rsid w:val="55B179A0"/>
    <w:rsid w:val="55B17EA6"/>
    <w:rsid w:val="55B31E70"/>
    <w:rsid w:val="55B33C1E"/>
    <w:rsid w:val="55B915A0"/>
    <w:rsid w:val="55BD2FEA"/>
    <w:rsid w:val="55D23E73"/>
    <w:rsid w:val="55D342C0"/>
    <w:rsid w:val="55D56E5E"/>
    <w:rsid w:val="55EC5382"/>
    <w:rsid w:val="55F81F79"/>
    <w:rsid w:val="55F935FB"/>
    <w:rsid w:val="55FD133D"/>
    <w:rsid w:val="55FF023A"/>
    <w:rsid w:val="55FF50B5"/>
    <w:rsid w:val="56073F6A"/>
    <w:rsid w:val="56097CE2"/>
    <w:rsid w:val="561A3C9D"/>
    <w:rsid w:val="561D19DF"/>
    <w:rsid w:val="561D378D"/>
    <w:rsid w:val="561E2F37"/>
    <w:rsid w:val="56206DD9"/>
    <w:rsid w:val="562A3A13"/>
    <w:rsid w:val="562D652E"/>
    <w:rsid w:val="562E599A"/>
    <w:rsid w:val="5632548A"/>
    <w:rsid w:val="563357D9"/>
    <w:rsid w:val="56384123"/>
    <w:rsid w:val="564156CE"/>
    <w:rsid w:val="564417BF"/>
    <w:rsid w:val="56493397"/>
    <w:rsid w:val="5656708C"/>
    <w:rsid w:val="56586573"/>
    <w:rsid w:val="566273F2"/>
    <w:rsid w:val="56632DAB"/>
    <w:rsid w:val="5664316A"/>
    <w:rsid w:val="566B44F9"/>
    <w:rsid w:val="566D0271"/>
    <w:rsid w:val="566E2119"/>
    <w:rsid w:val="566E494E"/>
    <w:rsid w:val="56757125"/>
    <w:rsid w:val="56786C15"/>
    <w:rsid w:val="567A6461"/>
    <w:rsid w:val="567E247E"/>
    <w:rsid w:val="568D4755"/>
    <w:rsid w:val="56903F5F"/>
    <w:rsid w:val="569752EE"/>
    <w:rsid w:val="56981066"/>
    <w:rsid w:val="569E667C"/>
    <w:rsid w:val="56A1616C"/>
    <w:rsid w:val="56A32F2A"/>
    <w:rsid w:val="56A96DCF"/>
    <w:rsid w:val="56B714EC"/>
    <w:rsid w:val="56B7773E"/>
    <w:rsid w:val="56B934B6"/>
    <w:rsid w:val="56C9121F"/>
    <w:rsid w:val="56CD3BB1"/>
    <w:rsid w:val="56D54068"/>
    <w:rsid w:val="56DA167E"/>
    <w:rsid w:val="56DA342C"/>
    <w:rsid w:val="56DE0939"/>
    <w:rsid w:val="56DE2F1C"/>
    <w:rsid w:val="56DE4CCA"/>
    <w:rsid w:val="56DF0A43"/>
    <w:rsid w:val="56E542AB"/>
    <w:rsid w:val="56E909A3"/>
    <w:rsid w:val="56F42740"/>
    <w:rsid w:val="56FA587C"/>
    <w:rsid w:val="56FA762A"/>
    <w:rsid w:val="56FC7846"/>
    <w:rsid w:val="57034731"/>
    <w:rsid w:val="570861EB"/>
    <w:rsid w:val="570A0D4E"/>
    <w:rsid w:val="57122BC6"/>
    <w:rsid w:val="57144B90"/>
    <w:rsid w:val="5717642E"/>
    <w:rsid w:val="571E5A0F"/>
    <w:rsid w:val="57203535"/>
    <w:rsid w:val="57256D9D"/>
    <w:rsid w:val="572B3C93"/>
    <w:rsid w:val="572D17AE"/>
    <w:rsid w:val="573A47F4"/>
    <w:rsid w:val="573B74F9"/>
    <w:rsid w:val="57454D4A"/>
    <w:rsid w:val="57541431"/>
    <w:rsid w:val="576158FB"/>
    <w:rsid w:val="5765363E"/>
    <w:rsid w:val="57664CC0"/>
    <w:rsid w:val="576A196C"/>
    <w:rsid w:val="576C0528"/>
    <w:rsid w:val="57711FE2"/>
    <w:rsid w:val="577613A7"/>
    <w:rsid w:val="57763559"/>
    <w:rsid w:val="577B0B8B"/>
    <w:rsid w:val="57805D82"/>
    <w:rsid w:val="578C2978"/>
    <w:rsid w:val="578F06BB"/>
    <w:rsid w:val="57931F59"/>
    <w:rsid w:val="57961A49"/>
    <w:rsid w:val="57A44166"/>
    <w:rsid w:val="57AE1241"/>
    <w:rsid w:val="57AF48B9"/>
    <w:rsid w:val="57B343A9"/>
    <w:rsid w:val="57BD43F2"/>
    <w:rsid w:val="57BE68AA"/>
    <w:rsid w:val="57C2283E"/>
    <w:rsid w:val="57C8188F"/>
    <w:rsid w:val="57C87729"/>
    <w:rsid w:val="57CE2F91"/>
    <w:rsid w:val="57D63BF4"/>
    <w:rsid w:val="57D850B1"/>
    <w:rsid w:val="57DF519E"/>
    <w:rsid w:val="57E06B2A"/>
    <w:rsid w:val="57E2351F"/>
    <w:rsid w:val="57E26A3C"/>
    <w:rsid w:val="57E52089"/>
    <w:rsid w:val="57F31B74"/>
    <w:rsid w:val="57F66044"/>
    <w:rsid w:val="57FA1FD8"/>
    <w:rsid w:val="58022C3B"/>
    <w:rsid w:val="58047E04"/>
    <w:rsid w:val="58093FC9"/>
    <w:rsid w:val="581C171E"/>
    <w:rsid w:val="5821437D"/>
    <w:rsid w:val="582E22F1"/>
    <w:rsid w:val="58311544"/>
    <w:rsid w:val="583F5C3D"/>
    <w:rsid w:val="58443253"/>
    <w:rsid w:val="58450D79"/>
    <w:rsid w:val="58472D43"/>
    <w:rsid w:val="584C035A"/>
    <w:rsid w:val="584D65AC"/>
    <w:rsid w:val="584E40D2"/>
    <w:rsid w:val="584E5E80"/>
    <w:rsid w:val="58536F57"/>
    <w:rsid w:val="58575D94"/>
    <w:rsid w:val="58580AAD"/>
    <w:rsid w:val="58591147"/>
    <w:rsid w:val="58594DCC"/>
    <w:rsid w:val="585A2A77"/>
    <w:rsid w:val="585D299D"/>
    <w:rsid w:val="58616610"/>
    <w:rsid w:val="586236D9"/>
    <w:rsid w:val="5866141B"/>
    <w:rsid w:val="586D55CA"/>
    <w:rsid w:val="586E207E"/>
    <w:rsid w:val="5872548E"/>
    <w:rsid w:val="58773629"/>
    <w:rsid w:val="587A1231"/>
    <w:rsid w:val="587B479B"/>
    <w:rsid w:val="58802140"/>
    <w:rsid w:val="58864CCC"/>
    <w:rsid w:val="58913FBE"/>
    <w:rsid w:val="58922210"/>
    <w:rsid w:val="58932051"/>
    <w:rsid w:val="58977827"/>
    <w:rsid w:val="5898359F"/>
    <w:rsid w:val="58A261CC"/>
    <w:rsid w:val="58A3008C"/>
    <w:rsid w:val="58A3441E"/>
    <w:rsid w:val="58AB1524"/>
    <w:rsid w:val="58AD321C"/>
    <w:rsid w:val="58AE60E0"/>
    <w:rsid w:val="58B54151"/>
    <w:rsid w:val="58BD103C"/>
    <w:rsid w:val="58BD4DB3"/>
    <w:rsid w:val="58CC5D94"/>
    <w:rsid w:val="58CE6FC1"/>
    <w:rsid w:val="58D00315"/>
    <w:rsid w:val="58D02D39"/>
    <w:rsid w:val="58D26AB1"/>
    <w:rsid w:val="58D47E44"/>
    <w:rsid w:val="58D64DA6"/>
    <w:rsid w:val="58D72319"/>
    <w:rsid w:val="58DC16DE"/>
    <w:rsid w:val="58E42340"/>
    <w:rsid w:val="58E6430A"/>
    <w:rsid w:val="58E71D37"/>
    <w:rsid w:val="58E8542F"/>
    <w:rsid w:val="58EE31BF"/>
    <w:rsid w:val="58F32C2F"/>
    <w:rsid w:val="58F44C79"/>
    <w:rsid w:val="58F57DBE"/>
    <w:rsid w:val="58F9403E"/>
    <w:rsid w:val="58FD29BF"/>
    <w:rsid w:val="59034EBC"/>
    <w:rsid w:val="5906675A"/>
    <w:rsid w:val="590A624B"/>
    <w:rsid w:val="590F3861"/>
    <w:rsid w:val="5918350F"/>
    <w:rsid w:val="5919023C"/>
    <w:rsid w:val="59232E69"/>
    <w:rsid w:val="592369DC"/>
    <w:rsid w:val="592941F7"/>
    <w:rsid w:val="59301A29"/>
    <w:rsid w:val="593212FE"/>
    <w:rsid w:val="59345076"/>
    <w:rsid w:val="593B3D72"/>
    <w:rsid w:val="5943350B"/>
    <w:rsid w:val="594C6863"/>
    <w:rsid w:val="594D4389"/>
    <w:rsid w:val="594F3C5E"/>
    <w:rsid w:val="59543BB4"/>
    <w:rsid w:val="595474C6"/>
    <w:rsid w:val="595B0854"/>
    <w:rsid w:val="595E20F3"/>
    <w:rsid w:val="59611BE3"/>
    <w:rsid w:val="59671B16"/>
    <w:rsid w:val="59686D10"/>
    <w:rsid w:val="596A4F3B"/>
    <w:rsid w:val="596A6CE9"/>
    <w:rsid w:val="5975743C"/>
    <w:rsid w:val="59777658"/>
    <w:rsid w:val="597832C4"/>
    <w:rsid w:val="597933D0"/>
    <w:rsid w:val="597E6B02"/>
    <w:rsid w:val="59802427"/>
    <w:rsid w:val="5980475F"/>
    <w:rsid w:val="59822285"/>
    <w:rsid w:val="59835FFD"/>
    <w:rsid w:val="59843693"/>
    <w:rsid w:val="598C52F8"/>
    <w:rsid w:val="59926240"/>
    <w:rsid w:val="59927FEE"/>
    <w:rsid w:val="59965D30"/>
    <w:rsid w:val="599F73C0"/>
    <w:rsid w:val="59A50F2F"/>
    <w:rsid w:val="59A55F73"/>
    <w:rsid w:val="59A66240"/>
    <w:rsid w:val="59AA17DC"/>
    <w:rsid w:val="59BC506B"/>
    <w:rsid w:val="59C27A48"/>
    <w:rsid w:val="59C52172"/>
    <w:rsid w:val="59C7413C"/>
    <w:rsid w:val="59D26E89"/>
    <w:rsid w:val="59D46859"/>
    <w:rsid w:val="59D67C33"/>
    <w:rsid w:val="59D7792D"/>
    <w:rsid w:val="59E44CEE"/>
    <w:rsid w:val="59E85E60"/>
    <w:rsid w:val="59E940B2"/>
    <w:rsid w:val="59EA607C"/>
    <w:rsid w:val="59EC3BA2"/>
    <w:rsid w:val="59EC76FE"/>
    <w:rsid w:val="59F35FCF"/>
    <w:rsid w:val="59F45CC0"/>
    <w:rsid w:val="59FA62BF"/>
    <w:rsid w:val="59FB0C97"/>
    <w:rsid w:val="59FE7432"/>
    <w:rsid w:val="5A0246CB"/>
    <w:rsid w:val="5A026F22"/>
    <w:rsid w:val="5A071751"/>
    <w:rsid w:val="5A0F163F"/>
    <w:rsid w:val="5A0F7891"/>
    <w:rsid w:val="5A144CFE"/>
    <w:rsid w:val="5A155289"/>
    <w:rsid w:val="5A1B4488"/>
    <w:rsid w:val="5A201A9E"/>
    <w:rsid w:val="5A24333C"/>
    <w:rsid w:val="5A276988"/>
    <w:rsid w:val="5A2C7CFB"/>
    <w:rsid w:val="5A2E0BD4"/>
    <w:rsid w:val="5A3D43FE"/>
    <w:rsid w:val="5A496C5B"/>
    <w:rsid w:val="5A497C4F"/>
    <w:rsid w:val="5A511C57"/>
    <w:rsid w:val="5A53777D"/>
    <w:rsid w:val="5A581238"/>
    <w:rsid w:val="5A6E2809"/>
    <w:rsid w:val="5A6F063B"/>
    <w:rsid w:val="5A76346C"/>
    <w:rsid w:val="5A7A6108"/>
    <w:rsid w:val="5A802498"/>
    <w:rsid w:val="5A8628CB"/>
    <w:rsid w:val="5A8634E4"/>
    <w:rsid w:val="5A865DA5"/>
    <w:rsid w:val="5A8B5D3D"/>
    <w:rsid w:val="5A9009D2"/>
    <w:rsid w:val="5A955FE8"/>
    <w:rsid w:val="5A9A35FE"/>
    <w:rsid w:val="5AA21294"/>
    <w:rsid w:val="5AAE0E58"/>
    <w:rsid w:val="5AB97222"/>
    <w:rsid w:val="5ABA15AB"/>
    <w:rsid w:val="5ABC3575"/>
    <w:rsid w:val="5AC92D10"/>
    <w:rsid w:val="5ACA2EAE"/>
    <w:rsid w:val="5ACD5994"/>
    <w:rsid w:val="5AD07020"/>
    <w:rsid w:val="5AD308BE"/>
    <w:rsid w:val="5AD84127"/>
    <w:rsid w:val="5ADA7E9F"/>
    <w:rsid w:val="5ADB48B4"/>
    <w:rsid w:val="5ADD29F0"/>
    <w:rsid w:val="5ADF7263"/>
    <w:rsid w:val="5AE34FA5"/>
    <w:rsid w:val="5AE42ACB"/>
    <w:rsid w:val="5AEE74A6"/>
    <w:rsid w:val="5AF0321E"/>
    <w:rsid w:val="5AF076C2"/>
    <w:rsid w:val="5AF251E8"/>
    <w:rsid w:val="5AF34ABD"/>
    <w:rsid w:val="5AFF16B3"/>
    <w:rsid w:val="5AFF7905"/>
    <w:rsid w:val="5B01367D"/>
    <w:rsid w:val="5B046CCA"/>
    <w:rsid w:val="5B062A42"/>
    <w:rsid w:val="5B101B12"/>
    <w:rsid w:val="5B21162A"/>
    <w:rsid w:val="5B286E5C"/>
    <w:rsid w:val="5B2A416F"/>
    <w:rsid w:val="5B3C46B5"/>
    <w:rsid w:val="5B433C96"/>
    <w:rsid w:val="5B45318E"/>
    <w:rsid w:val="5B455918"/>
    <w:rsid w:val="5B4D3EFA"/>
    <w:rsid w:val="5B547D0C"/>
    <w:rsid w:val="5B597015"/>
    <w:rsid w:val="5B5F2152"/>
    <w:rsid w:val="5B615ECA"/>
    <w:rsid w:val="5B631C42"/>
    <w:rsid w:val="5B647768"/>
    <w:rsid w:val="5B6854AA"/>
    <w:rsid w:val="5B721E85"/>
    <w:rsid w:val="5B750193"/>
    <w:rsid w:val="5B765E19"/>
    <w:rsid w:val="5B7B51DE"/>
    <w:rsid w:val="5B7E6A7C"/>
    <w:rsid w:val="5B8027F4"/>
    <w:rsid w:val="5B813D80"/>
    <w:rsid w:val="5B834092"/>
    <w:rsid w:val="5B8B1199"/>
    <w:rsid w:val="5B947FC6"/>
    <w:rsid w:val="5B9745B5"/>
    <w:rsid w:val="5B982FBB"/>
    <w:rsid w:val="5B9938B6"/>
    <w:rsid w:val="5B9A03B8"/>
    <w:rsid w:val="5B9C5154"/>
    <w:rsid w:val="5BA03FC4"/>
    <w:rsid w:val="5BA746EF"/>
    <w:rsid w:val="5BAA72E7"/>
    <w:rsid w:val="5BAE5981"/>
    <w:rsid w:val="5BB636D1"/>
    <w:rsid w:val="5BBC75A4"/>
    <w:rsid w:val="5BBD57F6"/>
    <w:rsid w:val="5BBD6603"/>
    <w:rsid w:val="5BBE50CA"/>
    <w:rsid w:val="5BC522BB"/>
    <w:rsid w:val="5BC621D1"/>
    <w:rsid w:val="5BE064AE"/>
    <w:rsid w:val="5BE32D83"/>
    <w:rsid w:val="5BE663CF"/>
    <w:rsid w:val="5BF2247E"/>
    <w:rsid w:val="5BF84A80"/>
    <w:rsid w:val="5BF925A6"/>
    <w:rsid w:val="5C084598"/>
    <w:rsid w:val="5C0C052C"/>
    <w:rsid w:val="5C0C58DA"/>
    <w:rsid w:val="5C0D7E00"/>
    <w:rsid w:val="5C0F2C68"/>
    <w:rsid w:val="5C1301FD"/>
    <w:rsid w:val="5C186ED1"/>
    <w:rsid w:val="5C1A18C6"/>
    <w:rsid w:val="5C1B4C93"/>
    <w:rsid w:val="5C1C655D"/>
    <w:rsid w:val="5C20297E"/>
    <w:rsid w:val="5C245875"/>
    <w:rsid w:val="5C270EC2"/>
    <w:rsid w:val="5C2F7D76"/>
    <w:rsid w:val="5C311D40"/>
    <w:rsid w:val="5C390BF5"/>
    <w:rsid w:val="5C474728"/>
    <w:rsid w:val="5C484A27"/>
    <w:rsid w:val="5C50666A"/>
    <w:rsid w:val="5C553C81"/>
    <w:rsid w:val="5C606182"/>
    <w:rsid w:val="5C657C3C"/>
    <w:rsid w:val="5C6739B4"/>
    <w:rsid w:val="5C6D1BB7"/>
    <w:rsid w:val="5C71213D"/>
    <w:rsid w:val="5C734994"/>
    <w:rsid w:val="5C756F80"/>
    <w:rsid w:val="5C80643E"/>
    <w:rsid w:val="5C834301"/>
    <w:rsid w:val="5C8775E4"/>
    <w:rsid w:val="5C8C6F77"/>
    <w:rsid w:val="5C8E0F41"/>
    <w:rsid w:val="5C9522CF"/>
    <w:rsid w:val="5C9D73D6"/>
    <w:rsid w:val="5CA241D1"/>
    <w:rsid w:val="5CB00B41"/>
    <w:rsid w:val="5CB14C2F"/>
    <w:rsid w:val="5CB84210"/>
    <w:rsid w:val="5CBB021B"/>
    <w:rsid w:val="5CBD5382"/>
    <w:rsid w:val="5CBF734C"/>
    <w:rsid w:val="5CC76201"/>
    <w:rsid w:val="5CC8534F"/>
    <w:rsid w:val="5CD64696"/>
    <w:rsid w:val="5CD66444"/>
    <w:rsid w:val="5CD86660"/>
    <w:rsid w:val="5CDA5F34"/>
    <w:rsid w:val="5CDF354A"/>
    <w:rsid w:val="5CE6749E"/>
    <w:rsid w:val="5CE768A3"/>
    <w:rsid w:val="5CE97CE3"/>
    <w:rsid w:val="5CEB6393"/>
    <w:rsid w:val="5CFC234E"/>
    <w:rsid w:val="5D011713"/>
    <w:rsid w:val="5D0448EB"/>
    <w:rsid w:val="5D1C654D"/>
    <w:rsid w:val="5D1D4073"/>
    <w:rsid w:val="5D1F27C7"/>
    <w:rsid w:val="5D215911"/>
    <w:rsid w:val="5D2378DB"/>
    <w:rsid w:val="5D292A17"/>
    <w:rsid w:val="5D2B49E2"/>
    <w:rsid w:val="5D2C6C49"/>
    <w:rsid w:val="5D30024A"/>
    <w:rsid w:val="5D303DA6"/>
    <w:rsid w:val="5D3E4715"/>
    <w:rsid w:val="5D465377"/>
    <w:rsid w:val="5D4B6E32"/>
    <w:rsid w:val="5D4D6706"/>
    <w:rsid w:val="5D5201C0"/>
    <w:rsid w:val="5D5757D7"/>
    <w:rsid w:val="5D5932FD"/>
    <w:rsid w:val="5D5F28DD"/>
    <w:rsid w:val="5D6369FA"/>
    <w:rsid w:val="5D666F91"/>
    <w:rsid w:val="5D681792"/>
    <w:rsid w:val="5D6D0B56"/>
    <w:rsid w:val="5D777C27"/>
    <w:rsid w:val="5D804D2D"/>
    <w:rsid w:val="5D870FD6"/>
    <w:rsid w:val="5D8F250B"/>
    <w:rsid w:val="5D9302F4"/>
    <w:rsid w:val="5D9911E0"/>
    <w:rsid w:val="5DA30A1C"/>
    <w:rsid w:val="5DA501D9"/>
    <w:rsid w:val="5DA910F6"/>
    <w:rsid w:val="5DB04EE7"/>
    <w:rsid w:val="5DB06C95"/>
    <w:rsid w:val="5DBB3FB7"/>
    <w:rsid w:val="5DBB5D65"/>
    <w:rsid w:val="5DBE13B2"/>
    <w:rsid w:val="5DC0337C"/>
    <w:rsid w:val="5DC2123B"/>
    <w:rsid w:val="5DC81396"/>
    <w:rsid w:val="5DD010E5"/>
    <w:rsid w:val="5DD62B9F"/>
    <w:rsid w:val="5DD706C5"/>
    <w:rsid w:val="5DDC3F2E"/>
    <w:rsid w:val="5DDE7CA6"/>
    <w:rsid w:val="5DE3706A"/>
    <w:rsid w:val="5DED7EE9"/>
    <w:rsid w:val="5DF9063C"/>
    <w:rsid w:val="5DFE10F0"/>
    <w:rsid w:val="5E005E6E"/>
    <w:rsid w:val="5E033269"/>
    <w:rsid w:val="5E0564FD"/>
    <w:rsid w:val="5E0732F6"/>
    <w:rsid w:val="5E1611EE"/>
    <w:rsid w:val="5E162F9C"/>
    <w:rsid w:val="5E2A6A47"/>
    <w:rsid w:val="5E2F22B0"/>
    <w:rsid w:val="5E337FF2"/>
    <w:rsid w:val="5E385608"/>
    <w:rsid w:val="5E391380"/>
    <w:rsid w:val="5E3E0745"/>
    <w:rsid w:val="5E451AD3"/>
    <w:rsid w:val="5E473A9D"/>
    <w:rsid w:val="5E4966A0"/>
    <w:rsid w:val="5E4A533B"/>
    <w:rsid w:val="5E5447B8"/>
    <w:rsid w:val="5E5B2DF6"/>
    <w:rsid w:val="5E5C0C6C"/>
    <w:rsid w:val="5E5D506F"/>
    <w:rsid w:val="5E617CB0"/>
    <w:rsid w:val="5E622685"/>
    <w:rsid w:val="5E622BAC"/>
    <w:rsid w:val="5E652175"/>
    <w:rsid w:val="5E655CD1"/>
    <w:rsid w:val="5E6737F7"/>
    <w:rsid w:val="5E68756F"/>
    <w:rsid w:val="5E744166"/>
    <w:rsid w:val="5E7646B6"/>
    <w:rsid w:val="5E7B72A3"/>
    <w:rsid w:val="5E7D74BF"/>
    <w:rsid w:val="5E856373"/>
    <w:rsid w:val="5E8A3F76"/>
    <w:rsid w:val="5E8C5954"/>
    <w:rsid w:val="5E930A90"/>
    <w:rsid w:val="5E954808"/>
    <w:rsid w:val="5E9B7945"/>
    <w:rsid w:val="5E9D5F99"/>
    <w:rsid w:val="5EA63795"/>
    <w:rsid w:val="5EAB007C"/>
    <w:rsid w:val="5EAC3900"/>
    <w:rsid w:val="5EAF519E"/>
    <w:rsid w:val="5EB10F16"/>
    <w:rsid w:val="5EB65BA5"/>
    <w:rsid w:val="5EBD5B0D"/>
    <w:rsid w:val="5EBF51BD"/>
    <w:rsid w:val="5EC0115A"/>
    <w:rsid w:val="5EC40C4A"/>
    <w:rsid w:val="5EC73BE1"/>
    <w:rsid w:val="5ECB022A"/>
    <w:rsid w:val="5ED115B9"/>
    <w:rsid w:val="5ED52E57"/>
    <w:rsid w:val="5EDA221B"/>
    <w:rsid w:val="5EE432EE"/>
    <w:rsid w:val="5EE47C66"/>
    <w:rsid w:val="5EE61080"/>
    <w:rsid w:val="5EF17565"/>
    <w:rsid w:val="5EF552A7"/>
    <w:rsid w:val="5EFA28BD"/>
    <w:rsid w:val="5EFD6EAF"/>
    <w:rsid w:val="5F0008BF"/>
    <w:rsid w:val="5F0537B5"/>
    <w:rsid w:val="5F08322C"/>
    <w:rsid w:val="5F1119B5"/>
    <w:rsid w:val="5F1267B2"/>
    <w:rsid w:val="5F155949"/>
    <w:rsid w:val="5F2913F5"/>
    <w:rsid w:val="5F322057"/>
    <w:rsid w:val="5F411581"/>
    <w:rsid w:val="5F41673E"/>
    <w:rsid w:val="5F487ACD"/>
    <w:rsid w:val="5F4D6E91"/>
    <w:rsid w:val="5F5226F9"/>
    <w:rsid w:val="5F5577CC"/>
    <w:rsid w:val="5F571ABE"/>
    <w:rsid w:val="5F5D4BFA"/>
    <w:rsid w:val="5F6D308F"/>
    <w:rsid w:val="5F6D5B42"/>
    <w:rsid w:val="5F6E5059"/>
    <w:rsid w:val="5F7E34EF"/>
    <w:rsid w:val="5F88611B"/>
    <w:rsid w:val="5F893C41"/>
    <w:rsid w:val="5F8D3732"/>
    <w:rsid w:val="5F906D7E"/>
    <w:rsid w:val="5F9A7BFD"/>
    <w:rsid w:val="5FA016B7"/>
    <w:rsid w:val="5FAD16DE"/>
    <w:rsid w:val="5FB07420"/>
    <w:rsid w:val="5FB962D5"/>
    <w:rsid w:val="5FBB2D96"/>
    <w:rsid w:val="5FBB6258"/>
    <w:rsid w:val="5FBF31BD"/>
    <w:rsid w:val="5FC3405D"/>
    <w:rsid w:val="5FC44C79"/>
    <w:rsid w:val="5FC627A0"/>
    <w:rsid w:val="5FD27396"/>
    <w:rsid w:val="5FD56E87"/>
    <w:rsid w:val="5FD967E5"/>
    <w:rsid w:val="5FDD7B11"/>
    <w:rsid w:val="5FE315A4"/>
    <w:rsid w:val="5FED2422"/>
    <w:rsid w:val="5FEF619A"/>
    <w:rsid w:val="5FF13C3A"/>
    <w:rsid w:val="5FF67529"/>
    <w:rsid w:val="5FF90DC7"/>
    <w:rsid w:val="5FFD50DB"/>
    <w:rsid w:val="5FFE018B"/>
    <w:rsid w:val="60025ECE"/>
    <w:rsid w:val="6008725C"/>
    <w:rsid w:val="60123C37"/>
    <w:rsid w:val="60196D73"/>
    <w:rsid w:val="60213E7A"/>
    <w:rsid w:val="60234709"/>
    <w:rsid w:val="60251BBC"/>
    <w:rsid w:val="60262315"/>
    <w:rsid w:val="60275934"/>
    <w:rsid w:val="602816AC"/>
    <w:rsid w:val="602B34E9"/>
    <w:rsid w:val="602C2F4B"/>
    <w:rsid w:val="602E260D"/>
    <w:rsid w:val="60327E35"/>
    <w:rsid w:val="60343BAD"/>
    <w:rsid w:val="60360D16"/>
    <w:rsid w:val="603E67DA"/>
    <w:rsid w:val="604638E0"/>
    <w:rsid w:val="60483AFC"/>
    <w:rsid w:val="604C113B"/>
    <w:rsid w:val="60600E46"/>
    <w:rsid w:val="6062696C"/>
    <w:rsid w:val="606C3347"/>
    <w:rsid w:val="606D5311"/>
    <w:rsid w:val="60716BAF"/>
    <w:rsid w:val="607B17DC"/>
    <w:rsid w:val="607B7A2E"/>
    <w:rsid w:val="607C230F"/>
    <w:rsid w:val="60874625"/>
    <w:rsid w:val="608D150F"/>
    <w:rsid w:val="60966616"/>
    <w:rsid w:val="6098413C"/>
    <w:rsid w:val="609C217B"/>
    <w:rsid w:val="609F0D8B"/>
    <w:rsid w:val="60A056E7"/>
    <w:rsid w:val="60A07495"/>
    <w:rsid w:val="60A2320D"/>
    <w:rsid w:val="60A36C71"/>
    <w:rsid w:val="60A46F85"/>
    <w:rsid w:val="60AC0F7A"/>
    <w:rsid w:val="60AE3960"/>
    <w:rsid w:val="60BB7E2A"/>
    <w:rsid w:val="60D25AE4"/>
    <w:rsid w:val="60E20FBA"/>
    <w:rsid w:val="60E5134B"/>
    <w:rsid w:val="60E84F1C"/>
    <w:rsid w:val="60EE0200"/>
    <w:rsid w:val="60F3133D"/>
    <w:rsid w:val="60F35816"/>
    <w:rsid w:val="60FF065F"/>
    <w:rsid w:val="60FF1094"/>
    <w:rsid w:val="61013C75"/>
    <w:rsid w:val="610C29D7"/>
    <w:rsid w:val="61120392"/>
    <w:rsid w:val="611759A9"/>
    <w:rsid w:val="61195B87"/>
    <w:rsid w:val="611A0FC9"/>
    <w:rsid w:val="611D6D37"/>
    <w:rsid w:val="612400C6"/>
    <w:rsid w:val="61241AA9"/>
    <w:rsid w:val="61273712"/>
    <w:rsid w:val="612F6E6D"/>
    <w:rsid w:val="61357BDD"/>
    <w:rsid w:val="613876CD"/>
    <w:rsid w:val="613D1187"/>
    <w:rsid w:val="614A7AA9"/>
    <w:rsid w:val="614C4F26"/>
    <w:rsid w:val="615269E1"/>
    <w:rsid w:val="6155282B"/>
    <w:rsid w:val="615B2E7E"/>
    <w:rsid w:val="61646714"/>
    <w:rsid w:val="61677FB2"/>
    <w:rsid w:val="616F4B82"/>
    <w:rsid w:val="61761FA3"/>
    <w:rsid w:val="617A1A94"/>
    <w:rsid w:val="617B71F1"/>
    <w:rsid w:val="617C0DC9"/>
    <w:rsid w:val="617D3332"/>
    <w:rsid w:val="618038BB"/>
    <w:rsid w:val="618172C6"/>
    <w:rsid w:val="618943CD"/>
    <w:rsid w:val="618E553F"/>
    <w:rsid w:val="61923281"/>
    <w:rsid w:val="61926DDD"/>
    <w:rsid w:val="61970898"/>
    <w:rsid w:val="619A3EE4"/>
    <w:rsid w:val="619D5782"/>
    <w:rsid w:val="619D58B4"/>
    <w:rsid w:val="61A66CD3"/>
    <w:rsid w:val="61A86601"/>
    <w:rsid w:val="61A94127"/>
    <w:rsid w:val="61B03707"/>
    <w:rsid w:val="61B71FD1"/>
    <w:rsid w:val="61BA4586"/>
    <w:rsid w:val="61BC02FE"/>
    <w:rsid w:val="61C64CD9"/>
    <w:rsid w:val="61CB0541"/>
    <w:rsid w:val="61D07906"/>
    <w:rsid w:val="61D27B22"/>
    <w:rsid w:val="61D90EB0"/>
    <w:rsid w:val="61DB16BD"/>
    <w:rsid w:val="61DB4BA8"/>
    <w:rsid w:val="61E12FCC"/>
    <w:rsid w:val="61E433B1"/>
    <w:rsid w:val="61ED04B8"/>
    <w:rsid w:val="61EE237D"/>
    <w:rsid w:val="61F23D20"/>
    <w:rsid w:val="61F730E4"/>
    <w:rsid w:val="61F96E5C"/>
    <w:rsid w:val="6200468F"/>
    <w:rsid w:val="62045801"/>
    <w:rsid w:val="62051CA5"/>
    <w:rsid w:val="62062BE2"/>
    <w:rsid w:val="620677CB"/>
    <w:rsid w:val="62077C55"/>
    <w:rsid w:val="620E294A"/>
    <w:rsid w:val="62126E74"/>
    <w:rsid w:val="62127F1E"/>
    <w:rsid w:val="62195750"/>
    <w:rsid w:val="621C2B4B"/>
    <w:rsid w:val="621E4B15"/>
    <w:rsid w:val="62206ADF"/>
    <w:rsid w:val="62257FFA"/>
    <w:rsid w:val="622E3F37"/>
    <w:rsid w:val="62347A07"/>
    <w:rsid w:val="62361E82"/>
    <w:rsid w:val="623A06D5"/>
    <w:rsid w:val="623A1223"/>
    <w:rsid w:val="623B7475"/>
    <w:rsid w:val="62465E1A"/>
    <w:rsid w:val="624D253F"/>
    <w:rsid w:val="6252656D"/>
    <w:rsid w:val="62552200"/>
    <w:rsid w:val="625B7B17"/>
    <w:rsid w:val="626161E9"/>
    <w:rsid w:val="62620EA5"/>
    <w:rsid w:val="62683FE2"/>
    <w:rsid w:val="626D15F8"/>
    <w:rsid w:val="62722BD8"/>
    <w:rsid w:val="62726C0F"/>
    <w:rsid w:val="62755D04"/>
    <w:rsid w:val="62797F9D"/>
    <w:rsid w:val="62872D6C"/>
    <w:rsid w:val="62886432"/>
    <w:rsid w:val="628A50FE"/>
    <w:rsid w:val="628F3483"/>
    <w:rsid w:val="6299419B"/>
    <w:rsid w:val="629B7F14"/>
    <w:rsid w:val="629C5290"/>
    <w:rsid w:val="629D3C8C"/>
    <w:rsid w:val="629D5E7C"/>
    <w:rsid w:val="629E17B2"/>
    <w:rsid w:val="629E5C56"/>
    <w:rsid w:val="62A32CCC"/>
    <w:rsid w:val="62A530A3"/>
    <w:rsid w:val="62AA3B7D"/>
    <w:rsid w:val="62AB5D06"/>
    <w:rsid w:val="62AD115F"/>
    <w:rsid w:val="62AD60B9"/>
    <w:rsid w:val="62B9550B"/>
    <w:rsid w:val="62B965EC"/>
    <w:rsid w:val="62BB539F"/>
    <w:rsid w:val="62BB7559"/>
    <w:rsid w:val="62C70D09"/>
    <w:rsid w:val="62C84A81"/>
    <w:rsid w:val="62D358FF"/>
    <w:rsid w:val="62D94FBC"/>
    <w:rsid w:val="62DD052C"/>
    <w:rsid w:val="62DD22DA"/>
    <w:rsid w:val="62DF24F6"/>
    <w:rsid w:val="62E30593"/>
    <w:rsid w:val="62EC4C13"/>
    <w:rsid w:val="62EC69C1"/>
    <w:rsid w:val="62EE098B"/>
    <w:rsid w:val="62F85366"/>
    <w:rsid w:val="630006BE"/>
    <w:rsid w:val="63041F5D"/>
    <w:rsid w:val="630A6E47"/>
    <w:rsid w:val="630E2DDB"/>
    <w:rsid w:val="6311467A"/>
    <w:rsid w:val="63114EA6"/>
    <w:rsid w:val="63146601"/>
    <w:rsid w:val="63183D88"/>
    <w:rsid w:val="631877B6"/>
    <w:rsid w:val="631D301E"/>
    <w:rsid w:val="631F16A9"/>
    <w:rsid w:val="63367C3C"/>
    <w:rsid w:val="633D546F"/>
    <w:rsid w:val="633E4DE2"/>
    <w:rsid w:val="63414F5F"/>
    <w:rsid w:val="63422A85"/>
    <w:rsid w:val="63450090"/>
    <w:rsid w:val="634560D1"/>
    <w:rsid w:val="634E142A"/>
    <w:rsid w:val="63520234"/>
    <w:rsid w:val="635263D8"/>
    <w:rsid w:val="635C27E3"/>
    <w:rsid w:val="63624ED5"/>
    <w:rsid w:val="63691DC0"/>
    <w:rsid w:val="637024EA"/>
    <w:rsid w:val="637813ED"/>
    <w:rsid w:val="6378379F"/>
    <w:rsid w:val="63864720"/>
    <w:rsid w:val="638957C1"/>
    <w:rsid w:val="638B442C"/>
    <w:rsid w:val="638B7268"/>
    <w:rsid w:val="638C2A14"/>
    <w:rsid w:val="638C7D15"/>
    <w:rsid w:val="6393508F"/>
    <w:rsid w:val="639D1D54"/>
    <w:rsid w:val="639D7CBB"/>
    <w:rsid w:val="63A66B70"/>
    <w:rsid w:val="63A948B2"/>
    <w:rsid w:val="63AB062A"/>
    <w:rsid w:val="63B079EF"/>
    <w:rsid w:val="63CA7CD5"/>
    <w:rsid w:val="63D27965"/>
    <w:rsid w:val="63D40F9D"/>
    <w:rsid w:val="63D713EB"/>
    <w:rsid w:val="63D77E29"/>
    <w:rsid w:val="63DC07E4"/>
    <w:rsid w:val="63DF0505"/>
    <w:rsid w:val="63E31B72"/>
    <w:rsid w:val="63E91153"/>
    <w:rsid w:val="63F74184"/>
    <w:rsid w:val="63FA3360"/>
    <w:rsid w:val="64044275"/>
    <w:rsid w:val="64094335"/>
    <w:rsid w:val="640B731B"/>
    <w:rsid w:val="641066DF"/>
    <w:rsid w:val="64153CF6"/>
    <w:rsid w:val="6417181C"/>
    <w:rsid w:val="641B57B0"/>
    <w:rsid w:val="641C5084"/>
    <w:rsid w:val="641F0E7D"/>
    <w:rsid w:val="641F6922"/>
    <w:rsid w:val="64216B3E"/>
    <w:rsid w:val="642A59F3"/>
    <w:rsid w:val="64300B2F"/>
    <w:rsid w:val="64310E2C"/>
    <w:rsid w:val="64346872"/>
    <w:rsid w:val="643530A3"/>
    <w:rsid w:val="643C5726"/>
    <w:rsid w:val="644442D9"/>
    <w:rsid w:val="644F0FB6"/>
    <w:rsid w:val="64550596"/>
    <w:rsid w:val="646507D9"/>
    <w:rsid w:val="64680857"/>
    <w:rsid w:val="64682077"/>
    <w:rsid w:val="646A2293"/>
    <w:rsid w:val="64763D12"/>
    <w:rsid w:val="647B7FFD"/>
    <w:rsid w:val="647C0B99"/>
    <w:rsid w:val="647E14DB"/>
    <w:rsid w:val="64832E50"/>
    <w:rsid w:val="64835103"/>
    <w:rsid w:val="64836EB1"/>
    <w:rsid w:val="64850E7B"/>
    <w:rsid w:val="649035F8"/>
    <w:rsid w:val="64916F24"/>
    <w:rsid w:val="649216BA"/>
    <w:rsid w:val="64982614"/>
    <w:rsid w:val="649B069F"/>
    <w:rsid w:val="649B244D"/>
    <w:rsid w:val="64BD6867"/>
    <w:rsid w:val="64C319A4"/>
    <w:rsid w:val="64C574CA"/>
    <w:rsid w:val="64CA0F84"/>
    <w:rsid w:val="64CD008B"/>
    <w:rsid w:val="64D63485"/>
    <w:rsid w:val="64E70858"/>
    <w:rsid w:val="64EA7169"/>
    <w:rsid w:val="64EE4C72"/>
    <w:rsid w:val="64EF1BBB"/>
    <w:rsid w:val="64F13BAE"/>
    <w:rsid w:val="64F14FE5"/>
    <w:rsid w:val="64F733FB"/>
    <w:rsid w:val="64F93617"/>
    <w:rsid w:val="64FB113D"/>
    <w:rsid w:val="64FC6110"/>
    <w:rsid w:val="64FD1CC4"/>
    <w:rsid w:val="64FD59C8"/>
    <w:rsid w:val="64FE478A"/>
    <w:rsid w:val="6502071E"/>
    <w:rsid w:val="65071890"/>
    <w:rsid w:val="650A1380"/>
    <w:rsid w:val="650C1208"/>
    <w:rsid w:val="650F6997"/>
    <w:rsid w:val="651144BD"/>
    <w:rsid w:val="65147874"/>
    <w:rsid w:val="652561BA"/>
    <w:rsid w:val="65256EAA"/>
    <w:rsid w:val="652F0DE7"/>
    <w:rsid w:val="652F2B95"/>
    <w:rsid w:val="653528A1"/>
    <w:rsid w:val="653D1756"/>
    <w:rsid w:val="653E102A"/>
    <w:rsid w:val="65411653"/>
    <w:rsid w:val="65472E61"/>
    <w:rsid w:val="654B3E73"/>
    <w:rsid w:val="654C7BEB"/>
    <w:rsid w:val="65502C78"/>
    <w:rsid w:val="65534AD5"/>
    <w:rsid w:val="655448FC"/>
    <w:rsid w:val="655645C6"/>
    <w:rsid w:val="65624D19"/>
    <w:rsid w:val="65670581"/>
    <w:rsid w:val="65674A25"/>
    <w:rsid w:val="656B1416"/>
    <w:rsid w:val="656D37B1"/>
    <w:rsid w:val="65720290"/>
    <w:rsid w:val="65723276"/>
    <w:rsid w:val="657D4B0B"/>
    <w:rsid w:val="65847385"/>
    <w:rsid w:val="658C7FE7"/>
    <w:rsid w:val="658E5B0E"/>
    <w:rsid w:val="659550EE"/>
    <w:rsid w:val="65984BDE"/>
    <w:rsid w:val="659B022A"/>
    <w:rsid w:val="659D3FA3"/>
    <w:rsid w:val="65A11CE5"/>
    <w:rsid w:val="65A47EE3"/>
    <w:rsid w:val="65A63AF3"/>
    <w:rsid w:val="65B25CA0"/>
    <w:rsid w:val="65B60634"/>
    <w:rsid w:val="65B71508"/>
    <w:rsid w:val="65B732B6"/>
    <w:rsid w:val="65BD63F3"/>
    <w:rsid w:val="65C079F0"/>
    <w:rsid w:val="65C07C91"/>
    <w:rsid w:val="65C50665"/>
    <w:rsid w:val="65CB4FB4"/>
    <w:rsid w:val="65CD7886"/>
    <w:rsid w:val="65DD6A95"/>
    <w:rsid w:val="65DE26ED"/>
    <w:rsid w:val="65E971E8"/>
    <w:rsid w:val="65F362B8"/>
    <w:rsid w:val="65F50249"/>
    <w:rsid w:val="65F755BB"/>
    <w:rsid w:val="65FA31A3"/>
    <w:rsid w:val="65FA4727"/>
    <w:rsid w:val="65FC516D"/>
    <w:rsid w:val="660014C1"/>
    <w:rsid w:val="660404C6"/>
    <w:rsid w:val="660D1128"/>
    <w:rsid w:val="660E6C4E"/>
    <w:rsid w:val="661221A0"/>
    <w:rsid w:val="66154481"/>
    <w:rsid w:val="661B38B3"/>
    <w:rsid w:val="661E50E3"/>
    <w:rsid w:val="66201716"/>
    <w:rsid w:val="662326FA"/>
    <w:rsid w:val="66372649"/>
    <w:rsid w:val="66376A68"/>
    <w:rsid w:val="663A3EE7"/>
    <w:rsid w:val="66442670"/>
    <w:rsid w:val="66486604"/>
    <w:rsid w:val="66544FA9"/>
    <w:rsid w:val="66550C7C"/>
    <w:rsid w:val="66560D21"/>
    <w:rsid w:val="665A7339"/>
    <w:rsid w:val="666430EE"/>
    <w:rsid w:val="66703465"/>
    <w:rsid w:val="66723681"/>
    <w:rsid w:val="66754F1F"/>
    <w:rsid w:val="668533B4"/>
    <w:rsid w:val="668B4655"/>
    <w:rsid w:val="669453A6"/>
    <w:rsid w:val="66952ECC"/>
    <w:rsid w:val="669730E8"/>
    <w:rsid w:val="669D02CB"/>
    <w:rsid w:val="66A15D14"/>
    <w:rsid w:val="66A5036A"/>
    <w:rsid w:val="66A6332B"/>
    <w:rsid w:val="66AA4BC9"/>
    <w:rsid w:val="66AD6467"/>
    <w:rsid w:val="66B07D06"/>
    <w:rsid w:val="66B27F22"/>
    <w:rsid w:val="66B94E0C"/>
    <w:rsid w:val="66BB2590"/>
    <w:rsid w:val="66C52C8F"/>
    <w:rsid w:val="66CD08B8"/>
    <w:rsid w:val="66D02156"/>
    <w:rsid w:val="66D165FA"/>
    <w:rsid w:val="66D47E98"/>
    <w:rsid w:val="66D711C9"/>
    <w:rsid w:val="66E55C01"/>
    <w:rsid w:val="66ED0F5A"/>
    <w:rsid w:val="66ED2D08"/>
    <w:rsid w:val="66EF082E"/>
    <w:rsid w:val="66EF4CD2"/>
    <w:rsid w:val="66F61BBC"/>
    <w:rsid w:val="66F95B50"/>
    <w:rsid w:val="66FD60EB"/>
    <w:rsid w:val="66FE3167"/>
    <w:rsid w:val="67024311"/>
    <w:rsid w:val="67087B42"/>
    <w:rsid w:val="67114C48"/>
    <w:rsid w:val="67177D85"/>
    <w:rsid w:val="67185FD7"/>
    <w:rsid w:val="671C030E"/>
    <w:rsid w:val="671D539B"/>
    <w:rsid w:val="67236729"/>
    <w:rsid w:val="67264120"/>
    <w:rsid w:val="6727621A"/>
    <w:rsid w:val="672E57FA"/>
    <w:rsid w:val="672E637A"/>
    <w:rsid w:val="67346B89"/>
    <w:rsid w:val="6736645D"/>
    <w:rsid w:val="67395F4D"/>
    <w:rsid w:val="67397CFB"/>
    <w:rsid w:val="673E5311"/>
    <w:rsid w:val="674337E1"/>
    <w:rsid w:val="674A015A"/>
    <w:rsid w:val="67584625"/>
    <w:rsid w:val="6759214B"/>
    <w:rsid w:val="675C697D"/>
    <w:rsid w:val="676236F6"/>
    <w:rsid w:val="676A7731"/>
    <w:rsid w:val="676B3864"/>
    <w:rsid w:val="676F196F"/>
    <w:rsid w:val="677376B1"/>
    <w:rsid w:val="67780C00"/>
    <w:rsid w:val="677F7E04"/>
    <w:rsid w:val="67801DCE"/>
    <w:rsid w:val="678A6D1A"/>
    <w:rsid w:val="678B1883"/>
    <w:rsid w:val="678E6299"/>
    <w:rsid w:val="678F3DBF"/>
    <w:rsid w:val="6796514D"/>
    <w:rsid w:val="679965CD"/>
    <w:rsid w:val="67A41618"/>
    <w:rsid w:val="67A45ABC"/>
    <w:rsid w:val="67A535E2"/>
    <w:rsid w:val="67A55390"/>
    <w:rsid w:val="67A62146"/>
    <w:rsid w:val="67A942EF"/>
    <w:rsid w:val="67AC671F"/>
    <w:rsid w:val="67AE2497"/>
    <w:rsid w:val="67AF3DEA"/>
    <w:rsid w:val="67B81568"/>
    <w:rsid w:val="67BC2E06"/>
    <w:rsid w:val="67CE0D8B"/>
    <w:rsid w:val="67D85766"/>
    <w:rsid w:val="67DA14DE"/>
    <w:rsid w:val="67DA328C"/>
    <w:rsid w:val="67DC69A5"/>
    <w:rsid w:val="67E10ABE"/>
    <w:rsid w:val="67E54509"/>
    <w:rsid w:val="67EA46D4"/>
    <w:rsid w:val="67ED7463"/>
    <w:rsid w:val="67EE0AE5"/>
    <w:rsid w:val="67F62783"/>
    <w:rsid w:val="67FB3202"/>
    <w:rsid w:val="67FF7197"/>
    <w:rsid w:val="68040309"/>
    <w:rsid w:val="68071BA7"/>
    <w:rsid w:val="680B1B92"/>
    <w:rsid w:val="68112A26"/>
    <w:rsid w:val="681233CB"/>
    <w:rsid w:val="68136F6D"/>
    <w:rsid w:val="68157B5B"/>
    <w:rsid w:val="68182006"/>
    <w:rsid w:val="681C38A5"/>
    <w:rsid w:val="681F7FD1"/>
    <w:rsid w:val="6821710D"/>
    <w:rsid w:val="68262975"/>
    <w:rsid w:val="682743D4"/>
    <w:rsid w:val="6828049B"/>
    <w:rsid w:val="682B6606"/>
    <w:rsid w:val="68307350"/>
    <w:rsid w:val="68376930"/>
    <w:rsid w:val="683926A8"/>
    <w:rsid w:val="683E1A6D"/>
    <w:rsid w:val="683E644A"/>
    <w:rsid w:val="6841155D"/>
    <w:rsid w:val="68461D16"/>
    <w:rsid w:val="68464DC5"/>
    <w:rsid w:val="68570D81"/>
    <w:rsid w:val="685748DD"/>
    <w:rsid w:val="685A617B"/>
    <w:rsid w:val="686314D3"/>
    <w:rsid w:val="686659D7"/>
    <w:rsid w:val="68694064"/>
    <w:rsid w:val="68694610"/>
    <w:rsid w:val="686E1C26"/>
    <w:rsid w:val="686F60CA"/>
    <w:rsid w:val="687063BF"/>
    <w:rsid w:val="6873723D"/>
    <w:rsid w:val="687436E1"/>
    <w:rsid w:val="687C2595"/>
    <w:rsid w:val="68827FD0"/>
    <w:rsid w:val="68880F74"/>
    <w:rsid w:val="688A7AA4"/>
    <w:rsid w:val="68914293"/>
    <w:rsid w:val="6894168D"/>
    <w:rsid w:val="68996CA3"/>
    <w:rsid w:val="68A044D6"/>
    <w:rsid w:val="68A6738E"/>
    <w:rsid w:val="68A85138"/>
    <w:rsid w:val="68AF64C7"/>
    <w:rsid w:val="68B166E3"/>
    <w:rsid w:val="68B57855"/>
    <w:rsid w:val="68BC6E36"/>
    <w:rsid w:val="68BF2482"/>
    <w:rsid w:val="68D27093"/>
    <w:rsid w:val="68D73C6F"/>
    <w:rsid w:val="68DC4DE2"/>
    <w:rsid w:val="68E32614"/>
    <w:rsid w:val="68E5638C"/>
    <w:rsid w:val="68EB7ABC"/>
    <w:rsid w:val="68FC5484"/>
    <w:rsid w:val="69001AFC"/>
    <w:rsid w:val="69036813"/>
    <w:rsid w:val="690D2242"/>
    <w:rsid w:val="69160588"/>
    <w:rsid w:val="69164798"/>
    <w:rsid w:val="69194288"/>
    <w:rsid w:val="691B7DE5"/>
    <w:rsid w:val="691C6622"/>
    <w:rsid w:val="69270753"/>
    <w:rsid w:val="69280027"/>
    <w:rsid w:val="692D1AE1"/>
    <w:rsid w:val="692D1BD3"/>
    <w:rsid w:val="692F585A"/>
    <w:rsid w:val="69320EA6"/>
    <w:rsid w:val="693469CC"/>
    <w:rsid w:val="69382960"/>
    <w:rsid w:val="694035C3"/>
    <w:rsid w:val="694110E9"/>
    <w:rsid w:val="69434E61"/>
    <w:rsid w:val="69482477"/>
    <w:rsid w:val="695A0B28"/>
    <w:rsid w:val="695D23C7"/>
    <w:rsid w:val="695E1C9B"/>
    <w:rsid w:val="69603C65"/>
    <w:rsid w:val="696A28ED"/>
    <w:rsid w:val="696A4AE4"/>
    <w:rsid w:val="696D0F78"/>
    <w:rsid w:val="696F3EA8"/>
    <w:rsid w:val="697119CE"/>
    <w:rsid w:val="697274F4"/>
    <w:rsid w:val="69845BA5"/>
    <w:rsid w:val="69961435"/>
    <w:rsid w:val="69987ECE"/>
    <w:rsid w:val="69A05F97"/>
    <w:rsid w:val="69A2734B"/>
    <w:rsid w:val="69A47FF6"/>
    <w:rsid w:val="69AE49D0"/>
    <w:rsid w:val="69B47B0D"/>
    <w:rsid w:val="69BA4607"/>
    <w:rsid w:val="69C51D1A"/>
    <w:rsid w:val="69CB7E06"/>
    <w:rsid w:val="69E72135"/>
    <w:rsid w:val="69E77EE2"/>
    <w:rsid w:val="69E91EAC"/>
    <w:rsid w:val="69EB1780"/>
    <w:rsid w:val="69ED5FBB"/>
    <w:rsid w:val="69EE74C3"/>
    <w:rsid w:val="6A0942FC"/>
    <w:rsid w:val="6A0C13E6"/>
    <w:rsid w:val="6A0F1472"/>
    <w:rsid w:val="6A0F2598"/>
    <w:rsid w:val="6A1011E7"/>
    <w:rsid w:val="6A1862EE"/>
    <w:rsid w:val="6A187D90"/>
    <w:rsid w:val="6A1D1F7E"/>
    <w:rsid w:val="6A1F41FA"/>
    <w:rsid w:val="6A2336AA"/>
    <w:rsid w:val="6A2C1D99"/>
    <w:rsid w:val="6A2C3B47"/>
    <w:rsid w:val="6A3053E5"/>
    <w:rsid w:val="6A317D67"/>
    <w:rsid w:val="6A350C4E"/>
    <w:rsid w:val="6A3C2E57"/>
    <w:rsid w:val="6A3F387A"/>
    <w:rsid w:val="6A415844"/>
    <w:rsid w:val="6A4B0471"/>
    <w:rsid w:val="6A537326"/>
    <w:rsid w:val="6A554E4C"/>
    <w:rsid w:val="6A5A4B58"/>
    <w:rsid w:val="6A5D1F52"/>
    <w:rsid w:val="6A60283B"/>
    <w:rsid w:val="6A6B466F"/>
    <w:rsid w:val="6A77517C"/>
    <w:rsid w:val="6A785773"/>
    <w:rsid w:val="6A7E2C0A"/>
    <w:rsid w:val="6A845731"/>
    <w:rsid w:val="6A8D4994"/>
    <w:rsid w:val="6A902328"/>
    <w:rsid w:val="6A9242F2"/>
    <w:rsid w:val="6A927E4E"/>
    <w:rsid w:val="6A95793E"/>
    <w:rsid w:val="6A9713D2"/>
    <w:rsid w:val="6A9C0CCD"/>
    <w:rsid w:val="6AA81420"/>
    <w:rsid w:val="6AAF6C52"/>
    <w:rsid w:val="6AB204F0"/>
    <w:rsid w:val="6AB37DC4"/>
    <w:rsid w:val="6AB81E7F"/>
    <w:rsid w:val="6AB8631A"/>
    <w:rsid w:val="6AB9362D"/>
    <w:rsid w:val="6AC13E4D"/>
    <w:rsid w:val="6AC36259"/>
    <w:rsid w:val="6AC54B32"/>
    <w:rsid w:val="6AC93F55"/>
    <w:rsid w:val="6ACA63DC"/>
    <w:rsid w:val="6ACB7804"/>
    <w:rsid w:val="6ACF449D"/>
    <w:rsid w:val="6AD16ECB"/>
    <w:rsid w:val="6AD93CCF"/>
    <w:rsid w:val="6ADC69B8"/>
    <w:rsid w:val="6ADC731B"/>
    <w:rsid w:val="6ADF0CAB"/>
    <w:rsid w:val="6AE24654"/>
    <w:rsid w:val="6AE54422"/>
    <w:rsid w:val="6AEF11C9"/>
    <w:rsid w:val="6AF428B7"/>
    <w:rsid w:val="6AF705F9"/>
    <w:rsid w:val="6AF97ECD"/>
    <w:rsid w:val="6B0625EA"/>
    <w:rsid w:val="6B064398"/>
    <w:rsid w:val="6B086362"/>
    <w:rsid w:val="6B0A20DA"/>
    <w:rsid w:val="6B0F5943"/>
    <w:rsid w:val="6B130F72"/>
    <w:rsid w:val="6B170353"/>
    <w:rsid w:val="6B1C708F"/>
    <w:rsid w:val="6B1E1463"/>
    <w:rsid w:val="6B250BE2"/>
    <w:rsid w:val="6B2667E8"/>
    <w:rsid w:val="6B272C8C"/>
    <w:rsid w:val="6B2D7B77"/>
    <w:rsid w:val="6B3158B9"/>
    <w:rsid w:val="6B321631"/>
    <w:rsid w:val="6B3233DF"/>
    <w:rsid w:val="6B335C5E"/>
    <w:rsid w:val="6B43383E"/>
    <w:rsid w:val="6B4C0C26"/>
    <w:rsid w:val="6B4C44A1"/>
    <w:rsid w:val="6B56531F"/>
    <w:rsid w:val="6B5C50EF"/>
    <w:rsid w:val="6B5E41D4"/>
    <w:rsid w:val="6B5F0723"/>
    <w:rsid w:val="6B5F1CFB"/>
    <w:rsid w:val="6B5F7CC6"/>
    <w:rsid w:val="6B6317EA"/>
    <w:rsid w:val="6B6712DB"/>
    <w:rsid w:val="6B6932A5"/>
    <w:rsid w:val="6B6A1150"/>
    <w:rsid w:val="6B6B7F5D"/>
    <w:rsid w:val="6B6F17F0"/>
    <w:rsid w:val="6B721A2E"/>
    <w:rsid w:val="6B7457A6"/>
    <w:rsid w:val="6B777F82"/>
    <w:rsid w:val="6B792DBC"/>
    <w:rsid w:val="6B793326"/>
    <w:rsid w:val="6B797260"/>
    <w:rsid w:val="6B8005EE"/>
    <w:rsid w:val="6B916358"/>
    <w:rsid w:val="6B947BF6"/>
    <w:rsid w:val="6B950BF0"/>
    <w:rsid w:val="6B96396E"/>
    <w:rsid w:val="6B96571C"/>
    <w:rsid w:val="6B99148F"/>
    <w:rsid w:val="6B9B2D32"/>
    <w:rsid w:val="6B9D6AAA"/>
    <w:rsid w:val="6B9F33E3"/>
    <w:rsid w:val="6BA442DD"/>
    <w:rsid w:val="6BA50055"/>
    <w:rsid w:val="6BA8544F"/>
    <w:rsid w:val="6BAA566B"/>
    <w:rsid w:val="6BAA763E"/>
    <w:rsid w:val="6BB81B36"/>
    <w:rsid w:val="6BBE4CE4"/>
    <w:rsid w:val="6BBF2EC5"/>
    <w:rsid w:val="6BCA186A"/>
    <w:rsid w:val="6BCA1998"/>
    <w:rsid w:val="6BCC7390"/>
    <w:rsid w:val="6BD14751"/>
    <w:rsid w:val="6BD36970"/>
    <w:rsid w:val="6BD73442"/>
    <w:rsid w:val="6BDD6E03"/>
    <w:rsid w:val="6BE20961"/>
    <w:rsid w:val="6BEE37AA"/>
    <w:rsid w:val="6BEE5348"/>
    <w:rsid w:val="6BF6440D"/>
    <w:rsid w:val="6BF7292A"/>
    <w:rsid w:val="6BFF7765"/>
    <w:rsid w:val="6C00528B"/>
    <w:rsid w:val="6C0076A9"/>
    <w:rsid w:val="6C101972"/>
    <w:rsid w:val="6C103720"/>
    <w:rsid w:val="6C144C46"/>
    <w:rsid w:val="6C150D37"/>
    <w:rsid w:val="6C172D01"/>
    <w:rsid w:val="6C180827"/>
    <w:rsid w:val="6C186A79"/>
    <w:rsid w:val="6C1B20C5"/>
    <w:rsid w:val="6C1F1BB5"/>
    <w:rsid w:val="6C264998"/>
    <w:rsid w:val="6C2C7E2E"/>
    <w:rsid w:val="6C2E783A"/>
    <w:rsid w:val="6C382C77"/>
    <w:rsid w:val="6C423AF6"/>
    <w:rsid w:val="6C474C68"/>
    <w:rsid w:val="6C4D6279"/>
    <w:rsid w:val="6C507FC1"/>
    <w:rsid w:val="6C587073"/>
    <w:rsid w:val="6C5D623A"/>
    <w:rsid w:val="6C61393A"/>
    <w:rsid w:val="6C627CF4"/>
    <w:rsid w:val="6C661592"/>
    <w:rsid w:val="6C6D4CEB"/>
    <w:rsid w:val="6C7304FE"/>
    <w:rsid w:val="6C77554D"/>
    <w:rsid w:val="6C787517"/>
    <w:rsid w:val="6C7D2CF7"/>
    <w:rsid w:val="6C7D4B2E"/>
    <w:rsid w:val="6C7F08A6"/>
    <w:rsid w:val="6C8639E2"/>
    <w:rsid w:val="6C865DE7"/>
    <w:rsid w:val="6C875BB5"/>
    <w:rsid w:val="6C8D4D71"/>
    <w:rsid w:val="6C9C1458"/>
    <w:rsid w:val="6C9C6D62"/>
    <w:rsid w:val="6C9D0D2C"/>
    <w:rsid w:val="6CA0308B"/>
    <w:rsid w:val="6CA20189"/>
    <w:rsid w:val="6CA81BAB"/>
    <w:rsid w:val="6CB0280D"/>
    <w:rsid w:val="6CB542C8"/>
    <w:rsid w:val="6CB57E24"/>
    <w:rsid w:val="6CB73433"/>
    <w:rsid w:val="6CBB2471"/>
    <w:rsid w:val="6CC4275D"/>
    <w:rsid w:val="6CC97900"/>
    <w:rsid w:val="6CCE0EE6"/>
    <w:rsid w:val="6CD25DE6"/>
    <w:rsid w:val="6CD429A0"/>
    <w:rsid w:val="6CDC7AA6"/>
    <w:rsid w:val="6CE07597"/>
    <w:rsid w:val="6CE60925"/>
    <w:rsid w:val="6CE81FA7"/>
    <w:rsid w:val="6CEC6AB0"/>
    <w:rsid w:val="6CED0D77"/>
    <w:rsid w:val="6CED3A62"/>
    <w:rsid w:val="6CF43042"/>
    <w:rsid w:val="6CF46B9E"/>
    <w:rsid w:val="6CF92406"/>
    <w:rsid w:val="6CFA7F2C"/>
    <w:rsid w:val="6D05528D"/>
    <w:rsid w:val="6D0668D1"/>
    <w:rsid w:val="6D0B038C"/>
    <w:rsid w:val="6D0D1A0E"/>
    <w:rsid w:val="6D12171A"/>
    <w:rsid w:val="6D154D66"/>
    <w:rsid w:val="6D16193B"/>
    <w:rsid w:val="6D1A237D"/>
    <w:rsid w:val="6D1A4F58"/>
    <w:rsid w:val="6D1E00BF"/>
    <w:rsid w:val="6D1F1741"/>
    <w:rsid w:val="6D221C60"/>
    <w:rsid w:val="6D2A25C0"/>
    <w:rsid w:val="6D2C3BC9"/>
    <w:rsid w:val="6D301BA0"/>
    <w:rsid w:val="6D33797F"/>
    <w:rsid w:val="6D3B23B1"/>
    <w:rsid w:val="6D3D1DB9"/>
    <w:rsid w:val="6D413DAD"/>
    <w:rsid w:val="6D463172"/>
    <w:rsid w:val="6D4D4500"/>
    <w:rsid w:val="6D4D62AE"/>
    <w:rsid w:val="6D512242"/>
    <w:rsid w:val="6D543AE1"/>
    <w:rsid w:val="6D54763D"/>
    <w:rsid w:val="6D5E2269"/>
    <w:rsid w:val="6D602485"/>
    <w:rsid w:val="6D604233"/>
    <w:rsid w:val="6D617FAC"/>
    <w:rsid w:val="6D633DB4"/>
    <w:rsid w:val="6D63448A"/>
    <w:rsid w:val="6D655CEE"/>
    <w:rsid w:val="6D6655C2"/>
    <w:rsid w:val="6D6D6950"/>
    <w:rsid w:val="6D7970A3"/>
    <w:rsid w:val="6D7E290C"/>
    <w:rsid w:val="6D7E53B7"/>
    <w:rsid w:val="6D82064E"/>
    <w:rsid w:val="6D934609"/>
    <w:rsid w:val="6D9640F9"/>
    <w:rsid w:val="6D965EA7"/>
    <w:rsid w:val="6D966B3F"/>
    <w:rsid w:val="6D9F6A15"/>
    <w:rsid w:val="6DA22A9E"/>
    <w:rsid w:val="6DA5433C"/>
    <w:rsid w:val="6DA93E2C"/>
    <w:rsid w:val="6DA96BBB"/>
    <w:rsid w:val="6DB46A55"/>
    <w:rsid w:val="6DBD1686"/>
    <w:rsid w:val="6DC30C9F"/>
    <w:rsid w:val="6DC82CBD"/>
    <w:rsid w:val="6DCB37D2"/>
    <w:rsid w:val="6DCC3839"/>
    <w:rsid w:val="6DCF760B"/>
    <w:rsid w:val="6DD24A05"/>
    <w:rsid w:val="6DD8201C"/>
    <w:rsid w:val="6DD84D2E"/>
    <w:rsid w:val="6DDB7D5E"/>
    <w:rsid w:val="6DDF16E3"/>
    <w:rsid w:val="6DE05374"/>
    <w:rsid w:val="6DEC3919"/>
    <w:rsid w:val="6DEE5278"/>
    <w:rsid w:val="6DF1100D"/>
    <w:rsid w:val="6DF17581"/>
    <w:rsid w:val="6DF32CB4"/>
    <w:rsid w:val="6DF57072"/>
    <w:rsid w:val="6DF66946"/>
    <w:rsid w:val="6DFB21AE"/>
    <w:rsid w:val="6DFF3A4C"/>
    <w:rsid w:val="6E027099"/>
    <w:rsid w:val="6E037843"/>
    <w:rsid w:val="6E0E1EE1"/>
    <w:rsid w:val="6E0E5A3E"/>
    <w:rsid w:val="6E113954"/>
    <w:rsid w:val="6E160D96"/>
    <w:rsid w:val="6E1868BC"/>
    <w:rsid w:val="6E1D3ED3"/>
    <w:rsid w:val="6E1F40EF"/>
    <w:rsid w:val="6E1F5E9D"/>
    <w:rsid w:val="6E201C15"/>
    <w:rsid w:val="6E245261"/>
    <w:rsid w:val="6E250FD9"/>
    <w:rsid w:val="6E25722B"/>
    <w:rsid w:val="6E292877"/>
    <w:rsid w:val="6E2A65EF"/>
    <w:rsid w:val="6E2D0AC4"/>
    <w:rsid w:val="6E2E60E0"/>
    <w:rsid w:val="6E356125"/>
    <w:rsid w:val="6E3873A8"/>
    <w:rsid w:val="6E396833"/>
    <w:rsid w:val="6E3A408D"/>
    <w:rsid w:val="6E3A456E"/>
    <w:rsid w:val="6E3B07FD"/>
    <w:rsid w:val="6E3B7411"/>
    <w:rsid w:val="6E414065"/>
    <w:rsid w:val="6E4205B8"/>
    <w:rsid w:val="6E436364"/>
    <w:rsid w:val="6E494CC8"/>
    <w:rsid w:val="6E4B6C92"/>
    <w:rsid w:val="6E4B7AFE"/>
    <w:rsid w:val="6E4F45E5"/>
    <w:rsid w:val="6E5024FA"/>
    <w:rsid w:val="6E531FEA"/>
    <w:rsid w:val="6E600263"/>
    <w:rsid w:val="6E616D28"/>
    <w:rsid w:val="6E6464D6"/>
    <w:rsid w:val="6E6637E5"/>
    <w:rsid w:val="6E663ACB"/>
    <w:rsid w:val="6E6B10E2"/>
    <w:rsid w:val="6E6E2980"/>
    <w:rsid w:val="6E7236D8"/>
    <w:rsid w:val="6E83140C"/>
    <w:rsid w:val="6E867CCA"/>
    <w:rsid w:val="6E8C40E8"/>
    <w:rsid w:val="6E8E3022"/>
    <w:rsid w:val="6E900B48"/>
    <w:rsid w:val="6E913FBC"/>
    <w:rsid w:val="6E9154B8"/>
    <w:rsid w:val="6E9232F3"/>
    <w:rsid w:val="6E95615F"/>
    <w:rsid w:val="6E964D33"/>
    <w:rsid w:val="6E9A5523"/>
    <w:rsid w:val="6E9C129B"/>
    <w:rsid w:val="6EA840E4"/>
    <w:rsid w:val="6EAE28E5"/>
    <w:rsid w:val="6EB011EB"/>
    <w:rsid w:val="6EB83BFB"/>
    <w:rsid w:val="6EC10D02"/>
    <w:rsid w:val="6EC33DA7"/>
    <w:rsid w:val="6EC46A44"/>
    <w:rsid w:val="6EC9405A"/>
    <w:rsid w:val="6ED21161"/>
    <w:rsid w:val="6ED547AD"/>
    <w:rsid w:val="6ED70525"/>
    <w:rsid w:val="6EE64C0C"/>
    <w:rsid w:val="6EE75CF6"/>
    <w:rsid w:val="6EEC6F45"/>
    <w:rsid w:val="6EEF085C"/>
    <w:rsid w:val="6EF07839"/>
    <w:rsid w:val="6EF74724"/>
    <w:rsid w:val="6EFA06B8"/>
    <w:rsid w:val="6EFE2111"/>
    <w:rsid w:val="6EFF5CCE"/>
    <w:rsid w:val="6F02726B"/>
    <w:rsid w:val="6F0B01CF"/>
    <w:rsid w:val="6F0C4250"/>
    <w:rsid w:val="6F143527"/>
    <w:rsid w:val="6F1572A0"/>
    <w:rsid w:val="6F215C44"/>
    <w:rsid w:val="6F216314"/>
    <w:rsid w:val="6F2319BD"/>
    <w:rsid w:val="6F240401"/>
    <w:rsid w:val="6F26376B"/>
    <w:rsid w:val="6F280D81"/>
    <w:rsid w:val="6F33193A"/>
    <w:rsid w:val="6F3C6DEE"/>
    <w:rsid w:val="6F415205"/>
    <w:rsid w:val="6F457B85"/>
    <w:rsid w:val="6F484F7F"/>
    <w:rsid w:val="6F4D4C8B"/>
    <w:rsid w:val="6F4F4E72"/>
    <w:rsid w:val="6F5953DE"/>
    <w:rsid w:val="6F59718C"/>
    <w:rsid w:val="6F5B1156"/>
    <w:rsid w:val="6F601FD7"/>
    <w:rsid w:val="6F667AFB"/>
    <w:rsid w:val="6F675CAF"/>
    <w:rsid w:val="6F6873CF"/>
    <w:rsid w:val="6F6A75EB"/>
    <w:rsid w:val="6F6F4C02"/>
    <w:rsid w:val="6F75457D"/>
    <w:rsid w:val="6F765F90"/>
    <w:rsid w:val="6F7C2E7B"/>
    <w:rsid w:val="6F8010EF"/>
    <w:rsid w:val="6F8306AD"/>
    <w:rsid w:val="6F83245B"/>
    <w:rsid w:val="6F8B1310"/>
    <w:rsid w:val="6F8F0E00"/>
    <w:rsid w:val="6F8F2BAE"/>
    <w:rsid w:val="6F944668"/>
    <w:rsid w:val="6F975F07"/>
    <w:rsid w:val="6F9831D1"/>
    <w:rsid w:val="6F984159"/>
    <w:rsid w:val="6F9C52CB"/>
    <w:rsid w:val="6FA32AFD"/>
    <w:rsid w:val="6FA7439C"/>
    <w:rsid w:val="6FAC1340"/>
    <w:rsid w:val="6FAD1286"/>
    <w:rsid w:val="6FAF6411"/>
    <w:rsid w:val="6FBB1BF5"/>
    <w:rsid w:val="6FBC771B"/>
    <w:rsid w:val="6FC50CC6"/>
    <w:rsid w:val="6FCA62DC"/>
    <w:rsid w:val="6FCA73BC"/>
    <w:rsid w:val="6FCC5BB0"/>
    <w:rsid w:val="6FCC795E"/>
    <w:rsid w:val="6FD14B4C"/>
    <w:rsid w:val="6FD76303"/>
    <w:rsid w:val="6FDE58E3"/>
    <w:rsid w:val="6FE253D4"/>
    <w:rsid w:val="6FE262EA"/>
    <w:rsid w:val="6FE56C72"/>
    <w:rsid w:val="6FE729EA"/>
    <w:rsid w:val="6FE85F9F"/>
    <w:rsid w:val="6FED5B27"/>
    <w:rsid w:val="6FEE1FCA"/>
    <w:rsid w:val="6FF2313D"/>
    <w:rsid w:val="7004359C"/>
    <w:rsid w:val="700A0487"/>
    <w:rsid w:val="700C2451"/>
    <w:rsid w:val="700C41FF"/>
    <w:rsid w:val="700C69E4"/>
    <w:rsid w:val="700F1E05"/>
    <w:rsid w:val="70143280"/>
    <w:rsid w:val="701632CF"/>
    <w:rsid w:val="70213463"/>
    <w:rsid w:val="70223A22"/>
    <w:rsid w:val="7026090C"/>
    <w:rsid w:val="70283432"/>
    <w:rsid w:val="702C48A1"/>
    <w:rsid w:val="702F53A8"/>
    <w:rsid w:val="7036571F"/>
    <w:rsid w:val="70375C5A"/>
    <w:rsid w:val="703877EC"/>
    <w:rsid w:val="703A5210"/>
    <w:rsid w:val="703A6FBE"/>
    <w:rsid w:val="703C0167"/>
    <w:rsid w:val="703D6AAE"/>
    <w:rsid w:val="703F7138"/>
    <w:rsid w:val="70400B93"/>
    <w:rsid w:val="704020FA"/>
    <w:rsid w:val="704317AD"/>
    <w:rsid w:val="70453BB5"/>
    <w:rsid w:val="70455963"/>
    <w:rsid w:val="70457711"/>
    <w:rsid w:val="7046768A"/>
    <w:rsid w:val="704763E3"/>
    <w:rsid w:val="7047792D"/>
    <w:rsid w:val="704936A5"/>
    <w:rsid w:val="705A140E"/>
    <w:rsid w:val="705B0CE2"/>
    <w:rsid w:val="706033C7"/>
    <w:rsid w:val="70614013"/>
    <w:rsid w:val="706202C3"/>
    <w:rsid w:val="70622071"/>
    <w:rsid w:val="70671D7D"/>
    <w:rsid w:val="706758D9"/>
    <w:rsid w:val="706A7177"/>
    <w:rsid w:val="70716758"/>
    <w:rsid w:val="7075449A"/>
    <w:rsid w:val="70755580"/>
    <w:rsid w:val="70763D6E"/>
    <w:rsid w:val="70814BED"/>
    <w:rsid w:val="70871AD7"/>
    <w:rsid w:val="708B6DCB"/>
    <w:rsid w:val="708F4180"/>
    <w:rsid w:val="709541F4"/>
    <w:rsid w:val="709A5CAE"/>
    <w:rsid w:val="709B5583"/>
    <w:rsid w:val="70A01FA0"/>
    <w:rsid w:val="70A15E85"/>
    <w:rsid w:val="70A16079"/>
    <w:rsid w:val="70A1703D"/>
    <w:rsid w:val="70A26911"/>
    <w:rsid w:val="70A46B2D"/>
    <w:rsid w:val="70A61BEC"/>
    <w:rsid w:val="70A66401"/>
    <w:rsid w:val="70A94143"/>
    <w:rsid w:val="70AE175A"/>
    <w:rsid w:val="70B328CC"/>
    <w:rsid w:val="70B54896"/>
    <w:rsid w:val="70B56644"/>
    <w:rsid w:val="70B623BC"/>
    <w:rsid w:val="70BA3C5B"/>
    <w:rsid w:val="70BD374B"/>
    <w:rsid w:val="70C27F8A"/>
    <w:rsid w:val="70C8271B"/>
    <w:rsid w:val="70C90342"/>
    <w:rsid w:val="70D0347E"/>
    <w:rsid w:val="70D2369A"/>
    <w:rsid w:val="70D311C0"/>
    <w:rsid w:val="70DB0321"/>
    <w:rsid w:val="70E01995"/>
    <w:rsid w:val="70E1568B"/>
    <w:rsid w:val="70E81B34"/>
    <w:rsid w:val="70E92792"/>
    <w:rsid w:val="70F058CE"/>
    <w:rsid w:val="71062461"/>
    <w:rsid w:val="71066EA0"/>
    <w:rsid w:val="710B4EF6"/>
    <w:rsid w:val="710D46D2"/>
    <w:rsid w:val="710D6480"/>
    <w:rsid w:val="71111EB1"/>
    <w:rsid w:val="712003BD"/>
    <w:rsid w:val="71290DE0"/>
    <w:rsid w:val="712E63F7"/>
    <w:rsid w:val="71314251"/>
    <w:rsid w:val="71333A0D"/>
    <w:rsid w:val="713C0575"/>
    <w:rsid w:val="713E2ADE"/>
    <w:rsid w:val="71494FDF"/>
    <w:rsid w:val="714F6A99"/>
    <w:rsid w:val="71502811"/>
    <w:rsid w:val="715440AF"/>
    <w:rsid w:val="715737BA"/>
    <w:rsid w:val="715F4802"/>
    <w:rsid w:val="71600CA6"/>
    <w:rsid w:val="71626120"/>
    <w:rsid w:val="716D6F1F"/>
    <w:rsid w:val="716F6B00"/>
    <w:rsid w:val="71775FF0"/>
    <w:rsid w:val="71777D9E"/>
    <w:rsid w:val="717F6C52"/>
    <w:rsid w:val="71810C1C"/>
    <w:rsid w:val="71887DA9"/>
    <w:rsid w:val="718A7AD1"/>
    <w:rsid w:val="718B55F7"/>
    <w:rsid w:val="718E3E69"/>
    <w:rsid w:val="719466CB"/>
    <w:rsid w:val="71994752"/>
    <w:rsid w:val="719B1CDE"/>
    <w:rsid w:val="71A05546"/>
    <w:rsid w:val="71A14742"/>
    <w:rsid w:val="71A312FD"/>
    <w:rsid w:val="71A37ADC"/>
    <w:rsid w:val="71A803D2"/>
    <w:rsid w:val="71A87F57"/>
    <w:rsid w:val="71AF12E6"/>
    <w:rsid w:val="71AF5789"/>
    <w:rsid w:val="71C31235"/>
    <w:rsid w:val="71C32FE3"/>
    <w:rsid w:val="71E35433"/>
    <w:rsid w:val="71EA0570"/>
    <w:rsid w:val="71ED1E0E"/>
    <w:rsid w:val="71F118FE"/>
    <w:rsid w:val="71F96A05"/>
    <w:rsid w:val="71FB09CF"/>
    <w:rsid w:val="71FC02A3"/>
    <w:rsid w:val="72082295"/>
    <w:rsid w:val="72084E9A"/>
    <w:rsid w:val="72113D4E"/>
    <w:rsid w:val="72115F01"/>
    <w:rsid w:val="721750DD"/>
    <w:rsid w:val="721A0617"/>
    <w:rsid w:val="721B2E1F"/>
    <w:rsid w:val="721E646B"/>
    <w:rsid w:val="722021E3"/>
    <w:rsid w:val="722577FA"/>
    <w:rsid w:val="72273572"/>
    <w:rsid w:val="722F2426"/>
    <w:rsid w:val="72343EE1"/>
    <w:rsid w:val="723839D1"/>
    <w:rsid w:val="723A0BCD"/>
    <w:rsid w:val="723F6B0D"/>
    <w:rsid w:val="72410E53"/>
    <w:rsid w:val="724A54B2"/>
    <w:rsid w:val="724C3AEB"/>
    <w:rsid w:val="72564634"/>
    <w:rsid w:val="72600832"/>
    <w:rsid w:val="72616F8F"/>
    <w:rsid w:val="726C5429"/>
    <w:rsid w:val="727A7BCF"/>
    <w:rsid w:val="727F515C"/>
    <w:rsid w:val="728269FA"/>
    <w:rsid w:val="728F1117"/>
    <w:rsid w:val="72920575"/>
    <w:rsid w:val="7298446F"/>
    <w:rsid w:val="729F135A"/>
    <w:rsid w:val="72AC7F1B"/>
    <w:rsid w:val="72AE3C93"/>
    <w:rsid w:val="72C45265"/>
    <w:rsid w:val="72D059B7"/>
    <w:rsid w:val="72D11E05"/>
    <w:rsid w:val="72D134DE"/>
    <w:rsid w:val="72D528EE"/>
    <w:rsid w:val="72D54D7C"/>
    <w:rsid w:val="72D57472"/>
    <w:rsid w:val="72DB1BF5"/>
    <w:rsid w:val="72DD00D4"/>
    <w:rsid w:val="72E01973"/>
    <w:rsid w:val="72E27499"/>
    <w:rsid w:val="72E6342D"/>
    <w:rsid w:val="72F5541E"/>
    <w:rsid w:val="72FE2719"/>
    <w:rsid w:val="730613D9"/>
    <w:rsid w:val="73061D27"/>
    <w:rsid w:val="730B2E93"/>
    <w:rsid w:val="73133013"/>
    <w:rsid w:val="731C29AB"/>
    <w:rsid w:val="73263829"/>
    <w:rsid w:val="7327134F"/>
    <w:rsid w:val="7329331A"/>
    <w:rsid w:val="732E0930"/>
    <w:rsid w:val="73306456"/>
    <w:rsid w:val="73337CF4"/>
    <w:rsid w:val="733A4966"/>
    <w:rsid w:val="73440153"/>
    <w:rsid w:val="7346715F"/>
    <w:rsid w:val="734C0DB6"/>
    <w:rsid w:val="7351558A"/>
    <w:rsid w:val="73561F7D"/>
    <w:rsid w:val="73574CD7"/>
    <w:rsid w:val="73584B5D"/>
    <w:rsid w:val="735859AD"/>
    <w:rsid w:val="736507F6"/>
    <w:rsid w:val="73683E42"/>
    <w:rsid w:val="73685BF0"/>
    <w:rsid w:val="736D3206"/>
    <w:rsid w:val="736F3422"/>
    <w:rsid w:val="73740A39"/>
    <w:rsid w:val="73781BAB"/>
    <w:rsid w:val="7379604F"/>
    <w:rsid w:val="738467A2"/>
    <w:rsid w:val="738642C8"/>
    <w:rsid w:val="738E5E29"/>
    <w:rsid w:val="73926314"/>
    <w:rsid w:val="739567AF"/>
    <w:rsid w:val="73970CD1"/>
    <w:rsid w:val="73992AC3"/>
    <w:rsid w:val="739D769E"/>
    <w:rsid w:val="73A2714D"/>
    <w:rsid w:val="73A87BE1"/>
    <w:rsid w:val="73AB3D2F"/>
    <w:rsid w:val="73AF381F"/>
    <w:rsid w:val="73B3005E"/>
    <w:rsid w:val="73B40A19"/>
    <w:rsid w:val="73B51145"/>
    <w:rsid w:val="73C13552"/>
    <w:rsid w:val="73C3551C"/>
    <w:rsid w:val="73C72F6F"/>
    <w:rsid w:val="73C758DA"/>
    <w:rsid w:val="73C82B32"/>
    <w:rsid w:val="73CC2623"/>
    <w:rsid w:val="73D75221"/>
    <w:rsid w:val="73D9594C"/>
    <w:rsid w:val="73E57241"/>
    <w:rsid w:val="73EA0CFB"/>
    <w:rsid w:val="73ED63CB"/>
    <w:rsid w:val="73F07B61"/>
    <w:rsid w:val="73F147CA"/>
    <w:rsid w:val="73F751C6"/>
    <w:rsid w:val="74055B35"/>
    <w:rsid w:val="740F3EFE"/>
    <w:rsid w:val="7419338E"/>
    <w:rsid w:val="741B5358"/>
    <w:rsid w:val="741D2E7E"/>
    <w:rsid w:val="74257B3D"/>
    <w:rsid w:val="74282388"/>
    <w:rsid w:val="742A10F7"/>
    <w:rsid w:val="742D211D"/>
    <w:rsid w:val="742F1B8E"/>
    <w:rsid w:val="743326A2"/>
    <w:rsid w:val="74365CEE"/>
    <w:rsid w:val="74381A66"/>
    <w:rsid w:val="74387CB8"/>
    <w:rsid w:val="743957DE"/>
    <w:rsid w:val="74407A47"/>
    <w:rsid w:val="74455F31"/>
    <w:rsid w:val="744D2E72"/>
    <w:rsid w:val="745368A0"/>
    <w:rsid w:val="746740F9"/>
    <w:rsid w:val="746A1E3C"/>
    <w:rsid w:val="746A5998"/>
    <w:rsid w:val="746C00DB"/>
    <w:rsid w:val="746E5488"/>
    <w:rsid w:val="7474112B"/>
    <w:rsid w:val="748527D2"/>
    <w:rsid w:val="74856C75"/>
    <w:rsid w:val="748702F8"/>
    <w:rsid w:val="74962C31"/>
    <w:rsid w:val="74982505"/>
    <w:rsid w:val="749A44CF"/>
    <w:rsid w:val="749F7D37"/>
    <w:rsid w:val="74A7099A"/>
    <w:rsid w:val="74A809DB"/>
    <w:rsid w:val="74AA048A"/>
    <w:rsid w:val="74AE2FC9"/>
    <w:rsid w:val="74B15375"/>
    <w:rsid w:val="74BB2697"/>
    <w:rsid w:val="74C07CAE"/>
    <w:rsid w:val="74C376A4"/>
    <w:rsid w:val="74C96B62"/>
    <w:rsid w:val="74CB28DA"/>
    <w:rsid w:val="74D15A17"/>
    <w:rsid w:val="74DF0134"/>
    <w:rsid w:val="74E03EAC"/>
    <w:rsid w:val="74E05C5A"/>
    <w:rsid w:val="74EC2851"/>
    <w:rsid w:val="74EF5B6E"/>
    <w:rsid w:val="74F87B4B"/>
    <w:rsid w:val="74FA0ACC"/>
    <w:rsid w:val="74FA4F6E"/>
    <w:rsid w:val="74FF07D6"/>
    <w:rsid w:val="750000AA"/>
    <w:rsid w:val="75002363"/>
    <w:rsid w:val="750202C6"/>
    <w:rsid w:val="75047B9A"/>
    <w:rsid w:val="750B0F29"/>
    <w:rsid w:val="750B717B"/>
    <w:rsid w:val="75134281"/>
    <w:rsid w:val="75156511"/>
    <w:rsid w:val="751C3136"/>
    <w:rsid w:val="751C35F6"/>
    <w:rsid w:val="751F2C26"/>
    <w:rsid w:val="75220020"/>
    <w:rsid w:val="752913AF"/>
    <w:rsid w:val="752C17D6"/>
    <w:rsid w:val="752E5993"/>
    <w:rsid w:val="753164B5"/>
    <w:rsid w:val="753366D1"/>
    <w:rsid w:val="753A4D64"/>
    <w:rsid w:val="753A7A60"/>
    <w:rsid w:val="753F0BD2"/>
    <w:rsid w:val="75472BD8"/>
    <w:rsid w:val="7548217D"/>
    <w:rsid w:val="754E350B"/>
    <w:rsid w:val="75504B8E"/>
    <w:rsid w:val="75530B22"/>
    <w:rsid w:val="75533C28"/>
    <w:rsid w:val="75544923"/>
    <w:rsid w:val="755521A4"/>
    <w:rsid w:val="755723C0"/>
    <w:rsid w:val="75610B49"/>
    <w:rsid w:val="7564619A"/>
    <w:rsid w:val="7570339F"/>
    <w:rsid w:val="75785A02"/>
    <w:rsid w:val="757D16FB"/>
    <w:rsid w:val="75826D11"/>
    <w:rsid w:val="7589578A"/>
    <w:rsid w:val="758B3E18"/>
    <w:rsid w:val="758D4034"/>
    <w:rsid w:val="758D465D"/>
    <w:rsid w:val="75907680"/>
    <w:rsid w:val="75915293"/>
    <w:rsid w:val="7592164A"/>
    <w:rsid w:val="75952EE8"/>
    <w:rsid w:val="759C6025"/>
    <w:rsid w:val="759F09EE"/>
    <w:rsid w:val="759F78C3"/>
    <w:rsid w:val="75A82C1C"/>
    <w:rsid w:val="75AF3FAA"/>
    <w:rsid w:val="75B72E5F"/>
    <w:rsid w:val="75BA24C9"/>
    <w:rsid w:val="75BA294F"/>
    <w:rsid w:val="75BC7D5E"/>
    <w:rsid w:val="75BE243F"/>
    <w:rsid w:val="75BF1D13"/>
    <w:rsid w:val="75C37A55"/>
    <w:rsid w:val="75C5557C"/>
    <w:rsid w:val="75C95155"/>
    <w:rsid w:val="75CD4430"/>
    <w:rsid w:val="75D60E9A"/>
    <w:rsid w:val="75E27106"/>
    <w:rsid w:val="75E654F2"/>
    <w:rsid w:val="75F15AA2"/>
    <w:rsid w:val="75F21ABD"/>
    <w:rsid w:val="75F47C0F"/>
    <w:rsid w:val="75F82DA4"/>
    <w:rsid w:val="75FA561F"/>
    <w:rsid w:val="76014690"/>
    <w:rsid w:val="760C31AA"/>
    <w:rsid w:val="760D62CE"/>
    <w:rsid w:val="76143E0D"/>
    <w:rsid w:val="76160E9D"/>
    <w:rsid w:val="76191423"/>
    <w:rsid w:val="76224C2B"/>
    <w:rsid w:val="762C55FB"/>
    <w:rsid w:val="762E16DC"/>
    <w:rsid w:val="762F6E99"/>
    <w:rsid w:val="76303976"/>
    <w:rsid w:val="7630676D"/>
    <w:rsid w:val="76330E58"/>
    <w:rsid w:val="76361FD5"/>
    <w:rsid w:val="76375D4D"/>
    <w:rsid w:val="763A3FE7"/>
    <w:rsid w:val="763B583E"/>
    <w:rsid w:val="763E532E"/>
    <w:rsid w:val="76402E54"/>
    <w:rsid w:val="764364A0"/>
    <w:rsid w:val="76451D83"/>
    <w:rsid w:val="764861AD"/>
    <w:rsid w:val="765608C9"/>
    <w:rsid w:val="765863F0"/>
    <w:rsid w:val="765869B8"/>
    <w:rsid w:val="76595A45"/>
    <w:rsid w:val="765B7C8E"/>
    <w:rsid w:val="766308F1"/>
    <w:rsid w:val="76630E87"/>
    <w:rsid w:val="766C59E6"/>
    <w:rsid w:val="766F1796"/>
    <w:rsid w:val="767825EE"/>
    <w:rsid w:val="768C6099"/>
    <w:rsid w:val="769006E4"/>
    <w:rsid w:val="769413F2"/>
    <w:rsid w:val="76944F4E"/>
    <w:rsid w:val="76970586"/>
    <w:rsid w:val="769907B6"/>
    <w:rsid w:val="769973F7"/>
    <w:rsid w:val="76A01B45"/>
    <w:rsid w:val="76A50F09"/>
    <w:rsid w:val="76A553AD"/>
    <w:rsid w:val="76A71125"/>
    <w:rsid w:val="76B37ACA"/>
    <w:rsid w:val="76BB697E"/>
    <w:rsid w:val="76BC7D10"/>
    <w:rsid w:val="76BD6253"/>
    <w:rsid w:val="76C03F95"/>
    <w:rsid w:val="76C37C6F"/>
    <w:rsid w:val="76C515AB"/>
    <w:rsid w:val="76C53359"/>
    <w:rsid w:val="76C770D1"/>
    <w:rsid w:val="76C84BF7"/>
    <w:rsid w:val="76CC293A"/>
    <w:rsid w:val="76D168E6"/>
    <w:rsid w:val="76D31F1A"/>
    <w:rsid w:val="76D33CC8"/>
    <w:rsid w:val="76E063E5"/>
    <w:rsid w:val="76E220FA"/>
    <w:rsid w:val="76E24688"/>
    <w:rsid w:val="76E6668C"/>
    <w:rsid w:val="76E77774"/>
    <w:rsid w:val="76EA2DC0"/>
    <w:rsid w:val="76EF03D6"/>
    <w:rsid w:val="76EF1037"/>
    <w:rsid w:val="76EF701F"/>
    <w:rsid w:val="76F123A0"/>
    <w:rsid w:val="76F36118"/>
    <w:rsid w:val="76F37EC6"/>
    <w:rsid w:val="76F93003"/>
    <w:rsid w:val="76F9657C"/>
    <w:rsid w:val="76FA1255"/>
    <w:rsid w:val="770056C4"/>
    <w:rsid w:val="770245AD"/>
    <w:rsid w:val="77040325"/>
    <w:rsid w:val="770420D4"/>
    <w:rsid w:val="770519A8"/>
    <w:rsid w:val="7706409E"/>
    <w:rsid w:val="770B16B4"/>
    <w:rsid w:val="770F2826"/>
    <w:rsid w:val="77106CCA"/>
    <w:rsid w:val="771355B6"/>
    <w:rsid w:val="771D13E7"/>
    <w:rsid w:val="77275DC2"/>
    <w:rsid w:val="772B58B2"/>
    <w:rsid w:val="77353185"/>
    <w:rsid w:val="773A78A3"/>
    <w:rsid w:val="773E522B"/>
    <w:rsid w:val="773F782D"/>
    <w:rsid w:val="7740441A"/>
    <w:rsid w:val="774150D6"/>
    <w:rsid w:val="774730E9"/>
    <w:rsid w:val="77476464"/>
    <w:rsid w:val="77493F8A"/>
    <w:rsid w:val="774C5829"/>
    <w:rsid w:val="77501FC8"/>
    <w:rsid w:val="77524BBA"/>
    <w:rsid w:val="77564344"/>
    <w:rsid w:val="775C1F10"/>
    <w:rsid w:val="775D1E09"/>
    <w:rsid w:val="775D7A36"/>
    <w:rsid w:val="77674410"/>
    <w:rsid w:val="77732DB5"/>
    <w:rsid w:val="7775520A"/>
    <w:rsid w:val="77784870"/>
    <w:rsid w:val="777C7EBC"/>
    <w:rsid w:val="77846D70"/>
    <w:rsid w:val="7788430E"/>
    <w:rsid w:val="778D20C9"/>
    <w:rsid w:val="778D692D"/>
    <w:rsid w:val="77936CED"/>
    <w:rsid w:val="77947555"/>
    <w:rsid w:val="779A47E6"/>
    <w:rsid w:val="779F3BAA"/>
    <w:rsid w:val="77A12896"/>
    <w:rsid w:val="77A13DC6"/>
    <w:rsid w:val="77A85155"/>
    <w:rsid w:val="77AE203F"/>
    <w:rsid w:val="77BA381C"/>
    <w:rsid w:val="77BF249E"/>
    <w:rsid w:val="77C247C5"/>
    <w:rsid w:val="77C30269"/>
    <w:rsid w:val="77C33D3D"/>
    <w:rsid w:val="77C74EAF"/>
    <w:rsid w:val="77CD6969"/>
    <w:rsid w:val="77D53A70"/>
    <w:rsid w:val="77D63117"/>
    <w:rsid w:val="77E15F71"/>
    <w:rsid w:val="77E37F3B"/>
    <w:rsid w:val="77E92BE1"/>
    <w:rsid w:val="77ED0DBA"/>
    <w:rsid w:val="77ED2B68"/>
    <w:rsid w:val="77F04406"/>
    <w:rsid w:val="77F263D0"/>
    <w:rsid w:val="77F75794"/>
    <w:rsid w:val="77F9150C"/>
    <w:rsid w:val="77FA5285"/>
    <w:rsid w:val="780305DD"/>
    <w:rsid w:val="781400F4"/>
    <w:rsid w:val="78146346"/>
    <w:rsid w:val="78212811"/>
    <w:rsid w:val="782227CB"/>
    <w:rsid w:val="78232A2D"/>
    <w:rsid w:val="782A3DBC"/>
    <w:rsid w:val="782D7408"/>
    <w:rsid w:val="78342545"/>
    <w:rsid w:val="7835053A"/>
    <w:rsid w:val="783C764B"/>
    <w:rsid w:val="78451B71"/>
    <w:rsid w:val="78452CC9"/>
    <w:rsid w:val="785030F6"/>
    <w:rsid w:val="785176A5"/>
    <w:rsid w:val="785C7CED"/>
    <w:rsid w:val="78615304"/>
    <w:rsid w:val="78654DF4"/>
    <w:rsid w:val="7866291A"/>
    <w:rsid w:val="786646C8"/>
    <w:rsid w:val="786A240A"/>
    <w:rsid w:val="786C3B6A"/>
    <w:rsid w:val="78743289"/>
    <w:rsid w:val="78751C40"/>
    <w:rsid w:val="7879089F"/>
    <w:rsid w:val="787D7511"/>
    <w:rsid w:val="78814DE5"/>
    <w:rsid w:val="788214B7"/>
    <w:rsid w:val="7884775B"/>
    <w:rsid w:val="78882890"/>
    <w:rsid w:val="789456D9"/>
    <w:rsid w:val="78947487"/>
    <w:rsid w:val="789A0E4D"/>
    <w:rsid w:val="789B25C4"/>
    <w:rsid w:val="789F69F9"/>
    <w:rsid w:val="78AC47D1"/>
    <w:rsid w:val="78AD3BCE"/>
    <w:rsid w:val="78B11DE7"/>
    <w:rsid w:val="78B30ED0"/>
    <w:rsid w:val="78B33DB1"/>
    <w:rsid w:val="78B638A1"/>
    <w:rsid w:val="78B673FD"/>
    <w:rsid w:val="78B74850"/>
    <w:rsid w:val="78B74F24"/>
    <w:rsid w:val="78B813C8"/>
    <w:rsid w:val="78B96EEE"/>
    <w:rsid w:val="78BD078C"/>
    <w:rsid w:val="78BF05B7"/>
    <w:rsid w:val="78C53AE4"/>
    <w:rsid w:val="78C6789B"/>
    <w:rsid w:val="78CC09CF"/>
    <w:rsid w:val="78CE2508"/>
    <w:rsid w:val="78CE291F"/>
    <w:rsid w:val="78CF226D"/>
    <w:rsid w:val="78D37FAF"/>
    <w:rsid w:val="78D41F79"/>
    <w:rsid w:val="78DC5206"/>
    <w:rsid w:val="78E24696"/>
    <w:rsid w:val="78E35D19"/>
    <w:rsid w:val="78EB6D4A"/>
    <w:rsid w:val="78EE4DE9"/>
    <w:rsid w:val="78F61EF0"/>
    <w:rsid w:val="78F9378E"/>
    <w:rsid w:val="78F9553C"/>
    <w:rsid w:val="78FD6DDA"/>
    <w:rsid w:val="79020CF3"/>
    <w:rsid w:val="79091C23"/>
    <w:rsid w:val="790939D1"/>
    <w:rsid w:val="790C526F"/>
    <w:rsid w:val="79192242"/>
    <w:rsid w:val="7919798C"/>
    <w:rsid w:val="791B1956"/>
    <w:rsid w:val="79226841"/>
    <w:rsid w:val="792627D5"/>
    <w:rsid w:val="792A1B99"/>
    <w:rsid w:val="792F38D8"/>
    <w:rsid w:val="79334EF2"/>
    <w:rsid w:val="79335CA1"/>
    <w:rsid w:val="793622EC"/>
    <w:rsid w:val="79370AA3"/>
    <w:rsid w:val="79415ED0"/>
    <w:rsid w:val="79425135"/>
    <w:rsid w:val="79444A09"/>
    <w:rsid w:val="794675FC"/>
    <w:rsid w:val="79521A42"/>
    <w:rsid w:val="79556C16"/>
    <w:rsid w:val="79586707"/>
    <w:rsid w:val="7967694A"/>
    <w:rsid w:val="796B468C"/>
    <w:rsid w:val="797352EE"/>
    <w:rsid w:val="79751067"/>
    <w:rsid w:val="797D7F1B"/>
    <w:rsid w:val="797F3C93"/>
    <w:rsid w:val="798578CD"/>
    <w:rsid w:val="79872B48"/>
    <w:rsid w:val="798922B6"/>
    <w:rsid w:val="798D4602"/>
    <w:rsid w:val="79927E6B"/>
    <w:rsid w:val="7993773F"/>
    <w:rsid w:val="79950AA3"/>
    <w:rsid w:val="79982FA7"/>
    <w:rsid w:val="79986827"/>
    <w:rsid w:val="79A25384"/>
    <w:rsid w:val="79A8143C"/>
    <w:rsid w:val="79A82152"/>
    <w:rsid w:val="79B06543"/>
    <w:rsid w:val="79B17BC5"/>
    <w:rsid w:val="79B24A1E"/>
    <w:rsid w:val="79BE0C60"/>
    <w:rsid w:val="79BF6786"/>
    <w:rsid w:val="79C124FE"/>
    <w:rsid w:val="79C618C2"/>
    <w:rsid w:val="79CA11DC"/>
    <w:rsid w:val="79CB43E5"/>
    <w:rsid w:val="79D404C9"/>
    <w:rsid w:val="79D57D57"/>
    <w:rsid w:val="79D97847"/>
    <w:rsid w:val="79DD6C0C"/>
    <w:rsid w:val="79E81C73"/>
    <w:rsid w:val="79EB30D7"/>
    <w:rsid w:val="79EE2A5F"/>
    <w:rsid w:val="79F521A7"/>
    <w:rsid w:val="79F63C08"/>
    <w:rsid w:val="79FF4DD4"/>
    <w:rsid w:val="7A0E5017"/>
    <w:rsid w:val="7A107F05"/>
    <w:rsid w:val="7A1751EE"/>
    <w:rsid w:val="7A1F7331"/>
    <w:rsid w:val="7A202B9C"/>
    <w:rsid w:val="7A230AC3"/>
    <w:rsid w:val="7A2A00A3"/>
    <w:rsid w:val="7A2B2D92"/>
    <w:rsid w:val="7A32629E"/>
    <w:rsid w:val="7A387111"/>
    <w:rsid w:val="7A3E76AA"/>
    <w:rsid w:val="7A440A39"/>
    <w:rsid w:val="7A4A42A1"/>
    <w:rsid w:val="7A5403D5"/>
    <w:rsid w:val="7A540C7C"/>
    <w:rsid w:val="7A590988"/>
    <w:rsid w:val="7A5D7AED"/>
    <w:rsid w:val="7A666C01"/>
    <w:rsid w:val="7A6B4218"/>
    <w:rsid w:val="7A7163E3"/>
    <w:rsid w:val="7A7430CC"/>
    <w:rsid w:val="7A761AEF"/>
    <w:rsid w:val="7A807CC3"/>
    <w:rsid w:val="7A862E00"/>
    <w:rsid w:val="7A9247E8"/>
    <w:rsid w:val="7A94376E"/>
    <w:rsid w:val="7A9A5B50"/>
    <w:rsid w:val="7A9C2623"/>
    <w:rsid w:val="7AA02113"/>
    <w:rsid w:val="7AAB5927"/>
    <w:rsid w:val="7AAF5CC9"/>
    <w:rsid w:val="7AB21E46"/>
    <w:rsid w:val="7AB83901"/>
    <w:rsid w:val="7AC30F8A"/>
    <w:rsid w:val="7AD332FB"/>
    <w:rsid w:val="7AD65B35"/>
    <w:rsid w:val="7AE1774E"/>
    <w:rsid w:val="7AE47839"/>
    <w:rsid w:val="7AEC5358"/>
    <w:rsid w:val="7AF81037"/>
    <w:rsid w:val="7B001A44"/>
    <w:rsid w:val="7B046BAE"/>
    <w:rsid w:val="7B08042F"/>
    <w:rsid w:val="7B0C59FB"/>
    <w:rsid w:val="7B1B79EC"/>
    <w:rsid w:val="7B205002"/>
    <w:rsid w:val="7B250689"/>
    <w:rsid w:val="7B2A52B8"/>
    <w:rsid w:val="7B2C7E4B"/>
    <w:rsid w:val="7B2D5FB5"/>
    <w:rsid w:val="7B2F5245"/>
    <w:rsid w:val="7B303E7C"/>
    <w:rsid w:val="7B312D12"/>
    <w:rsid w:val="7B3960C4"/>
    <w:rsid w:val="7B3E36DA"/>
    <w:rsid w:val="7B3F5288"/>
    <w:rsid w:val="7B407452"/>
    <w:rsid w:val="7B476A33"/>
    <w:rsid w:val="7B4F1064"/>
    <w:rsid w:val="7B4F58E7"/>
    <w:rsid w:val="7B5B3E7B"/>
    <w:rsid w:val="7B5D1DB2"/>
    <w:rsid w:val="7B6018A2"/>
    <w:rsid w:val="7B75534E"/>
    <w:rsid w:val="7B760485"/>
    <w:rsid w:val="7B7610C6"/>
    <w:rsid w:val="7B784E3E"/>
    <w:rsid w:val="7B7F61CD"/>
    <w:rsid w:val="7B826770"/>
    <w:rsid w:val="7B845591"/>
    <w:rsid w:val="7B857048"/>
    <w:rsid w:val="7B961799"/>
    <w:rsid w:val="7BA07EF1"/>
    <w:rsid w:val="7BA619AB"/>
    <w:rsid w:val="7BA63759"/>
    <w:rsid w:val="7BA75723"/>
    <w:rsid w:val="7BA90E15"/>
    <w:rsid w:val="7BAB0D70"/>
    <w:rsid w:val="7BC22BCC"/>
    <w:rsid w:val="7BCD518A"/>
    <w:rsid w:val="7BDA03AA"/>
    <w:rsid w:val="7BDF310F"/>
    <w:rsid w:val="7BE61DA8"/>
    <w:rsid w:val="7BE6624C"/>
    <w:rsid w:val="7BEE5100"/>
    <w:rsid w:val="7BF32717"/>
    <w:rsid w:val="7BF44658"/>
    <w:rsid w:val="7BF5086D"/>
    <w:rsid w:val="7BFC41BA"/>
    <w:rsid w:val="7C014E34"/>
    <w:rsid w:val="7C0B180E"/>
    <w:rsid w:val="7C0E656D"/>
    <w:rsid w:val="7C0E7550"/>
    <w:rsid w:val="7C1032C9"/>
    <w:rsid w:val="7C127041"/>
    <w:rsid w:val="7C13497E"/>
    <w:rsid w:val="7C1508DF"/>
    <w:rsid w:val="7C1A5EF5"/>
    <w:rsid w:val="7C1D6A68"/>
    <w:rsid w:val="7C1F175E"/>
    <w:rsid w:val="7C2D3E7B"/>
    <w:rsid w:val="7C2F2575"/>
    <w:rsid w:val="7C352D2F"/>
    <w:rsid w:val="7C38637B"/>
    <w:rsid w:val="7C3C2310"/>
    <w:rsid w:val="7C444F81"/>
    <w:rsid w:val="7C5668F4"/>
    <w:rsid w:val="7C5C3F2F"/>
    <w:rsid w:val="7C63789C"/>
    <w:rsid w:val="7C64134B"/>
    <w:rsid w:val="7C6D3506"/>
    <w:rsid w:val="7C703D67"/>
    <w:rsid w:val="7C743857"/>
    <w:rsid w:val="7C776EA4"/>
    <w:rsid w:val="7C7C095E"/>
    <w:rsid w:val="7C7D2DBE"/>
    <w:rsid w:val="7C7F3F66"/>
    <w:rsid w:val="7C8614B7"/>
    <w:rsid w:val="7C8B0BA1"/>
    <w:rsid w:val="7C8B6DF3"/>
    <w:rsid w:val="7C8F68E3"/>
    <w:rsid w:val="7C977546"/>
    <w:rsid w:val="7C9E08D4"/>
    <w:rsid w:val="7CA53A11"/>
    <w:rsid w:val="7CA67789"/>
    <w:rsid w:val="7CA81753"/>
    <w:rsid w:val="7CB24380"/>
    <w:rsid w:val="7CB26CCA"/>
    <w:rsid w:val="7CB974BC"/>
    <w:rsid w:val="7CBA75BE"/>
    <w:rsid w:val="7CC12815"/>
    <w:rsid w:val="7CCB5B29"/>
    <w:rsid w:val="7CCC3693"/>
    <w:rsid w:val="7CD04806"/>
    <w:rsid w:val="7CD442F6"/>
    <w:rsid w:val="7CD76D10"/>
    <w:rsid w:val="7CDB5685"/>
    <w:rsid w:val="7CDC31AB"/>
    <w:rsid w:val="7CE42DCC"/>
    <w:rsid w:val="7CE704CD"/>
    <w:rsid w:val="7CEA7F18"/>
    <w:rsid w:val="7CEC5AE4"/>
    <w:rsid w:val="7CED7166"/>
    <w:rsid w:val="7CF44998"/>
    <w:rsid w:val="7CF91FAF"/>
    <w:rsid w:val="7CFF4918"/>
    <w:rsid w:val="7D036989"/>
    <w:rsid w:val="7D080444"/>
    <w:rsid w:val="7D1172F8"/>
    <w:rsid w:val="7D126BCC"/>
    <w:rsid w:val="7D197F5B"/>
    <w:rsid w:val="7D20578D"/>
    <w:rsid w:val="7D2174B0"/>
    <w:rsid w:val="7D2810CB"/>
    <w:rsid w:val="7D2D3A06"/>
    <w:rsid w:val="7D3B6123"/>
    <w:rsid w:val="7D40373A"/>
    <w:rsid w:val="7D44147C"/>
    <w:rsid w:val="7D4C6038"/>
    <w:rsid w:val="7D4C6582"/>
    <w:rsid w:val="7D5611AF"/>
    <w:rsid w:val="7D56583C"/>
    <w:rsid w:val="7D6067A7"/>
    <w:rsid w:val="7D6513F2"/>
    <w:rsid w:val="7D657644"/>
    <w:rsid w:val="7D6733BC"/>
    <w:rsid w:val="7D741635"/>
    <w:rsid w:val="7D7C1B4F"/>
    <w:rsid w:val="7D87580C"/>
    <w:rsid w:val="7D8C0A0F"/>
    <w:rsid w:val="7D921C5C"/>
    <w:rsid w:val="7D957F29"/>
    <w:rsid w:val="7D9A5540"/>
    <w:rsid w:val="7D9B169B"/>
    <w:rsid w:val="7D9B3852"/>
    <w:rsid w:val="7D9D27DB"/>
    <w:rsid w:val="7DA22183"/>
    <w:rsid w:val="7DAA5437"/>
    <w:rsid w:val="7DB14637"/>
    <w:rsid w:val="7DB163E5"/>
    <w:rsid w:val="7DB3215D"/>
    <w:rsid w:val="7DB61C4E"/>
    <w:rsid w:val="7DB639FC"/>
    <w:rsid w:val="7DB87774"/>
    <w:rsid w:val="7DBF4FA6"/>
    <w:rsid w:val="7DC425BD"/>
    <w:rsid w:val="7DC833AB"/>
    <w:rsid w:val="7DC921DE"/>
    <w:rsid w:val="7DCA74A7"/>
    <w:rsid w:val="7DCA74AD"/>
    <w:rsid w:val="7DCC1471"/>
    <w:rsid w:val="7DD547CA"/>
    <w:rsid w:val="7DDB550F"/>
    <w:rsid w:val="7DDC3138"/>
    <w:rsid w:val="7DE14F1D"/>
    <w:rsid w:val="7DF12C86"/>
    <w:rsid w:val="7DF34C50"/>
    <w:rsid w:val="7DFE046D"/>
    <w:rsid w:val="7E05172E"/>
    <w:rsid w:val="7E07092C"/>
    <w:rsid w:val="7E1150D6"/>
    <w:rsid w:val="7E132BFC"/>
    <w:rsid w:val="7E156974"/>
    <w:rsid w:val="7E16235D"/>
    <w:rsid w:val="7E1B0471"/>
    <w:rsid w:val="7E1F2F63"/>
    <w:rsid w:val="7E1F77F3"/>
    <w:rsid w:val="7E21356B"/>
    <w:rsid w:val="7E260B81"/>
    <w:rsid w:val="7E290672"/>
    <w:rsid w:val="7E2D63B4"/>
    <w:rsid w:val="7E386B07"/>
    <w:rsid w:val="7E394D59"/>
    <w:rsid w:val="7E3A462D"/>
    <w:rsid w:val="7E3C03A5"/>
    <w:rsid w:val="7E4640AA"/>
    <w:rsid w:val="7E464D80"/>
    <w:rsid w:val="7E490D14"/>
    <w:rsid w:val="7E492AC2"/>
    <w:rsid w:val="7E53749D"/>
    <w:rsid w:val="7E5A01A6"/>
    <w:rsid w:val="7E5C0A47"/>
    <w:rsid w:val="7E5C45A3"/>
    <w:rsid w:val="7E6022CD"/>
    <w:rsid w:val="7E61605D"/>
    <w:rsid w:val="7E6867FD"/>
    <w:rsid w:val="7E6A2B1A"/>
    <w:rsid w:val="7E6B47E6"/>
    <w:rsid w:val="7E6E2528"/>
    <w:rsid w:val="7E6E412C"/>
    <w:rsid w:val="7E74183B"/>
    <w:rsid w:val="7E751B09"/>
    <w:rsid w:val="7E7F0292"/>
    <w:rsid w:val="7E8642EF"/>
    <w:rsid w:val="7E906943"/>
    <w:rsid w:val="7EA128FE"/>
    <w:rsid w:val="7EA47CF8"/>
    <w:rsid w:val="7EB22415"/>
    <w:rsid w:val="7EB51F05"/>
    <w:rsid w:val="7EB536D1"/>
    <w:rsid w:val="7EB90086"/>
    <w:rsid w:val="7EB919F5"/>
    <w:rsid w:val="7EBB39C0"/>
    <w:rsid w:val="7EC10260"/>
    <w:rsid w:val="7EC5039A"/>
    <w:rsid w:val="7EC62364"/>
    <w:rsid w:val="7EC861C8"/>
    <w:rsid w:val="7EC93128"/>
    <w:rsid w:val="7ECB797B"/>
    <w:rsid w:val="7ECD36F3"/>
    <w:rsid w:val="7ECF2FC7"/>
    <w:rsid w:val="7EDC3936"/>
    <w:rsid w:val="7EDC47B6"/>
    <w:rsid w:val="7EE03426"/>
    <w:rsid w:val="7EE051D4"/>
    <w:rsid w:val="7EE10F4C"/>
    <w:rsid w:val="7EE84089"/>
    <w:rsid w:val="7EED78F1"/>
    <w:rsid w:val="7EF42A2E"/>
    <w:rsid w:val="7EF50554"/>
    <w:rsid w:val="7EF90044"/>
    <w:rsid w:val="7EFF3357"/>
    <w:rsid w:val="7F0C5FC9"/>
    <w:rsid w:val="7F141322"/>
    <w:rsid w:val="7F144E7E"/>
    <w:rsid w:val="7F153C13"/>
    <w:rsid w:val="7F201A75"/>
    <w:rsid w:val="7F2552DD"/>
    <w:rsid w:val="7F26401B"/>
    <w:rsid w:val="7F3177DE"/>
    <w:rsid w:val="7F3472CE"/>
    <w:rsid w:val="7F3B065C"/>
    <w:rsid w:val="7F505748"/>
    <w:rsid w:val="7F572FBC"/>
    <w:rsid w:val="7F594F87"/>
    <w:rsid w:val="7F601E71"/>
    <w:rsid w:val="7F6F54E6"/>
    <w:rsid w:val="7F721BA4"/>
    <w:rsid w:val="7F730CD3"/>
    <w:rsid w:val="7F736048"/>
    <w:rsid w:val="7F7E679B"/>
    <w:rsid w:val="7F8518D8"/>
    <w:rsid w:val="7F886D2E"/>
    <w:rsid w:val="7F906EDC"/>
    <w:rsid w:val="7F94330C"/>
    <w:rsid w:val="7F9E2999"/>
    <w:rsid w:val="7FAE68DA"/>
    <w:rsid w:val="7FB0104A"/>
    <w:rsid w:val="7FB406F4"/>
    <w:rsid w:val="7FB80376"/>
    <w:rsid w:val="7FBA5A25"/>
    <w:rsid w:val="7FBE4DEA"/>
    <w:rsid w:val="7FBF303C"/>
    <w:rsid w:val="7FC76394"/>
    <w:rsid w:val="7FCA378E"/>
    <w:rsid w:val="7FCE327F"/>
    <w:rsid w:val="7FD34D39"/>
    <w:rsid w:val="7FDB6A7B"/>
    <w:rsid w:val="7FDD34C2"/>
    <w:rsid w:val="7FDF4F36"/>
    <w:rsid w:val="7FE26D2A"/>
    <w:rsid w:val="7FE505C8"/>
    <w:rsid w:val="7FE52251"/>
    <w:rsid w:val="7FF058EB"/>
    <w:rsid w:val="7FF4427A"/>
    <w:rsid w:val="7FF54CAF"/>
    <w:rsid w:val="7FF627D5"/>
    <w:rsid w:val="7FFD1DB6"/>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snapToGrid/>
      <w:spacing w:afterLines="0"/>
    </w:pPr>
    <w:rPr>
      <w:rFonts w:ascii="Times New Roman" w:hAnsi="Times New Roman" w:eastAsia="宋体" w:cs="Times New Roman"/>
      <w:sz w:val="21"/>
      <w:szCs w:val="22"/>
      <w:lang w:val="en-US" w:eastAsia="zh-CN" w:bidi="ar-SA"/>
    </w:rPr>
  </w:style>
  <w:style w:type="paragraph" w:styleId="3">
    <w:name w:val="heading 1"/>
    <w:basedOn w:val="1"/>
    <w:next w:val="4"/>
    <w:qFormat/>
    <w:uiPriority w:val="0"/>
    <w:pPr>
      <w:keepNext/>
      <w:keepLines/>
      <w:spacing w:beforeLines="0" w:beforeAutospacing="0" w:afterLines="0" w:afterAutospacing="0" w:line="360" w:lineRule="auto"/>
      <w:outlineLvl w:val="0"/>
    </w:pPr>
    <w:rPr>
      <w:rFonts w:ascii="Times New Roman" w:hAnsi="Times New Roman" w:eastAsia="宋体"/>
      <w:b/>
      <w:kern w:val="44"/>
      <w:sz w:val="44"/>
      <w:szCs w:val="24"/>
    </w:rPr>
  </w:style>
  <w:style w:type="paragraph" w:styleId="2">
    <w:name w:val="heading 2"/>
    <w:basedOn w:val="3"/>
    <w:next w:val="1"/>
    <w:unhideWhenUsed/>
    <w:qFormat/>
    <w:uiPriority w:val="0"/>
    <w:pPr>
      <w:keepNext/>
      <w:keepLines/>
      <w:spacing w:line="360" w:lineRule="auto"/>
      <w:ind w:firstLine="482" w:firstLineChars="100"/>
      <w:outlineLvl w:val="1"/>
    </w:pPr>
    <w:rPr>
      <w:rFonts w:ascii="Times New Roman" w:hAnsi="Times New Roman" w:eastAsia="宋体"/>
      <w:bCs/>
      <w:kern w:val="2"/>
      <w:sz w:val="32"/>
      <w:szCs w:val="32"/>
    </w:rPr>
  </w:style>
  <w:style w:type="paragraph" w:styleId="5">
    <w:name w:val="heading 3"/>
    <w:basedOn w:val="1"/>
    <w:next w:val="1"/>
    <w:link w:val="93"/>
    <w:unhideWhenUsed/>
    <w:qFormat/>
    <w:uiPriority w:val="0"/>
    <w:pPr>
      <w:keepNext/>
      <w:keepLines/>
      <w:spacing w:beforeLines="0" w:beforeAutospacing="0" w:afterLines="0" w:afterAutospacing="0" w:line="360" w:lineRule="auto"/>
      <w:ind w:firstLine="964" w:firstLineChars="200"/>
      <w:outlineLvl w:val="2"/>
    </w:pPr>
    <w:rPr>
      <w:rFonts w:ascii="Times New Roman" w:hAnsi="Times New Roman" w:eastAsiaTheme="minorEastAsia" w:cstheme="minorBidi"/>
      <w:b/>
      <w:kern w:val="2"/>
      <w:sz w:val="30"/>
      <w:szCs w:val="24"/>
    </w:rPr>
  </w:style>
  <w:style w:type="paragraph" w:styleId="6">
    <w:name w:val="heading 4"/>
    <w:basedOn w:val="1"/>
    <w:next w:val="1"/>
    <w:unhideWhenUsed/>
    <w:qFormat/>
    <w:uiPriority w:val="0"/>
    <w:pPr>
      <w:keepNext/>
      <w:keepLines/>
      <w:spacing w:beforeLines="0" w:beforeAutospacing="0" w:afterLines="0" w:afterAutospacing="0" w:line="360" w:lineRule="auto"/>
      <w:ind w:firstLine="1104" w:firstLineChars="250"/>
      <w:outlineLvl w:val="3"/>
    </w:pPr>
    <w:rPr>
      <w:rFonts w:ascii="Times New Roman" w:hAnsi="Times New Roman" w:eastAsia="宋体" w:cs="Times New Roman"/>
      <w:b/>
      <w:sz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customStyle="1" w:styleId="4">
    <w:name w:val="A-z正文"/>
    <w:basedOn w:val="1"/>
    <w:autoRedefine/>
    <w:qFormat/>
    <w:uiPriority w:val="0"/>
    <w:pPr>
      <w:ind w:firstLine="480" w:firstLineChars="200"/>
      <w:jc w:val="both"/>
    </w:pPr>
    <w:rPr>
      <w:sz w:val="24"/>
    </w:rPr>
  </w:style>
  <w:style w:type="paragraph" w:styleId="7">
    <w:name w:val="index 8"/>
    <w:basedOn w:val="1"/>
    <w:next w:val="1"/>
    <w:unhideWhenUsed/>
    <w:qFormat/>
    <w:uiPriority w:val="0"/>
    <w:pPr>
      <w:adjustRightInd w:val="0"/>
      <w:snapToGrid w:val="0"/>
      <w:ind w:left="1400" w:leftChars="1400"/>
    </w:pPr>
  </w:style>
  <w:style w:type="paragraph" w:styleId="8">
    <w:name w:val="Normal Indent"/>
    <w:basedOn w:val="1"/>
    <w:qFormat/>
    <w:uiPriority w:val="0"/>
    <w:pPr>
      <w:ind w:firstLine="420"/>
    </w:pPr>
    <w:rPr>
      <w:rFonts w:asciiTheme="minorHAnsi" w:hAnsiTheme="minorHAnsi" w:eastAsiaTheme="minorEastAsia" w:cstheme="minorBidi"/>
      <w:sz w:val="28"/>
      <w:szCs w:val="22"/>
    </w:rPr>
  </w:style>
  <w:style w:type="paragraph" w:styleId="9">
    <w:name w:val="caption"/>
    <w:basedOn w:val="1"/>
    <w:next w:val="1"/>
    <w:qFormat/>
    <w:uiPriority w:val="0"/>
    <w:pPr>
      <w:spacing w:line="300" w:lineRule="exact"/>
      <w:jc w:val="center"/>
    </w:pPr>
    <w:rPr>
      <w:rFonts w:ascii="黑体" w:hAnsi="黑体" w:eastAsia="黑体"/>
      <w:b/>
      <w:szCs w:val="20"/>
    </w:rPr>
  </w:style>
  <w:style w:type="paragraph" w:styleId="10">
    <w:name w:val="annotation text"/>
    <w:basedOn w:val="1"/>
    <w:qFormat/>
    <w:uiPriority w:val="0"/>
    <w:pPr>
      <w:jc w:val="left"/>
    </w:pPr>
  </w:style>
  <w:style w:type="paragraph" w:styleId="11">
    <w:name w:val="Body Text"/>
    <w:basedOn w:val="1"/>
    <w:next w:val="1"/>
    <w:qFormat/>
    <w:uiPriority w:val="0"/>
    <w:pPr>
      <w:spacing w:afterLines="0" w:afterAutospacing="0" w:line="360" w:lineRule="auto"/>
      <w:ind w:firstLine="480" w:firstLineChars="200"/>
    </w:pPr>
    <w:rPr>
      <w:rFonts w:ascii="Times New Roman" w:hAnsi="Times New Roman" w:eastAsia="宋体" w:cstheme="minorBidi"/>
      <w:kern w:val="2"/>
      <w:sz w:val="24"/>
      <w:szCs w:val="24"/>
    </w:rPr>
  </w:style>
  <w:style w:type="paragraph" w:styleId="12">
    <w:name w:val="Body Text Indent"/>
    <w:basedOn w:val="1"/>
    <w:next w:val="11"/>
    <w:semiHidden/>
    <w:unhideWhenUsed/>
    <w:qFormat/>
    <w:uiPriority w:val="99"/>
    <w:pPr>
      <w:spacing w:after="120"/>
      <w:ind w:left="420" w:leftChars="200"/>
    </w:pPr>
  </w:style>
  <w:style w:type="paragraph" w:styleId="13">
    <w:name w:val="Block Text"/>
    <w:basedOn w:val="1"/>
    <w:next w:val="1"/>
    <w:qFormat/>
    <w:uiPriority w:val="0"/>
    <w:pPr>
      <w:ind w:left="146" w:right="146"/>
    </w:pPr>
    <w:rPr>
      <w:rFonts w:ascii="宋体" w:hAnsi="Times New Roman"/>
      <w:kern w:val="24"/>
      <w:szCs w:val="20"/>
    </w:rPr>
  </w:style>
  <w:style w:type="paragraph" w:styleId="14">
    <w:name w:val="toc 5"/>
    <w:basedOn w:val="1"/>
    <w:next w:val="1"/>
    <w:qFormat/>
    <w:uiPriority w:val="39"/>
    <w:pPr>
      <w:ind w:left="840"/>
    </w:pPr>
    <w:rPr>
      <w:rFonts w:ascii="宋体" w:hAnsi="Times New Roman"/>
      <w:kern w:val="0"/>
      <w:sz w:val="18"/>
      <w:szCs w:val="18"/>
    </w:rPr>
  </w:style>
  <w:style w:type="paragraph" w:styleId="15">
    <w:name w:val="Body Text Indent 2"/>
    <w:basedOn w:val="1"/>
    <w:qFormat/>
    <w:uiPriority w:val="0"/>
    <w:pPr>
      <w:spacing w:after="120" w:line="480" w:lineRule="auto"/>
      <w:ind w:left="420" w:leftChars="200"/>
    </w:pPr>
    <w:rPr>
      <w:rFonts w:ascii="Calibri" w:hAnsi="Calibri" w:eastAsia="宋体" w:cs="Times New Roman"/>
      <w:szCs w:val="22"/>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0"/>
  </w:style>
  <w:style w:type="paragraph" w:styleId="19">
    <w:name w:val="Subtitle"/>
    <w:basedOn w:val="1"/>
    <w:next w:val="1"/>
    <w:qFormat/>
    <w:uiPriority w:val="11"/>
    <w:pPr>
      <w:jc w:val="center"/>
    </w:pPr>
    <w:rPr>
      <w:bCs/>
      <w:kern w:val="28"/>
      <w:szCs w:val="32"/>
    </w:rPr>
  </w:style>
  <w:style w:type="paragraph" w:styleId="20">
    <w:name w:val="List"/>
    <w:basedOn w:val="1"/>
    <w:qFormat/>
    <w:uiPriority w:val="0"/>
    <w:pPr>
      <w:ind w:left="200" w:hanging="200" w:hangingChars="200"/>
    </w:pPr>
  </w:style>
  <w:style w:type="paragraph" w:styleId="21">
    <w:name w:val="toc 2"/>
    <w:basedOn w:val="1"/>
    <w:next w:val="1"/>
    <w:unhideWhenUsed/>
    <w:qFormat/>
    <w:uiPriority w:val="39"/>
    <w:pPr>
      <w:spacing w:before="120"/>
      <w:ind w:left="210"/>
      <w:jc w:val="left"/>
    </w:pPr>
    <w:rPr>
      <w:rFonts w:ascii="Calibri" w:hAnsi="Calibri" w:cs="Calibri"/>
      <w:i/>
      <w:iCs/>
      <w:sz w:val="20"/>
    </w:rPr>
  </w:style>
  <w:style w:type="paragraph" w:styleId="22">
    <w:name w:val="Body Text 2"/>
    <w:basedOn w:val="1"/>
    <w:qFormat/>
    <w:uiPriority w:val="0"/>
    <w:pPr>
      <w:spacing w:after="120" w:afterLines="0" w:afterAutospacing="0" w:line="480" w:lineRule="auto"/>
    </w:pPr>
  </w:style>
  <w:style w:type="paragraph" w:styleId="2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4">
    <w:name w:val="Normal (Web)"/>
    <w:basedOn w:val="1"/>
    <w:qFormat/>
    <w:uiPriority w:val="0"/>
    <w:pPr>
      <w:widowControl/>
      <w:spacing w:before="100" w:beforeAutospacing="1" w:after="100" w:afterAutospacing="1"/>
      <w:jc w:val="left"/>
    </w:pPr>
    <w:rPr>
      <w:rFonts w:ascii="宋体" w:hAnsi="宋体"/>
      <w:kern w:val="0"/>
      <w:sz w:val="24"/>
    </w:rPr>
  </w:style>
  <w:style w:type="paragraph" w:styleId="25">
    <w:name w:val="Body Text First Indent"/>
    <w:basedOn w:val="11"/>
    <w:qFormat/>
    <w:uiPriority w:val="0"/>
    <w:pPr>
      <w:ind w:firstLine="420" w:firstLineChars="100"/>
    </w:pPr>
    <w:rPr>
      <w:rFonts w:ascii="Times New Roman" w:hAnsi="Times New Roman"/>
      <w:kern w:val="0"/>
      <w:sz w:val="20"/>
      <w:szCs w:val="24"/>
    </w:rPr>
  </w:style>
  <w:style w:type="paragraph" w:styleId="26">
    <w:name w:val="Body Text First Indent 2"/>
    <w:basedOn w:val="12"/>
    <w:unhideWhenUsed/>
    <w:qFormat/>
    <w:uiPriority w:val="99"/>
    <w:pPr>
      <w:ind w:firstLine="420" w:firstLineChars="200"/>
    </w:p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Emphasis"/>
    <w:basedOn w:val="29"/>
    <w:qFormat/>
    <w:uiPriority w:val="0"/>
    <w:rPr>
      <w:i/>
    </w:rPr>
  </w:style>
  <w:style w:type="character" w:styleId="31">
    <w:name w:val="Hyperlink"/>
    <w:basedOn w:val="29"/>
    <w:qFormat/>
    <w:uiPriority w:val="0"/>
    <w:rPr>
      <w:color w:val="0000FF"/>
      <w:u w:val="single"/>
    </w:rPr>
  </w:style>
  <w:style w:type="paragraph" w:customStyle="1" w:styleId="32">
    <w:name w:val="表头"/>
    <w:basedOn w:val="20"/>
    <w:next w:val="1"/>
    <w:qFormat/>
    <w:uiPriority w:val="0"/>
    <w:pPr>
      <w:overflowPunct w:val="0"/>
      <w:ind w:firstLine="0" w:firstLineChars="0"/>
      <w:jc w:val="center"/>
    </w:pPr>
    <w:rPr>
      <w:rFonts w:ascii="Times New Roman" w:hAnsi="Times New Roman" w:eastAsia="宋体" w:cs="Times New Roman"/>
      <w:b/>
      <w:sz w:val="21"/>
    </w:rPr>
  </w:style>
  <w:style w:type="paragraph" w:customStyle="1" w:styleId="33">
    <w:name w:val="文本正文"/>
    <w:basedOn w:val="1"/>
    <w:qFormat/>
    <w:uiPriority w:val="0"/>
    <w:pPr>
      <w:spacing w:line="360" w:lineRule="auto"/>
      <w:ind w:firstLine="420" w:firstLineChars="200"/>
    </w:pPr>
    <w:rPr>
      <w:rFonts w:ascii="Times New Roman" w:hAnsi="Times New Roman"/>
      <w:sz w:val="24"/>
      <w:szCs w:val="28"/>
    </w:rPr>
  </w:style>
  <w:style w:type="paragraph" w:customStyle="1" w:styleId="34">
    <w:name w:val="表格内容正文"/>
    <w:basedOn w:val="1"/>
    <w:link w:val="92"/>
    <w:qFormat/>
    <w:uiPriority w:val="0"/>
    <w:pPr>
      <w:jc w:val="center"/>
    </w:pPr>
    <w:rPr>
      <w:rFonts w:ascii="Times New Roman" w:hAnsi="Times New Roman" w:eastAsia="宋体"/>
    </w:rPr>
  </w:style>
  <w:style w:type="paragraph" w:customStyle="1" w:styleId="35">
    <w:name w:val="Char Char Char Char Char Char Char Char Char1 Char"/>
    <w:basedOn w:val="1"/>
    <w:next w:val="36"/>
    <w:autoRedefine/>
    <w:qFormat/>
    <w:uiPriority w:val="0"/>
    <w:pPr>
      <w:spacing w:line="360" w:lineRule="auto"/>
      <w:ind w:firstLine="200" w:firstLineChars="200"/>
    </w:pPr>
    <w:rPr>
      <w:rFonts w:hAnsi="宋体" w:cs="宋体"/>
      <w:spacing w:val="0"/>
      <w:sz w:val="24"/>
      <w:szCs w:val="24"/>
    </w:rPr>
  </w:style>
  <w:style w:type="paragraph" w:customStyle="1" w:styleId="36">
    <w:name w:val="Body Text First Indent1"/>
    <w:basedOn w:val="11"/>
    <w:next w:val="1"/>
    <w:autoRedefine/>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37">
    <w:name w:val="报告正文"/>
    <w:basedOn w:val="1"/>
    <w:link w:val="72"/>
    <w:autoRedefine/>
    <w:qFormat/>
    <w:uiPriority w:val="0"/>
    <w:pPr>
      <w:widowControl/>
      <w:ind w:firstLine="200" w:firstLineChars="200"/>
    </w:pPr>
  </w:style>
  <w:style w:type="paragraph" w:customStyle="1" w:styleId="38">
    <w:name w:val="！正文"/>
    <w:next w:val="7"/>
    <w:autoRedefine/>
    <w:qFormat/>
    <w:uiPriority w:val="0"/>
    <w:pPr>
      <w:widowControl w:val="0"/>
      <w:spacing w:line="360" w:lineRule="auto"/>
      <w:ind w:firstLine="412" w:firstLineChars="147"/>
      <w:jc w:val="both"/>
    </w:pPr>
    <w:rPr>
      <w:rFonts w:ascii="Times New Roman" w:hAnsi="Times New Roman" w:eastAsia="宋体" w:cs="Times New Roman"/>
      <w:bCs/>
      <w:color w:val="000000"/>
      <w:kern w:val="2"/>
      <w:sz w:val="28"/>
      <w:szCs w:val="28"/>
      <w:lang w:val="zh-CN" w:eastAsia="zh-CN" w:bidi="ar-SA"/>
    </w:rPr>
  </w:style>
  <w:style w:type="paragraph" w:customStyle="1" w:styleId="39">
    <w:name w:val="表格内容"/>
    <w:basedOn w:val="8"/>
    <w:next w:val="1"/>
    <w:qFormat/>
    <w:uiPriority w:val="0"/>
  </w:style>
  <w:style w:type="paragraph" w:customStyle="1" w:styleId="40">
    <w:name w:val="A表内"/>
    <w:basedOn w:val="1"/>
    <w:qFormat/>
    <w:uiPriority w:val="0"/>
    <w:pPr>
      <w:spacing w:line="240" w:lineRule="auto"/>
      <w:ind w:firstLine="0" w:firstLineChars="0"/>
      <w:jc w:val="center"/>
    </w:pPr>
    <w:rPr>
      <w:sz w:val="21"/>
    </w:rPr>
  </w:style>
  <w:style w:type="paragraph" w:customStyle="1" w:styleId="41">
    <w:name w:val="A-题注-表"/>
    <w:basedOn w:val="1"/>
    <w:qFormat/>
    <w:uiPriority w:val="0"/>
    <w:pPr>
      <w:spacing w:before="50" w:beforeLines="50"/>
      <w:ind w:firstLine="0"/>
      <w:jc w:val="center"/>
    </w:pPr>
    <w:rPr>
      <w:rFonts w:cs="Arial"/>
      <w:b/>
    </w:rPr>
  </w:style>
  <w:style w:type="paragraph" w:customStyle="1" w:styleId="42">
    <w:name w:val="A-表格文字"/>
    <w:basedOn w:val="1"/>
    <w:next w:val="1"/>
    <w:qFormat/>
    <w:uiPriority w:val="0"/>
    <w:pPr>
      <w:autoSpaceDE w:val="0"/>
      <w:autoSpaceDN w:val="0"/>
      <w:adjustRightInd w:val="0"/>
      <w:spacing w:line="240" w:lineRule="auto"/>
      <w:ind w:firstLine="0"/>
      <w:jc w:val="center"/>
      <w:textAlignment w:val="center"/>
    </w:pPr>
  </w:style>
  <w:style w:type="paragraph" w:customStyle="1" w:styleId="43">
    <w:name w:val="表头 1"/>
    <w:basedOn w:val="11"/>
    <w:next w:val="11"/>
    <w:autoRedefine/>
    <w:qFormat/>
    <w:uiPriority w:val="0"/>
    <w:pPr>
      <w:spacing w:line="240" w:lineRule="auto"/>
      <w:ind w:firstLine="0" w:firstLineChars="0"/>
      <w:jc w:val="center"/>
    </w:pPr>
    <w:rPr>
      <w:rFonts w:ascii="Times New Roman" w:hAnsi="Times New Roman" w:eastAsia="宋体"/>
      <w:b/>
      <w:sz w:val="21"/>
    </w:rPr>
  </w:style>
  <w:style w:type="paragraph" w:customStyle="1" w:styleId="44">
    <w:name w:val="表格的正文"/>
    <w:basedOn w:val="1"/>
    <w:autoRedefine/>
    <w:qFormat/>
    <w:uiPriority w:val="0"/>
    <w:pPr>
      <w:spacing w:line="240" w:lineRule="auto"/>
      <w:jc w:val="center"/>
    </w:pPr>
    <w:rPr>
      <w:sz w:val="21"/>
    </w:rPr>
  </w:style>
  <w:style w:type="paragraph" w:customStyle="1" w:styleId="45">
    <w:name w:val="表格1"/>
    <w:autoRedefine/>
    <w:qFormat/>
    <w:uiPriority w:val="0"/>
    <w:pPr>
      <w:jc w:val="center"/>
    </w:pPr>
    <w:rPr>
      <w:rFonts w:ascii="Times New Roman" w:hAnsi="Times New Roman" w:eastAsiaTheme="minorEastAsia" w:cstheme="minorBidi"/>
      <w:kern w:val="2"/>
      <w:sz w:val="21"/>
      <w:szCs w:val="22"/>
      <w:lang w:val="en-US" w:eastAsia="zh-CN" w:bidi="ar-SA"/>
    </w:rPr>
  </w:style>
  <w:style w:type="table" w:customStyle="1" w:styleId="46">
    <w:name w:val="A-表格属性"/>
    <w:basedOn w:val="27"/>
    <w:autoRedefine/>
    <w:qFormat/>
    <w:uiPriority w:val="99"/>
    <w:pPr>
      <w:spacing w:after="160" w:line="259" w:lineRule="auto"/>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tblHeader/>
    </w:trPr>
    <w:tcPr>
      <w:vAlign w:val="center"/>
    </w:tcPr>
  </w:style>
  <w:style w:type="table" w:customStyle="1" w:styleId="47">
    <w:name w:val="Table Normal"/>
    <w:autoRedefine/>
    <w:qFormat/>
    <w:uiPriority w:val="2"/>
    <w:pPr>
      <w:widowControl w:val="0"/>
    </w:pPr>
    <w:rPr>
      <w:rFonts w:cs="宋体"/>
      <w:sz w:val="22"/>
      <w:szCs w:val="22"/>
      <w:lang w:eastAsia="en-US"/>
    </w:rPr>
    <w:tblPr>
      <w:tblCellMar>
        <w:top w:w="0" w:type="dxa"/>
        <w:left w:w="0" w:type="dxa"/>
        <w:bottom w:w="0" w:type="dxa"/>
        <w:right w:w="0" w:type="dxa"/>
      </w:tblCellMar>
    </w:tblPr>
  </w:style>
  <w:style w:type="paragraph" w:customStyle="1" w:styleId="48">
    <w:name w:val="表格内"/>
    <w:basedOn w:val="1"/>
    <w:qFormat/>
    <w:uiPriority w:val="0"/>
    <w:pPr>
      <w:ind w:firstLine="0" w:firstLineChars="0"/>
      <w:jc w:val="left"/>
    </w:pPr>
    <w:rPr>
      <w:b/>
      <w:sz w:val="30"/>
    </w:rPr>
  </w:style>
  <w:style w:type="paragraph" w:customStyle="1" w:styleId="49">
    <w:name w:val="表格"/>
    <w:basedOn w:val="8"/>
    <w:next w:val="1"/>
    <w:qFormat/>
    <w:uiPriority w:val="0"/>
    <w:pPr>
      <w:adjustRightInd w:val="0"/>
      <w:spacing w:line="400" w:lineRule="atLeast"/>
      <w:textAlignment w:val="baseline"/>
    </w:pPr>
    <w:rPr>
      <w:rFonts w:ascii="Calibri" w:hAnsi="Calibri"/>
      <w:szCs w:val="22"/>
    </w:rPr>
  </w:style>
  <w:style w:type="paragraph" w:customStyle="1" w:styleId="50">
    <w:name w:val="wyc正文"/>
    <w:basedOn w:val="1"/>
    <w:qFormat/>
    <w:uiPriority w:val="0"/>
    <w:pPr>
      <w:adjustRightInd w:val="0"/>
      <w:spacing w:line="360" w:lineRule="auto"/>
      <w:ind w:firstLine="480" w:firstLineChars="200"/>
    </w:pPr>
    <w:rPr>
      <w:rFonts w:ascii="Times New Roman" w:hAnsi="Times New Roman"/>
      <w:sz w:val="24"/>
      <w:szCs w:val="20"/>
    </w:rPr>
  </w:style>
  <w:style w:type="paragraph" w:customStyle="1" w:styleId="51">
    <w:name w:val="YJ正文*"/>
    <w:basedOn w:val="1"/>
    <w:qFormat/>
    <w:uiPriority w:val="0"/>
    <w:pPr>
      <w:spacing w:line="500" w:lineRule="exact"/>
      <w:ind w:firstLine="200" w:firstLineChars="200"/>
    </w:pPr>
    <w:rPr>
      <w:rFonts w:ascii="宋体" w:hAnsi="宋体" w:eastAsia="宋体"/>
      <w:sz w:val="24"/>
      <w:szCs w:val="24"/>
    </w:rPr>
  </w:style>
  <w:style w:type="character" w:customStyle="1" w:styleId="52">
    <w:name w:val="font01"/>
    <w:basedOn w:val="29"/>
    <w:qFormat/>
    <w:uiPriority w:val="0"/>
    <w:rPr>
      <w:rFonts w:hint="eastAsia" w:ascii="宋体" w:hAnsi="宋体" w:eastAsia="宋体" w:cs="宋体"/>
      <w:color w:val="000000"/>
      <w:sz w:val="22"/>
      <w:szCs w:val="22"/>
      <w:u w:val="none"/>
    </w:rPr>
  </w:style>
  <w:style w:type="character" w:customStyle="1" w:styleId="53">
    <w:name w:val="font21"/>
    <w:basedOn w:val="29"/>
    <w:qFormat/>
    <w:uiPriority w:val="0"/>
    <w:rPr>
      <w:rFonts w:ascii="Arial" w:hAnsi="Arial" w:cs="Arial"/>
      <w:color w:val="000000"/>
      <w:sz w:val="22"/>
      <w:szCs w:val="22"/>
      <w:u w:val="none"/>
    </w:rPr>
  </w:style>
  <w:style w:type="paragraph" w:customStyle="1" w:styleId="54">
    <w:name w:val="1正文"/>
    <w:basedOn w:val="1"/>
    <w:qFormat/>
    <w:uiPriority w:val="0"/>
    <w:pPr>
      <w:widowControl/>
      <w:spacing w:line="360" w:lineRule="auto"/>
      <w:ind w:firstLine="200" w:firstLineChars="200"/>
    </w:pPr>
    <w:rPr>
      <w:kern w:val="0"/>
      <w:sz w:val="24"/>
      <w:lang w:val="en-GB"/>
    </w:rPr>
  </w:style>
  <w:style w:type="character" w:customStyle="1" w:styleId="55">
    <w:name w:val="font11"/>
    <w:basedOn w:val="29"/>
    <w:qFormat/>
    <w:uiPriority w:val="0"/>
    <w:rPr>
      <w:rFonts w:hint="default" w:ascii="Times New Roman" w:hAnsi="Times New Roman" w:cs="Times New Roman"/>
      <w:color w:val="000000"/>
      <w:sz w:val="22"/>
      <w:szCs w:val="22"/>
      <w:u w:val="none"/>
    </w:rPr>
  </w:style>
  <w:style w:type="paragraph" w:customStyle="1" w:styleId="56">
    <w:name w:val="MEL正文*"/>
    <w:basedOn w:val="1"/>
    <w:qFormat/>
    <w:uiPriority w:val="0"/>
    <w:pPr>
      <w:spacing w:line="500" w:lineRule="exact"/>
      <w:ind w:firstLine="200" w:firstLineChars="200"/>
    </w:pPr>
    <w:rPr>
      <w:rFonts w:ascii="宋体" w:hAnsi="宋体"/>
      <w:kern w:val="0"/>
      <w:sz w:val="24"/>
      <w:szCs w:val="24"/>
    </w:rPr>
  </w:style>
  <w:style w:type="paragraph" w:customStyle="1" w:styleId="57">
    <w:name w:val="YJ-正文"/>
    <w:basedOn w:val="1"/>
    <w:qFormat/>
    <w:uiPriority w:val="0"/>
    <w:pPr>
      <w:widowControl/>
      <w:spacing w:line="520" w:lineRule="exact"/>
      <w:ind w:firstLine="200" w:firstLineChars="200"/>
    </w:pPr>
    <w:rPr>
      <w:kern w:val="0"/>
      <w:sz w:val="24"/>
      <w:szCs w:val="22"/>
    </w:rPr>
  </w:style>
  <w:style w:type="paragraph" w:customStyle="1" w:styleId="58">
    <w:name w:val="wyc-表头"/>
    <w:basedOn w:val="1"/>
    <w:autoRedefine/>
    <w:qFormat/>
    <w:uiPriority w:val="0"/>
    <w:pPr>
      <w:jc w:val="center"/>
    </w:pPr>
    <w:rPr>
      <w:rFonts w:ascii="Times New Roman" w:hAnsi="Times New Roman" w:eastAsia="宋体"/>
      <w:b/>
      <w:bCs/>
      <w:color w:val="000000"/>
    </w:rPr>
  </w:style>
  <w:style w:type="paragraph" w:customStyle="1" w:styleId="59">
    <w:name w:val="表体"/>
    <w:basedOn w:val="1"/>
    <w:qFormat/>
    <w:uiPriority w:val="0"/>
    <w:pPr>
      <w:overflowPunct w:val="0"/>
      <w:adjustRightInd w:val="0"/>
      <w:spacing w:before="100" w:beforeAutospacing="1" w:after="100" w:afterAutospacing="1" w:line="240" w:lineRule="atLeast"/>
      <w:ind w:left="-57" w:right="-57"/>
      <w:jc w:val="center"/>
      <w:textAlignment w:val="baseline"/>
    </w:pPr>
    <w:rPr>
      <w:rFonts w:ascii="黑体" w:hAnsi="宋体" w:eastAsia="黑体" w:cs="宋体"/>
      <w:color w:val="000080"/>
      <w:kern w:val="24"/>
      <w:sz w:val="24"/>
    </w:rPr>
  </w:style>
  <w:style w:type="paragraph" w:customStyle="1" w:styleId="60">
    <w:name w:val="MEL表字-书"/>
    <w:basedOn w:val="1"/>
    <w:qFormat/>
    <w:uiPriority w:val="0"/>
    <w:pPr>
      <w:adjustRightInd/>
      <w:snapToGrid/>
      <w:spacing w:line="240" w:lineRule="exact"/>
      <w:ind w:firstLine="0" w:firstLineChars="0"/>
      <w:jc w:val="center"/>
    </w:pPr>
    <w:rPr>
      <w:rFonts w:ascii="宋体" w:hAnsi="宋体" w:cs="Times New Roman"/>
      <w:kern w:val="0"/>
      <w:sz w:val="21"/>
      <w:szCs w:val="21"/>
    </w:rPr>
  </w:style>
  <w:style w:type="paragraph" w:customStyle="1" w:styleId="61">
    <w:name w:val="段落正文"/>
    <w:basedOn w:val="25"/>
    <w:qFormat/>
    <w:uiPriority w:val="0"/>
    <w:pPr>
      <w:adjustRightInd w:val="0"/>
      <w:spacing w:after="0"/>
      <w:ind w:firstLine="558" w:firstLineChars="0"/>
    </w:pPr>
    <w:rPr>
      <w:rFonts w:ascii="宋体" w:hAnsi="Calibri"/>
      <w:snapToGrid w:val="0"/>
      <w:sz w:val="24"/>
      <w:szCs w:val="20"/>
    </w:rPr>
  </w:style>
  <w:style w:type="table" w:customStyle="1" w:styleId="62">
    <w:name w:val="网格型18"/>
    <w:basedOn w:val="27"/>
    <w:autoRedefine/>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3">
    <w:name w:val="文本"/>
    <w:basedOn w:val="8"/>
    <w:autoRedefine/>
    <w:qFormat/>
    <w:uiPriority w:val="0"/>
    <w:pPr>
      <w:adjustRightInd w:val="0"/>
      <w:snapToGrid w:val="0"/>
      <w:spacing w:line="360" w:lineRule="auto"/>
      <w:ind w:firstLine="480" w:firstLineChars="200"/>
      <w:jc w:val="left"/>
    </w:pPr>
    <w:rPr>
      <w:sz w:val="24"/>
    </w:rPr>
  </w:style>
  <w:style w:type="paragraph" w:customStyle="1" w:styleId="64">
    <w:name w:val="表外"/>
    <w:basedOn w:val="1"/>
    <w:autoRedefine/>
    <w:qFormat/>
    <w:uiPriority w:val="0"/>
    <w:rPr>
      <w:b/>
      <w:sz w:val="32"/>
    </w:rPr>
  </w:style>
  <w:style w:type="paragraph" w:customStyle="1" w:styleId="65">
    <w:name w:val="wyc-表文字"/>
    <w:basedOn w:val="58"/>
    <w:autoRedefine/>
    <w:qFormat/>
    <w:uiPriority w:val="0"/>
    <w:pPr>
      <w:snapToGrid w:val="0"/>
    </w:pPr>
    <w:rPr>
      <w:b w:val="0"/>
      <w:bCs w:val="0"/>
      <w:szCs w:val="21"/>
    </w:rPr>
  </w:style>
  <w:style w:type="paragraph" w:styleId="66">
    <w:name w:val="No Spacing"/>
    <w:autoRedefine/>
    <w:qFormat/>
    <w:uiPriority w:val="99"/>
    <w:pPr>
      <w:widowControl w:val="0"/>
      <w:autoSpaceDE w:val="0"/>
      <w:autoSpaceDN w:val="0"/>
    </w:pPr>
    <w:rPr>
      <w:rFonts w:ascii="宋体" w:hAnsi="宋体" w:eastAsia="宋体" w:cs="宋体"/>
      <w:sz w:val="22"/>
      <w:szCs w:val="22"/>
      <w:lang w:val="zh-CN" w:eastAsia="zh-CN" w:bidi="zh-CN"/>
    </w:rPr>
  </w:style>
  <w:style w:type="paragraph" w:customStyle="1" w:styleId="67">
    <w:name w:val="正文 楷体"/>
    <w:basedOn w:val="1"/>
    <w:qFormat/>
    <w:uiPriority w:val="0"/>
    <w:pPr>
      <w:spacing w:line="500" w:lineRule="exact"/>
      <w:ind w:firstLine="200" w:firstLineChars="200"/>
    </w:pPr>
    <w:rPr>
      <w:rFonts w:ascii="楷体_GB2312" w:hAnsi="楷体_GB2312" w:eastAsia="楷体_GB2312"/>
      <w:kern w:val="0"/>
      <w:sz w:val="24"/>
      <w:szCs w:val="24"/>
    </w:rPr>
  </w:style>
  <w:style w:type="paragraph" w:customStyle="1" w:styleId="68">
    <w:name w:val="YJ题注"/>
    <w:basedOn w:val="9"/>
    <w:qFormat/>
    <w:uiPriority w:val="0"/>
    <w:pPr>
      <w:spacing w:line="520" w:lineRule="exact"/>
    </w:pPr>
    <w:rPr>
      <w:rFonts w:ascii="黑体" w:hAnsi="黑体" w:eastAsia="黑体"/>
      <w:szCs w:val="22"/>
    </w:rPr>
  </w:style>
  <w:style w:type="table" w:customStyle="1" w:styleId="69">
    <w:name w:val="A-表格属性4"/>
    <w:basedOn w:val="27"/>
    <w:autoRedefine/>
    <w:qFormat/>
    <w:uiPriority w:val="0"/>
    <w:pPr>
      <w:jc w:val="center"/>
    </w:pPr>
    <w:rPr>
      <w:rFonts w:eastAsia="Times New Roman" w:cs="宋体"/>
      <w:kern w:val="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70">
    <w:name w:val="A-题注-图 Char"/>
    <w:link w:val="71"/>
    <w:autoRedefine/>
    <w:qFormat/>
    <w:uiPriority w:val="0"/>
    <w:rPr>
      <w:rFonts w:ascii="Times New Roman" w:hAnsi="Times New Roman" w:eastAsia="宋体"/>
      <w:sz w:val="21"/>
    </w:rPr>
  </w:style>
  <w:style w:type="paragraph" w:customStyle="1" w:styleId="71">
    <w:name w:val="A-题注-图"/>
    <w:basedOn w:val="41"/>
    <w:link w:val="70"/>
    <w:autoRedefine/>
    <w:qFormat/>
    <w:uiPriority w:val="0"/>
    <w:pPr>
      <w:spacing w:before="0" w:beforeLines="0" w:line="240" w:lineRule="auto"/>
    </w:pPr>
    <w:rPr>
      <w:rFonts w:ascii="Times New Roman" w:hAnsi="Times New Roman" w:eastAsia="宋体"/>
      <w:sz w:val="21"/>
    </w:rPr>
  </w:style>
  <w:style w:type="character" w:customStyle="1" w:styleId="72">
    <w:name w:val="报告正文 Char"/>
    <w:link w:val="37"/>
    <w:autoRedefine/>
    <w:qFormat/>
    <w:locked/>
    <w:uiPriority w:val="0"/>
  </w:style>
  <w:style w:type="paragraph" w:customStyle="1" w:styleId="73">
    <w:name w:val="Default"/>
    <w:basedOn w:val="74"/>
    <w:next w:val="1"/>
    <w:qFormat/>
    <w:uiPriority w:val="0"/>
    <w:pPr>
      <w:widowControl w:val="0"/>
      <w:autoSpaceDE w:val="0"/>
      <w:autoSpaceDN w:val="0"/>
      <w:adjustRightInd w:val="0"/>
    </w:pPr>
    <w:rPr>
      <w:rFonts w:ascii="Sim Sun" w:hAnsi="Times New Roman" w:eastAsia="Sim Sun" w:cs="Sim Sun"/>
      <w:color w:val="000000"/>
      <w:sz w:val="24"/>
      <w:szCs w:val="24"/>
      <w:lang w:val="en-US" w:eastAsia="zh-CN" w:bidi="ar-SA"/>
    </w:rPr>
  </w:style>
  <w:style w:type="paragraph" w:customStyle="1" w:styleId="74">
    <w:name w:val="表格标题"/>
    <w:basedOn w:val="9"/>
    <w:next w:val="1"/>
    <w:autoRedefine/>
    <w:qFormat/>
    <w:uiPriority w:val="0"/>
    <w:pPr>
      <w:adjustRightInd/>
      <w:snapToGrid/>
      <w:spacing w:line="360" w:lineRule="auto"/>
      <w:ind w:firstLine="0" w:firstLineChars="0"/>
      <w:jc w:val="center"/>
    </w:pPr>
    <w:rPr>
      <w:rFonts w:eastAsia="宋体" w:cs="Arial"/>
      <w:sz w:val="21"/>
    </w:rPr>
  </w:style>
  <w:style w:type="table" w:customStyle="1" w:styleId="75">
    <w:name w:val="网格型34"/>
    <w:basedOn w:val="27"/>
    <w:autoRedefine/>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
    <w:name w:val="网格型37"/>
    <w:basedOn w:val="27"/>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211"/>
    <w:basedOn w:val="27"/>
    <w:autoRedefine/>
    <w:qFormat/>
    <w:uiPriority w:val="0"/>
    <w:rPr>
      <w:rFonts w:ascii="Calibri" w:hAnsi="Calibri" w:eastAsia="Times New Roman" w:cs="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A-表格属性5"/>
    <w:basedOn w:val="27"/>
    <w:autoRedefine/>
    <w:qFormat/>
    <w:uiPriority w:val="0"/>
    <w:pPr>
      <w:jc w:val="center"/>
    </w:pPr>
    <w:rPr>
      <w:rFonts w:eastAsia="Times New Roman" w:cs="宋体"/>
      <w:kern w:val="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79">
    <w:name w:val="font91"/>
    <w:basedOn w:val="29"/>
    <w:qFormat/>
    <w:uiPriority w:val="0"/>
    <w:rPr>
      <w:rFonts w:hint="eastAsia" w:ascii="宋体" w:hAnsi="宋体" w:eastAsia="宋体" w:cs="宋体"/>
      <w:b/>
      <w:bCs/>
      <w:color w:val="000000"/>
      <w:sz w:val="21"/>
      <w:szCs w:val="21"/>
      <w:u w:val="none"/>
    </w:rPr>
  </w:style>
  <w:style w:type="character" w:customStyle="1" w:styleId="80">
    <w:name w:val="font81"/>
    <w:basedOn w:val="29"/>
    <w:qFormat/>
    <w:uiPriority w:val="0"/>
    <w:rPr>
      <w:rFonts w:hint="eastAsia" w:ascii="宋体" w:hAnsi="宋体" w:eastAsia="宋体" w:cs="宋体"/>
      <w:color w:val="000000"/>
      <w:sz w:val="21"/>
      <w:szCs w:val="21"/>
      <w:u w:val="none"/>
    </w:rPr>
  </w:style>
  <w:style w:type="character" w:customStyle="1" w:styleId="81">
    <w:name w:val="font31"/>
    <w:basedOn w:val="29"/>
    <w:qFormat/>
    <w:uiPriority w:val="0"/>
    <w:rPr>
      <w:rFonts w:hint="default" w:ascii="Times New Roman" w:hAnsi="Times New Roman" w:cs="Times New Roman"/>
      <w:color w:val="000000"/>
      <w:sz w:val="21"/>
      <w:szCs w:val="21"/>
      <w:u w:val="none"/>
    </w:rPr>
  </w:style>
  <w:style w:type="character" w:customStyle="1" w:styleId="82">
    <w:name w:val="font51"/>
    <w:basedOn w:val="29"/>
    <w:qFormat/>
    <w:uiPriority w:val="0"/>
    <w:rPr>
      <w:rFonts w:hint="default" w:ascii="Times New Roman" w:hAnsi="Times New Roman" w:cs="Times New Roman"/>
      <w:color w:val="000000"/>
      <w:sz w:val="21"/>
      <w:szCs w:val="21"/>
      <w:u w:val="none"/>
    </w:rPr>
  </w:style>
  <w:style w:type="character" w:customStyle="1" w:styleId="83">
    <w:name w:val="font101"/>
    <w:basedOn w:val="29"/>
    <w:qFormat/>
    <w:uiPriority w:val="0"/>
    <w:rPr>
      <w:rFonts w:hint="eastAsia" w:ascii="宋体" w:hAnsi="宋体" w:eastAsia="宋体" w:cs="宋体"/>
      <w:color w:val="000000"/>
      <w:sz w:val="21"/>
      <w:szCs w:val="21"/>
      <w:u w:val="none"/>
    </w:rPr>
  </w:style>
  <w:style w:type="character" w:customStyle="1" w:styleId="84">
    <w:name w:val="font112"/>
    <w:basedOn w:val="29"/>
    <w:qFormat/>
    <w:uiPriority w:val="0"/>
    <w:rPr>
      <w:rFonts w:hint="eastAsia" w:ascii="宋体" w:hAnsi="宋体" w:eastAsia="宋体" w:cs="宋体"/>
      <w:color w:val="000000"/>
      <w:sz w:val="22"/>
      <w:szCs w:val="22"/>
      <w:u w:val="none"/>
    </w:rPr>
  </w:style>
  <w:style w:type="character" w:customStyle="1" w:styleId="85">
    <w:name w:val="font41"/>
    <w:basedOn w:val="29"/>
    <w:qFormat/>
    <w:uiPriority w:val="0"/>
    <w:rPr>
      <w:rFonts w:hint="default" w:ascii="Times New Roman" w:hAnsi="Times New Roman" w:cs="Times New Roman"/>
      <w:color w:val="000000"/>
      <w:sz w:val="22"/>
      <w:szCs w:val="22"/>
      <w:u w:val="none"/>
    </w:rPr>
  </w:style>
  <w:style w:type="character" w:customStyle="1" w:styleId="86">
    <w:name w:val="font121"/>
    <w:basedOn w:val="29"/>
    <w:qFormat/>
    <w:uiPriority w:val="0"/>
    <w:rPr>
      <w:rFonts w:hint="eastAsia" w:ascii="宋体" w:hAnsi="宋体" w:eastAsia="宋体" w:cs="宋体"/>
      <w:color w:val="000000"/>
      <w:sz w:val="21"/>
      <w:szCs w:val="21"/>
      <w:u w:val="none"/>
    </w:rPr>
  </w:style>
  <w:style w:type="character" w:customStyle="1" w:styleId="87">
    <w:name w:val="font71"/>
    <w:basedOn w:val="29"/>
    <w:qFormat/>
    <w:uiPriority w:val="0"/>
    <w:rPr>
      <w:rFonts w:hint="default" w:ascii="Times New Roman" w:hAnsi="Times New Roman" w:cs="Times New Roman"/>
      <w:color w:val="000000"/>
      <w:sz w:val="21"/>
      <w:szCs w:val="21"/>
      <w:u w:val="none"/>
    </w:rPr>
  </w:style>
  <w:style w:type="character" w:customStyle="1" w:styleId="88">
    <w:name w:val="font131"/>
    <w:basedOn w:val="29"/>
    <w:qFormat/>
    <w:uiPriority w:val="0"/>
    <w:rPr>
      <w:rFonts w:hint="eastAsia" w:ascii="宋体" w:hAnsi="宋体" w:eastAsia="宋体" w:cs="宋体"/>
      <w:color w:val="000000"/>
      <w:sz w:val="22"/>
      <w:szCs w:val="22"/>
      <w:u w:val="none"/>
    </w:rPr>
  </w:style>
  <w:style w:type="character" w:customStyle="1" w:styleId="89">
    <w:name w:val="font141"/>
    <w:basedOn w:val="29"/>
    <w:qFormat/>
    <w:uiPriority w:val="0"/>
    <w:rPr>
      <w:rFonts w:hint="default" w:ascii="Times New Roman" w:hAnsi="Times New Roman" w:cs="Times New Roman"/>
      <w:color w:val="000000"/>
      <w:sz w:val="21"/>
      <w:szCs w:val="21"/>
      <w:u w:val="none"/>
      <w:vertAlign w:val="superscript"/>
    </w:rPr>
  </w:style>
  <w:style w:type="character" w:customStyle="1" w:styleId="90">
    <w:name w:val="font151"/>
    <w:basedOn w:val="29"/>
    <w:qFormat/>
    <w:uiPriority w:val="0"/>
    <w:rPr>
      <w:rFonts w:hint="default" w:ascii="Times New Roman" w:hAnsi="Times New Roman" w:cs="Times New Roman"/>
      <w:color w:val="000000"/>
      <w:sz w:val="21"/>
      <w:szCs w:val="21"/>
      <w:u w:val="none"/>
      <w:vertAlign w:val="superscript"/>
    </w:rPr>
  </w:style>
  <w:style w:type="character" w:customStyle="1" w:styleId="91">
    <w:name w:val="font161"/>
    <w:basedOn w:val="29"/>
    <w:qFormat/>
    <w:uiPriority w:val="0"/>
    <w:rPr>
      <w:rFonts w:hint="default" w:ascii="Times New Roman" w:hAnsi="Times New Roman" w:cs="Times New Roman"/>
      <w:color w:val="000000"/>
      <w:sz w:val="21"/>
      <w:szCs w:val="21"/>
      <w:u w:val="none"/>
      <w:vertAlign w:val="superscript"/>
    </w:rPr>
  </w:style>
  <w:style w:type="character" w:customStyle="1" w:styleId="92">
    <w:name w:val="表格内容正文 Char"/>
    <w:link w:val="34"/>
    <w:qFormat/>
    <w:uiPriority w:val="0"/>
    <w:rPr>
      <w:rFonts w:ascii="Times New Roman" w:hAnsi="Times New Roman" w:eastAsia="宋体"/>
    </w:rPr>
  </w:style>
  <w:style w:type="character" w:customStyle="1" w:styleId="93">
    <w:name w:val="标题 3 Char"/>
    <w:link w:val="5"/>
    <w:qFormat/>
    <w:uiPriority w:val="0"/>
    <w:rPr>
      <w:rFonts w:ascii="Times New Roman" w:hAnsi="Times New Roman" w:eastAsiaTheme="minorEastAsia" w:cstheme="minorBidi"/>
      <w:b/>
      <w:kern w:val="2"/>
      <w:sz w:val="30"/>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7.wmf"/><Relationship Id="rId54" Type="http://schemas.openxmlformats.org/officeDocument/2006/relationships/oleObject" Target="embeddings/oleObject19.bin"/><Relationship Id="rId53" Type="http://schemas.openxmlformats.org/officeDocument/2006/relationships/image" Target="media/image26.png"/><Relationship Id="rId52" Type="http://schemas.openxmlformats.org/officeDocument/2006/relationships/image" Target="media/image25.emf"/><Relationship Id="rId51" Type="http://schemas.openxmlformats.org/officeDocument/2006/relationships/image" Target="media/image24.png"/><Relationship Id="rId50" Type="http://schemas.openxmlformats.org/officeDocument/2006/relationships/image" Target="media/image23.jpe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wmf"/><Relationship Id="rId47" Type="http://schemas.openxmlformats.org/officeDocument/2006/relationships/oleObject" Target="embeddings/oleObject18.bin"/><Relationship Id="rId46" Type="http://schemas.openxmlformats.org/officeDocument/2006/relationships/image" Target="media/image20.wmf"/><Relationship Id="rId45" Type="http://schemas.openxmlformats.org/officeDocument/2006/relationships/oleObject" Target="embeddings/oleObject17.bin"/><Relationship Id="rId44" Type="http://schemas.openxmlformats.org/officeDocument/2006/relationships/image" Target="media/image19.wmf"/><Relationship Id="rId43" Type="http://schemas.openxmlformats.org/officeDocument/2006/relationships/oleObject" Target="embeddings/oleObject16.bin"/><Relationship Id="rId42" Type="http://schemas.openxmlformats.org/officeDocument/2006/relationships/image" Target="media/image18.wmf"/><Relationship Id="rId41" Type="http://schemas.openxmlformats.org/officeDocument/2006/relationships/oleObject" Target="embeddings/oleObject15.bin"/><Relationship Id="rId40" Type="http://schemas.openxmlformats.org/officeDocument/2006/relationships/image" Target="media/image17.wmf"/><Relationship Id="rId4" Type="http://schemas.openxmlformats.org/officeDocument/2006/relationships/header" Target="header1.xml"/><Relationship Id="rId39" Type="http://schemas.openxmlformats.org/officeDocument/2006/relationships/oleObject" Target="embeddings/oleObject14.bin"/><Relationship Id="rId38" Type="http://schemas.openxmlformats.org/officeDocument/2006/relationships/image" Target="media/image16.wmf"/><Relationship Id="rId37" Type="http://schemas.openxmlformats.org/officeDocument/2006/relationships/oleObject" Target="embeddings/oleObject13.bin"/><Relationship Id="rId36" Type="http://schemas.openxmlformats.org/officeDocument/2006/relationships/image" Target="media/image15.wmf"/><Relationship Id="rId35" Type="http://schemas.openxmlformats.org/officeDocument/2006/relationships/oleObject" Target="embeddings/oleObject12.bin"/><Relationship Id="rId34" Type="http://schemas.openxmlformats.org/officeDocument/2006/relationships/image" Target="media/image14.png"/><Relationship Id="rId33" Type="http://schemas.openxmlformats.org/officeDocument/2006/relationships/image" Target="media/image13.wmf"/><Relationship Id="rId32" Type="http://schemas.openxmlformats.org/officeDocument/2006/relationships/image" Target="media/image12.wmf"/><Relationship Id="rId31" Type="http://schemas.openxmlformats.org/officeDocument/2006/relationships/image" Target="media/image11.w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0.wmf"/><Relationship Id="rId28" Type="http://schemas.openxmlformats.org/officeDocument/2006/relationships/oleObject" Target="embeddings/oleObject10.bin"/><Relationship Id="rId27" Type="http://schemas.openxmlformats.org/officeDocument/2006/relationships/image" Target="media/image9.wmf"/><Relationship Id="rId26" Type="http://schemas.openxmlformats.org/officeDocument/2006/relationships/oleObject" Target="embeddings/oleObject9.bin"/><Relationship Id="rId25" Type="http://schemas.openxmlformats.org/officeDocument/2006/relationships/image" Target="media/image8.wmf"/><Relationship Id="rId24" Type="http://schemas.openxmlformats.org/officeDocument/2006/relationships/oleObject" Target="embeddings/oleObject8.bin"/><Relationship Id="rId23" Type="http://schemas.openxmlformats.org/officeDocument/2006/relationships/image" Target="media/image7.wmf"/><Relationship Id="rId22" Type="http://schemas.openxmlformats.org/officeDocument/2006/relationships/oleObject" Target="embeddings/oleObject7.bin"/><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wmf"/><Relationship Id="rId14" Type="http://schemas.openxmlformats.org/officeDocument/2006/relationships/oleObject" Target="embeddings/oleObject3.bin"/><Relationship Id="rId13" Type="http://schemas.openxmlformats.org/officeDocument/2006/relationships/image" Target="media/image2.w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323</Pages>
  <Words>985</Words>
  <Characters>1202</Characters>
  <Lines>0</Lines>
  <Paragraphs>0</Paragraphs>
  <TotalTime>2</TotalTime>
  <ScaleCrop>false</ScaleCrop>
  <LinksUpToDate>false</LinksUpToDate>
  <CharactersWithSpaces>1388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2023-08-23T08:02:00Z</dcterms:created>
  <dc:creator>Administrator</dc:creator>
  <cp:lastModifiedBy>LinKang</cp:lastModifiedBy>
  <cp:lastPrinted>2025-09-01T08:08:00Z</cp:lastPrinted>
  <dcterms:modified xsi:type="dcterms:W3CDTF">2025-12-04T08:25:37Z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1E4FB138CC37449B92F4051347F269F4_12</vt:lpwstr>
  </property>
  <property fmtid="{D5CDD505-2E9C-101B-9397-08002B2CF9AE}" pid="4" name="KSOTemplateDocerSaveRecord">
    <vt:lpwstr>eyJoZGlkIjoiNWFlMmM2NDk4NmQ2NGZkNDg0YTI4NTAyMzE0YmExNzMiLCJ1c2VySWQiOiIxMDQzNDQ3MjQ0In0=</vt:lpwstr>
  </property>
</Properties>
</file>